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cs="ArialUnicodeMS"/>
          <w:kern w:val="0"/>
          <w:sz w:val="52"/>
          <w:szCs w:val="52"/>
          <w:highlight w:val="none"/>
        </w:rPr>
      </w:pPr>
    </w:p>
    <w:p>
      <w:pPr>
        <w:rPr>
          <w:rFonts w:hint="eastAsia" w:ascii="方正小标宋简体" w:eastAsia="方正小标宋简体" w:cs="ArialUnicodeMS"/>
          <w:kern w:val="0"/>
          <w:sz w:val="52"/>
          <w:szCs w:val="52"/>
          <w:highlight w:val="none"/>
        </w:rPr>
      </w:pPr>
    </w:p>
    <w:p>
      <w:pPr>
        <w:rPr>
          <w:rFonts w:hint="eastAsia" w:ascii="方正小标宋简体" w:eastAsia="方正小标宋简体" w:cs="ArialUnicodeMS"/>
          <w:kern w:val="0"/>
          <w:sz w:val="52"/>
          <w:szCs w:val="52"/>
          <w:highlight w:val="none"/>
        </w:rPr>
      </w:pPr>
    </w:p>
    <w:p>
      <w:pPr>
        <w:rPr>
          <w:rFonts w:hint="eastAsia" w:ascii="方正小标宋简体" w:eastAsia="方正小标宋简体" w:cs="ArialUnicodeMS"/>
          <w:kern w:val="0"/>
          <w:sz w:val="52"/>
          <w:szCs w:val="52"/>
          <w:highlight w:val="none"/>
        </w:rPr>
      </w:pPr>
    </w:p>
    <w:p>
      <w:pPr>
        <w:ind w:firstLine="1560" w:firstLineChars="300"/>
        <w:rPr>
          <w:rFonts w:hint="eastAsia" w:ascii="方正小标宋简体" w:eastAsia="方正小标宋简体" w:cs="ArialUnicodeMS"/>
          <w:kern w:val="0"/>
          <w:sz w:val="52"/>
          <w:szCs w:val="52"/>
          <w:highlight w:val="none"/>
          <w:lang w:val="en-US" w:eastAsia="zh-CN"/>
        </w:rPr>
      </w:pPr>
      <w:r>
        <w:rPr>
          <w:rFonts w:hint="eastAsia" w:ascii="方正小标宋简体" w:eastAsia="方正小标宋简体" w:cs="ArialUnicodeMS"/>
          <w:kern w:val="0"/>
          <w:sz w:val="52"/>
          <w:szCs w:val="52"/>
          <w:highlight w:val="none"/>
          <w:lang w:val="en-US" w:eastAsia="zh-CN"/>
        </w:rPr>
        <w:t>环江毛南族自治县应急管理局</w:t>
      </w:r>
    </w:p>
    <w:p>
      <w:pPr>
        <w:ind w:firstLine="2600" w:firstLineChars="500"/>
        <w:rPr>
          <w:rFonts w:hint="eastAsia" w:ascii="方正小标宋简体" w:eastAsia="方正小标宋简体" w:cs="ArialUnicodeMS"/>
          <w:kern w:val="0"/>
          <w:sz w:val="52"/>
          <w:szCs w:val="52"/>
          <w:highlight w:val="none"/>
        </w:rPr>
      </w:pPr>
      <w:r>
        <w:rPr>
          <w:rFonts w:hint="eastAsia" w:ascii="方正小标宋简体" w:eastAsia="方正小标宋简体"/>
          <w:kern w:val="0"/>
          <w:sz w:val="52"/>
          <w:szCs w:val="52"/>
          <w:highlight w:val="none"/>
        </w:rPr>
        <w:t>202</w:t>
      </w:r>
      <w:r>
        <w:rPr>
          <w:rFonts w:hint="eastAsia" w:ascii="方正小标宋简体" w:eastAsia="方正小标宋简体"/>
          <w:kern w:val="0"/>
          <w:sz w:val="52"/>
          <w:szCs w:val="52"/>
          <w:highlight w:val="none"/>
          <w:lang w:val="en-US" w:eastAsia="zh-CN"/>
        </w:rPr>
        <w:t>3</w:t>
      </w:r>
      <w:r>
        <w:rPr>
          <w:rFonts w:hint="eastAsia" w:ascii="方正小标宋简体" w:eastAsia="方正小标宋简体" w:cs="ArialUnicodeMS"/>
          <w:kern w:val="0"/>
          <w:sz w:val="52"/>
          <w:szCs w:val="52"/>
          <w:highlight w:val="none"/>
        </w:rPr>
        <w:t>年度部门决算</w:t>
      </w:r>
    </w:p>
    <w:p>
      <w:pPr>
        <w:ind w:firstLine="1560" w:firstLineChars="300"/>
        <w:rPr>
          <w:rFonts w:hint="default" w:ascii="方正小标宋简体" w:eastAsia="方正小标宋简体" w:cs="ArialUnicodeMS"/>
          <w:kern w:val="0"/>
          <w:sz w:val="52"/>
          <w:szCs w:val="52"/>
          <w:highlight w:val="none"/>
          <w:lang w:val="en-US" w:eastAsia="zh-CN"/>
        </w:rPr>
      </w:pPr>
    </w:p>
    <w:p>
      <w:pPr>
        <w:ind w:firstLine="1560" w:firstLineChars="300"/>
        <w:rPr>
          <w:rFonts w:hint="default" w:ascii="方正小标宋简体" w:eastAsia="方正小标宋简体" w:cs="ArialUnicodeMS"/>
          <w:kern w:val="0"/>
          <w:sz w:val="52"/>
          <w:szCs w:val="52"/>
          <w:highlight w:val="none"/>
          <w:lang w:val="en-US" w:eastAsia="zh-CN"/>
        </w:rPr>
      </w:pPr>
    </w:p>
    <w:p>
      <w:pPr>
        <w:ind w:firstLine="1560" w:firstLineChars="300"/>
        <w:rPr>
          <w:rFonts w:hint="default" w:ascii="方正小标宋简体" w:eastAsia="方正小标宋简体" w:cs="ArialUnicodeMS"/>
          <w:kern w:val="0"/>
          <w:sz w:val="52"/>
          <w:szCs w:val="52"/>
          <w:highlight w:val="none"/>
          <w:lang w:val="en-US" w:eastAsia="zh-CN"/>
        </w:rPr>
      </w:pPr>
    </w:p>
    <w:p>
      <w:pPr>
        <w:ind w:firstLine="1560" w:firstLineChars="300"/>
        <w:rPr>
          <w:rFonts w:hint="default" w:ascii="方正小标宋简体" w:eastAsia="方正小标宋简体" w:cs="ArialUnicodeMS"/>
          <w:kern w:val="0"/>
          <w:sz w:val="52"/>
          <w:szCs w:val="52"/>
          <w:highlight w:val="none"/>
          <w:lang w:val="en-US" w:eastAsia="zh-CN"/>
        </w:rPr>
      </w:pPr>
    </w:p>
    <w:p>
      <w:pPr>
        <w:ind w:firstLine="1560" w:firstLineChars="300"/>
        <w:rPr>
          <w:rFonts w:hint="default" w:ascii="方正小标宋简体" w:eastAsia="方正小标宋简体" w:cs="ArialUnicodeMS"/>
          <w:kern w:val="0"/>
          <w:sz w:val="52"/>
          <w:szCs w:val="52"/>
          <w:highlight w:val="none"/>
          <w:lang w:val="en-US" w:eastAsia="zh-CN"/>
        </w:rPr>
      </w:pPr>
    </w:p>
    <w:p>
      <w:pPr>
        <w:ind w:firstLine="1560" w:firstLineChars="300"/>
        <w:rPr>
          <w:rFonts w:hint="default" w:ascii="方正小标宋简体" w:eastAsia="方正小标宋简体" w:cs="ArialUnicodeMS"/>
          <w:kern w:val="0"/>
          <w:sz w:val="52"/>
          <w:szCs w:val="52"/>
          <w:highlight w:val="none"/>
          <w:lang w:val="en-US" w:eastAsia="zh-CN"/>
        </w:rPr>
      </w:pPr>
    </w:p>
    <w:p>
      <w:pPr>
        <w:ind w:firstLine="1560" w:firstLineChars="300"/>
        <w:rPr>
          <w:rFonts w:hint="default" w:ascii="方正小标宋简体" w:eastAsia="方正小标宋简体" w:cs="ArialUnicodeMS"/>
          <w:kern w:val="0"/>
          <w:sz w:val="52"/>
          <w:szCs w:val="52"/>
          <w:highlight w:val="none"/>
          <w:lang w:val="en-US" w:eastAsia="zh-CN"/>
        </w:rPr>
      </w:pPr>
    </w:p>
    <w:p>
      <w:pPr>
        <w:ind w:firstLine="1560" w:firstLineChars="300"/>
        <w:rPr>
          <w:rFonts w:hint="default" w:ascii="方正小标宋简体" w:eastAsia="方正小标宋简体" w:cs="ArialUnicodeMS"/>
          <w:kern w:val="0"/>
          <w:sz w:val="52"/>
          <w:szCs w:val="52"/>
          <w:highlight w:val="none"/>
          <w:lang w:val="en-US" w:eastAsia="zh-CN"/>
        </w:rPr>
      </w:pPr>
    </w:p>
    <w:p>
      <w:pPr>
        <w:spacing w:line="560" w:lineRule="exact"/>
        <w:ind w:firstLine="646"/>
        <w:jc w:val="center"/>
        <w:rPr>
          <w:rFonts w:hint="eastAsia" w:ascii="方正小标宋简体" w:eastAsia="方正小标宋简体"/>
          <w:b/>
          <w:sz w:val="44"/>
          <w:szCs w:val="44"/>
          <w:highlight w:val="none"/>
        </w:rPr>
      </w:pPr>
    </w:p>
    <w:p>
      <w:pPr>
        <w:spacing w:line="560" w:lineRule="exact"/>
        <w:ind w:firstLine="646"/>
        <w:jc w:val="center"/>
        <w:rPr>
          <w:rFonts w:hint="eastAsia" w:ascii="方正小标宋简体" w:eastAsia="方正小标宋简体"/>
          <w:b/>
          <w:sz w:val="44"/>
          <w:szCs w:val="44"/>
          <w:highlight w:val="none"/>
        </w:rPr>
      </w:pPr>
      <w:r>
        <w:rPr>
          <w:rFonts w:hint="eastAsia" w:ascii="方正小标宋简体" w:eastAsia="方正小标宋简体"/>
          <w:b/>
          <w:sz w:val="44"/>
          <w:szCs w:val="44"/>
          <w:highlight w:val="none"/>
        </w:rPr>
        <w:t>目    录</w:t>
      </w: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第一部分：</w:t>
      </w:r>
      <w:r>
        <w:rPr>
          <w:rFonts w:hint="eastAsia" w:ascii="黑体" w:hAnsi="黑体" w:eastAsia="黑体"/>
          <w:bCs/>
          <w:color w:val="000000"/>
          <w:sz w:val="32"/>
          <w:szCs w:val="32"/>
          <w:highlight w:val="none"/>
          <w:u w:val="none"/>
          <w:lang w:val="en-US" w:eastAsia="zh-CN"/>
        </w:rPr>
        <w:t>环江毛南族自治县应急管理局</w:t>
      </w:r>
      <w:r>
        <w:rPr>
          <w:rFonts w:hint="eastAsia" w:ascii="黑体" w:hAnsi="黑体" w:eastAsia="黑体"/>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560" w:lineRule="exact"/>
        <w:ind w:firstLine="646"/>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一、</w:t>
      </w:r>
      <w:r>
        <w:rPr>
          <w:rFonts w:hint="eastAsia" w:ascii="仿宋_GB2312" w:eastAsia="仿宋_GB2312"/>
          <w:sz w:val="32"/>
          <w:szCs w:val="32"/>
          <w:highlight w:val="none"/>
          <w:lang w:eastAsia="zh-CN"/>
        </w:rPr>
        <w:t>本部门职责</w:t>
      </w:r>
    </w:p>
    <w:p>
      <w:pPr>
        <w:keepNext w:val="0"/>
        <w:keepLines w:val="0"/>
        <w:pageBreakBefore w:val="0"/>
        <w:widowControl w:val="0"/>
        <w:kinsoku/>
        <w:wordWrap/>
        <w:overflowPunct/>
        <w:topLinePunct w:val="0"/>
        <w:autoSpaceDE/>
        <w:autoSpaceDN/>
        <w:bidi w:val="0"/>
        <w:adjustRightInd/>
        <w:snapToGrid/>
        <w:spacing w:line="560" w:lineRule="exact"/>
        <w:ind w:firstLine="646"/>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二、</w:t>
      </w:r>
      <w:r>
        <w:rPr>
          <w:rFonts w:hint="eastAsia" w:ascii="仿宋_GB2312" w:eastAsia="仿宋_GB2312"/>
          <w:sz w:val="32"/>
          <w:szCs w:val="32"/>
          <w:highlight w:val="none"/>
          <w:lang w:eastAsia="zh-CN"/>
        </w:rPr>
        <w:t>机构设置情况</w:t>
      </w: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第二部分：202</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年度部门决算报表</w:t>
      </w:r>
    </w:p>
    <w:p>
      <w:pPr>
        <w:spacing w:line="560" w:lineRule="exact"/>
        <w:ind w:left="645"/>
        <w:jc w:val="left"/>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spacing w:line="560" w:lineRule="exact"/>
        <w:ind w:left="645"/>
        <w:jc w:val="left"/>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spacing w:line="560" w:lineRule="exact"/>
        <w:ind w:left="645"/>
        <w:jc w:val="left"/>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spacing w:line="560" w:lineRule="exact"/>
        <w:ind w:left="645"/>
        <w:jc w:val="left"/>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spacing w:line="560" w:lineRule="exact"/>
        <w:ind w:left="645"/>
        <w:jc w:val="left"/>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spacing w:line="560" w:lineRule="exact"/>
        <w:ind w:left="645"/>
        <w:jc w:val="left"/>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spacing w:line="560" w:lineRule="exact"/>
        <w:ind w:left="645"/>
        <w:jc w:val="left"/>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spacing w:line="560" w:lineRule="exact"/>
        <w:ind w:left="645"/>
        <w:jc w:val="left"/>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spacing w:line="560" w:lineRule="exact"/>
        <w:ind w:left="645"/>
        <w:jc w:val="left"/>
        <w:rPr>
          <w:rFonts w:hint="eastAsia" w:ascii="仿宋_GB2312" w:eastAsia="仿宋_GB2312"/>
          <w:sz w:val="32"/>
          <w:szCs w:val="32"/>
          <w:highlight w:val="none"/>
        </w:rPr>
      </w:pPr>
      <w:r>
        <w:rPr>
          <w:rFonts w:hint="eastAsia" w:ascii="仿宋_GB2312" w:eastAsia="仿宋_GB2312"/>
          <w:sz w:val="32"/>
          <w:szCs w:val="32"/>
          <w:highlight w:val="none"/>
        </w:rPr>
        <w:t>表九：财政拨款安排的“三公”经费支出决算表</w:t>
      </w: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第三部分：202</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kern w:val="0"/>
          <w:sz w:val="32"/>
          <w:szCs w:val="32"/>
          <w:highlight w:val="none"/>
        </w:rPr>
        <w:t xml:space="preserve"> </w:t>
      </w:r>
      <w:r>
        <w:rPr>
          <w:rFonts w:hint="eastAsia" w:ascii="仿宋_GB2312" w:eastAsia="仿宋_GB2312" w:cs="仿宋_GB2312"/>
          <w:kern w:val="0"/>
          <w:sz w:val="32"/>
          <w:szCs w:val="32"/>
          <w:highlight w:val="none"/>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kern w:val="0"/>
          <w:sz w:val="32"/>
          <w:szCs w:val="32"/>
          <w:highlight w:val="none"/>
        </w:rPr>
        <w:t xml:space="preserve"> </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三、202</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kern w:val="0"/>
          <w:sz w:val="32"/>
          <w:szCs w:val="32"/>
          <w:highlight w:val="none"/>
        </w:rPr>
        <w:t xml:space="preserve"> </w:t>
      </w:r>
      <w:r>
        <w:rPr>
          <w:rFonts w:hint="eastAsia" w:ascii="仿宋_GB2312" w:eastAsia="仿宋_GB2312" w:cs="仿宋_GB2312"/>
          <w:kern w:val="0"/>
          <w:sz w:val="32"/>
          <w:szCs w:val="32"/>
          <w:highlight w:val="none"/>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五、202</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eastAsia="zh-CN"/>
        </w:rPr>
        <w:t>八、</w:t>
      </w:r>
      <w:r>
        <w:rPr>
          <w:rFonts w:hint="eastAsia" w:ascii="仿宋_GB2312" w:eastAsia="仿宋_GB2312" w:cs="仿宋_GB2312"/>
          <w:kern w:val="0"/>
          <w:sz w:val="32"/>
          <w:szCs w:val="32"/>
          <w:highlight w:val="none"/>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第四部分：名词解释</w:t>
      </w:r>
    </w:p>
    <w:p>
      <w:pPr>
        <w:spacing w:line="560" w:lineRule="exact"/>
        <w:ind w:firstLine="646"/>
        <w:jc w:val="center"/>
        <w:rPr>
          <w:rFonts w:hint="eastAsia" w:ascii="黑体" w:hAnsi="黑体" w:eastAsia="黑体"/>
          <w:sz w:val="32"/>
          <w:szCs w:val="32"/>
          <w:highlight w:val="none"/>
        </w:rPr>
      </w:pPr>
      <w:r>
        <w:rPr>
          <w:rFonts w:hint="eastAsia" w:ascii="黑体" w:hAnsi="黑体" w:eastAsia="黑体"/>
          <w:sz w:val="32"/>
          <w:szCs w:val="32"/>
          <w:highlight w:val="none"/>
        </w:rPr>
        <w:t>第一部分：</w:t>
      </w:r>
      <w:r>
        <w:rPr>
          <w:rFonts w:hint="eastAsia" w:ascii="黑体" w:hAnsi="黑体" w:eastAsia="黑体"/>
          <w:sz w:val="32"/>
          <w:szCs w:val="32"/>
          <w:highlight w:val="none"/>
          <w:lang w:val="en-US" w:eastAsia="zh-CN"/>
        </w:rPr>
        <w:t>环江毛南族自治县应急管理局</w:t>
      </w:r>
      <w:r>
        <w:rPr>
          <w:rFonts w:hint="eastAsia" w:ascii="黑体" w:hAnsi="黑体" w:eastAsia="黑体"/>
          <w:sz w:val="32"/>
          <w:szCs w:val="32"/>
          <w:highlight w:val="none"/>
        </w:rPr>
        <w:t>概况</w:t>
      </w:r>
    </w:p>
    <w:p>
      <w:pPr>
        <w:spacing w:line="560" w:lineRule="exact"/>
        <w:ind w:firstLine="646"/>
        <w:rPr>
          <w:rFonts w:hint="eastAsia" w:ascii="黑体" w:hAnsi="黑体" w:eastAsia="黑体"/>
          <w:sz w:val="32"/>
          <w:szCs w:val="32"/>
          <w:highlight w:val="none"/>
          <w:lang w:eastAsia="zh-CN"/>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本部门职责</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w:t>
      </w:r>
      <w:r>
        <w:rPr>
          <w:rFonts w:hint="eastAsia" w:ascii="仿宋_GB2312" w:hAnsi="仿宋_GB2312" w:eastAsia="仿宋_GB2312" w:cs="仿宋_GB2312"/>
          <w:sz w:val="32"/>
          <w:szCs w:val="32"/>
          <w:highlight w:val="none"/>
        </w:rPr>
        <w:t>负责全县应急管理工作，指导各乡镇各部门应对安全生产类、自然灾害类等突发事件和综合防灾减灾救灾工作。负责安全生产综合监督管理和工矿商贸行业安全生产监督管理工作。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(二)</w:t>
      </w:r>
      <w:r>
        <w:rPr>
          <w:rFonts w:hint="eastAsia" w:ascii="仿宋_GB2312" w:hAnsi="仿宋_GB2312" w:eastAsia="仿宋_GB2312" w:cs="仿宋_GB2312"/>
          <w:sz w:val="32"/>
          <w:szCs w:val="32"/>
          <w:highlight w:val="none"/>
        </w:rPr>
        <w:t>拟订全县应急管理、安全生产等政策措施，组织编制全县应急体系建设、安全生产和综合防灾减灾规划，拟定全县应急管理规范性文件。</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(三)</w:t>
      </w:r>
      <w:r>
        <w:rPr>
          <w:rFonts w:hint="eastAsia" w:ascii="仿宋_GB2312" w:hAnsi="仿宋_GB2312" w:eastAsia="仿宋_GB2312" w:cs="仿宋_GB2312"/>
          <w:sz w:val="32"/>
          <w:szCs w:val="32"/>
          <w:highlight w:val="none"/>
        </w:rPr>
        <w:t>指导全县应急预案体系建设，建立完善事故灾难和自然灾害分级应对制度，组织编制自治县总体应急预案和安全生产类、自然灾害类专项预案，综合协调应急预案衔接工作，组织开展预案演练，推动应急重点工程和应急避难设施建设。　　</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(四)</w:t>
      </w:r>
      <w:r>
        <w:rPr>
          <w:rFonts w:hint="eastAsia" w:ascii="仿宋_GB2312" w:hAnsi="仿宋_GB2312" w:eastAsia="仿宋_GB2312" w:cs="仿宋_GB2312"/>
          <w:sz w:val="32"/>
          <w:szCs w:val="32"/>
          <w:highlight w:val="none"/>
        </w:rPr>
        <w:t>牵头建立全县统一的应急管理信息系统，负责全县应急管理信息传输渠道的规划和布局，建立监测预警和灾情报告制度，健全自然灾害信息资源获取和共享机制，依法统一发布灾情。</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(五)</w:t>
      </w:r>
      <w:r>
        <w:rPr>
          <w:rFonts w:hint="eastAsia" w:ascii="仿宋_GB2312" w:hAnsi="仿宋_GB2312" w:eastAsia="仿宋_GB2312" w:cs="仿宋_GB2312"/>
          <w:sz w:val="32"/>
          <w:szCs w:val="32"/>
          <w:highlight w:val="none"/>
        </w:rPr>
        <w:t>组织指导协调安全生产类、自然灾害类等突发事件应急救援，承担自治县应对较大灾害指挥部工作，综合研判突发事件发展态势并提出应对建议，协助自治县党委、政府指定的负责同志组织较大灾害应急处置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(六)</w:t>
      </w:r>
      <w:r>
        <w:rPr>
          <w:rFonts w:hint="eastAsia" w:ascii="仿宋_GB2312" w:hAnsi="仿宋_GB2312" w:eastAsia="仿宋_GB2312" w:cs="仿宋_GB2312"/>
          <w:sz w:val="32"/>
          <w:szCs w:val="32"/>
          <w:highlight w:val="none"/>
        </w:rPr>
        <w:t>统一协调指挥本县各类应急专业队伍，建立应急协调联动机制，推进指挥平台对接，衔接解放军和武警部队参与应急救援工作。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(七)</w:t>
      </w:r>
      <w:r>
        <w:rPr>
          <w:rFonts w:hint="eastAsia" w:ascii="仿宋_GB2312" w:hAnsi="仿宋_GB2312" w:eastAsia="仿宋_GB2312" w:cs="仿宋_GB2312"/>
          <w:sz w:val="32"/>
          <w:szCs w:val="32"/>
          <w:highlight w:val="none"/>
        </w:rPr>
        <w:t>统筹全县应急救援力量建设，负责消防、森林火灾扑救、抗洪抢险、地震和地质灾害救援、生产安全事故救援等专业应急救援力量建设，配合上级应急管理部门管理综合性应急救援队伍，指导各乡（镇）、县直各单位及社会应急救援力量建设。</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(八)</w:t>
      </w:r>
      <w:r>
        <w:rPr>
          <w:rFonts w:hint="eastAsia" w:ascii="仿宋_GB2312" w:hAnsi="仿宋_GB2312" w:eastAsia="仿宋_GB2312" w:cs="仿宋_GB2312"/>
          <w:sz w:val="32"/>
          <w:szCs w:val="32"/>
          <w:highlight w:val="none"/>
        </w:rPr>
        <w:t>指导城镇、农村、森林消防工作规划编制并推进落实，协调指导消防监督、火灾预防、火灾扑救等工作。</w:t>
      </w:r>
    </w:p>
    <w:p>
      <w:pPr>
        <w:spacing w:line="360" w:lineRule="auto"/>
        <w:ind w:firstLine="626" w:firstLineChars="195"/>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sz w:val="32"/>
          <w:szCs w:val="32"/>
          <w:highlight w:val="none"/>
        </w:rPr>
        <w:t>指导协调全县森林火灾、水旱灾害、地震和地质灾害等防治工作，负责自然灾害综合监测预警工作，指导开展自然灾害综合风险评估工作。</w:t>
      </w:r>
    </w:p>
    <w:p>
      <w:pPr>
        <w:spacing w:line="360" w:lineRule="auto"/>
        <w:ind w:firstLine="472" w:firstLineChars="147"/>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w:t>
      </w:r>
      <w:r>
        <w:rPr>
          <w:rFonts w:hint="eastAsia" w:ascii="仿宋_GB2312" w:hAnsi="仿宋_GB2312" w:eastAsia="仿宋_GB2312" w:cs="仿宋_GB2312"/>
          <w:sz w:val="32"/>
          <w:szCs w:val="32"/>
          <w:highlight w:val="none"/>
        </w:rPr>
        <w:t>组织协调全县灾害救助工作，组织指导灾情核查、损失评估、救灾捐赠工作，管理、分配国家、自治区、河池市下拨和自治县本级救灾款物并监督使用。　　</w:t>
      </w:r>
    </w:p>
    <w:p>
      <w:pPr>
        <w:spacing w:line="360" w:lineRule="auto"/>
        <w:ind w:firstLine="472" w:firstLineChars="147"/>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(十一)</w:t>
      </w:r>
      <w:r>
        <w:rPr>
          <w:rFonts w:hint="eastAsia" w:ascii="仿宋_GB2312" w:hAnsi="仿宋_GB2312" w:eastAsia="仿宋_GB2312" w:cs="仿宋_GB2312"/>
          <w:sz w:val="32"/>
          <w:szCs w:val="32"/>
          <w:highlight w:val="none"/>
        </w:rPr>
        <w:t>依法行使自治县安全生产综合监督管理职权，指导协调、监督检查自治县有关部门、驻环江中直区直市直单位和各乡（镇）人民政府安全生产工作，组织开展安全生产巡查、考核工作。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(十二)</w:t>
      </w:r>
      <w:r>
        <w:rPr>
          <w:rFonts w:hint="eastAsia" w:ascii="仿宋_GB2312" w:hAnsi="仿宋_GB2312" w:eastAsia="仿宋_GB2312" w:cs="仿宋_GB2312"/>
          <w:sz w:val="32"/>
          <w:szCs w:val="32"/>
          <w:highlight w:val="none"/>
        </w:rPr>
        <w:t>按照分级负责、属地管理原则，依法监督检查工矿商贸生产经营单位贯彻执行安全生产法律法规情况及其安全生产条件和有关设备(特种设备除外)、材料、劳动防护用品的安全生产管理工作。负责监督管理本级工矿商贸行业企业安全生产工作。依法组织并指导监督实施安全生产准入制度。负责危险化学品安全监督管理综合工作和烟花爆竹安全生产监督管理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(十三)</w:t>
      </w:r>
      <w:r>
        <w:rPr>
          <w:rFonts w:hint="eastAsia" w:ascii="仿宋_GB2312" w:hAnsi="仿宋_GB2312" w:eastAsia="仿宋_GB2312" w:cs="仿宋_GB2312"/>
          <w:sz w:val="32"/>
          <w:szCs w:val="32"/>
          <w:highlight w:val="none"/>
        </w:rPr>
        <w:t>依法组织指导全县生产安全事故调查处理，监督事故查处和责任追究落实情况。组织开展自然灾害类突发事件的调查评估工作。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(十四)</w:t>
      </w:r>
      <w:r>
        <w:rPr>
          <w:rFonts w:hint="eastAsia" w:ascii="仿宋_GB2312" w:hAnsi="仿宋_GB2312" w:eastAsia="仿宋_GB2312" w:cs="仿宋_GB2312"/>
          <w:sz w:val="32"/>
          <w:szCs w:val="32"/>
          <w:highlight w:val="none"/>
        </w:rPr>
        <w:t>开展应急管理和安全生产方面的对外交流与合作，按照上级应急部门要求参与安全生产类、自然灾害类等突发事件的跨地区救援工作。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(十五)</w:t>
      </w:r>
      <w:r>
        <w:rPr>
          <w:rFonts w:hint="eastAsia" w:ascii="仿宋_GB2312" w:hAnsi="仿宋_GB2312" w:eastAsia="仿宋_GB2312" w:cs="仿宋_GB2312"/>
          <w:sz w:val="32"/>
          <w:szCs w:val="32"/>
          <w:highlight w:val="none"/>
        </w:rPr>
        <w:t>制定自治县应急物资储备和应急救援装备规划并组织实施，会同自治县粮食和物资储备局等部门建立健全应急物资信息平台和调拨制度，在救灾时统一调度。</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(十六)</w:t>
      </w:r>
      <w:r>
        <w:rPr>
          <w:rFonts w:hint="eastAsia" w:ascii="仿宋_GB2312" w:hAnsi="仿宋_GB2312" w:eastAsia="仿宋_GB2312" w:cs="仿宋_GB2312"/>
          <w:sz w:val="32"/>
          <w:szCs w:val="32"/>
          <w:highlight w:val="none"/>
        </w:rPr>
        <w:t>负责全县应急管理、安全生产宣传教育和培训工作，组织指导应急管理、安全生产的科学技术研究、推广应用和信息化建设工作。</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(十七)</w:t>
      </w:r>
      <w:r>
        <w:rPr>
          <w:rFonts w:hint="eastAsia" w:ascii="仿宋_GB2312" w:hAnsi="仿宋_GB2312" w:eastAsia="仿宋_GB2312" w:cs="仿宋_GB2312"/>
          <w:sz w:val="32"/>
          <w:szCs w:val="32"/>
          <w:highlight w:val="none"/>
        </w:rPr>
        <w:t>完成自治县党委、自治县人民政府交办的其他任务。</w:t>
      </w:r>
    </w:p>
    <w:p>
      <w:pPr>
        <w:spacing w:line="360" w:lineRule="auto"/>
        <w:ind w:firstLine="630"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(十八)</w:t>
      </w:r>
      <w:r>
        <w:rPr>
          <w:rFonts w:hint="eastAsia" w:ascii="仿宋_GB2312" w:hAnsi="仿宋_GB2312" w:eastAsia="仿宋_GB2312" w:cs="仿宋_GB2312"/>
          <w:sz w:val="32"/>
          <w:szCs w:val="32"/>
          <w:highlight w:val="none"/>
        </w:rPr>
        <w:t>职能转变。自治县应急管理局应加强、优化、统筹全县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bidi w:val="0"/>
        <w:spacing w:line="360"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（十九）</w:t>
      </w:r>
      <w:r>
        <w:rPr>
          <w:rFonts w:hint="eastAsia" w:ascii="仿宋_GB2312" w:hAnsi="仿宋_GB2312" w:eastAsia="仿宋_GB2312" w:cs="仿宋_GB2312"/>
          <w:sz w:val="32"/>
          <w:szCs w:val="32"/>
          <w:highlight w:val="none"/>
        </w:rPr>
        <w:t>依据国家和自治区防震减灾工作的法律法规和方针政策，为环江经济社会发展提供地震监测服务。</w:t>
      </w:r>
    </w:p>
    <w:p>
      <w:pPr>
        <w:bidi w:val="0"/>
        <w:spacing w:line="360"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（二十）</w:t>
      </w:r>
      <w:r>
        <w:rPr>
          <w:rFonts w:hint="eastAsia" w:ascii="仿宋_GB2312" w:hAnsi="仿宋_GB2312" w:eastAsia="仿宋_GB2312" w:cs="仿宋_GB2312"/>
          <w:sz w:val="32"/>
          <w:szCs w:val="32"/>
          <w:highlight w:val="none"/>
        </w:rPr>
        <w:t>负责全县地震监测台网（站、点）、地震预警信息系统的运行和维护，协助开展全县地震监测台网（站、点）、地震预警信息系统的建设及管理。负责震情值班，做好各类地震监测数据的分析处理和编目保存以及地震速报、地震预警工作。负责震情跟踪、地震流动观测和可能与地震有关的异常现象调查核实工作。负责县地震监测和信息网络系统的运行、维护与管理，负责信息技术系统、地震基础数据库系统升级更新工作。</w:t>
      </w:r>
    </w:p>
    <w:p>
      <w:pPr>
        <w:spacing w:line="560" w:lineRule="exact"/>
        <w:ind w:firstLine="645"/>
        <w:rPr>
          <w:rFonts w:hint="eastAsia" w:ascii="仿宋_GB2312" w:eastAsia="仿宋_GB2312"/>
          <w:sz w:val="32"/>
          <w:szCs w:val="32"/>
          <w:highlight w:val="none"/>
        </w:rPr>
      </w:pPr>
      <w:r>
        <w:rPr>
          <w:rFonts w:hint="eastAsia" w:ascii="仿宋_GB2312" w:hAnsi="仿宋_GB2312" w:eastAsia="仿宋_GB2312" w:cs="仿宋_GB2312"/>
          <w:b/>
          <w:bCs/>
          <w:sz w:val="32"/>
          <w:szCs w:val="32"/>
          <w:highlight w:val="none"/>
        </w:rPr>
        <w:t>（二十一）</w:t>
      </w:r>
      <w:r>
        <w:rPr>
          <w:rFonts w:hint="eastAsia" w:ascii="仿宋_GB2312" w:hAnsi="仿宋_GB2312" w:eastAsia="仿宋_GB2312" w:cs="仿宋_GB2312"/>
          <w:sz w:val="32"/>
          <w:szCs w:val="32"/>
          <w:highlight w:val="none"/>
        </w:rPr>
        <w:t>负责组织开展防震减灾知识的宣传教育及地震技术标准的宣传。负责开展区域地震监测交流合作；开展地震监测科学研究及其成果的推广应用。协助做好地震活动趋势会商，根据地震活动趋势和震害预测结果，提出相应趋势分析意见。协助做好地震活动断层探测和地震小区划工作以及工程抗震技术研究、开发和推广应用等工作。</w:t>
      </w:r>
    </w:p>
    <w:p>
      <w:pPr>
        <w:spacing w:line="560" w:lineRule="exact"/>
        <w:ind w:firstLine="646"/>
        <w:rPr>
          <w:rFonts w:hint="eastAsia" w:ascii="黑体" w:hAnsi="黑体" w:eastAsia="黑体"/>
          <w:sz w:val="32"/>
          <w:szCs w:val="32"/>
          <w:highlight w:val="none"/>
        </w:rPr>
      </w:pPr>
      <w:r>
        <w:rPr>
          <w:rFonts w:hint="eastAsia" w:ascii="黑体" w:hAnsi="黑体" w:eastAsia="黑体"/>
          <w:sz w:val="32"/>
          <w:szCs w:val="32"/>
          <w:highlight w:val="none"/>
        </w:rPr>
        <w:t>二、</w:t>
      </w:r>
      <w:r>
        <w:rPr>
          <w:rFonts w:hint="eastAsia" w:ascii="黑体" w:hAnsi="黑体" w:eastAsia="黑体"/>
          <w:sz w:val="32"/>
          <w:szCs w:val="32"/>
          <w:highlight w:val="none"/>
          <w:lang w:eastAsia="zh-CN"/>
        </w:rPr>
        <w:t>机构设置情况</w:t>
      </w:r>
    </w:p>
    <w:p>
      <w:pPr>
        <w:numPr>
          <w:ilvl w:val="0"/>
          <w:numId w:val="0"/>
        </w:numPr>
        <w:ind w:firstLine="640" w:firstLineChars="200"/>
        <w:jc w:val="left"/>
        <w:rPr>
          <w:rFonts w:hint="eastAsia" w:ascii="黑体" w:hAnsi="黑体" w:eastAsia="仿宋_GB2312" w:cs="黑体"/>
          <w:sz w:val="32"/>
          <w:szCs w:val="32"/>
          <w:highlight w:val="none"/>
          <w:lang w:eastAsia="zh-CN"/>
        </w:rPr>
      </w:pPr>
      <w:r>
        <w:rPr>
          <w:rFonts w:hint="eastAsia" w:ascii="仿宋_GB2312" w:hAnsi="仿宋_GB2312" w:eastAsia="仿宋_GB2312" w:cs="仿宋_GB2312"/>
          <w:sz w:val="32"/>
          <w:szCs w:val="32"/>
          <w:highlight w:val="none"/>
        </w:rPr>
        <w:t>自治县应急管理局机关设4个内设机构</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个直属管理二层事业单位：环江毛南族自治县安全生产执法监察大队、环江毛南族自治县应急管理综合服务中心</w:t>
      </w:r>
      <w:r>
        <w:rPr>
          <w:rFonts w:hint="eastAsia" w:ascii="仿宋_GB2312" w:hAnsi="仿宋_GB2312" w:eastAsia="仿宋_GB2312" w:cs="仿宋_GB2312"/>
          <w:sz w:val="32"/>
          <w:szCs w:val="32"/>
          <w:highlight w:val="none"/>
          <w:lang w:eastAsia="zh-CN"/>
        </w:rPr>
        <w:t>。一个代管事业单位：</w:t>
      </w:r>
      <w:r>
        <w:rPr>
          <w:rFonts w:hint="eastAsia" w:ascii="仿宋_GB2312" w:hAnsi="仿宋_GB2312" w:eastAsia="仿宋_GB2312" w:cs="仿宋_GB2312"/>
          <w:sz w:val="32"/>
          <w:szCs w:val="32"/>
          <w:highlight w:val="none"/>
        </w:rPr>
        <w:t>环江毛南族自治县地震监测信息中心</w:t>
      </w:r>
      <w:r>
        <w:rPr>
          <w:rFonts w:hint="eastAsia" w:ascii="仿宋_GB2312" w:hAnsi="仿宋_GB2312" w:eastAsia="仿宋_GB2312" w:cs="仿宋_GB2312"/>
          <w:sz w:val="32"/>
          <w:szCs w:val="32"/>
          <w:highlight w:val="none"/>
          <w:lang w:eastAsia="zh-CN"/>
        </w:rPr>
        <w:t>。</w:t>
      </w:r>
    </w:p>
    <w:tbl>
      <w:tblPr>
        <w:tblStyle w:val="6"/>
        <w:tblW w:w="9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7"/>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 w:hAnsi="仿宋" w:eastAsia="仿宋" w:cs="仿宋"/>
                <w:b/>
                <w:kern w:val="0"/>
                <w:sz w:val="32"/>
                <w:szCs w:val="32"/>
                <w:highlight w:val="none"/>
              </w:rPr>
            </w:pPr>
            <w:bookmarkStart w:id="0" w:name="_Hlk109379180"/>
            <w:r>
              <w:rPr>
                <w:rFonts w:hint="eastAsia" w:ascii="仿宋" w:hAnsi="仿宋" w:eastAsia="仿宋" w:cs="仿宋"/>
                <w:b/>
                <w:kern w:val="0"/>
                <w:sz w:val="32"/>
                <w:szCs w:val="32"/>
                <w:highlight w:val="none"/>
              </w:rPr>
              <w:t>单位名称</w:t>
            </w:r>
          </w:p>
        </w:tc>
        <w:tc>
          <w:tcPr>
            <w:tcW w:w="3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1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rPr>
              <w:t>环江毛南族自治县安全生产执法监察大队</w:t>
            </w:r>
          </w:p>
        </w:tc>
        <w:tc>
          <w:tcPr>
            <w:tcW w:w="33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参公单位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rPr>
              <w:t>环江毛南族自治县应急管理综合服务中心</w:t>
            </w:r>
          </w:p>
        </w:tc>
        <w:tc>
          <w:tcPr>
            <w:tcW w:w="3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6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rPr>
              <w:t>环江毛南族自治县地震监测信息中心</w:t>
            </w:r>
          </w:p>
        </w:tc>
        <w:tc>
          <w:tcPr>
            <w:tcW w:w="3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参公单位</w:t>
            </w:r>
          </w:p>
        </w:tc>
      </w:tr>
      <w:bookmarkEnd w:id="0"/>
    </w:tbl>
    <w:p>
      <w:pPr>
        <w:bidi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rPr>
        <w:t>人员编制总数为</w:t>
      </w: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highlight w:val="none"/>
        </w:rPr>
        <w:t>人，其中行政编制12人，事业编制2</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人。实有财政供养人数</w:t>
      </w:r>
      <w:r>
        <w:rPr>
          <w:rFonts w:hint="eastAsia" w:ascii="仿宋_GB2312" w:hAnsi="仿宋_GB2312" w:eastAsia="仿宋_GB2312" w:cs="仿宋_GB2312"/>
          <w:color w:val="auto"/>
          <w:sz w:val="32"/>
          <w:szCs w:val="32"/>
          <w:highlight w:val="none"/>
          <w:lang w:val="en-US" w:eastAsia="zh-CN"/>
        </w:rPr>
        <w:t>157</w:t>
      </w:r>
      <w:r>
        <w:rPr>
          <w:rFonts w:hint="eastAsia" w:ascii="仿宋_GB2312" w:hAnsi="仿宋_GB2312" w:eastAsia="仿宋_GB2312" w:cs="仿宋_GB2312"/>
          <w:color w:val="auto"/>
          <w:sz w:val="32"/>
          <w:szCs w:val="32"/>
          <w:highlight w:val="none"/>
        </w:rPr>
        <w:t>人，其中行政在职</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事业在职</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离退休人员1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编外在职实有人数107人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遗属2人。</w:t>
      </w:r>
    </w:p>
    <w:p>
      <w:pPr>
        <w:ind w:firstLine="645"/>
        <w:rPr>
          <w:rFonts w:hint="eastAsia" w:ascii="仿宋_GB2312" w:eastAsia="仿宋_GB2312"/>
          <w:sz w:val="32"/>
          <w:szCs w:val="32"/>
          <w:highlight w:val="none"/>
        </w:rPr>
      </w:pPr>
    </w:p>
    <w:p>
      <w:pPr>
        <w:jc w:val="center"/>
        <w:rPr>
          <w:rFonts w:hint="eastAsia"/>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both"/>
        <w:rPr>
          <w:rFonts w:hint="eastAsia" w:ascii="仿宋_GB2312" w:eastAsia="仿宋_GB2312"/>
          <w:b/>
          <w:sz w:val="32"/>
          <w:szCs w:val="32"/>
          <w:highlight w:val="none"/>
        </w:rPr>
      </w:pPr>
    </w:p>
    <w:p>
      <w:pPr>
        <w:ind w:firstLine="646"/>
        <w:jc w:val="center"/>
        <w:rPr>
          <w:rFonts w:hint="eastAsia" w:ascii="仿宋_GB2312" w:eastAsia="仿宋_GB2312"/>
          <w:b/>
          <w:sz w:val="32"/>
          <w:szCs w:val="32"/>
          <w:highlight w:val="none"/>
        </w:rPr>
      </w:pPr>
    </w:p>
    <w:p>
      <w:pPr>
        <w:rPr>
          <w:rFonts w:hint="eastAsia" w:ascii="黑体" w:hAnsi="黑体" w:eastAsia="黑体"/>
          <w:sz w:val="32"/>
          <w:szCs w:val="32"/>
          <w:highlight w:val="none"/>
        </w:rPr>
      </w:pPr>
      <w:r>
        <w:rPr>
          <w:rFonts w:hint="eastAsia" w:ascii="黑体" w:hAnsi="黑体" w:eastAsia="黑体"/>
          <w:sz w:val="32"/>
          <w:szCs w:val="32"/>
          <w:highlight w:val="none"/>
        </w:rPr>
        <w:br w:type="page"/>
      </w:r>
    </w:p>
    <w:p>
      <w:pPr>
        <w:spacing w:line="560" w:lineRule="exact"/>
        <w:jc w:val="center"/>
        <w:rPr>
          <w:rFonts w:hint="eastAsia" w:ascii="黑体" w:hAnsi="黑体" w:eastAsia="黑体"/>
          <w:sz w:val="32"/>
          <w:szCs w:val="32"/>
          <w:highlight w:val="none"/>
        </w:rPr>
        <w:sectPr>
          <w:footerReference r:id="rId3" w:type="default"/>
          <w:footerReference r:id="rId4" w:type="even"/>
          <w:pgSz w:w="11906" w:h="16838"/>
          <w:pgMar w:top="1701" w:right="1474" w:bottom="1247" w:left="1587" w:header="851" w:footer="992" w:gutter="0"/>
          <w:cols w:space="720" w:num="1"/>
          <w:docGrid w:type="lines" w:linePitch="312" w:charSpace="0"/>
        </w:sectPr>
      </w:pPr>
    </w:p>
    <w:p>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第二部分：202</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年度部门决算报表</w:t>
      </w:r>
    </w:p>
    <w:tbl>
      <w:tblPr>
        <w:tblStyle w:val="6"/>
        <w:tblW w:w="5000" w:type="pct"/>
        <w:tblInd w:w="0" w:type="dxa"/>
        <w:tblLayout w:type="fixed"/>
        <w:tblCellMar>
          <w:top w:w="0" w:type="dxa"/>
          <w:left w:w="108" w:type="dxa"/>
          <w:bottom w:w="0" w:type="dxa"/>
          <w:right w:w="108" w:type="dxa"/>
        </w:tblCellMar>
      </w:tblPr>
      <w:tblGrid>
        <w:gridCol w:w="3005"/>
        <w:gridCol w:w="25"/>
        <w:gridCol w:w="1515"/>
        <w:gridCol w:w="2313"/>
        <w:gridCol w:w="5774"/>
        <w:gridCol w:w="1224"/>
        <w:gridCol w:w="533"/>
        <w:gridCol w:w="1327"/>
      </w:tblGrid>
      <w:tr>
        <w:tblPrEx>
          <w:tblCellMar>
            <w:top w:w="0" w:type="dxa"/>
            <w:left w:w="108" w:type="dxa"/>
            <w:bottom w:w="0" w:type="dxa"/>
            <w:right w:w="108" w:type="dxa"/>
          </w:tblCellMar>
        </w:tblPrEx>
        <w:trPr>
          <w:trHeight w:val="471" w:hRule="atLeast"/>
        </w:trPr>
        <w:tc>
          <w:tcPr>
            <w:tcW w:w="5000" w:type="pct"/>
            <w:gridSpan w:val="8"/>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267" w:hRule="atLeast"/>
        </w:trPr>
        <w:tc>
          <w:tcPr>
            <w:tcW w:w="963"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3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3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1"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2181" w:type="pct"/>
            <w:gridSpan w:val="4"/>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1836"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1" w:type="pct"/>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218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28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金额</w:t>
            </w:r>
          </w:p>
        </w:tc>
      </w:tr>
      <w:tr>
        <w:tblPrEx>
          <w:tblCellMar>
            <w:top w:w="0" w:type="dxa"/>
            <w:left w:w="108" w:type="dxa"/>
            <w:bottom w:w="0" w:type="dxa"/>
            <w:right w:w="108" w:type="dxa"/>
          </w:tblCellMar>
        </w:tblPrEx>
        <w:trPr>
          <w:trHeight w:val="315"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sz w:val="22"/>
                <w:szCs w:val="22"/>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sz w:val="22"/>
                <w:szCs w:val="22"/>
                <w:highlight w:val="none"/>
              </w:rPr>
            </w:pP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一、一般公共预算财政拨款收入</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1,580.68</w:t>
            </w: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32</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6.92</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二、政府性基金预算财政拨款收入</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11.00</w:t>
            </w: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33</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三、国有资本经营预算财政拨款收入</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34</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四、上级补助收入</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35</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五、事业收入</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36</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六、经营收入</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37</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62.90</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七、附属单位上缴收入</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38</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0.30</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八、其他收入</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8</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39</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55.88</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40</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4.44</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41</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42</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11.00</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43</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44</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45</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46</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47</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17</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48</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18</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49</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41.16</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20</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51</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21</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52</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22</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53</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1,332.56</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23</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54</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76.51</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24</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55</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25</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56</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26</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57</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highlight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27</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1,591.68</w:t>
            </w: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58</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1,591.68</w:t>
            </w: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使用非财政拨款结余（含专用结余）</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28</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结余分配</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59</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29</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年末结转和结余</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60</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61</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96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highlight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31</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1,591.68</w:t>
            </w:r>
          </w:p>
        </w:tc>
        <w:tc>
          <w:tcPr>
            <w:tcW w:w="1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62</w:t>
            </w:r>
          </w:p>
        </w:tc>
        <w:tc>
          <w:tcPr>
            <w:tcW w:w="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1,591.68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56" w:type="pct"/>
          <w:wAfter w:w="422" w:type="pct"/>
          <w:trHeight w:val="300" w:hRule="atLeast"/>
        </w:trPr>
        <w:tc>
          <w:tcPr>
            <w:tcW w:w="3621" w:type="pct"/>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注：1.本表依据《收入支出决算总表》（财决01表）进行批复。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56" w:type="pct"/>
          <w:wAfter w:w="422" w:type="pct"/>
          <w:trHeight w:val="300" w:hRule="atLeast"/>
        </w:trPr>
        <w:tc>
          <w:tcPr>
            <w:tcW w:w="3621"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56" w:type="pct"/>
          <w:wAfter w:w="422" w:type="pct"/>
          <w:trHeight w:val="300" w:hRule="atLeast"/>
        </w:trPr>
        <w:tc>
          <w:tcPr>
            <w:tcW w:w="3621"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3.本套报表金额单位转换时可能存在尾数误差。</w:t>
            </w:r>
          </w:p>
        </w:tc>
      </w:tr>
    </w:tbl>
    <w:p>
      <w:pPr>
        <w:spacing w:line="560" w:lineRule="exact"/>
        <w:ind w:firstLine="600" w:firstLineChars="200"/>
        <w:rPr>
          <w:rFonts w:hint="eastAsia" w:ascii="黑体" w:hAnsi="黑体" w:eastAsia="黑体"/>
          <w:sz w:val="32"/>
          <w:szCs w:val="32"/>
          <w:highlight w:val="none"/>
        </w:rPr>
      </w:pPr>
      <w:r>
        <w:rPr>
          <w:rFonts w:hint="eastAsia" w:ascii="宋体" w:hAnsi="宋体" w:eastAsia="宋体" w:cs="宋体"/>
          <w:color w:val="000000"/>
          <w:kern w:val="0"/>
          <w:sz w:val="30"/>
          <w:szCs w:val="30"/>
          <w:highlight w:val="none"/>
          <w:lang w:bidi="ar"/>
        </w:rPr>
        <w:br w:type="page"/>
      </w:r>
    </w:p>
    <w:tbl>
      <w:tblPr>
        <w:tblStyle w:val="6"/>
        <w:tblW w:w="15615" w:type="dxa"/>
        <w:tblInd w:w="0" w:type="dxa"/>
        <w:tblLayout w:type="fixed"/>
        <w:tblCellMar>
          <w:top w:w="0" w:type="dxa"/>
          <w:left w:w="108" w:type="dxa"/>
          <w:bottom w:w="0" w:type="dxa"/>
          <w:right w:w="108" w:type="dxa"/>
        </w:tblCellMar>
      </w:tblPr>
      <w:tblGrid>
        <w:gridCol w:w="96"/>
        <w:gridCol w:w="350"/>
        <w:gridCol w:w="446"/>
        <w:gridCol w:w="449"/>
        <w:gridCol w:w="1717"/>
        <w:gridCol w:w="236"/>
        <w:gridCol w:w="236"/>
        <w:gridCol w:w="840"/>
        <w:gridCol w:w="807"/>
        <w:gridCol w:w="815"/>
        <w:gridCol w:w="841"/>
        <w:gridCol w:w="569"/>
        <w:gridCol w:w="826"/>
        <w:gridCol w:w="644"/>
        <w:gridCol w:w="647"/>
        <w:gridCol w:w="838"/>
        <w:gridCol w:w="431"/>
        <w:gridCol w:w="709"/>
        <w:gridCol w:w="560"/>
        <w:gridCol w:w="1195"/>
        <w:gridCol w:w="2458"/>
        <w:gridCol w:w="1"/>
      </w:tblGrid>
      <w:tr>
        <w:tblPrEx>
          <w:tblCellMar>
            <w:top w:w="0" w:type="dxa"/>
            <w:left w:w="108" w:type="dxa"/>
            <w:bottom w:w="0" w:type="dxa"/>
            <w:right w:w="108" w:type="dxa"/>
          </w:tblCellMar>
        </w:tblPrEx>
        <w:trPr>
          <w:gridBefore w:val="1"/>
          <w:wBefore w:w="96" w:type="dxa"/>
          <w:trHeight w:val="90" w:hRule="atLeast"/>
        </w:trPr>
        <w:tc>
          <w:tcPr>
            <w:tcW w:w="15615" w:type="dxa"/>
            <w:gridSpan w:val="21"/>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gridBefore w:val="1"/>
          <w:wBefore w:w="96" w:type="dxa"/>
          <w:trHeight w:val="317" w:hRule="atLeast"/>
        </w:trPr>
        <w:tc>
          <w:tcPr>
            <w:tcW w:w="2962"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1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7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14"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gridBefore w:val="1"/>
          <w:wBefore w:w="96" w:type="dxa"/>
          <w:trHeight w:val="317" w:hRule="atLeast"/>
        </w:trPr>
        <w:tc>
          <w:tcPr>
            <w:tcW w:w="7306" w:type="dxa"/>
            <w:gridSpan w:val="11"/>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1470"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5"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0"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14" w:type="dxa"/>
            <w:gridSpan w:val="4"/>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1221"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52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本年收入合计</w:t>
            </w:r>
          </w:p>
        </w:tc>
        <w:tc>
          <w:tcPr>
            <w:tcW w:w="444"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财政拨款收入</w:t>
            </w:r>
          </w:p>
        </w:tc>
        <w:tc>
          <w:tcPr>
            <w:tcW w:w="411"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上级补助收入</w:t>
            </w: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事业收入</w:t>
            </w: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经营收入</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附属单位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上缴收入</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221"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52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221"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52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12" w:hRule="atLeast"/>
        </w:trPr>
        <w:tc>
          <w:tcPr>
            <w:tcW w:w="427"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221"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52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11"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142"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w:t>
            </w:r>
          </w:p>
        </w:tc>
        <w:tc>
          <w:tcPr>
            <w:tcW w:w="142"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款</w:t>
            </w:r>
          </w:p>
        </w:tc>
        <w:tc>
          <w:tcPr>
            <w:tcW w:w="142"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7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14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4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4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1,591.68</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1,591.68</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2012999</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其他群众团体事务支出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2069999</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其他科学技术支出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62.90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62.90</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2079999</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其他文化旅游体育与传媒支出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2100410</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突发公共卫生事件应急处理</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2121903</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城市建设支出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2240101</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420.58</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420.58</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2240102</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5.51</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5.51</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2240103</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机关服务</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0.22</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0.22</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2240104</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灾害风险防治</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73.40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73.40</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2240106</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安全监管</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27.39</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27.39</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2240109</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应急管理</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19.65</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19.65</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2240199</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其他应急管理支出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18.44</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18.44</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2240202</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0.96</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0.96</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2240505</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地震预测预报</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2240506</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地震灾害预防</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0.78</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0.78</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2240599</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其他地震事务支出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2240703</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自然灾害救灾补助</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464.78</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464.78</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2240704</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自然灾害灾后重建补助</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163.00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163.00</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2240799</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其他自然灾害救灾及恢复重建支出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2249999</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其他灾害防治及应急管理支出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133.00</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133.00</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427"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2299999</w:t>
            </w:r>
          </w:p>
        </w:tc>
        <w:tc>
          <w:tcPr>
            <w:tcW w:w="12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76.51</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76.51</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5000" w:type="pct"/>
            <w:gridSpan w:val="21"/>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注：1.本表依据《收入决算表》（财决03表）进行批复。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5000" w:type="pct"/>
            <w:gridSpan w:val="2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5000" w:type="pct"/>
            <w:gridSpan w:val="2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00" w:hRule="atLeast"/>
        </w:trPr>
        <w:tc>
          <w:tcPr>
            <w:tcW w:w="5000" w:type="pct"/>
            <w:gridSpan w:val="2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4.本表以“万元”为金额单位（保留两位小数）。</w:t>
            </w:r>
          </w:p>
        </w:tc>
      </w:tr>
    </w:tbl>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4999" w:type="pct"/>
        <w:tblInd w:w="0" w:type="dxa"/>
        <w:tblLayout w:type="autofit"/>
        <w:tblCellMar>
          <w:top w:w="0" w:type="dxa"/>
          <w:left w:w="108" w:type="dxa"/>
          <w:bottom w:w="0" w:type="dxa"/>
          <w:right w:w="108" w:type="dxa"/>
        </w:tblCellMar>
      </w:tblPr>
      <w:tblGrid>
        <w:gridCol w:w="95"/>
        <w:gridCol w:w="341"/>
        <w:gridCol w:w="436"/>
        <w:gridCol w:w="370"/>
        <w:gridCol w:w="71"/>
        <w:gridCol w:w="176"/>
        <w:gridCol w:w="302"/>
        <w:gridCol w:w="2727"/>
        <w:gridCol w:w="531"/>
        <w:gridCol w:w="904"/>
        <w:gridCol w:w="719"/>
        <w:gridCol w:w="637"/>
        <w:gridCol w:w="973"/>
        <w:gridCol w:w="782"/>
        <w:gridCol w:w="841"/>
        <w:gridCol w:w="805"/>
        <w:gridCol w:w="789"/>
        <w:gridCol w:w="861"/>
        <w:gridCol w:w="735"/>
        <w:gridCol w:w="1606"/>
        <w:gridCol w:w="28"/>
        <w:gridCol w:w="984"/>
      </w:tblGrid>
      <w:tr>
        <w:tblPrEx>
          <w:tblCellMar>
            <w:top w:w="0" w:type="dxa"/>
            <w:left w:w="108" w:type="dxa"/>
            <w:bottom w:w="0" w:type="dxa"/>
            <w:right w:w="108" w:type="dxa"/>
          </w:tblCellMar>
        </w:tblPrEx>
        <w:trPr>
          <w:gridBefore w:val="1"/>
          <w:gridAfter w:val="2"/>
          <w:wBefore w:w="30" w:type="pct"/>
          <w:wAfter w:w="321" w:type="pct"/>
          <w:trHeight w:val="519" w:hRule="atLeast"/>
        </w:trPr>
        <w:tc>
          <w:tcPr>
            <w:tcW w:w="4648" w:type="pct"/>
            <w:gridSpan w:val="1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gridBefore w:val="1"/>
          <w:gridAfter w:val="2"/>
          <w:wBefore w:w="30" w:type="pct"/>
          <w:wAfter w:w="321" w:type="pct"/>
          <w:trHeight w:val="312" w:hRule="atLeast"/>
        </w:trPr>
        <w:tc>
          <w:tcPr>
            <w:tcW w:w="364" w:type="pct"/>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7"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6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57"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32"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59"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5"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44"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gridBefore w:val="1"/>
          <w:gridAfter w:val="2"/>
          <w:wBefore w:w="30" w:type="pct"/>
          <w:wAfter w:w="321" w:type="pct"/>
          <w:trHeight w:val="312" w:hRule="atLeast"/>
        </w:trPr>
        <w:tc>
          <w:tcPr>
            <w:tcW w:w="2854" w:type="pct"/>
            <w:gridSpan w:val="13"/>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524" w:type="pct"/>
            <w:gridSpan w:val="2"/>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5" w:type="pct"/>
            <w:gridSpan w:val="2"/>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44" w:type="pct"/>
            <w:gridSpan w:val="2"/>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1188"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51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本年支出合计</w:t>
            </w:r>
          </w:p>
        </w:tc>
        <w:tc>
          <w:tcPr>
            <w:tcW w:w="513"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51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上缴上级支出</w:t>
            </w:r>
          </w:p>
        </w:tc>
        <w:tc>
          <w:tcPr>
            <w:tcW w:w="508"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经营支出</w:t>
            </w:r>
          </w:p>
        </w:tc>
        <w:tc>
          <w:tcPr>
            <w:tcW w:w="51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对附属单位补助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支出</w:t>
            </w: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188"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188"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188"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1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8"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w:t>
            </w:r>
          </w:p>
        </w:tc>
        <w:tc>
          <w:tcPr>
            <w:tcW w:w="138"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款</w:t>
            </w: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1,591.68</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541.76</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1,049.92</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2012999</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其他群众团体事务支出</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2069999</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其他科学技术支出</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62.90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62.90</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2079999</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其他文化旅游体育与传媒支出</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2100410</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突发公共卫生事件应急处理</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2121903</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城市建设支出</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2240101</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420.58</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420.58</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2240102</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5.51</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5.51</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2240103</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机关服务</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0.22</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0.22</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2240104</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灾害风险防治</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73.40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73.40</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2240106</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安全监管</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27.39</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27.39</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2240109</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应急管理</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19.65</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19.65</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2240199</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其他应急管理支出</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18.44</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18.44</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2240202</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0.96</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0.96</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2240505</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地震预测预报</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2240506</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地震灾害预防</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0.78</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0.78</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2240599</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其他地震事务支出</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2240703</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自然灾害救灾补助</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464.78</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464.78</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2240704</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自然灾害灾后重建补助</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163.00</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2240799</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其他自然灾害救灾及恢复重建支出</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2249999</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其他灾害防治及应急管理支出</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133.00</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2299999</w:t>
            </w:r>
          </w:p>
        </w:tc>
        <w:tc>
          <w:tcPr>
            <w:tcW w:w="1188"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76.51</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59.30</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86" w:type="pct"/>
            <w:gridSpan w:val="21"/>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注：1.本表依据《支出决算表》（财决04表）进行批复。</w:t>
            </w: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86" w:type="pct"/>
            <w:gridSpan w:val="2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2.本表含一般公共预算财政拨款、政府性基金预算财政拨款和国有资本经营预算财政拨款。</w:t>
            </w: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86" w:type="pct"/>
            <w:gridSpan w:val="2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3.本表批复到项级科目。</w:t>
            </w: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86" w:type="pct"/>
            <w:gridSpan w:val="2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4.本表以“万元”为金额单位（保留两位小数）。</w:t>
            </w:r>
          </w:p>
        </w:tc>
        <w:tc>
          <w:tcPr>
            <w:tcW w:w="3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93" w:type="pct"/>
        <w:tblInd w:w="0" w:type="dxa"/>
        <w:tblLayout w:type="fixed"/>
        <w:tblCellMar>
          <w:top w:w="0" w:type="dxa"/>
          <w:left w:w="108" w:type="dxa"/>
          <w:bottom w:w="0" w:type="dxa"/>
          <w:right w:w="108" w:type="dxa"/>
        </w:tblCellMar>
      </w:tblPr>
      <w:tblGrid>
        <w:gridCol w:w="2451"/>
        <w:gridCol w:w="841"/>
        <w:gridCol w:w="28"/>
        <w:gridCol w:w="486"/>
        <w:gridCol w:w="961"/>
        <w:gridCol w:w="583"/>
        <w:gridCol w:w="2328"/>
        <w:gridCol w:w="930"/>
        <w:gridCol w:w="933"/>
        <w:gridCol w:w="330"/>
        <w:gridCol w:w="239"/>
        <w:gridCol w:w="1265"/>
        <w:gridCol w:w="390"/>
        <w:gridCol w:w="1218"/>
        <w:gridCol w:w="659"/>
        <w:gridCol w:w="761"/>
        <w:gridCol w:w="1274"/>
        <w:gridCol w:w="17"/>
      </w:tblGrid>
      <w:tr>
        <w:tblPrEx>
          <w:tblCellMar>
            <w:top w:w="0" w:type="dxa"/>
            <w:left w:w="108" w:type="dxa"/>
            <w:bottom w:w="0" w:type="dxa"/>
            <w:right w:w="108" w:type="dxa"/>
          </w:tblCellMar>
        </w:tblPrEx>
        <w:trPr>
          <w:gridAfter w:val="1"/>
          <w:wAfter w:w="17" w:type="dxa"/>
          <w:trHeight w:val="520" w:hRule="atLeast"/>
        </w:trPr>
        <w:tc>
          <w:tcPr>
            <w:tcW w:w="5000" w:type="pct"/>
            <w:gridSpan w:val="1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gridAfter w:val="1"/>
          <w:wAfter w:w="17" w:type="dxa"/>
          <w:trHeight w:val="260" w:hRule="atLeast"/>
        </w:trPr>
        <w:tc>
          <w:tcPr>
            <w:tcW w:w="78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7"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1"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28"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2"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03"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8"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9"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gridAfter w:val="1"/>
          <w:wAfter w:w="17" w:type="dxa"/>
          <w:trHeight w:val="260" w:hRule="atLeast"/>
        </w:trPr>
        <w:tc>
          <w:tcPr>
            <w:tcW w:w="3148" w:type="pct"/>
            <w:gridSpan w:val="10"/>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603" w:type="pct"/>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8"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9" w:type="pct"/>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3"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     入</w:t>
            </w:r>
          </w:p>
        </w:tc>
        <w:tc>
          <w:tcPr>
            <w:tcW w:w="3336" w:type="pct"/>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93"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71"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498"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1342"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88"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19"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一般公共预算财政拨款</w:t>
            </w:r>
          </w:p>
        </w:tc>
        <w:tc>
          <w:tcPr>
            <w:tcW w:w="45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政府性基金预算财政拨款</w:t>
            </w:r>
          </w:p>
        </w:tc>
        <w:tc>
          <w:tcPr>
            <w:tcW w:w="418"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9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171"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9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1342"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18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519"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5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1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highlight w:val="none"/>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1,580.68</w:t>
            </w: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62.90</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62.90</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1,332.56</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1,332.56</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76.51</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76.51</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1,591.68</w:t>
            </w: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1,591.68</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1,580.68</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highlight w:val="none"/>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highlight w:val="none"/>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1,591.68</w:t>
            </w: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18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1,591.68</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1,580.68</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4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1" w:type="pct"/>
            <w:gridSpan w:val="1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注：1.本表依据《财政拨款收入支出决算总表》（财决01-1表）进行批复。</w:t>
            </w:r>
          </w:p>
        </w:tc>
        <w:tc>
          <w:tcPr>
            <w:tcW w:w="418" w:type="pct"/>
            <w:gridSpan w:val="2"/>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1" w:type="pct"/>
            <w:gridSpan w:val="1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2.本表以“万元”为金额单位（保留两位小数）。</w:t>
            </w:r>
          </w:p>
        </w:tc>
        <w:tc>
          <w:tcPr>
            <w:tcW w:w="418"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highlight w:val="none"/>
                <w:u w:val="none"/>
              </w:rPr>
            </w:pPr>
          </w:p>
        </w:tc>
      </w:tr>
    </w:tbl>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5600" w:type="dxa"/>
        <w:tblInd w:w="0" w:type="dxa"/>
        <w:tblLayout w:type="fixed"/>
        <w:tblCellMar>
          <w:top w:w="0" w:type="dxa"/>
          <w:left w:w="108" w:type="dxa"/>
          <w:bottom w:w="0" w:type="dxa"/>
          <w:right w:w="108" w:type="dxa"/>
        </w:tblCellMar>
      </w:tblPr>
      <w:tblGrid>
        <w:gridCol w:w="96"/>
        <w:gridCol w:w="340"/>
        <w:gridCol w:w="436"/>
        <w:gridCol w:w="436"/>
        <w:gridCol w:w="1071"/>
        <w:gridCol w:w="238"/>
        <w:gridCol w:w="238"/>
        <w:gridCol w:w="2052"/>
        <w:gridCol w:w="137"/>
        <w:gridCol w:w="681"/>
        <w:gridCol w:w="681"/>
        <w:gridCol w:w="684"/>
        <w:gridCol w:w="310"/>
        <w:gridCol w:w="793"/>
        <w:gridCol w:w="882"/>
        <w:gridCol w:w="1103"/>
        <w:gridCol w:w="462"/>
        <w:gridCol w:w="641"/>
        <w:gridCol w:w="882"/>
        <w:gridCol w:w="1103"/>
        <w:gridCol w:w="436"/>
        <w:gridCol w:w="628"/>
        <w:gridCol w:w="682"/>
        <w:gridCol w:w="684"/>
        <w:gridCol w:w="17"/>
      </w:tblGrid>
      <w:tr>
        <w:tblPrEx>
          <w:tblCellMar>
            <w:top w:w="0" w:type="dxa"/>
            <w:left w:w="108" w:type="dxa"/>
            <w:bottom w:w="0" w:type="dxa"/>
            <w:right w:w="108" w:type="dxa"/>
          </w:tblCellMar>
        </w:tblPrEx>
        <w:trPr>
          <w:gridBefore w:val="1"/>
          <w:gridAfter w:val="1"/>
          <w:wBefore w:w="96" w:type="dxa"/>
          <w:wAfter w:w="17" w:type="dxa"/>
          <w:trHeight w:val="573" w:hRule="atLeast"/>
        </w:trPr>
        <w:tc>
          <w:tcPr>
            <w:tcW w:w="15600" w:type="dxa"/>
            <w:gridSpan w:val="2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gridBefore w:val="1"/>
          <w:gridAfter w:val="1"/>
          <w:wBefore w:w="96" w:type="dxa"/>
          <w:wAfter w:w="17" w:type="dxa"/>
          <w:trHeight w:val="346" w:hRule="atLeast"/>
        </w:trPr>
        <w:tc>
          <w:tcPr>
            <w:tcW w:w="2283"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93"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240"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56"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gridBefore w:val="1"/>
          <w:gridAfter w:val="1"/>
          <w:wBefore w:w="96" w:type="dxa"/>
          <w:wAfter w:w="17" w:type="dxa"/>
          <w:trHeight w:val="346" w:hRule="atLeast"/>
        </w:trPr>
        <w:tc>
          <w:tcPr>
            <w:tcW w:w="7304" w:type="dxa"/>
            <w:gridSpan w:val="1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3240" w:type="dxa"/>
            <w:gridSpan w:val="4"/>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56" w:type="dxa"/>
            <w:gridSpan w:val="7"/>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712"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977"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w:t>
            </w:r>
          </w:p>
        </w:tc>
        <w:tc>
          <w:tcPr>
            <w:tcW w:w="934"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c>
          <w:tcPr>
            <w:tcW w:w="1215" w:type="pct"/>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12"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基本支出结转</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项目支出结转</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和结余</w:t>
            </w:r>
          </w:p>
        </w:tc>
        <w:tc>
          <w:tcPr>
            <w:tcW w:w="312"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312"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基本支出结转</w:t>
            </w: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12"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项目支出结转</w:t>
            </w:r>
          </w:p>
        </w:tc>
        <w:tc>
          <w:tcPr>
            <w:tcW w:w="304"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12"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w:t>
            </w:r>
          </w:p>
        </w:tc>
        <w:tc>
          <w:tcPr>
            <w:tcW w:w="8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款</w:t>
            </w:r>
          </w:p>
        </w:tc>
        <w:tc>
          <w:tcPr>
            <w:tcW w:w="8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3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0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1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0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8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8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1,580.68</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541.76</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1,038.92</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1,580.68</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541.76</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1,038.92</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2012999</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其他群众团体事务支出</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2069999</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其他科学技术支出</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62.90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62.90</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62.90</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62.90</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2079999</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其他文化旅游体育与传媒支出</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0.30</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2100410</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突发公共卫生事件应急处理</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2200114</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地质勘查与矿产资源管理</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2240101</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420.58</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420.58</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420.58</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420.58</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2240102</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5.51</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5.51</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5.51</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2240103</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机关服务</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0.22</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0.22</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0.22</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0.22</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2240104</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灾害风险防治</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73.40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73.40</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73.40</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73.40</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2240106</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安全监管</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27.39</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27.39</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27.39</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27.39</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2240109</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应急管理</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19.65</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19.65</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19.65</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19.65</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2240199</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其他应急管理支出</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18.44</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18.44</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18.44</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18.44</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2240202</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0.96</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0.96</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0.96</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0.96</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2240204</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消防应急救援</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2240501</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2240505</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地震预测预报</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2240506</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地震灾害预防</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0.78</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0.78</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0.78</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0.78</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2240599</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其他地震事务支出</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2240703</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自然灾害救灾补助</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464.78</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464.78</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464.78</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464.78</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2240704</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自然灾害灾后重建补助</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163.00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163.00</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163.00</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163.00</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2240799</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其他自然灾害救灾及恢复重建支出</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2249999</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其他灾害防治及应急管理支出</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133.00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133.00</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133.00</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133.00</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2299999</w:t>
            </w:r>
          </w:p>
        </w:tc>
        <w:tc>
          <w:tcPr>
            <w:tcW w:w="71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76.51</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17.21</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59.30</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76.51</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17.21</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59.30</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25"/>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注：1.本表依据《一般公共预算财政拨款收入支出决算表》（财决07表）进行批复。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2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2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3.本表以“万元”为金额单位（保留两位小数）。</w:t>
            </w:r>
          </w:p>
        </w:tc>
      </w:tr>
    </w:tbl>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5630" w:type="dxa"/>
        <w:tblInd w:w="0" w:type="dxa"/>
        <w:tblLayout w:type="fixed"/>
        <w:tblCellMar>
          <w:top w:w="0" w:type="dxa"/>
          <w:left w:w="108" w:type="dxa"/>
          <w:bottom w:w="0" w:type="dxa"/>
          <w:right w:w="108" w:type="dxa"/>
        </w:tblCellMar>
      </w:tblPr>
      <w:tblGrid>
        <w:gridCol w:w="96"/>
        <w:gridCol w:w="670"/>
        <w:gridCol w:w="170"/>
        <w:gridCol w:w="2940"/>
        <w:gridCol w:w="406"/>
        <w:gridCol w:w="644"/>
        <w:gridCol w:w="385"/>
        <w:gridCol w:w="649"/>
        <w:gridCol w:w="117"/>
        <w:gridCol w:w="1919"/>
        <w:gridCol w:w="497"/>
        <w:gridCol w:w="528"/>
        <w:gridCol w:w="523"/>
        <w:gridCol w:w="467"/>
        <w:gridCol w:w="299"/>
        <w:gridCol w:w="2671"/>
        <w:gridCol w:w="1725"/>
        <w:gridCol w:w="1007"/>
        <w:gridCol w:w="13"/>
      </w:tblGrid>
      <w:tr>
        <w:tblPrEx>
          <w:tblCellMar>
            <w:top w:w="0" w:type="dxa"/>
            <w:left w:w="108" w:type="dxa"/>
            <w:bottom w:w="0" w:type="dxa"/>
            <w:right w:w="108" w:type="dxa"/>
          </w:tblCellMar>
        </w:tblPrEx>
        <w:trPr>
          <w:gridBefore w:val="1"/>
          <w:wBefore w:w="96" w:type="dxa"/>
          <w:trHeight w:val="614" w:hRule="atLeast"/>
        </w:trPr>
        <w:tc>
          <w:tcPr>
            <w:tcW w:w="15630" w:type="dxa"/>
            <w:gridSpan w:val="1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gridBefore w:val="1"/>
          <w:wBefore w:w="96" w:type="dxa"/>
          <w:trHeight w:val="307" w:hRule="atLeast"/>
        </w:trPr>
        <w:tc>
          <w:tcPr>
            <w:tcW w:w="84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3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2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9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7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45"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gridBefore w:val="1"/>
          <w:wBefore w:w="96" w:type="dxa"/>
          <w:trHeight w:val="569" w:hRule="atLeast"/>
        </w:trPr>
        <w:tc>
          <w:tcPr>
            <w:tcW w:w="7900" w:type="dxa"/>
            <w:gridSpan w:val="9"/>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1025"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90"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15" w:type="dxa"/>
            <w:gridSpan w:val="5"/>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1650" w:type="pct"/>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w:t>
            </w:r>
          </w:p>
        </w:tc>
        <w:tc>
          <w:tcPr>
            <w:tcW w:w="3349" w:type="pct"/>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3" w:type="dxa"/>
          <w:trHeight w:val="300" w:hRule="atLeast"/>
        </w:trPr>
        <w:tc>
          <w:tcPr>
            <w:tcW w:w="20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963"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479"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20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751"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48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20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1223"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96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79"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20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51"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8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20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122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477.35</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46.61</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债务利息及费用支出</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基本工资</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142.08</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30201</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0.35</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30701</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国内债务付息</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津贴补贴</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85.61</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30202</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印刷费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30702</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国外债务付息</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奖金</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112.34</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30203</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咨询费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资本性支出</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伙食补助费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30204</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手续费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31001</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房屋建筑物购建</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绩效工资</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14.59</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30205</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水费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0.12</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31002</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办公设备购置</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55.88</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30206</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电费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0.84</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31003</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专用设备购置</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30109</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职业年金缴费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30207</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邮电费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3.98</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31005</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基础设施建设</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职工基本医疗保险缴费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22.24</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30208</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取暖费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31006</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大型修缮</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30111</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公务员医疗补助缴费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30209</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物业管理费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31007</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信息网络及软件购置更新</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其他社会保障缴费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0.85</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30211</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差旅费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31008</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物资储备</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30212</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因公出国（境）费用</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31009</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土地补偿</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30114</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30213</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维修（护）费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31010</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安置补助</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其他工资福利支出</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30214</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租赁费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31011</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地上附着物和青苗补偿</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17.80</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30215</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会议费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31012</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拆迁补偿</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30301</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离休费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30216</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培训费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31013</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公务用车购置</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30302</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退休费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30217</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公务接待费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其他交通工具购置</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30303</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退职（役）费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30218</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专用材料费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0.02</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文物和陈列品购置</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30304</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抚恤金</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30224</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被装购置费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无形资产购置</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30305</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生活补助</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17.80</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30225</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专用燃料费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其他资本性支出</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30306</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救济费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30226</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劳务费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30307</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医疗费补助</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30227</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委托业务费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国家赔偿费用支出</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30308</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助学金</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30228</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工会经费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对民间非营利组织和群众性自治组织补贴</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30309</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奖励金</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30229</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福利费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39909</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经常性赠与</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30310</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个人农业生产补贴</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30231</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公务用车运行维护费</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6.87</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39910</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资本性赠与</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30311</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代缴社会保险费</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30239</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其他交通费用</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22.57</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30399</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其他对个人和家庭的补助</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30240</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税金及附加费用</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30299</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其他商品和服务支出</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0.47</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122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highlight w:val="none"/>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117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人员经费合计</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495.15</w:t>
            </w:r>
          </w:p>
        </w:tc>
        <w:tc>
          <w:tcPr>
            <w:tcW w:w="2877" w:type="pct"/>
            <w:gridSpan w:val="10"/>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公用经费合计</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300" w:hRule="atLeast"/>
        </w:trPr>
        <w:tc>
          <w:tcPr>
            <w:tcW w:w="5000" w:type="pct"/>
            <w:gridSpan w:val="1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注：1.本表依据《一般公共预算财政拨款基本支出决算明细表》（财决08-1表）进行批复。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3" w:type="dxa"/>
          <w:trHeight w:val="300" w:hRule="atLeast"/>
        </w:trPr>
        <w:tc>
          <w:tcPr>
            <w:tcW w:w="5000" w:type="pct"/>
            <w:gridSpan w:val="1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2.本表以“万元”为金额单位（保留两位小数）。</w:t>
            </w:r>
          </w:p>
        </w:tc>
      </w:tr>
    </w:tbl>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5615" w:type="dxa"/>
        <w:tblInd w:w="0" w:type="dxa"/>
        <w:tblLayout w:type="fixed"/>
        <w:tblCellMar>
          <w:top w:w="0" w:type="dxa"/>
          <w:left w:w="108" w:type="dxa"/>
          <w:bottom w:w="0" w:type="dxa"/>
          <w:right w:w="108" w:type="dxa"/>
        </w:tblCellMar>
      </w:tblPr>
      <w:tblGrid>
        <w:gridCol w:w="96"/>
        <w:gridCol w:w="340"/>
        <w:gridCol w:w="436"/>
        <w:gridCol w:w="436"/>
        <w:gridCol w:w="85"/>
        <w:gridCol w:w="240"/>
        <w:gridCol w:w="236"/>
        <w:gridCol w:w="1625"/>
        <w:gridCol w:w="34"/>
        <w:gridCol w:w="922"/>
        <w:gridCol w:w="922"/>
        <w:gridCol w:w="95"/>
        <w:gridCol w:w="833"/>
        <w:gridCol w:w="820"/>
        <w:gridCol w:w="109"/>
        <w:gridCol w:w="992"/>
        <w:gridCol w:w="499"/>
        <w:gridCol w:w="499"/>
        <w:gridCol w:w="929"/>
        <w:gridCol w:w="252"/>
        <w:gridCol w:w="671"/>
        <w:gridCol w:w="932"/>
        <w:gridCol w:w="125"/>
        <w:gridCol w:w="2"/>
        <w:gridCol w:w="796"/>
        <w:gridCol w:w="923"/>
        <w:gridCol w:w="926"/>
        <w:gridCol w:w="936"/>
        <w:gridCol w:w="2"/>
      </w:tblGrid>
      <w:tr>
        <w:tblPrEx>
          <w:tblCellMar>
            <w:top w:w="0" w:type="dxa"/>
            <w:left w:w="108" w:type="dxa"/>
            <w:bottom w:w="0" w:type="dxa"/>
            <w:right w:w="108" w:type="dxa"/>
          </w:tblCellMar>
        </w:tblPrEx>
        <w:trPr>
          <w:gridBefore w:val="1"/>
          <w:gridAfter w:val="1"/>
          <w:wBefore w:w="96" w:type="dxa"/>
          <w:wAfter w:w="2" w:type="dxa"/>
          <w:trHeight w:val="536" w:hRule="atLeast"/>
        </w:trPr>
        <w:tc>
          <w:tcPr>
            <w:tcW w:w="15615" w:type="dxa"/>
            <w:gridSpan w:val="2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gridBefore w:val="1"/>
          <w:gridAfter w:val="1"/>
          <w:wBefore w:w="96" w:type="dxa"/>
          <w:wAfter w:w="2" w:type="dxa"/>
          <w:trHeight w:val="268" w:hRule="atLeast"/>
        </w:trPr>
        <w:tc>
          <w:tcPr>
            <w:tcW w:w="1297"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581"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Before w:val="1"/>
          <w:gridAfter w:val="1"/>
          <w:wBefore w:w="96" w:type="dxa"/>
          <w:wAfter w:w="2" w:type="dxa"/>
          <w:trHeight w:val="268" w:hRule="atLeast"/>
        </w:trPr>
        <w:tc>
          <w:tcPr>
            <w:tcW w:w="8624" w:type="dxa"/>
            <w:gridSpan w:val="1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1680"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583" w:type="dxa"/>
            <w:gridSpan w:val="5"/>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2"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719"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920"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966" w:type="pct"/>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w:t>
            </w: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c>
          <w:tcPr>
            <w:tcW w:w="1227" w:type="pct"/>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2"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19"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基本支出结转</w:t>
            </w:r>
          </w:p>
        </w:tc>
        <w:tc>
          <w:tcPr>
            <w:tcW w:w="30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项目支出结转</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和结余</w:t>
            </w:r>
          </w:p>
        </w:tc>
        <w:tc>
          <w:tcPr>
            <w:tcW w:w="308"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06"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基本支出结转</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2"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19"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项目支出结转</w:t>
            </w:r>
          </w:p>
        </w:tc>
        <w:tc>
          <w:tcPr>
            <w:tcW w:w="30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19"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30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w:t>
            </w:r>
          </w:p>
        </w:tc>
        <w:tc>
          <w:tcPr>
            <w:tcW w:w="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款</w:t>
            </w:r>
          </w:p>
        </w:tc>
        <w:tc>
          <w:tcPr>
            <w:tcW w:w="8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719" w:type="pct"/>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30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0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06"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8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719" w:type="pct"/>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11.00</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11.00</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11.00</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11.00</w:t>
            </w:r>
          </w:p>
        </w:tc>
        <w:tc>
          <w:tcPr>
            <w:tcW w:w="30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2"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2121903</w:t>
            </w:r>
          </w:p>
        </w:tc>
        <w:tc>
          <w:tcPr>
            <w:tcW w:w="719"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城市建设支出</w:t>
            </w: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30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2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注：1.本表依据《政府性基金预算财政拨款收入支出决算表》（财决09表）进行批复。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2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2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3.本表以“万元”为金额单位（保留两位小数）。</w:t>
            </w:r>
          </w:p>
        </w:tc>
      </w:tr>
    </w:tbl>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spacing w:line="560" w:lineRule="exact"/>
        <w:rPr>
          <w:rFonts w:hint="eastAsia" w:ascii="仿宋_GB2312" w:eastAsia="仿宋_GB2312"/>
          <w:b/>
          <w:sz w:val="32"/>
          <w:szCs w:val="32"/>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5600" w:type="dxa"/>
        <w:tblInd w:w="0" w:type="dxa"/>
        <w:tblLayout w:type="fixed"/>
        <w:tblCellMar>
          <w:top w:w="0" w:type="dxa"/>
          <w:left w:w="108" w:type="dxa"/>
          <w:bottom w:w="0" w:type="dxa"/>
          <w:right w:w="108" w:type="dxa"/>
        </w:tblCellMar>
      </w:tblPr>
      <w:tblGrid>
        <w:gridCol w:w="96"/>
        <w:gridCol w:w="340"/>
        <w:gridCol w:w="436"/>
        <w:gridCol w:w="436"/>
        <w:gridCol w:w="927"/>
        <w:gridCol w:w="285"/>
        <w:gridCol w:w="363"/>
        <w:gridCol w:w="1645"/>
        <w:gridCol w:w="315"/>
        <w:gridCol w:w="1155"/>
        <w:gridCol w:w="1470"/>
        <w:gridCol w:w="368"/>
        <w:gridCol w:w="1007"/>
        <w:gridCol w:w="1369"/>
        <w:gridCol w:w="759"/>
        <w:gridCol w:w="610"/>
        <w:gridCol w:w="1370"/>
        <w:gridCol w:w="1370"/>
        <w:gridCol w:w="1375"/>
        <w:gridCol w:w="17"/>
      </w:tblGrid>
      <w:tr>
        <w:tblPrEx>
          <w:tblCellMar>
            <w:top w:w="0" w:type="dxa"/>
            <w:left w:w="108" w:type="dxa"/>
            <w:bottom w:w="0" w:type="dxa"/>
            <w:right w:w="108" w:type="dxa"/>
          </w:tblCellMar>
        </w:tblPrEx>
        <w:trPr>
          <w:gridBefore w:val="1"/>
          <w:gridAfter w:val="1"/>
          <w:wBefore w:w="96" w:type="dxa"/>
          <w:wAfter w:w="17" w:type="dxa"/>
          <w:trHeight w:val="384" w:hRule="atLeast"/>
        </w:trPr>
        <w:tc>
          <w:tcPr>
            <w:tcW w:w="15600" w:type="dxa"/>
            <w:gridSpan w:val="1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gridBefore w:val="1"/>
          <w:gridAfter w:val="1"/>
          <w:wBefore w:w="96" w:type="dxa"/>
          <w:wAfter w:w="17" w:type="dxa"/>
          <w:trHeight w:val="264" w:hRule="atLeast"/>
        </w:trPr>
        <w:tc>
          <w:tcPr>
            <w:tcW w:w="2139"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725"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Before w:val="1"/>
          <w:gridAfter w:val="1"/>
          <w:wBefore w:w="96" w:type="dxa"/>
          <w:wAfter w:w="17" w:type="dxa"/>
          <w:trHeight w:val="264" w:hRule="atLeast"/>
        </w:trPr>
        <w:tc>
          <w:tcPr>
            <w:tcW w:w="7740" w:type="dxa"/>
            <w:gridSpan w:val="11"/>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highlight w:val="none"/>
                <w:u w:color="auto"/>
                <w:lang w:eastAsia="zh-CN"/>
              </w:rPr>
              <w:t>广西河池市环江毛南族自治县应急管理局</w:t>
            </w:r>
          </w:p>
        </w:tc>
        <w:tc>
          <w:tcPr>
            <w:tcW w:w="3135"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725"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1"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科目代码</w:t>
            </w:r>
          </w:p>
        </w:tc>
        <w:tc>
          <w:tcPr>
            <w:tcW w:w="1032" w:type="pct"/>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395" w:type="pct"/>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w:t>
            </w:r>
          </w:p>
        </w:tc>
        <w:tc>
          <w:tcPr>
            <w:tcW w:w="443"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c>
          <w:tcPr>
            <w:tcW w:w="1332"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1"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1032"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75"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结转</w:t>
            </w:r>
          </w:p>
        </w:tc>
        <w:tc>
          <w:tcPr>
            <w:tcW w:w="444"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结余</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结转</w:t>
            </w:r>
          </w:p>
        </w:tc>
        <w:tc>
          <w:tcPr>
            <w:tcW w:w="444"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1"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1032"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75"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51"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1032" w:type="pct"/>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75"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3"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444"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w:t>
            </w:r>
          </w:p>
        </w:tc>
        <w:tc>
          <w:tcPr>
            <w:tcW w:w="11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款</w:t>
            </w:r>
          </w:p>
        </w:tc>
        <w:tc>
          <w:tcPr>
            <w:tcW w:w="11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1032"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11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11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highlight w:val="none"/>
                <w:u w:val="none"/>
              </w:rPr>
            </w:pPr>
          </w:p>
        </w:tc>
        <w:tc>
          <w:tcPr>
            <w:tcW w:w="1032"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highlight w:val="none"/>
                <w:u w:val="none"/>
              </w:rPr>
            </w:pPr>
          </w:p>
        </w:tc>
        <w:tc>
          <w:tcPr>
            <w:tcW w:w="1032"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highlight w:val="none"/>
                <w:u w:val="none"/>
              </w:rPr>
            </w:pP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2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注：1.本表依据《国有资本经营预算财政拨款收入支出决算表》（财决11表）进行批复。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2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20"/>
            <w:tcBorders>
              <w:top w:val="nil"/>
              <w:left w:val="nil"/>
              <w:bottom w:val="nil"/>
              <w:right w:val="nil"/>
            </w:tcBorders>
            <w:shd w:val="clear" w:color="auto" w:fill="FFFFFF"/>
            <w:noWrap/>
            <w:vAlign w:val="center"/>
          </w:tcPr>
          <w:p>
            <w:pPr>
              <w:keepNext w:val="0"/>
              <w:keepLines w:val="0"/>
              <w:widowControl/>
              <w:numPr>
                <w:ilvl w:val="0"/>
                <w:numId w:val="1"/>
              </w:numPr>
              <w:suppressLineNumbers w:val="0"/>
              <w:ind w:left="44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本表以“万元”为金额单位（保留两位小数）。</w:t>
            </w:r>
          </w:p>
          <w:p>
            <w:pPr>
              <w:keepNext w:val="0"/>
              <w:keepLines w:val="0"/>
              <w:widowControl/>
              <w:numPr>
                <w:ilvl w:val="0"/>
                <w:numId w:val="1"/>
              </w:numPr>
              <w:suppressLineNumbers w:val="0"/>
              <w:ind w:left="44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本部门</w:t>
            </w:r>
            <w:r>
              <w:rPr>
                <w:rFonts w:hint="default" w:ascii="Times New Roman" w:hAnsi="Times New Roman" w:eastAsia="宋体" w:cs="Times New Roman"/>
                <w:color w:val="auto"/>
                <w:kern w:val="2"/>
                <w:sz w:val="21"/>
                <w:szCs w:val="21"/>
                <w:highlight w:val="none"/>
                <w:lang w:val="en-US" w:eastAsia="zh-CN" w:bidi="ar"/>
              </w:rPr>
              <w:t>202</w:t>
            </w:r>
            <w:r>
              <w:rPr>
                <w:rFonts w:hint="eastAsia" w:ascii="Times New Roman" w:hAnsi="Times New Roman"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年度没有国有资本经营预算财政拨款收入，也没有国有资本经营预算财政拨款安排的支出，故本表无数据。</w:t>
            </w:r>
          </w:p>
        </w:tc>
      </w:tr>
    </w:tbl>
    <w:p>
      <w:pPr>
        <w:spacing w:line="560" w:lineRule="exact"/>
        <w:rPr>
          <w:rFonts w:hint="eastAsia" w:ascii="仿宋_GB2312" w:eastAsia="仿宋_GB2312"/>
          <w:b/>
          <w:sz w:val="32"/>
          <w:szCs w:val="32"/>
          <w:highlight w:val="none"/>
        </w:rPr>
        <w:sectPr>
          <w:pgSz w:w="16838" w:h="11906" w:orient="landscape"/>
          <w:pgMar w:top="873" w:right="669" w:bottom="1440" w:left="669" w:header="851" w:footer="992" w:gutter="0"/>
          <w:cols w:space="720" w:num="1"/>
          <w:docGrid w:type="lines" w:linePitch="312" w:charSpace="0"/>
        </w:sectPr>
      </w:pPr>
    </w:p>
    <w:p>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第三部分：202</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一、</w:t>
      </w:r>
      <w:r>
        <w:rPr>
          <w:rFonts w:hint="eastAsia" w:ascii="黑体" w:hAnsi="黑体" w:eastAsia="黑体"/>
          <w:kern w:val="0"/>
          <w:sz w:val="32"/>
          <w:szCs w:val="32"/>
          <w:highlight w:val="none"/>
        </w:rPr>
        <w:t>202</w:t>
      </w:r>
      <w:r>
        <w:rPr>
          <w:rFonts w:hint="eastAsia" w:ascii="黑体" w:hAnsi="黑体" w:eastAsia="黑体"/>
          <w:kern w:val="0"/>
          <w:sz w:val="32"/>
          <w:szCs w:val="32"/>
          <w:highlight w:val="none"/>
          <w:lang w:val="en-US" w:eastAsia="zh-CN"/>
        </w:rPr>
        <w:t>3</w:t>
      </w:r>
      <w:r>
        <w:rPr>
          <w:rFonts w:hint="eastAsia" w:ascii="黑体" w:hAnsi="黑体" w:eastAsia="黑体" w:cs="仿宋_GB2312"/>
          <w:kern w:val="0"/>
          <w:sz w:val="32"/>
          <w:szCs w:val="32"/>
          <w:highlight w:val="none"/>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（一）本部门202</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年度总收入</w:t>
      </w:r>
      <w:r>
        <w:rPr>
          <w:rFonts w:hint="eastAsia" w:ascii="仿宋_GB2312" w:eastAsia="仿宋_GB2312" w:cs="仿宋_GB2312"/>
          <w:kern w:val="0"/>
          <w:sz w:val="32"/>
          <w:szCs w:val="32"/>
          <w:highlight w:val="none"/>
          <w:lang w:val="en-US" w:eastAsia="zh-CN"/>
        </w:rPr>
        <w:t>1591.68</w:t>
      </w:r>
      <w:r>
        <w:rPr>
          <w:rFonts w:hint="eastAsia" w:ascii="仿宋_GB2312" w:eastAsia="仿宋_GB2312" w:cs="仿宋_GB2312"/>
          <w:kern w:val="0"/>
          <w:sz w:val="32"/>
          <w:szCs w:val="32"/>
          <w:highlight w:val="none"/>
        </w:rPr>
        <w:t>万元，其中本年收入</w:t>
      </w:r>
      <w:r>
        <w:rPr>
          <w:rFonts w:hint="eastAsia" w:ascii="仿宋_GB2312" w:eastAsia="仿宋_GB2312" w:cs="仿宋_GB2312"/>
          <w:kern w:val="0"/>
          <w:sz w:val="32"/>
          <w:szCs w:val="32"/>
          <w:highlight w:val="none"/>
          <w:lang w:val="en-US" w:eastAsia="zh-CN"/>
        </w:rPr>
        <w:t>1591.68</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年度决算数增加</w:t>
      </w:r>
      <w:r>
        <w:rPr>
          <w:rFonts w:hint="eastAsia" w:ascii="仿宋_GB2312" w:eastAsia="仿宋_GB2312" w:cs="仿宋_GB2312"/>
          <w:kern w:val="0"/>
          <w:sz w:val="32"/>
          <w:szCs w:val="32"/>
          <w:highlight w:val="none"/>
          <w:lang w:val="en-US" w:eastAsia="zh-CN"/>
        </w:rPr>
        <w:t>14.81</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0.94</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收入具体情况如下。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default" w:ascii="仿宋_GB2312" w:hAnsi="仿宋_GB2312" w:eastAsia="仿宋_GB2312" w:cs="仿宋_GB2312"/>
          <w:i w:val="0"/>
          <w:iCs w:val="0"/>
          <w:caps w:val="0"/>
          <w:color w:val="333333"/>
          <w:spacing w:val="0"/>
          <w:sz w:val="32"/>
          <w:szCs w:val="32"/>
          <w:highlight w:val="none"/>
          <w:shd w:val="clear" w:fill="BAE7FF"/>
          <w:lang w:val="en-US" w:eastAsia="zh-CN"/>
        </w:rPr>
      </w:pPr>
      <w:r>
        <w:rPr>
          <w:rFonts w:hint="eastAsia" w:ascii="仿宋_GB2312" w:eastAsia="仿宋_GB2312"/>
          <w:bCs/>
          <w:kern w:val="0"/>
          <w:sz w:val="32"/>
          <w:szCs w:val="32"/>
          <w:highlight w:val="none"/>
        </w:rPr>
        <w:t>1</w:t>
      </w:r>
      <w:r>
        <w:rPr>
          <w:rFonts w:hint="eastAsia" w:ascii="仿宋_GB2312" w:eastAsia="仿宋_GB2312" w:cs="仿宋_GB2312"/>
          <w:kern w:val="0"/>
          <w:sz w:val="32"/>
          <w:szCs w:val="32"/>
          <w:highlight w:val="none"/>
        </w:rPr>
        <w:t>.一般公共预算财政拨款收入</w:t>
      </w:r>
      <w:r>
        <w:rPr>
          <w:rFonts w:hint="eastAsia" w:ascii="仿宋_GB2312" w:eastAsia="仿宋_GB2312" w:cs="仿宋_GB2312"/>
          <w:kern w:val="0"/>
          <w:sz w:val="32"/>
          <w:szCs w:val="32"/>
          <w:highlight w:val="none"/>
          <w:lang w:val="en-US" w:eastAsia="zh-CN"/>
        </w:rPr>
        <w:t>1580.68</w:t>
      </w:r>
      <w:r>
        <w:rPr>
          <w:rFonts w:hint="eastAsia" w:ascii="仿宋_GB2312" w:eastAsia="仿宋_GB2312" w:cs="仿宋_GB2312"/>
          <w:kern w:val="0"/>
          <w:sz w:val="32"/>
          <w:szCs w:val="32"/>
          <w:highlight w:val="none"/>
        </w:rPr>
        <w:t>万元，为自治区本级财政当年拨付的资金。</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3.81</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0.24</w:t>
      </w:r>
      <w:r>
        <w:rPr>
          <w:rFonts w:hint="eastAsia" w:ascii="仿宋_GB2312" w:hAnsi="黑体"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根据工作的开展推进，年中追加预算下达了应急管理专项工作经费的预算资金。</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2.政府性基金预算财政拨款收入</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万元，为自治区本级财政当年拨付的资金。较202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年度决算数增加</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使用</w:t>
      </w:r>
      <w:r>
        <w:rPr>
          <w:rFonts w:hint="eastAsia" w:ascii="仿宋_GB2312" w:hAnsi="仿宋_GB2312" w:eastAsia="仿宋_GB2312" w:cs="仿宋_GB2312"/>
          <w:kern w:val="0"/>
          <w:sz w:val="32"/>
          <w:szCs w:val="32"/>
          <w:highlight w:val="none"/>
        </w:rPr>
        <w:t>政府性基金预算财政拨款</w:t>
      </w:r>
      <w:r>
        <w:rPr>
          <w:rFonts w:hint="eastAsia" w:ascii="仿宋_GB2312" w:hAnsi="仿宋_GB2312" w:eastAsia="仿宋_GB2312" w:cs="仿宋_GB2312"/>
          <w:kern w:val="0"/>
          <w:sz w:val="32"/>
          <w:szCs w:val="32"/>
          <w:highlight w:val="none"/>
          <w:lang w:val="en-US" w:eastAsia="zh-CN"/>
        </w:rPr>
        <w:t>支付了应急管理综合行政执法制式服装和标志费11万元，2022年没有使用</w:t>
      </w:r>
      <w:r>
        <w:rPr>
          <w:rFonts w:hint="eastAsia" w:ascii="仿宋_GB2312" w:hAnsi="仿宋_GB2312" w:eastAsia="仿宋_GB2312" w:cs="仿宋_GB2312"/>
          <w:kern w:val="0"/>
          <w:sz w:val="32"/>
          <w:szCs w:val="32"/>
          <w:highlight w:val="none"/>
        </w:rPr>
        <w:t>政府性基金预算财政拨款</w:t>
      </w:r>
      <w:r>
        <w:rPr>
          <w:rFonts w:hint="eastAsia" w:ascii="仿宋_GB2312" w:hAnsi="仿宋_GB2312" w:eastAsia="仿宋_GB2312" w:cs="仿宋_GB2312"/>
          <w:kern w:val="0"/>
          <w:sz w:val="32"/>
          <w:szCs w:val="32"/>
          <w:highlight w:val="none"/>
          <w:lang w:val="en-US" w:eastAsia="zh-CN"/>
        </w:rPr>
        <w:t>支付任何款项</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Cs/>
          <w:kern w:val="0"/>
          <w:sz w:val="32"/>
          <w:szCs w:val="32"/>
          <w:highlight w:val="none"/>
        </w:rPr>
        <w:t>3</w:t>
      </w:r>
      <w:r>
        <w:rPr>
          <w:rFonts w:hint="eastAsia" w:ascii="仿宋_GB2312" w:hAnsi="仿宋_GB2312" w:eastAsia="仿宋_GB2312" w:cs="仿宋_GB2312"/>
          <w:kern w:val="0"/>
          <w:sz w:val="32"/>
          <w:szCs w:val="32"/>
          <w:highlight w:val="none"/>
        </w:rPr>
        <w:t>.国有资本经营预算财政拨款收入</w:t>
      </w:r>
      <w:r>
        <w:rPr>
          <w:rFonts w:hint="eastAsia" w:ascii="仿宋_GB2312" w:hAnsi="仿宋_GB2312" w:eastAsia="仿宋_GB2312" w:cs="仿宋_GB2312"/>
          <w:kern w:val="0"/>
          <w:sz w:val="32"/>
          <w:szCs w:val="32"/>
          <w:highlight w:val="none"/>
          <w:lang w:val="en-US" w:eastAsia="zh-CN"/>
        </w:rPr>
        <w:t>0.00</w:t>
      </w:r>
      <w:r>
        <w:rPr>
          <w:rFonts w:hint="eastAsia" w:ascii="仿宋_GB2312" w:hAnsi="仿宋_GB2312" w:eastAsia="仿宋_GB2312" w:cs="仿宋_GB2312"/>
          <w:kern w:val="0"/>
          <w:sz w:val="32"/>
          <w:szCs w:val="32"/>
          <w:highlight w:val="none"/>
        </w:rPr>
        <w:t>万元，为自治区本级财政当年拨付的资金。较202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年度决算数增加</w:t>
      </w:r>
      <w:r>
        <w:rPr>
          <w:rFonts w:hint="eastAsia" w:ascii="仿宋_GB2312" w:hAnsi="仿宋_GB2312" w:eastAsia="仿宋_GB2312" w:cs="仿宋_GB2312"/>
          <w:kern w:val="0"/>
          <w:sz w:val="32"/>
          <w:szCs w:val="32"/>
          <w:highlight w:val="none"/>
          <w:lang w:val="en-US" w:eastAsia="zh-CN"/>
        </w:rPr>
        <w:t>0.00</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本单位没有</w:t>
      </w:r>
      <w:r>
        <w:rPr>
          <w:rFonts w:hint="eastAsia" w:ascii="仿宋_GB2312" w:hAnsi="仿宋_GB2312" w:eastAsia="仿宋_GB2312" w:cs="仿宋_GB2312"/>
          <w:kern w:val="2"/>
          <w:sz w:val="32"/>
          <w:szCs w:val="32"/>
          <w:highlight w:val="none"/>
          <w:lang w:val="en-US" w:eastAsia="zh-CN" w:bidi="ar"/>
        </w:rPr>
        <w:t>国有资本经营预算财政拨款收入</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4.事业收入</w:t>
      </w:r>
      <w:r>
        <w:rPr>
          <w:rFonts w:hint="eastAsia" w:ascii="仿宋_GB2312" w:hAnsi="仿宋_GB2312" w:eastAsia="仿宋_GB2312" w:cs="仿宋_GB2312"/>
          <w:kern w:val="0"/>
          <w:sz w:val="32"/>
          <w:szCs w:val="32"/>
          <w:highlight w:val="none"/>
          <w:lang w:val="en-US" w:eastAsia="zh-CN"/>
        </w:rPr>
        <w:t>0.00</w:t>
      </w:r>
      <w:r>
        <w:rPr>
          <w:rFonts w:hint="eastAsia" w:ascii="仿宋_GB2312" w:hAnsi="仿宋_GB2312" w:eastAsia="仿宋_GB2312" w:cs="仿宋_GB2312"/>
          <w:kern w:val="0"/>
          <w:sz w:val="32"/>
          <w:szCs w:val="32"/>
          <w:highlight w:val="none"/>
        </w:rPr>
        <w:t>万元，为事业单位开展业务活动取得的收入。较202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年度决算数增加</w:t>
      </w:r>
      <w:r>
        <w:rPr>
          <w:rFonts w:hint="eastAsia" w:ascii="仿宋_GB2312" w:hAnsi="仿宋_GB2312" w:eastAsia="仿宋_GB2312" w:cs="仿宋_GB2312"/>
          <w:kern w:val="0"/>
          <w:sz w:val="32"/>
          <w:szCs w:val="32"/>
          <w:highlight w:val="none"/>
          <w:lang w:val="en-US" w:eastAsia="zh-CN"/>
        </w:rPr>
        <w:t>0.00</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 xml:space="preserve"> %，主要原因是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本单位没有事业收入</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Cs/>
          <w:kern w:val="0"/>
          <w:sz w:val="32"/>
          <w:szCs w:val="32"/>
          <w:highlight w:val="none"/>
        </w:rPr>
        <w:t>5</w:t>
      </w:r>
      <w:r>
        <w:rPr>
          <w:rFonts w:hint="eastAsia" w:ascii="仿宋_GB2312" w:hAnsi="仿宋_GB2312" w:eastAsia="仿宋_GB2312" w:cs="仿宋_GB2312"/>
          <w:kern w:val="0"/>
          <w:sz w:val="32"/>
          <w:szCs w:val="32"/>
          <w:highlight w:val="none"/>
        </w:rPr>
        <w:t>.经营收入</w:t>
      </w:r>
      <w:r>
        <w:rPr>
          <w:rFonts w:hint="eastAsia" w:ascii="仿宋_GB2312" w:hAnsi="仿宋_GB2312" w:eastAsia="仿宋_GB2312" w:cs="仿宋_GB2312"/>
          <w:kern w:val="0"/>
          <w:sz w:val="32"/>
          <w:szCs w:val="32"/>
          <w:highlight w:val="none"/>
          <w:lang w:val="en-US" w:eastAsia="zh-CN"/>
        </w:rPr>
        <w:t>0.00</w:t>
      </w:r>
      <w:r>
        <w:rPr>
          <w:rFonts w:hint="eastAsia" w:ascii="仿宋_GB2312" w:hAnsi="仿宋_GB2312" w:eastAsia="仿宋_GB2312" w:cs="仿宋_GB2312"/>
          <w:kern w:val="0"/>
          <w:sz w:val="32"/>
          <w:szCs w:val="32"/>
          <w:highlight w:val="none"/>
        </w:rPr>
        <w:t>万</w:t>
      </w:r>
      <w:r>
        <w:rPr>
          <w:rFonts w:hint="eastAsia" w:ascii="仿宋_GB2312" w:hAnsi="仿宋_GB2312" w:eastAsia="仿宋_GB2312" w:cs="仿宋_GB2312"/>
          <w:kern w:val="0"/>
          <w:sz w:val="32"/>
          <w:szCs w:val="32"/>
          <w:highlight w:val="none"/>
          <w:lang w:eastAsia="zh-CN"/>
        </w:rPr>
        <w:t>元</w:t>
      </w:r>
      <w:r>
        <w:rPr>
          <w:rFonts w:hint="eastAsia" w:ascii="仿宋_GB2312" w:hAnsi="仿宋_GB2312" w:eastAsia="仿宋_GB2312" w:cs="仿宋_GB2312"/>
          <w:kern w:val="0"/>
          <w:sz w:val="32"/>
          <w:szCs w:val="32"/>
          <w:highlight w:val="none"/>
        </w:rPr>
        <w:t>，为事业单位在业务活动之外开展非独立核算经营活动取得的收入。较202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年度决算数增加</w:t>
      </w:r>
      <w:r>
        <w:rPr>
          <w:rFonts w:hint="eastAsia" w:ascii="仿宋_GB2312" w:hAnsi="仿宋_GB2312" w:eastAsia="仿宋_GB2312" w:cs="仿宋_GB2312"/>
          <w:kern w:val="0"/>
          <w:sz w:val="32"/>
          <w:szCs w:val="32"/>
          <w:highlight w:val="none"/>
          <w:lang w:val="en-US" w:eastAsia="zh-CN"/>
        </w:rPr>
        <w:t>0.00</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本单位没有经营性收入</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bCs/>
          <w:kern w:val="0"/>
          <w:sz w:val="32"/>
          <w:szCs w:val="32"/>
          <w:highlight w:val="none"/>
        </w:rPr>
        <w:t>6</w:t>
      </w:r>
      <w:r>
        <w:rPr>
          <w:rFonts w:hint="eastAsia" w:ascii="仿宋_GB2312" w:eastAsia="仿宋_GB2312" w:cs="仿宋_GB2312"/>
          <w:kern w:val="0"/>
          <w:sz w:val="32"/>
          <w:szCs w:val="32"/>
          <w:highlight w:val="none"/>
        </w:rPr>
        <w:t>.其他收入</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万元，为预算单位在</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财政拨款收入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事业收入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经营收入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之外取得的收入。</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w:t>
      </w:r>
      <w:r>
        <w:rPr>
          <w:rFonts w:hint="eastAsia" w:ascii="仿宋" w:hAnsi="仿宋" w:eastAsia="仿宋" w:cs="仿宋"/>
          <w:color w:val="auto"/>
          <w:kern w:val="2"/>
          <w:sz w:val="32"/>
          <w:szCs w:val="32"/>
          <w:highlight w:val="none"/>
          <w:lang w:val="en-US" w:eastAsia="zh-CN" w:bidi="ar"/>
        </w:rPr>
        <w:t>本单位没有其他收入</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bCs/>
          <w:kern w:val="0"/>
          <w:sz w:val="32"/>
          <w:szCs w:val="32"/>
          <w:highlight w:val="none"/>
        </w:rPr>
        <w:t>7</w:t>
      </w:r>
      <w:r>
        <w:rPr>
          <w:rFonts w:hint="eastAsia" w:ascii="仿宋_GB2312" w:eastAsia="仿宋_GB2312" w:cs="仿宋_GB2312"/>
          <w:kern w:val="0"/>
          <w:sz w:val="32"/>
          <w:szCs w:val="32"/>
          <w:highlight w:val="none"/>
        </w:rPr>
        <w:t>.使用非财政拨款结余</w:t>
      </w:r>
      <w:r>
        <w:rPr>
          <w:rFonts w:hint="eastAsia" w:ascii="仿宋_GB2312" w:eastAsia="仿宋_GB2312" w:cs="仿宋_GB2312"/>
          <w:kern w:val="0"/>
          <w:sz w:val="32"/>
          <w:szCs w:val="32"/>
          <w:highlight w:val="none"/>
          <w:lang w:eastAsia="zh-CN"/>
        </w:rPr>
        <w:t>（含专用结余）</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万元，主要是所属事业单位在当年的</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财政拨款收入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事业收入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经营收入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及</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其他收入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不能保证其支出的情况下，使用以前年度积累的非财政拨款结余</w:t>
      </w:r>
      <w:r>
        <w:rPr>
          <w:rFonts w:hint="eastAsia" w:ascii="仿宋_GB2312" w:eastAsia="仿宋_GB2312" w:cs="仿宋_GB2312"/>
          <w:kern w:val="0"/>
          <w:sz w:val="32"/>
          <w:szCs w:val="32"/>
          <w:highlight w:val="none"/>
          <w:lang w:eastAsia="zh-CN"/>
        </w:rPr>
        <w:t>、</w:t>
      </w:r>
      <w:r>
        <w:rPr>
          <w:rFonts w:hint="eastAsia" w:ascii="仿宋_GB2312" w:eastAsia="仿宋_GB2312"/>
          <w:sz w:val="32"/>
          <w:szCs w:val="32"/>
          <w:highlight w:val="none"/>
        </w:rPr>
        <w:t>专用结余</w:t>
      </w:r>
      <w:r>
        <w:rPr>
          <w:rFonts w:hint="eastAsia" w:ascii="仿宋_GB2312" w:eastAsia="仿宋_GB2312" w:cs="仿宋_GB2312"/>
          <w:kern w:val="0"/>
          <w:sz w:val="32"/>
          <w:szCs w:val="32"/>
          <w:highlight w:val="none"/>
        </w:rPr>
        <w:t>弥补本年度收支缺口的资金。</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w:t>
      </w:r>
      <w:r>
        <w:rPr>
          <w:rFonts w:hint="eastAsia" w:ascii="仿宋" w:hAnsi="仿宋" w:eastAsia="仿宋" w:cs="仿宋"/>
          <w:color w:val="auto"/>
          <w:kern w:val="2"/>
          <w:sz w:val="32"/>
          <w:szCs w:val="32"/>
          <w:highlight w:val="none"/>
          <w:lang w:val="en-US" w:eastAsia="zh-CN" w:bidi="ar"/>
        </w:rPr>
        <w:t>本单位没有非财政拨款结余</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仿宋_GB2312" w:eastAsia="仿宋_GB2312" w:cs="仿宋_GB2312"/>
          <w:kern w:val="0"/>
          <w:sz w:val="32"/>
          <w:szCs w:val="32"/>
          <w:highlight w:val="none"/>
        </w:rPr>
      </w:pPr>
      <w:r>
        <w:rPr>
          <w:rFonts w:hint="eastAsia" w:ascii="仿宋_GB2312" w:eastAsia="仿宋_GB2312"/>
          <w:bCs/>
          <w:kern w:val="0"/>
          <w:sz w:val="32"/>
          <w:szCs w:val="32"/>
          <w:highlight w:val="none"/>
        </w:rPr>
        <w:t>8</w:t>
      </w:r>
      <w:r>
        <w:rPr>
          <w:rFonts w:hint="eastAsia" w:asci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上年结转和结余</w:t>
      </w:r>
      <w:r>
        <w:rPr>
          <w:rFonts w:hint="eastAsia" w:ascii="仿宋_GB2312" w:hAnsi="仿宋_GB2312" w:eastAsia="仿宋_GB2312" w:cs="仿宋_GB2312"/>
          <w:kern w:val="0"/>
          <w:sz w:val="32"/>
          <w:szCs w:val="32"/>
          <w:highlight w:val="none"/>
          <w:lang w:val="en-US" w:eastAsia="zh-CN"/>
        </w:rPr>
        <w:t>0.00</w:t>
      </w:r>
      <w:r>
        <w:rPr>
          <w:rFonts w:hint="eastAsia" w:ascii="仿宋_GB2312" w:hAnsi="仿宋_GB2312" w:eastAsia="仿宋_GB2312" w:cs="仿宋_GB2312"/>
          <w:kern w:val="0"/>
          <w:sz w:val="32"/>
          <w:szCs w:val="32"/>
          <w:highlight w:val="none"/>
        </w:rPr>
        <w:t>万元，为以前年度支出预算因客观条件变化未执行完毕、结转到本年度按有关规定继续使用的资金。较202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年度决算数增加</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bidi="ar"/>
        </w:rPr>
        <w:t>项目已在本年执行完毕，不需要结转至下年继续执行</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drawing>
          <wp:inline distT="0" distB="0" distL="114300" distR="114300">
            <wp:extent cx="5057140" cy="3388360"/>
            <wp:effectExtent l="0" t="0" r="10160" b="2540"/>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6"/>
                    <a:stretch>
                      <a:fillRect/>
                    </a:stretch>
                  </pic:blipFill>
                  <pic:spPr>
                    <a:xfrm>
                      <a:off x="0" y="0"/>
                      <a:ext cx="5057140" cy="338836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kern w:val="0"/>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（二）本部门202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年度总支出</w:t>
      </w:r>
      <w:r>
        <w:rPr>
          <w:rFonts w:hint="eastAsia" w:ascii="仿宋_GB2312" w:hAnsi="仿宋_GB2312" w:eastAsia="仿宋_GB2312" w:cs="仿宋_GB2312"/>
          <w:kern w:val="0"/>
          <w:sz w:val="32"/>
          <w:szCs w:val="32"/>
          <w:highlight w:val="none"/>
          <w:lang w:val="en-US" w:eastAsia="zh-CN"/>
        </w:rPr>
        <w:t>1591.68</w:t>
      </w:r>
      <w:r>
        <w:rPr>
          <w:rFonts w:hint="eastAsia" w:ascii="仿宋_GB2312" w:hAnsi="仿宋_GB2312" w:eastAsia="仿宋_GB2312" w:cs="仿宋_GB2312"/>
          <w:kern w:val="0"/>
          <w:sz w:val="32"/>
          <w:szCs w:val="32"/>
          <w:highlight w:val="none"/>
        </w:rPr>
        <w:t>万元，其中本年支出</w:t>
      </w:r>
      <w:r>
        <w:rPr>
          <w:rFonts w:hint="eastAsia" w:ascii="仿宋_GB2312" w:hAnsi="仿宋_GB2312" w:eastAsia="仿宋_GB2312" w:cs="仿宋_GB2312"/>
          <w:kern w:val="0"/>
          <w:sz w:val="32"/>
          <w:szCs w:val="32"/>
          <w:highlight w:val="none"/>
          <w:lang w:val="en-US" w:eastAsia="zh-CN"/>
        </w:rPr>
        <w:t>1591.68</w:t>
      </w:r>
      <w:r>
        <w:rPr>
          <w:rFonts w:hint="eastAsia" w:ascii="仿宋_GB2312" w:hAnsi="仿宋_GB2312" w:eastAsia="仿宋_GB2312" w:cs="仿宋_GB2312"/>
          <w:kern w:val="0"/>
          <w:sz w:val="32"/>
          <w:szCs w:val="32"/>
          <w:highlight w:val="none"/>
        </w:rPr>
        <w:t>万元, 较202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年度决算数增加</w:t>
      </w:r>
      <w:r>
        <w:rPr>
          <w:rFonts w:hint="eastAsia" w:ascii="仿宋_GB2312" w:hAnsi="仿宋_GB2312" w:eastAsia="仿宋_GB2312" w:cs="仿宋_GB2312"/>
          <w:kern w:val="0"/>
          <w:sz w:val="32"/>
          <w:szCs w:val="32"/>
          <w:highlight w:val="none"/>
          <w:lang w:val="en-US" w:eastAsia="zh-CN"/>
        </w:rPr>
        <w:t>14.81</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0.94</w:t>
      </w:r>
      <w:r>
        <w:rPr>
          <w:rFonts w:hint="eastAsia" w:ascii="仿宋_GB2312" w:hAnsi="仿宋_GB2312" w:eastAsia="仿宋_GB2312" w:cs="仿宋_GB2312"/>
          <w:kern w:val="0"/>
          <w:sz w:val="32"/>
          <w:szCs w:val="32"/>
          <w:highlight w:val="none"/>
        </w:rPr>
        <w:t>%。支出具体情况如下：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hint="eastAsia" w:ascii="仿宋_GB2312" w:hAnsi="仿宋_GB2312" w:eastAsia="仿宋" w:cs="仿宋_GB2312"/>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Cs/>
          <w:kern w:val="0"/>
          <w:sz w:val="32"/>
          <w:szCs w:val="32"/>
          <w:highlight w:val="none"/>
        </w:rPr>
        <w:t>1</w:t>
      </w:r>
      <w:r>
        <w:rPr>
          <w:rFonts w:hint="eastAsia" w:ascii="仿宋_GB2312" w:hAnsi="仿宋_GB2312" w:eastAsia="仿宋_GB2312" w:cs="仿宋_GB2312"/>
          <w:kern w:val="0"/>
          <w:sz w:val="32"/>
          <w:szCs w:val="32"/>
          <w:highlight w:val="none"/>
        </w:rPr>
        <w:t>.一般公共服务支出（</w:t>
      </w:r>
      <w:r>
        <w:rPr>
          <w:rFonts w:hint="eastAsia" w:ascii="仿宋_GB2312" w:hAnsi="仿宋_GB2312" w:eastAsia="仿宋_GB2312" w:cs="仿宋_GB2312"/>
          <w:kern w:val="0"/>
          <w:sz w:val="32"/>
          <w:szCs w:val="32"/>
          <w:highlight w:val="none"/>
          <w:lang w:val="en-US" w:eastAsia="zh-CN"/>
        </w:rPr>
        <w:t>201</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val="en-US" w:eastAsia="zh-CN"/>
        </w:rPr>
        <w:t>6.92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主要用于</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2023年的工会经费</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val="en-US" w:eastAsia="zh-CN" w:bidi="ar"/>
        </w:rPr>
        <w:t>减少0.33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w:t>
      </w:r>
      <w:r>
        <w:rPr>
          <w:rFonts w:hint="eastAsia" w:ascii="仿宋_GB2312" w:hAnsi="仿宋_GB2312" w:eastAsia="仿宋_GB2312" w:cs="仿宋_GB2312"/>
          <w:sz w:val="32"/>
          <w:szCs w:val="32"/>
          <w:highlight w:val="none"/>
          <w:lang w:val="en-US" w:eastAsia="zh-CN" w:bidi="ar"/>
        </w:rPr>
        <w:t>4.55</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rPr>
        <w:t>落实过紧日子要求压减支出</w:t>
      </w:r>
      <w:r>
        <w:rPr>
          <w:rFonts w:hint="eastAsia" w:ascii="仿宋" w:hAnsi="仿宋" w:eastAsia="仿宋" w:cs="仿宋"/>
          <w:color w:val="auto"/>
          <w:sz w:val="32"/>
          <w:szCs w:val="32"/>
          <w:highlight w:val="none"/>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2.科学技术支出（206类）62.90万元，</w:t>
      </w:r>
      <w:r>
        <w:rPr>
          <w:rFonts w:hint="eastAsia" w:ascii="仿宋_GB2312" w:hAnsi="仿宋_GB2312" w:eastAsia="仿宋_GB2312" w:cs="仿宋_GB2312"/>
          <w:kern w:val="0"/>
          <w:sz w:val="32"/>
          <w:szCs w:val="32"/>
          <w:highlight w:val="none"/>
        </w:rPr>
        <w:t>主要用于</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2023年</w:t>
      </w:r>
      <w:r>
        <w:rPr>
          <w:rFonts w:hint="eastAsia" w:ascii="仿宋_GB2312" w:hAnsi="仿宋_GB2312" w:eastAsia="仿宋_GB2312" w:cs="仿宋_GB2312"/>
          <w:color w:val="auto"/>
          <w:sz w:val="32"/>
          <w:szCs w:val="32"/>
          <w:highlight w:val="none"/>
          <w:lang w:val="en-US" w:eastAsia="zh-CN"/>
        </w:rPr>
        <w:t>保障工作正常运转办公费等支出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较2022年度决算数增加62.90万元，增加100%，主要原因是：调整支出功能分类科目，由224类调整到206类。</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hint="default" w:ascii="仿宋_GB2312" w:hAnsi="仿宋_GB2312" w:eastAsia="仿宋_GB2312" w:cs="仿宋_GB2312"/>
          <w:i w:val="0"/>
          <w:iCs w:val="0"/>
          <w:caps w:val="0"/>
          <w:color w:val="333333"/>
          <w:spacing w:val="0"/>
          <w:sz w:val="32"/>
          <w:szCs w:val="32"/>
          <w:highlight w:val="none"/>
          <w:shd w:val="clear" w:fill="BAE7FF"/>
          <w:lang w:val="en-US" w:eastAsia="zh-CN"/>
        </w:rPr>
      </w:pPr>
      <w:r>
        <w:rPr>
          <w:rFonts w:hint="eastAsia" w:ascii="仿宋_GB2312" w:hAnsi="仿宋_GB2312" w:eastAsia="仿宋_GB2312" w:cs="仿宋_GB2312"/>
          <w:sz w:val="32"/>
          <w:szCs w:val="32"/>
          <w:highlight w:val="none"/>
          <w:lang w:val="en-US" w:eastAsia="zh-CN"/>
        </w:rPr>
        <w:t>3.文化旅游体育与传媒支出（207类）0.3万元，主要用于：新时代实践文明宣传广告费。较2022年度决算数增加0.3万元，增加100%，主要原因是：2023年根据实际工作的推进，年中下达预算指标支付了新时代实践文明的预算资金。</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社会保</w:t>
      </w:r>
      <w:r>
        <w:rPr>
          <w:rFonts w:hint="eastAsia" w:ascii="仿宋_GB2312" w:hAnsi="仿宋_GB2312" w:eastAsia="仿宋_GB2312" w:cs="仿宋_GB2312"/>
          <w:sz w:val="32"/>
          <w:szCs w:val="32"/>
          <w:highlight w:val="none"/>
          <w:lang w:bidi="ar"/>
        </w:rPr>
        <w:t>障和就业支出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bidi="ar"/>
        </w:rPr>
        <w:t xml:space="preserve">208 </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lang w:val="en-US" w:eastAsia="zh-CN" w:bidi="ar"/>
        </w:rPr>
        <w:t>55.88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auto"/>
          <w:sz w:val="32"/>
          <w:szCs w:val="32"/>
          <w:highlight w:val="none"/>
          <w:lang w:val="en-US" w:eastAsia="zh-CN"/>
        </w:rPr>
        <w:t>机关事业单位基本养老保险缴费</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val="en-US" w:eastAsia="zh-CN" w:bidi="ar"/>
        </w:rPr>
        <w:t>增加6.14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增长</w:t>
      </w:r>
      <w:r>
        <w:rPr>
          <w:rFonts w:hint="eastAsia" w:ascii="仿宋_GB2312" w:hAnsi="仿宋_GB2312" w:eastAsia="仿宋_GB2312" w:cs="仿宋_GB2312"/>
          <w:sz w:val="32"/>
          <w:szCs w:val="32"/>
          <w:highlight w:val="none"/>
          <w:lang w:val="en-US" w:eastAsia="zh-CN" w:bidi="ar"/>
        </w:rPr>
        <w:t>12.34</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2023年在职人员</w:t>
      </w:r>
      <w:r>
        <w:rPr>
          <w:rFonts w:hint="eastAsia" w:ascii="仿宋_GB2312" w:hAnsi="仿宋_GB2312" w:eastAsia="仿宋_GB2312" w:cs="仿宋_GB2312"/>
          <w:kern w:val="0"/>
          <w:sz w:val="32"/>
          <w:szCs w:val="32"/>
          <w:highlight w:val="none"/>
          <w:lang w:val="en-US" w:eastAsia="zh-CN"/>
        </w:rPr>
        <w:t>社会保险基数调整增高，社会保障和就业支出增加</w:t>
      </w:r>
      <w:r>
        <w:rPr>
          <w:rFonts w:hint="eastAsia" w:ascii="仿宋_GB2312" w:hAnsi="仿宋_GB2312" w:eastAsia="仿宋_GB2312" w:cs="仿宋_GB2312"/>
          <w:kern w:val="0"/>
          <w:sz w:val="32"/>
          <w:szCs w:val="32"/>
          <w:highlight w:val="none"/>
        </w:rPr>
        <w:t>。</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hint="default" w:ascii="仿宋_GB2312" w:hAnsi="仿宋_GB2312" w:eastAsia="仿宋_GB2312" w:cs="仿宋_GB2312"/>
          <w:i w:val="0"/>
          <w:iCs w:val="0"/>
          <w:caps w:val="0"/>
          <w:color w:val="333333"/>
          <w:spacing w:val="0"/>
          <w:sz w:val="32"/>
          <w:szCs w:val="32"/>
          <w:highlight w:val="none"/>
          <w:shd w:val="clear" w:fill="BAE7FF"/>
          <w:lang w:val="en-US" w:eastAsia="zh-CN"/>
        </w:rPr>
      </w:pPr>
      <w:r>
        <w:rPr>
          <w:rFonts w:hint="eastAsia" w:ascii="仿宋_GB2312" w:hAnsi="仿宋_GB2312" w:eastAsia="仿宋_GB2312" w:cs="仿宋_GB2312"/>
          <w:kern w:val="0"/>
          <w:sz w:val="32"/>
          <w:szCs w:val="32"/>
          <w:highlight w:val="none"/>
          <w:lang w:val="en-US" w:eastAsia="zh-CN"/>
        </w:rPr>
        <w:t>5.卫生健康支出（210类）4.44万元，主要用于：疫情防控工作经费。较2022年度决算数增加4.44万元，增加100%，主要原因是：2023年根据工作的开展推进，年中追加预算下达了疫情防控工作经费的预算资金。</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6.城乡社区支出（212类）11万元，主要用于：行政执法制式服装和标志费。较2022年度决算增加了11万元，增加100%，主要原因是：2023年根据工作的开展推进，年中追加预算下达了应急管理综合行政执法制式服装和标志的预算资金。</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kern w:val="0"/>
          <w:sz w:val="32"/>
          <w:szCs w:val="32"/>
          <w:highlight w:val="none"/>
          <w:lang w:val="en-US" w:eastAsia="zh-CN"/>
        </w:rPr>
        <w:t xml:space="preserve"> 7.住房保障支出（221类）41.16万元，主要用于：</w:t>
      </w:r>
      <w:r>
        <w:rPr>
          <w:rFonts w:hint="eastAsia" w:ascii="仿宋" w:hAnsi="仿宋" w:eastAsia="仿宋" w:cs="仿宋"/>
          <w:color w:val="auto"/>
          <w:sz w:val="32"/>
          <w:szCs w:val="32"/>
          <w:highlight w:val="none"/>
          <w:lang w:val="en-US" w:eastAsia="zh-CN"/>
        </w:rPr>
        <w:t>机关事业单位住房公积金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val="en-US" w:eastAsia="zh-CN" w:bidi="ar"/>
        </w:rPr>
        <w:t>1.17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w:t>
      </w:r>
      <w:r>
        <w:rPr>
          <w:rFonts w:hint="eastAsia" w:ascii="仿宋" w:hAnsi="仿宋" w:eastAsia="仿宋" w:cs="仿宋"/>
          <w:sz w:val="32"/>
          <w:szCs w:val="32"/>
          <w:highlight w:val="none"/>
          <w:lang w:val="en-US" w:eastAsia="zh-CN" w:bidi="ar"/>
        </w:rPr>
        <w:t>2.76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主要原因是：2023年在职人员比2022年减少，发放的工资总额减少，住房公积金计提金额随之减少。</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right="0" w:firstLine="320" w:firstLineChars="1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8.</w:t>
      </w:r>
      <w:r>
        <w:rPr>
          <w:rFonts w:hint="eastAsia" w:ascii="仿宋" w:hAnsi="仿宋" w:eastAsia="仿宋" w:cs="仿宋"/>
          <w:sz w:val="32"/>
          <w:szCs w:val="32"/>
          <w:highlight w:val="none"/>
          <w:lang w:bidi="ar"/>
        </w:rPr>
        <w:t>灾害防治及应急管理支出</w:t>
      </w:r>
      <w:r>
        <w:rPr>
          <w:rFonts w:hint="eastAsia" w:ascii="仿宋" w:hAnsi="仿宋" w:eastAsia="仿宋" w:cs="仿宋"/>
          <w:sz w:val="32"/>
          <w:szCs w:val="32"/>
          <w:highlight w:val="none"/>
        </w:rPr>
        <w:t>（</w:t>
      </w:r>
      <w:bookmarkStart w:id="3" w:name="_GoBack"/>
      <w:bookmarkEnd w:id="3"/>
      <w:r>
        <w:rPr>
          <w:rFonts w:hint="eastAsia" w:ascii="仿宋" w:hAnsi="仿宋" w:eastAsia="仿宋" w:cs="仿宋"/>
          <w:sz w:val="32"/>
          <w:szCs w:val="32"/>
          <w:highlight w:val="none"/>
          <w:lang w:bidi="ar"/>
        </w:rPr>
        <w:t>22</w:t>
      </w:r>
      <w:r>
        <w:rPr>
          <w:rFonts w:hint="eastAsia" w:ascii="仿宋" w:hAnsi="仿宋" w:eastAsia="仿宋" w:cs="仿宋"/>
          <w:sz w:val="32"/>
          <w:szCs w:val="32"/>
          <w:highlight w:val="none"/>
          <w:lang w:val="en-US" w:eastAsia="zh-CN" w:bidi="ar"/>
        </w:rPr>
        <w:t>4</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1332.57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default" w:ascii="Calibri" w:hAnsi="Calibri" w:eastAsia="仿宋" w:cs="Calibri"/>
          <w:color w:val="000000" w:themeColor="text1"/>
          <w:sz w:val="32"/>
          <w:szCs w:val="32"/>
          <w:highlight w:val="none"/>
          <w:lang w:eastAsia="zh-CN"/>
          <w14:textFill>
            <w14:solidFill>
              <w14:schemeClr w14:val="tx1"/>
            </w14:solidFill>
          </w14:textFill>
        </w:rPr>
        <w:t>①</w:t>
      </w:r>
      <w:r>
        <w:rPr>
          <w:rFonts w:hint="eastAsia" w:ascii="仿宋" w:hAnsi="仿宋" w:eastAsia="仿宋" w:cs="仿宋"/>
          <w:color w:val="auto"/>
          <w:sz w:val="32"/>
          <w:szCs w:val="32"/>
          <w:highlight w:val="none"/>
          <w:lang w:val="en-US" w:eastAsia="zh-CN"/>
        </w:rPr>
        <w:t>应急管理事务（22401）：主要用于支付人员工资和社会保险、退休人员工资、办公场所水电费和邮电费等。</w:t>
      </w:r>
      <w:r>
        <w:rPr>
          <w:rFonts w:hint="default" w:ascii="Calibri" w:hAnsi="Calibri" w:eastAsia="仿宋" w:cs="Calibri"/>
          <w:color w:val="auto"/>
          <w:sz w:val="32"/>
          <w:szCs w:val="32"/>
          <w:highlight w:val="none"/>
          <w:lang w:val="en-US" w:eastAsia="zh-CN"/>
        </w:rPr>
        <w:t>②</w:t>
      </w:r>
      <w:r>
        <w:rPr>
          <w:rFonts w:hint="eastAsia" w:ascii="Calibri" w:hAnsi="Calibri" w:eastAsia="仿宋" w:cs="Calibri"/>
          <w:color w:val="auto"/>
          <w:sz w:val="32"/>
          <w:szCs w:val="32"/>
          <w:highlight w:val="none"/>
          <w:lang w:val="en-US" w:eastAsia="zh-CN"/>
        </w:rPr>
        <w:t>消防救援事务</w:t>
      </w:r>
      <w:r>
        <w:rPr>
          <w:rFonts w:hint="eastAsia" w:ascii="仿宋" w:hAnsi="仿宋" w:eastAsia="仿宋" w:cs="仿宋"/>
          <w:color w:val="auto"/>
          <w:sz w:val="32"/>
          <w:szCs w:val="32"/>
          <w:highlight w:val="none"/>
          <w:lang w:val="en-US" w:eastAsia="zh-CN"/>
        </w:rPr>
        <w:t>（22402）：主要用于支付综合应急救援队伍的差旅费和办公耗材</w:t>
      </w:r>
      <w:r>
        <w:rPr>
          <w:rFonts w:hint="eastAsia" w:ascii="仿宋" w:hAnsi="仿宋" w:eastAsia="仿宋" w:cs="仿宋"/>
          <w:sz w:val="32"/>
          <w:szCs w:val="32"/>
          <w:highlight w:val="none"/>
        </w:rPr>
        <w:t>。③</w:t>
      </w:r>
      <w:r>
        <w:rPr>
          <w:rFonts w:hint="eastAsia" w:ascii="仿宋" w:hAnsi="仿宋" w:eastAsia="仿宋" w:cs="仿宋"/>
          <w:sz w:val="32"/>
          <w:szCs w:val="32"/>
          <w:highlight w:val="none"/>
          <w:lang w:val="en-US" w:eastAsia="zh-CN"/>
        </w:rPr>
        <w:t>地震事务（22405）：主要用于支付地震台站管护费和办公费。④</w:t>
      </w:r>
      <w:r>
        <w:rPr>
          <w:rFonts w:hint="eastAsia" w:ascii="仿宋" w:hAnsi="仿宋" w:eastAsia="仿宋" w:cs="仿宋"/>
          <w:sz w:val="32"/>
          <w:szCs w:val="32"/>
          <w:highlight w:val="none"/>
          <w:lang w:val="en-US" w:eastAsia="zh-CN"/>
        </w:rPr>
        <w:t>自然灾害救灾及恢复重建支出（22407）：主要用于支付冬春救助、房屋修缮临时性生活补助、自然灾害救灾物资采购和防汛救灾物资仓库的建设。⑤其他灾害防治及应急管理支出（22499）：用于支付灾害民生综合保险保费。</w:t>
      </w:r>
      <w:r>
        <w:rPr>
          <w:rFonts w:hint="eastAsia" w:ascii="仿宋" w:hAnsi="仿宋" w:eastAsia="仿宋" w:cs="仿宋"/>
          <w:sz w:val="32"/>
          <w:szCs w:val="32"/>
          <w:highlight w:val="none"/>
        </w:rPr>
        <w:t>较</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减少48.90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下降3.54</w:t>
      </w:r>
      <w:r>
        <w:rPr>
          <w:rFonts w:hint="eastAsia" w:ascii="仿宋" w:hAnsi="仿宋" w:eastAsia="仿宋" w:cs="仿宋"/>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仿宋_GB2312" w:hAnsi="仿宋_GB2312" w:eastAsia="仿宋_GB2312" w:cs="仿宋_GB2312"/>
          <w:sz w:val="32"/>
          <w:szCs w:val="32"/>
          <w:highlight w:val="none"/>
          <w:lang w:val="en-US" w:eastAsia="zh-CN"/>
        </w:rPr>
        <w:t>调整支出功能分类科目，由224类调整到206类。</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hint="eastAsia" w:ascii="仿宋" w:hAnsi="仿宋" w:eastAsia="仿宋" w:cs="仿宋"/>
          <w:color w:val="auto"/>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 xml:space="preserve"> 9.</w:t>
      </w:r>
      <w:r>
        <w:rPr>
          <w:rFonts w:hint="eastAsia" w:ascii="仿宋" w:hAnsi="仿宋" w:eastAsia="仿宋" w:cs="仿宋"/>
          <w:color w:val="auto"/>
          <w:kern w:val="2"/>
          <w:sz w:val="32"/>
          <w:szCs w:val="32"/>
          <w:highlight w:val="none"/>
          <w:lang w:val="en-US" w:eastAsia="zh-CN" w:bidi="ar"/>
        </w:rPr>
        <w:t>其他支出（229类）76.51万元，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奖励性补贴</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减少15.57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下降16.91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highlight w:val="none"/>
        </w:rPr>
        <w:t>落实过紧日子要求压减支出</w:t>
      </w:r>
      <w:r>
        <w:rPr>
          <w:rFonts w:hint="eastAsia" w:ascii="仿宋" w:hAnsi="仿宋" w:eastAsia="仿宋" w:cs="仿宋"/>
          <w:color w:val="auto"/>
          <w:sz w:val="32"/>
          <w:szCs w:val="32"/>
          <w:highlight w:val="none"/>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结余分配</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万元，为事业单位按规定提取的专用结余、缴纳所得税和转入非财政拨款结余等。</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w:t>
      </w:r>
      <w:r>
        <w:rPr>
          <w:rFonts w:hint="eastAsia" w:ascii="仿宋" w:hAnsi="仿宋" w:eastAsia="仿宋" w:cs="仿宋"/>
          <w:color w:val="auto"/>
          <w:kern w:val="2"/>
          <w:sz w:val="32"/>
          <w:szCs w:val="32"/>
          <w:highlight w:val="none"/>
          <w:lang w:val="en-US" w:eastAsia="zh-CN" w:bidi="ar"/>
        </w:rPr>
        <w:t>本单位没有</w:t>
      </w: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黑体" w:eastAsia="仿宋_GB2312" w:cs="仿宋_GB2312"/>
          <w:kern w:val="0"/>
          <w:sz w:val="32"/>
          <w:szCs w:val="32"/>
          <w:highlight w:val="none"/>
        </w:rPr>
      </w:pPr>
      <w:r>
        <w:rPr>
          <w:rFonts w:hint="eastAsia" w:ascii="仿宋_GB2312" w:eastAsia="仿宋_GB2312" w:cs="仿宋_GB2312"/>
          <w:kern w:val="0"/>
          <w:sz w:val="32"/>
          <w:szCs w:val="32"/>
          <w:highlight w:val="none"/>
        </w:rPr>
        <w:t>年末结转和结余</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sz w:val="32"/>
          <w:szCs w:val="32"/>
          <w:highlight w:val="none"/>
        </w:rPr>
        <w:t>年末结转和结余</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627" w:firstLineChars="196"/>
        <w:jc w:val="both"/>
        <w:textAlignment w:val="auto"/>
        <w:rPr>
          <w:rFonts w:hint="eastAsia" w:ascii="仿宋_GB2312" w:hAnsi="黑体" w:eastAsia="仿宋_GB2312" w:cs="仿宋_GB2312"/>
          <w:kern w:val="0"/>
          <w:sz w:val="32"/>
          <w:szCs w:val="32"/>
          <w:highlight w:val="none"/>
          <w:lang w:eastAsia="zh-CN"/>
        </w:rPr>
      </w:pPr>
      <w:r>
        <w:rPr>
          <w:rFonts w:hint="eastAsia" w:ascii="仿宋_GB2312" w:hAnsi="黑体" w:eastAsia="仿宋_GB2312" w:cs="仿宋_GB2312"/>
          <w:kern w:val="0"/>
          <w:sz w:val="32"/>
          <w:szCs w:val="32"/>
          <w:highlight w:val="none"/>
          <w:lang w:eastAsia="zh-CN"/>
        </w:rPr>
        <w:drawing>
          <wp:inline distT="0" distB="0" distL="114300" distR="114300">
            <wp:extent cx="4866640" cy="4072890"/>
            <wp:effectExtent l="0" t="0" r="10160" b="381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7"/>
                    <a:stretch>
                      <a:fillRect/>
                    </a:stretch>
                  </pic:blipFill>
                  <pic:spPr>
                    <a:xfrm>
                      <a:off x="0" y="0"/>
                      <a:ext cx="4866640" cy="407289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二、</w:t>
      </w:r>
      <w:r>
        <w:rPr>
          <w:rFonts w:hint="eastAsia" w:ascii="黑体" w:hAnsi="黑体" w:eastAsia="黑体"/>
          <w:kern w:val="0"/>
          <w:sz w:val="32"/>
          <w:szCs w:val="32"/>
          <w:highlight w:val="none"/>
        </w:rPr>
        <w:t>202</w:t>
      </w:r>
      <w:r>
        <w:rPr>
          <w:rFonts w:hint="eastAsia" w:ascii="黑体" w:hAnsi="黑体" w:eastAsia="黑体"/>
          <w:kern w:val="0"/>
          <w:sz w:val="32"/>
          <w:szCs w:val="32"/>
          <w:highlight w:val="none"/>
          <w:lang w:val="en-US" w:eastAsia="zh-CN"/>
        </w:rPr>
        <w:t>3</w:t>
      </w:r>
      <w:r>
        <w:rPr>
          <w:rFonts w:hint="eastAsia" w:ascii="黑体" w:hAnsi="黑体" w:eastAsia="黑体" w:cs="仿宋_GB2312"/>
          <w:kern w:val="0"/>
          <w:sz w:val="32"/>
          <w:szCs w:val="32"/>
          <w:highlight w:val="none"/>
        </w:rPr>
        <w:t>年度</w:t>
      </w:r>
      <w:r>
        <w:rPr>
          <w:rFonts w:hint="eastAsia" w:ascii="黑体" w:hAnsi="黑体" w:eastAsia="黑体"/>
          <w:sz w:val="32"/>
          <w:szCs w:val="32"/>
          <w:highlight w:val="none"/>
        </w:rPr>
        <w:t>一般</w:t>
      </w:r>
      <w:r>
        <w:rPr>
          <w:rFonts w:hint="eastAsia" w:ascii="黑体" w:hAnsi="黑体" w:eastAsia="黑体" w:cs="仿宋_GB2312"/>
          <w:kern w:val="0"/>
          <w:sz w:val="32"/>
          <w:szCs w:val="32"/>
          <w:highlight w:val="none"/>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w:t>
      </w:r>
      <w:r>
        <w:rPr>
          <w:rFonts w:hint="eastAsia" w:ascii="仿宋_GB2312" w:eastAsia="仿宋_GB2312" w:cs="仿宋_GB2312"/>
          <w:kern w:val="0"/>
          <w:sz w:val="32"/>
          <w:szCs w:val="32"/>
          <w:highlight w:val="none"/>
          <w:lang w:val="en-US" w:eastAsia="zh-CN"/>
        </w:rPr>
        <w:t>1580.68</w:t>
      </w:r>
      <w:r>
        <w:rPr>
          <w:rFonts w:hint="eastAsia" w:ascii="仿宋_GB2312" w:eastAsia="仿宋_GB2312" w:cs="仿宋_GB2312"/>
          <w:kern w:val="0"/>
          <w:sz w:val="32"/>
          <w:szCs w:val="32"/>
          <w:highlight w:val="none"/>
        </w:rPr>
        <w:t>万元，</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3.81</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0.24</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其中：基本支出</w:t>
      </w:r>
      <w:r>
        <w:rPr>
          <w:rFonts w:hint="eastAsia" w:ascii="仿宋_GB2312" w:eastAsia="仿宋_GB2312" w:cs="仿宋_GB2312"/>
          <w:kern w:val="0"/>
          <w:sz w:val="32"/>
          <w:szCs w:val="32"/>
          <w:highlight w:val="none"/>
          <w:lang w:val="en-US" w:eastAsia="zh-CN"/>
        </w:rPr>
        <w:t>541.76</w:t>
      </w:r>
      <w:r>
        <w:rPr>
          <w:rFonts w:hint="eastAsia" w:ascii="仿宋_GB2312" w:eastAsia="仿宋_GB2312" w:cs="仿宋_GB2312"/>
          <w:kern w:val="0"/>
          <w:sz w:val="32"/>
          <w:szCs w:val="32"/>
          <w:highlight w:val="none"/>
        </w:rPr>
        <w:t>万元，项目支出</w:t>
      </w:r>
      <w:r>
        <w:rPr>
          <w:rFonts w:hint="eastAsia" w:ascii="仿宋_GB2312" w:eastAsia="仿宋_GB2312" w:cs="仿宋_GB2312"/>
          <w:kern w:val="0"/>
          <w:sz w:val="32"/>
          <w:szCs w:val="32"/>
          <w:highlight w:val="none"/>
          <w:lang w:val="en-US" w:eastAsia="zh-CN"/>
        </w:rPr>
        <w:t>1038.92</w:t>
      </w:r>
      <w:r>
        <w:rPr>
          <w:rFonts w:hint="eastAsia" w:ascii="仿宋_GB2312" w:eastAsia="仿宋_GB2312" w:cs="仿宋_GB2312"/>
          <w:kern w:val="0"/>
          <w:sz w:val="32"/>
          <w:szCs w:val="32"/>
          <w:highlight w:val="none"/>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黑体" w:eastAsia="仿宋_GB2312" w:cs="仿宋_GB2312"/>
          <w:kern w:val="0"/>
          <w:sz w:val="32"/>
          <w:szCs w:val="32"/>
          <w:highlight w:val="none"/>
        </w:rPr>
      </w:pPr>
      <w:r>
        <w:rPr>
          <w:rFonts w:hint="eastAsia" w:ascii="仿宋_GB2312" w:hAnsi="黑体" w:eastAsia="仿宋_GB2312"/>
          <w:kern w:val="0"/>
          <w:sz w:val="32"/>
          <w:szCs w:val="32"/>
          <w:highlight w:val="none"/>
        </w:rPr>
        <w:t>202</w:t>
      </w:r>
      <w:r>
        <w:rPr>
          <w:rFonts w:hint="eastAsia" w:ascii="仿宋_GB2312" w:hAnsi="黑体" w:eastAsia="仿宋_GB2312"/>
          <w:kern w:val="0"/>
          <w:sz w:val="32"/>
          <w:szCs w:val="32"/>
          <w:highlight w:val="none"/>
          <w:lang w:val="en-US" w:eastAsia="zh-CN"/>
        </w:rPr>
        <w:t>3</w:t>
      </w:r>
      <w:r>
        <w:rPr>
          <w:rFonts w:hint="eastAsia" w:ascii="仿宋_GB2312" w:hAnsi="黑体" w:eastAsia="仿宋_GB2312" w:cs="仿宋_GB2312"/>
          <w:kern w:val="0"/>
          <w:sz w:val="32"/>
          <w:szCs w:val="32"/>
          <w:highlight w:val="none"/>
        </w:rPr>
        <w:t>年度</w:t>
      </w:r>
      <w:r>
        <w:rPr>
          <w:rFonts w:hint="eastAsia" w:ascii="仿宋_GB2312" w:hAnsi="黑体" w:eastAsia="仿宋_GB2312"/>
          <w:sz w:val="32"/>
          <w:szCs w:val="32"/>
          <w:highlight w:val="none"/>
        </w:rPr>
        <w:t>一般</w:t>
      </w:r>
      <w:r>
        <w:rPr>
          <w:rFonts w:hint="eastAsia" w:ascii="仿宋_GB2312" w:hAnsi="黑体" w:eastAsia="仿宋_GB2312" w:cs="仿宋_GB2312"/>
          <w:kern w:val="0"/>
          <w:sz w:val="32"/>
          <w:szCs w:val="32"/>
          <w:highlight w:val="none"/>
        </w:rPr>
        <w:t>公共预算财政拨款支出年初预算为</w:t>
      </w:r>
      <w:r>
        <w:rPr>
          <w:rFonts w:hint="eastAsia" w:ascii="仿宋_GB2312" w:hAnsi="黑体" w:eastAsia="仿宋_GB2312" w:cs="仿宋_GB2312"/>
          <w:kern w:val="0"/>
          <w:sz w:val="32"/>
          <w:szCs w:val="32"/>
          <w:highlight w:val="none"/>
          <w:lang w:val="en-US" w:eastAsia="zh-CN"/>
        </w:rPr>
        <w:t>1139.92</w:t>
      </w:r>
      <w:r>
        <w:rPr>
          <w:rFonts w:hint="eastAsia" w:ascii="仿宋_GB2312" w:hAnsi="黑体" w:eastAsia="仿宋_GB2312" w:cs="仿宋_GB2312"/>
          <w:kern w:val="0"/>
          <w:sz w:val="32"/>
          <w:szCs w:val="32"/>
          <w:highlight w:val="none"/>
        </w:rPr>
        <w:t>万元，支出决算为</w:t>
      </w:r>
      <w:r>
        <w:rPr>
          <w:rFonts w:hint="eastAsia" w:ascii="仿宋_GB2312" w:eastAsia="仿宋_GB2312" w:cs="仿宋_GB2312"/>
          <w:kern w:val="0"/>
          <w:sz w:val="32"/>
          <w:szCs w:val="32"/>
          <w:highlight w:val="none"/>
          <w:lang w:val="en-US" w:eastAsia="zh-CN"/>
        </w:rPr>
        <w:t>1580.68</w:t>
      </w:r>
      <w:r>
        <w:rPr>
          <w:rFonts w:hint="eastAsia" w:ascii="仿宋_GB2312" w:hAnsi="黑体" w:eastAsia="仿宋_GB2312" w:cs="仿宋_GB2312"/>
          <w:kern w:val="0"/>
          <w:sz w:val="32"/>
          <w:szCs w:val="32"/>
          <w:highlight w:val="none"/>
        </w:rPr>
        <w:t>万元，完成年初预算的</w:t>
      </w:r>
      <w:r>
        <w:rPr>
          <w:rFonts w:hint="eastAsia" w:ascii="仿宋_GB2312" w:hAnsi="黑体" w:eastAsia="仿宋_GB2312" w:cs="仿宋_GB2312"/>
          <w:kern w:val="0"/>
          <w:sz w:val="32"/>
          <w:szCs w:val="32"/>
          <w:highlight w:val="none"/>
          <w:lang w:val="en-US" w:eastAsia="zh-CN"/>
        </w:rPr>
        <w:t>138.67</w:t>
      </w:r>
      <w:r>
        <w:rPr>
          <w:rFonts w:hint="eastAsia" w:ascii="仿宋_GB2312" w:hAnsi="黑体" w:eastAsia="仿宋_GB2312" w:cs="仿宋_GB2312"/>
          <w:kern w:val="0"/>
          <w:sz w:val="32"/>
          <w:szCs w:val="32"/>
          <w:highlight w:val="none"/>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黑体" w:eastAsia="仿宋_GB2312" w:cs="仿宋_GB2312"/>
          <w:kern w:val="0"/>
          <w:sz w:val="32"/>
          <w:szCs w:val="32"/>
          <w:highlight w:val="none"/>
        </w:rPr>
      </w:pPr>
      <w:r>
        <w:rPr>
          <w:rFonts w:hint="eastAsia" w:ascii="仿宋_GB2312" w:eastAsia="仿宋_GB2312" w:cs="仿宋_GB2312"/>
          <w:kern w:val="0"/>
          <w:sz w:val="32"/>
          <w:szCs w:val="32"/>
          <w:highlight w:val="none"/>
        </w:rPr>
        <w:t>一般公共服务支出（</w:t>
      </w:r>
      <w:r>
        <w:rPr>
          <w:rFonts w:hint="eastAsia" w:ascii="仿宋_GB2312" w:eastAsia="仿宋_GB2312" w:cs="仿宋_GB2312"/>
          <w:kern w:val="0"/>
          <w:sz w:val="32"/>
          <w:szCs w:val="32"/>
          <w:highlight w:val="none"/>
          <w:lang w:val="en-US" w:eastAsia="zh-CN"/>
        </w:rPr>
        <w:t>201</w:t>
      </w:r>
      <w:r>
        <w:rPr>
          <w:rFonts w:hint="eastAsia" w:ascii="仿宋_GB2312" w:eastAsia="仿宋_GB2312" w:cs="仿宋_GB2312"/>
          <w:kern w:val="0"/>
          <w:sz w:val="32"/>
          <w:szCs w:val="32"/>
          <w:highlight w:val="none"/>
        </w:rPr>
        <w:t>类）</w:t>
      </w:r>
      <w:r>
        <w:rPr>
          <w:rFonts w:hint="eastAsia" w:ascii="仿宋_GB2312" w:hAnsi="黑体" w:eastAsia="仿宋_GB2312" w:cs="仿宋_GB2312"/>
          <w:kern w:val="0"/>
          <w:sz w:val="32"/>
          <w:szCs w:val="32"/>
          <w:highlight w:val="none"/>
        </w:rPr>
        <w:t>年初预算为</w:t>
      </w:r>
      <w:r>
        <w:rPr>
          <w:rFonts w:hint="eastAsia" w:ascii="仿宋_GB2312" w:eastAsia="仿宋_GB2312" w:cs="仿宋_GB2312"/>
          <w:kern w:val="0"/>
          <w:sz w:val="32"/>
          <w:szCs w:val="32"/>
          <w:highlight w:val="none"/>
          <w:lang w:val="en-US" w:eastAsia="zh-CN"/>
        </w:rPr>
        <w:t>6.92</w:t>
      </w:r>
      <w:r>
        <w:rPr>
          <w:rFonts w:hint="eastAsia" w:ascii="仿宋_GB2312" w:hAnsi="黑体" w:eastAsia="仿宋_GB2312" w:cs="仿宋_GB2312"/>
          <w:kern w:val="0"/>
          <w:sz w:val="32"/>
          <w:szCs w:val="32"/>
          <w:highlight w:val="none"/>
        </w:rPr>
        <w:t>万元，支出决算为</w:t>
      </w:r>
      <w:r>
        <w:rPr>
          <w:rFonts w:hint="eastAsia" w:ascii="仿宋_GB2312" w:eastAsia="仿宋_GB2312" w:cs="仿宋_GB2312"/>
          <w:kern w:val="0"/>
          <w:sz w:val="32"/>
          <w:szCs w:val="32"/>
          <w:highlight w:val="none"/>
          <w:lang w:val="en-US" w:eastAsia="zh-CN"/>
        </w:rPr>
        <w:t>6.92</w:t>
      </w:r>
      <w:r>
        <w:rPr>
          <w:rFonts w:hint="eastAsia" w:ascii="仿宋_GB2312" w:hAnsi="黑体"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1696"/>
        <w:gridCol w:w="1311"/>
        <w:gridCol w:w="580"/>
        <w:gridCol w:w="1679"/>
        <w:gridCol w:w="1533"/>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9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99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76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34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8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90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41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9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99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76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6.92</w:t>
            </w:r>
          </w:p>
        </w:tc>
        <w:tc>
          <w:tcPr>
            <w:tcW w:w="34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6.92</w:t>
            </w:r>
          </w:p>
        </w:tc>
        <w:tc>
          <w:tcPr>
            <w:tcW w:w="98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90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20"/>
                <w:szCs w:val="20"/>
                <w:highlight w:val="none"/>
                <w:lang w:val="en-US" w:eastAsia="zh-CN"/>
              </w:rPr>
              <w:t>2023年的工会经费</w:t>
            </w:r>
          </w:p>
        </w:tc>
        <w:tc>
          <w:tcPr>
            <w:tcW w:w="41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9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99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76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6.92</w:t>
            </w:r>
          </w:p>
        </w:tc>
        <w:tc>
          <w:tcPr>
            <w:tcW w:w="34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6.92</w:t>
            </w:r>
          </w:p>
        </w:tc>
        <w:tc>
          <w:tcPr>
            <w:tcW w:w="98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90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41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hAnsi="黑体" w:eastAsia="仿宋_GB2312" w:cs="仿宋_GB2312"/>
          <w:kern w:val="0"/>
          <w:sz w:val="32"/>
          <w:szCs w:val="32"/>
          <w:highlight w:val="none"/>
        </w:rPr>
      </w:pP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科学技术支出（206类）</w:t>
      </w:r>
      <w:r>
        <w:rPr>
          <w:rFonts w:hint="eastAsia" w:ascii="仿宋_GB2312" w:hAnsi="黑体" w:eastAsia="仿宋_GB2312" w:cs="仿宋_GB2312"/>
          <w:kern w:val="0"/>
          <w:sz w:val="32"/>
          <w:szCs w:val="32"/>
          <w:highlight w:val="none"/>
        </w:rPr>
        <w:t>年初预算为</w:t>
      </w:r>
      <w:r>
        <w:rPr>
          <w:rFonts w:hint="eastAsia" w:ascii="仿宋_GB2312" w:hAnsi="黑体"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rPr>
        <w:t>支出决算为</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62.90万元，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主要原因是</w:t>
      </w:r>
      <w:r>
        <w:rPr>
          <w:rFonts w:hint="eastAsia" w:ascii="仿宋_GB2312" w:hAnsi="仿宋_GB2312" w:eastAsia="仿宋_GB2312" w:cs="仿宋_GB2312"/>
          <w:sz w:val="32"/>
          <w:szCs w:val="32"/>
          <w:highlight w:val="none"/>
          <w:lang w:val="en-US" w:eastAsia="zh-CN"/>
        </w:rPr>
        <w:t>：调整更正支出功能分类科目。</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其他科学技术支出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62.90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综合应急救援队伍的办公费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调整更正支出功能分类科目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62.90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560" w:lineRule="exact"/>
        <w:ind w:left="0" w:leftChars="0" w:right="0" w:rightChars="0" w:firstLine="627" w:firstLineChars="196"/>
        <w:jc w:val="left"/>
        <w:textAlignment w:val="auto"/>
        <w:rPr>
          <w:rFonts w:hint="eastAsia" w:ascii="仿宋_GB2312" w:hAnsi="仿宋_GB2312" w:eastAsia="仿宋_GB2312" w:cs="仿宋_GB2312"/>
          <w:i w:val="0"/>
          <w:iCs w:val="0"/>
          <w:caps w:val="0"/>
          <w:color w:val="333333"/>
          <w:spacing w:val="0"/>
          <w:sz w:val="32"/>
          <w:szCs w:val="32"/>
          <w:highlight w:val="none"/>
          <w:shd w:val="clear" w:fill="BAE7FF"/>
          <w:lang w:val="en-US" w:eastAsia="zh-CN"/>
        </w:rPr>
      </w:pPr>
      <w:r>
        <w:rPr>
          <w:rFonts w:hint="eastAsia" w:ascii="仿宋_GB2312" w:hAnsi="仿宋_GB2312" w:eastAsia="仿宋_GB2312" w:cs="仿宋_GB2312"/>
          <w:sz w:val="32"/>
          <w:szCs w:val="32"/>
          <w:highlight w:val="none"/>
          <w:lang w:val="en-US" w:eastAsia="zh-CN"/>
        </w:rPr>
        <w:t>文化旅游体育与传媒支出（207类）年初预算为0.00万元，</w:t>
      </w:r>
      <w:r>
        <w:rPr>
          <w:rFonts w:hint="eastAsia" w:ascii="仿宋_GB2312" w:hAnsi="黑体" w:eastAsia="仿宋_GB2312" w:cs="仿宋_GB2312"/>
          <w:kern w:val="0"/>
          <w:sz w:val="32"/>
          <w:szCs w:val="32"/>
          <w:highlight w:val="none"/>
        </w:rPr>
        <w:t>支出决算为</w:t>
      </w:r>
      <w:r>
        <w:rPr>
          <w:rFonts w:hint="eastAsia" w:ascii="仿宋_GB2312" w:hAnsi="仿宋_GB2312" w:eastAsia="仿宋_GB2312" w:cs="仿宋_GB2312"/>
          <w:sz w:val="32"/>
          <w:szCs w:val="32"/>
          <w:highlight w:val="none"/>
          <w:lang w:val="en-US" w:eastAsia="zh-CN"/>
        </w:rPr>
        <w:t>0.30万元，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主要原因是：2023年根据实际工作的推进，年中下达预算指标支付了新时代实践文明的预算资金。</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1635"/>
        <w:gridCol w:w="870"/>
        <w:gridCol w:w="705"/>
        <w:gridCol w:w="1185"/>
        <w:gridCol w:w="1635"/>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6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9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51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41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69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9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89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56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2079999</w:t>
            </w:r>
          </w:p>
        </w:tc>
        <w:tc>
          <w:tcPr>
            <w:tcW w:w="9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其他文化旅游体育与传媒支出</w:t>
            </w:r>
          </w:p>
        </w:tc>
        <w:tc>
          <w:tcPr>
            <w:tcW w:w="51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41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0.30</w:t>
            </w:r>
          </w:p>
        </w:tc>
        <w:tc>
          <w:tcPr>
            <w:tcW w:w="69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9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新时代实践文明活动宣传广告费</w:t>
            </w:r>
          </w:p>
        </w:tc>
        <w:tc>
          <w:tcPr>
            <w:tcW w:w="89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20"/>
                <w:szCs w:val="20"/>
                <w:highlight w:val="none"/>
                <w:lang w:val="en-US" w:eastAsia="zh-CN"/>
              </w:rPr>
              <w:t>根据实际工作推进下达预算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6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9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51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41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0.30</w:t>
            </w:r>
          </w:p>
        </w:tc>
        <w:tc>
          <w:tcPr>
            <w:tcW w:w="69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95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89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627" w:firstLineChars="196"/>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auto"/>
          <w:sz w:val="32"/>
          <w:szCs w:val="32"/>
          <w:highlight w:val="none"/>
          <w:lang w:bidi="ar"/>
        </w:rPr>
        <w:t>社会保</w:t>
      </w:r>
      <w:r>
        <w:rPr>
          <w:rFonts w:hint="eastAsia" w:ascii="仿宋_GB2312" w:hAnsi="仿宋_GB2312" w:eastAsia="仿宋_GB2312" w:cs="仿宋_GB2312"/>
          <w:sz w:val="32"/>
          <w:szCs w:val="32"/>
          <w:highlight w:val="none"/>
          <w:lang w:bidi="ar"/>
        </w:rPr>
        <w:t>障和就业支出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bidi="ar"/>
        </w:rPr>
        <w:t xml:space="preserve">208 </w:t>
      </w:r>
      <w:r>
        <w:rPr>
          <w:rFonts w:hint="eastAsia" w:ascii="仿宋_GB2312" w:hAnsi="仿宋_GB2312" w:eastAsia="仿宋_GB2312" w:cs="仿宋_GB2312"/>
          <w:sz w:val="32"/>
          <w:szCs w:val="32"/>
          <w:highlight w:val="none"/>
        </w:rPr>
        <w:t>类）</w:t>
      </w:r>
      <w:r>
        <w:rPr>
          <w:rFonts w:hint="eastAsia" w:ascii="仿宋_GB2312" w:hAnsi="黑体" w:eastAsia="仿宋_GB2312" w:cs="仿宋_GB2312"/>
          <w:kern w:val="0"/>
          <w:sz w:val="32"/>
          <w:szCs w:val="32"/>
          <w:highlight w:val="none"/>
        </w:rPr>
        <w:t>年初预算为</w:t>
      </w:r>
      <w:r>
        <w:rPr>
          <w:rFonts w:hint="eastAsia" w:ascii="仿宋_GB2312" w:hAnsi="黑体" w:eastAsia="仿宋_GB2312" w:cs="仿宋_GB2312"/>
          <w:kern w:val="0"/>
          <w:sz w:val="32"/>
          <w:szCs w:val="32"/>
          <w:highlight w:val="none"/>
          <w:lang w:val="en-US" w:eastAsia="zh-CN"/>
        </w:rPr>
        <w:t>55.36</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rPr>
        <w:t>支出决算为</w:t>
      </w:r>
      <w:r>
        <w:rPr>
          <w:rFonts w:hint="eastAsia" w:ascii="仿宋_GB2312" w:hAnsi="仿宋_GB2312" w:eastAsia="仿宋_GB2312" w:cs="仿宋_GB2312"/>
          <w:sz w:val="32"/>
          <w:szCs w:val="32"/>
          <w:highlight w:val="none"/>
          <w:lang w:val="en-US" w:eastAsia="zh-CN" w:bidi="ar"/>
        </w:rPr>
        <w:t>55.88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100.94</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主要原因是</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社会保险基数调整增高，社会保险支出增加，（四）年中下达预算指标支付了社会保障和就业支出的预算资金。</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1980"/>
        <w:gridCol w:w="855"/>
        <w:gridCol w:w="720"/>
        <w:gridCol w:w="1050"/>
        <w:gridCol w:w="1455"/>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6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6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501"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42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6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854"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874"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6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16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501"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55.36</w:t>
            </w:r>
          </w:p>
        </w:tc>
        <w:tc>
          <w:tcPr>
            <w:tcW w:w="42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55.88</w:t>
            </w:r>
          </w:p>
        </w:tc>
        <w:tc>
          <w:tcPr>
            <w:tcW w:w="6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100.94%</w:t>
            </w:r>
          </w:p>
        </w:tc>
        <w:tc>
          <w:tcPr>
            <w:tcW w:w="854"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20"/>
                <w:szCs w:val="20"/>
                <w:highlight w:val="none"/>
                <w:lang w:val="en-US" w:eastAsia="zh-CN"/>
              </w:rPr>
              <w:t>机关事业单位基本养老保险</w:t>
            </w:r>
          </w:p>
        </w:tc>
        <w:tc>
          <w:tcPr>
            <w:tcW w:w="874"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20"/>
                <w:szCs w:val="20"/>
                <w:highlight w:val="none"/>
                <w:lang w:val="en-US" w:eastAsia="zh-CN"/>
              </w:rPr>
              <w:t>根据实际工作推进下达预算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56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6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501"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55.36</w:t>
            </w:r>
          </w:p>
        </w:tc>
        <w:tc>
          <w:tcPr>
            <w:tcW w:w="422"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55.88</w:t>
            </w:r>
          </w:p>
        </w:tc>
        <w:tc>
          <w:tcPr>
            <w:tcW w:w="6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54"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874"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627" w:firstLineChars="196"/>
        <w:jc w:val="both"/>
        <w:textAlignment w:val="auto"/>
        <w:rPr>
          <w:rFonts w:hint="eastAsia" w:ascii="仿宋_GB2312" w:hAnsi="仿宋_GB2312" w:eastAsia="仿宋_GB2312" w:cs="仿宋_GB2312"/>
          <w:i w:val="0"/>
          <w:iCs w:val="0"/>
          <w:caps w:val="0"/>
          <w:color w:val="333333"/>
          <w:spacing w:val="0"/>
          <w:sz w:val="32"/>
          <w:szCs w:val="32"/>
          <w:highlight w:val="none"/>
          <w:shd w:val="clear" w:fill="BAE7FF"/>
          <w:lang w:val="en-US" w:eastAsia="zh-CN"/>
        </w:rPr>
      </w:pPr>
      <w:r>
        <w:rPr>
          <w:rFonts w:hint="eastAsia" w:ascii="仿宋_GB2312" w:hAnsi="仿宋_GB2312" w:eastAsia="仿宋_GB2312" w:cs="仿宋_GB2312"/>
          <w:kern w:val="0"/>
          <w:sz w:val="32"/>
          <w:szCs w:val="32"/>
          <w:highlight w:val="none"/>
          <w:lang w:val="en-US" w:eastAsia="zh-CN"/>
        </w:rPr>
        <w:t>卫生健康支出（210类）</w:t>
      </w:r>
      <w:r>
        <w:rPr>
          <w:rFonts w:hint="eastAsia" w:ascii="仿宋_GB2312" w:hAnsi="仿宋_GB2312" w:eastAsia="仿宋_GB2312" w:cs="仿宋_GB2312"/>
          <w:sz w:val="32"/>
          <w:szCs w:val="32"/>
          <w:highlight w:val="none"/>
          <w:lang w:val="en-US" w:eastAsia="zh-CN"/>
        </w:rPr>
        <w:t>年初预算为0万元，</w:t>
      </w:r>
      <w:r>
        <w:rPr>
          <w:rFonts w:hint="eastAsia" w:ascii="仿宋_GB2312" w:hAnsi="黑体" w:eastAsia="仿宋_GB2312" w:cs="仿宋_GB2312"/>
          <w:kern w:val="0"/>
          <w:sz w:val="32"/>
          <w:szCs w:val="32"/>
          <w:highlight w:val="none"/>
        </w:rPr>
        <w:t>支出决算为</w:t>
      </w:r>
      <w:r>
        <w:rPr>
          <w:rFonts w:hint="eastAsia" w:ascii="仿宋_GB2312" w:hAnsi="仿宋_GB2312" w:eastAsia="仿宋_GB2312" w:cs="仿宋_GB2312"/>
          <w:kern w:val="0"/>
          <w:sz w:val="32"/>
          <w:szCs w:val="32"/>
          <w:highlight w:val="none"/>
          <w:lang w:val="en-US" w:eastAsia="zh-CN"/>
        </w:rPr>
        <w:t>4.44万元，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主要原因是：2023年根据实际工作的推进，年中下达预算指标支付了疫情防控工作经费的预算资金。</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1"/>
        <w:gridCol w:w="1590"/>
        <w:gridCol w:w="934"/>
        <w:gridCol w:w="731"/>
        <w:gridCol w:w="1125"/>
        <w:gridCol w:w="1335"/>
        <w:gridCol w:w="1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2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93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54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42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66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78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01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2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2100410</w:t>
            </w:r>
          </w:p>
        </w:tc>
        <w:tc>
          <w:tcPr>
            <w:tcW w:w="93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突发公共卫生事件应急处理</w:t>
            </w:r>
          </w:p>
        </w:tc>
        <w:tc>
          <w:tcPr>
            <w:tcW w:w="54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42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4.44</w:t>
            </w:r>
          </w:p>
        </w:tc>
        <w:tc>
          <w:tcPr>
            <w:tcW w:w="66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78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疫情防控卡点费用</w:t>
            </w:r>
          </w:p>
        </w:tc>
        <w:tc>
          <w:tcPr>
            <w:tcW w:w="101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20"/>
                <w:szCs w:val="20"/>
                <w:highlight w:val="none"/>
                <w:lang w:val="en-US" w:eastAsia="zh-CN"/>
              </w:rPr>
              <w:t>根据实际工作推进下达预算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62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93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54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42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4.44</w:t>
            </w:r>
          </w:p>
        </w:tc>
        <w:tc>
          <w:tcPr>
            <w:tcW w:w="66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78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015"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627" w:firstLineChars="196"/>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kern w:val="0"/>
          <w:sz w:val="32"/>
          <w:szCs w:val="32"/>
          <w:highlight w:val="none"/>
          <w:lang w:val="en-US" w:eastAsia="zh-CN"/>
        </w:rPr>
        <w:t>住房保障支出（221类）年初预算为41.58万元，</w:t>
      </w:r>
      <w:r>
        <w:rPr>
          <w:rFonts w:hint="eastAsia" w:ascii="仿宋_GB2312" w:hAnsi="黑体" w:eastAsia="仿宋_GB2312" w:cs="仿宋_GB2312"/>
          <w:kern w:val="0"/>
          <w:sz w:val="32"/>
          <w:szCs w:val="32"/>
          <w:highlight w:val="none"/>
        </w:rPr>
        <w:t>支出决算为</w:t>
      </w:r>
      <w:r>
        <w:rPr>
          <w:rFonts w:hint="eastAsia" w:ascii="仿宋_GB2312" w:hAnsi="仿宋_GB2312" w:eastAsia="仿宋_GB2312" w:cs="仿宋_GB2312"/>
          <w:kern w:val="0"/>
          <w:sz w:val="32"/>
          <w:szCs w:val="32"/>
          <w:highlight w:val="none"/>
          <w:lang w:val="en-US" w:eastAsia="zh-CN"/>
        </w:rPr>
        <w:t>41.16万元，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98.99</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2023年在职人员比2022年减少，发放的工资总额减少，住房公积金计提金额随之减少。</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310"/>
        <w:gridCol w:w="760"/>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3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7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3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7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41.58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41.16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98.99%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在职职工住房公积金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20"/>
                <w:szCs w:val="20"/>
                <w:highlight w:val="none"/>
                <w:lang w:val="en-US" w:eastAsia="zh-CN"/>
              </w:rPr>
              <w:t>有3人退休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3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7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627" w:firstLineChars="196"/>
        <w:jc w:val="both"/>
        <w:textAlignment w:val="auto"/>
        <w:rPr>
          <w:rFonts w:hint="eastAsia" w:ascii="仿宋_GB2312" w:hAnsi="仿宋_GB2312" w:eastAsia="仿宋_GB2312" w:cs="仿宋_GB2312"/>
          <w:i w:val="0"/>
          <w:iCs w:val="0"/>
          <w:caps w:val="0"/>
          <w:color w:val="333333"/>
          <w:spacing w:val="0"/>
          <w:kern w:val="0"/>
          <w:sz w:val="32"/>
          <w:szCs w:val="32"/>
          <w:highlight w:val="none"/>
          <w:lang w:val="en-US" w:eastAsia="zh-CN" w:bidi="ar"/>
        </w:rPr>
      </w:pPr>
      <w:r>
        <w:rPr>
          <w:rFonts w:hint="eastAsia" w:ascii="仿宋" w:hAnsi="仿宋" w:eastAsia="仿宋" w:cs="仿宋"/>
          <w:sz w:val="32"/>
          <w:szCs w:val="32"/>
          <w:highlight w:val="none"/>
          <w:lang w:bidi="ar"/>
        </w:rPr>
        <w:t>灾害防治及应急管理支出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w:t>
      </w:r>
      <w:r>
        <w:rPr>
          <w:rFonts w:hint="eastAsia" w:ascii="仿宋" w:hAnsi="仿宋" w:eastAsia="仿宋" w:cs="仿宋"/>
          <w:sz w:val="32"/>
          <w:szCs w:val="32"/>
          <w:highlight w:val="none"/>
          <w:lang w:val="en-US" w:eastAsia="zh-CN" w:bidi="ar"/>
        </w:rPr>
        <w:t>4</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年初预算为1051.28万元其中包含往年结转15.21万元，</w:t>
      </w:r>
      <w:r>
        <w:rPr>
          <w:rFonts w:hint="eastAsia" w:ascii="仿宋_GB2312" w:hAnsi="黑体" w:eastAsia="仿宋_GB2312" w:cs="仿宋_GB2312"/>
          <w:kern w:val="0"/>
          <w:sz w:val="32"/>
          <w:szCs w:val="32"/>
          <w:highlight w:val="none"/>
        </w:rPr>
        <w:t>支出决算为</w:t>
      </w:r>
      <w:r>
        <w:rPr>
          <w:rFonts w:hint="eastAsia" w:ascii="仿宋" w:hAnsi="仿宋" w:eastAsia="仿宋" w:cs="仿宋"/>
          <w:sz w:val="32"/>
          <w:szCs w:val="32"/>
          <w:highlight w:val="none"/>
          <w:lang w:val="en-US" w:eastAsia="zh-CN" w:bidi="ar"/>
        </w:rPr>
        <w:t>1332.57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完成年初预算的126.76%，</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主要原因是：根据实际工作的推进，年中下达预算指标支付了</w:t>
      </w:r>
      <w:r>
        <w:rPr>
          <w:rFonts w:hint="eastAsia" w:ascii="仿宋_GB2312" w:hAnsi="仿宋_GB2312" w:eastAsia="仿宋_GB2312" w:cs="仿宋_GB2312"/>
          <w:i w:val="0"/>
          <w:iCs w:val="0"/>
          <w:caps w:val="0"/>
          <w:color w:val="333333"/>
          <w:spacing w:val="0"/>
          <w:kern w:val="0"/>
          <w:sz w:val="32"/>
          <w:szCs w:val="32"/>
          <w:highlight w:val="none"/>
          <w:lang w:val="en-US" w:eastAsia="zh-CN" w:bidi="ar"/>
        </w:rPr>
        <w:t>自然灾害救灾资金预算（冬春临时生活困难救助资金）451万元。</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90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949"/>
        <w:gridCol w:w="1185"/>
        <w:gridCol w:w="193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应急行政运行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944.17</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420.58</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44.54%</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工资、社保、办公费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年终分类调整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一般行政管理实务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16.92</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5.51</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32.57%</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差旅、办公费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资金紧张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0.22</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0.22</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党支部组织生活</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灾害风险防治</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0.96</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73.40</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综合风险普查经费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安全监管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33.30</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27.39</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82.25%</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差旅、办公费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资金紧张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应急管理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19.65</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163.75%</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差旅、办公费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其他应急管理支出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0.48</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18.44</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作训服采购、行政执法服装和标志费用</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一般行政管理事务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14.4</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0.96</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6.66%</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差旅、办公耗材</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资金紧张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地震预测预报</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4.81</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1.81</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37.63%</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办公费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资金紧张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2240506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地震灾害预防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7.15</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0.78</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10.91%</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台站维护费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资金紧张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其他地震事务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办公费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2240703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自然灾害救助补助</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13.78</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464.78</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冬春救助、房屋修缮临时性生活补助</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2240704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自然灾害灾后重建补助</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163</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救灾物资采购、应急救援设备维护、防汛抗旱物资库建设</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2240799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其他自然灾害救灾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0.1</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0.05</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50%</w:t>
            </w: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运送应急物资车辆租赁费</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2249999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其他灾害防治及应急管理支出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133</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灾害民生综合保险</w:t>
            </w: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1051.28</w:t>
            </w:r>
          </w:p>
        </w:tc>
        <w:tc>
          <w:tcPr>
            <w:tcW w:w="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1332.57</w:t>
            </w:r>
          </w:p>
        </w:tc>
        <w:tc>
          <w:tcPr>
            <w:tcW w:w="11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9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560" w:lineRule="exact"/>
        <w:ind w:left="0" w:leftChars="0" w:right="0" w:rightChars="0" w:firstLine="627" w:firstLineChars="196"/>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
        </w:rPr>
        <w:t>其他支出（229类）</w:t>
      </w:r>
      <w:r>
        <w:rPr>
          <w:rFonts w:hint="eastAsia" w:ascii="仿宋" w:hAnsi="仿宋" w:eastAsia="仿宋" w:cs="仿宋"/>
          <w:sz w:val="32"/>
          <w:szCs w:val="32"/>
          <w:highlight w:val="none"/>
          <w:lang w:val="en-US" w:eastAsia="zh-CN"/>
        </w:rPr>
        <w:t>年初预算为0万元，支出决算为</w:t>
      </w:r>
      <w:r>
        <w:rPr>
          <w:rFonts w:hint="eastAsia" w:ascii="仿宋" w:hAnsi="仿宋" w:eastAsia="仿宋" w:cs="仿宋"/>
          <w:color w:val="auto"/>
          <w:kern w:val="2"/>
          <w:sz w:val="32"/>
          <w:szCs w:val="32"/>
          <w:highlight w:val="none"/>
          <w:lang w:val="en-US" w:eastAsia="zh-CN" w:bidi="ar"/>
        </w:rPr>
        <w:t>76.51万元，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原因是：根据实际工作的推进，年中下达预算指标支付了</w:t>
      </w:r>
      <w:r>
        <w:rPr>
          <w:rFonts w:hint="eastAsia" w:ascii="仿宋" w:hAnsi="仿宋" w:eastAsia="仿宋" w:cs="仿宋"/>
          <w:color w:val="auto"/>
          <w:sz w:val="32"/>
          <w:szCs w:val="32"/>
          <w:highlight w:val="none"/>
          <w:lang w:val="en-US" w:eastAsia="zh-CN"/>
        </w:rPr>
        <w:t>相关补贴。</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76.51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年中下达指标支付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76.51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三、202</w:t>
      </w:r>
      <w:r>
        <w:rPr>
          <w:rFonts w:hint="eastAsia" w:ascii="黑体" w:hAnsi="黑体" w:eastAsia="黑体" w:cs="仿宋_GB2312"/>
          <w:kern w:val="0"/>
          <w:sz w:val="32"/>
          <w:szCs w:val="32"/>
          <w:highlight w:val="none"/>
          <w:lang w:val="en-US" w:eastAsia="zh-CN"/>
        </w:rPr>
        <w:t>3</w:t>
      </w:r>
      <w:r>
        <w:rPr>
          <w:rFonts w:hint="eastAsia" w:ascii="黑体" w:hAnsi="黑体" w:eastAsia="黑体" w:cs="仿宋_GB2312"/>
          <w:kern w:val="0"/>
          <w:sz w:val="32"/>
          <w:szCs w:val="32"/>
          <w:highlight w:val="none"/>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202</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公共预算财政拨款基本支出</w:t>
      </w:r>
      <w:r>
        <w:rPr>
          <w:rFonts w:hint="eastAsia" w:ascii="仿宋_GB2312" w:eastAsia="仿宋_GB2312" w:cs="仿宋_GB2312"/>
          <w:kern w:val="0"/>
          <w:sz w:val="32"/>
          <w:szCs w:val="32"/>
          <w:highlight w:val="none"/>
          <w:lang w:val="en-US" w:eastAsia="zh-CN"/>
        </w:rPr>
        <w:t>541.76</w:t>
      </w:r>
      <w:r>
        <w:rPr>
          <w:rFonts w:hint="eastAsia" w:ascii="仿宋_GB2312" w:eastAsia="仿宋_GB2312" w:cs="仿宋_GB2312"/>
          <w:kern w:val="0"/>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495.15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46.61</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eastAsia="仿宋_GB2312" w:cs="仿宋_GB2312"/>
          <w:kern w:val="0"/>
          <w:sz w:val="32"/>
          <w:szCs w:val="32"/>
          <w:highlight w:val="none"/>
        </w:rPr>
        <w:t>支出具体情况如下：</w:t>
      </w:r>
    </w:p>
    <w:p>
      <w:pPr>
        <w:keepNext w:val="0"/>
        <w:keepLines w:val="0"/>
        <w:pageBreakBefore w:val="0"/>
        <w:widowControl w:val="0"/>
        <w:numPr>
          <w:ilvl w:val="0"/>
          <w:numId w:val="3"/>
        </w:numPr>
        <w:kinsoku/>
        <w:wordWrap/>
        <w:overflowPunct/>
        <w:topLinePunct w:val="0"/>
        <w:bidi w:val="0"/>
        <w:snapToGrid/>
        <w:spacing w:line="560" w:lineRule="exact"/>
        <w:ind w:left="0" w:firstLine="627" w:firstLineChars="196"/>
        <w:jc w:val="left"/>
        <w:textAlignment w:val="auto"/>
        <w:rPr>
          <w:rFonts w:hint="eastAsia" w:ascii="仿宋" w:hAnsi="仿宋" w:eastAsia="仿宋" w:cs="仿宋"/>
          <w:color w:val="auto"/>
          <w:sz w:val="32"/>
          <w:szCs w:val="32"/>
          <w:highlight w:val="none"/>
          <w:lang w:val="en-US" w:eastAsia="zh-CN"/>
        </w:rPr>
      </w:pPr>
      <w:r>
        <w:rPr>
          <w:rFonts w:hint="eastAsia" w:ascii="仿宋_GB2312" w:eastAsia="仿宋_GB2312"/>
          <w:bCs/>
          <w:kern w:val="0"/>
          <w:sz w:val="32"/>
          <w:szCs w:val="32"/>
          <w:highlight w:val="none"/>
        </w:rPr>
        <w:t>工资福利支出</w:t>
      </w:r>
      <w:r>
        <w:rPr>
          <w:rFonts w:hint="eastAsia" w:ascii="仿宋_GB2312" w:eastAsia="仿宋_GB2312" w:cs="仿宋_GB2312"/>
          <w:kern w:val="0"/>
          <w:sz w:val="32"/>
          <w:szCs w:val="32"/>
          <w:highlight w:val="none"/>
          <w:lang w:val="en-US" w:eastAsia="zh-CN"/>
        </w:rPr>
        <w:t>477.35</w:t>
      </w:r>
      <w:r>
        <w:rPr>
          <w:rFonts w:hint="eastAsia" w:ascii="仿宋_GB2312" w:eastAsia="仿宋_GB2312"/>
          <w:bCs/>
          <w:kern w:val="0"/>
          <w:sz w:val="32"/>
          <w:szCs w:val="32"/>
          <w:highlight w:val="none"/>
        </w:rPr>
        <w:t>万元，完成年初预算的</w:t>
      </w:r>
      <w:r>
        <w:rPr>
          <w:rFonts w:hint="eastAsia" w:ascii="仿宋_GB2312" w:eastAsia="仿宋_GB2312" w:cs="仿宋_GB2312"/>
          <w:kern w:val="0"/>
          <w:sz w:val="32"/>
          <w:szCs w:val="32"/>
          <w:highlight w:val="none"/>
          <w:lang w:val="en-US" w:eastAsia="zh-CN"/>
        </w:rPr>
        <w:t>48.16</w:t>
      </w:r>
      <w:r>
        <w:rPr>
          <w:rFonts w:hint="eastAsia" w:ascii="仿宋_GB2312" w:eastAsia="仿宋_GB2312"/>
          <w:bCs/>
          <w:kern w:val="0"/>
          <w:sz w:val="32"/>
          <w:szCs w:val="32"/>
          <w:highlight w:val="none"/>
        </w:rPr>
        <w:t xml:space="preserve"> %。</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预算表中的机关事业单位基本养老保险和职工基本医疗保险是按照经济分类进行汇总，包含了在职人员、综合应急救援队伍和聘用人员的养老保险和医疗保险，而在实际账务处理中，这个经济分类只反映在职人员的养老保险和医疗保险。</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142.08万元，30102津贴补贴85.61万元，30103奖金112.34万元，30107绩效工资14.59万元，30108机关事业单位基本养老保险缴费55.88万元，30110职工基本医疗保险缴费22.24万元，30112其他社会保障缴费0.85万元，30113住房公积金41.16万元，</w:t>
      </w:r>
      <w:r>
        <w:rPr>
          <w:rFonts w:hint="eastAsia" w:ascii="仿宋" w:hAnsi="仿宋" w:eastAsia="仿宋" w:cs="仿宋"/>
          <w:color w:val="auto"/>
          <w:sz w:val="32"/>
          <w:szCs w:val="32"/>
          <w:highlight w:val="none"/>
          <w:lang w:val="en-US" w:eastAsia="zh-CN"/>
        </w:rPr>
        <w:t>30199其他工资福利支出2.60万元。</w:t>
      </w:r>
    </w:p>
    <w:p>
      <w:pPr>
        <w:keepNext w:val="0"/>
        <w:keepLines w:val="0"/>
        <w:pageBreakBefore w:val="0"/>
        <w:widowControl w:val="0"/>
        <w:numPr>
          <w:ilvl w:val="0"/>
          <w:numId w:val="0"/>
        </w:numPr>
        <w:kinsoku/>
        <w:wordWrap/>
        <w:overflowPunct/>
        <w:topLinePunct w:val="0"/>
        <w:bidi w:val="0"/>
        <w:snapToGrid/>
        <w:spacing w:line="240" w:lineRule="auto"/>
        <w:ind w:leftChars="196"/>
        <w:jc w:val="lef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drawing>
          <wp:inline distT="0" distB="0" distL="114300" distR="114300">
            <wp:extent cx="4834890" cy="3105785"/>
            <wp:effectExtent l="0" t="0" r="3810" b="18415"/>
            <wp:docPr id="11" name="图片 11" descr="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 (2)"/>
                    <pic:cNvPicPr>
                      <a:picLocks noChangeAspect="1"/>
                    </pic:cNvPicPr>
                  </pic:nvPicPr>
                  <pic:blipFill>
                    <a:blip r:embed="rId8"/>
                    <a:stretch>
                      <a:fillRect/>
                    </a:stretch>
                  </pic:blipFill>
                  <pic:spPr>
                    <a:xfrm>
                      <a:off x="0" y="0"/>
                      <a:ext cx="4834890" cy="3105785"/>
                    </a:xfrm>
                    <a:prstGeom prst="rect">
                      <a:avLst/>
                    </a:prstGeom>
                  </pic:spPr>
                </pic:pic>
              </a:graphicData>
            </a:graphic>
          </wp:inline>
        </w:drawing>
      </w:r>
    </w:p>
    <w:p>
      <w:pPr>
        <w:keepNext w:val="0"/>
        <w:keepLines w:val="0"/>
        <w:pageBreakBefore w:val="0"/>
        <w:widowControl w:val="0"/>
        <w:numPr>
          <w:ilvl w:val="0"/>
          <w:numId w:val="3"/>
        </w:numPr>
        <w:kinsoku/>
        <w:wordWrap/>
        <w:overflowPunct/>
        <w:topLinePunct w:val="0"/>
        <w:bidi w:val="0"/>
        <w:snapToGrid/>
        <w:spacing w:line="560" w:lineRule="exact"/>
        <w:ind w:left="0" w:leftChars="0" w:firstLine="627" w:firstLineChars="196"/>
        <w:jc w:val="left"/>
        <w:textAlignment w:val="auto"/>
        <w:rPr>
          <w:rFonts w:hint="eastAsia" w:ascii="仿宋" w:hAnsi="仿宋" w:eastAsia="仿宋" w:cs="仿宋"/>
          <w:sz w:val="32"/>
          <w:szCs w:val="32"/>
          <w:highlight w:val="none"/>
          <w:lang w:val="en-US" w:eastAsia="zh-CN"/>
        </w:rPr>
      </w:pPr>
      <w:r>
        <w:rPr>
          <w:rFonts w:hint="eastAsia" w:ascii="仿宋_GB2312" w:eastAsia="仿宋_GB2312"/>
          <w:bCs/>
          <w:kern w:val="0"/>
          <w:sz w:val="32"/>
          <w:szCs w:val="32"/>
          <w:highlight w:val="none"/>
        </w:rPr>
        <w:t>商品和服务支出</w:t>
      </w:r>
      <w:r>
        <w:rPr>
          <w:rFonts w:hint="eastAsia" w:ascii="仿宋_GB2312" w:eastAsia="仿宋_GB2312"/>
          <w:bCs/>
          <w:kern w:val="0"/>
          <w:sz w:val="32"/>
          <w:szCs w:val="32"/>
          <w:highlight w:val="none"/>
          <w:lang w:val="en-US" w:eastAsia="zh-CN"/>
        </w:rPr>
        <w:t>46.61</w:t>
      </w:r>
      <w:r>
        <w:rPr>
          <w:rFonts w:hint="eastAsia" w:ascii="仿宋_GB2312" w:eastAsia="仿宋_GB2312"/>
          <w:bCs/>
          <w:kern w:val="0"/>
          <w:sz w:val="32"/>
          <w:szCs w:val="32"/>
          <w:highlight w:val="none"/>
        </w:rPr>
        <w:t>万元，完成年初预算的</w:t>
      </w:r>
      <w:r>
        <w:rPr>
          <w:rFonts w:hint="eastAsia" w:ascii="仿宋_GB2312" w:eastAsia="仿宋_GB2312" w:cs="仿宋_GB2312"/>
          <w:kern w:val="0"/>
          <w:sz w:val="32"/>
          <w:szCs w:val="32"/>
          <w:highlight w:val="none"/>
          <w:lang w:val="en-US" w:eastAsia="zh-CN"/>
        </w:rPr>
        <w:t>100.50</w:t>
      </w:r>
      <w:r>
        <w:rPr>
          <w:rFonts w:hint="eastAsia" w:ascii="仿宋_GB2312" w:eastAsia="仿宋_GB2312"/>
          <w:bCs/>
          <w:kern w:val="0"/>
          <w:sz w:val="32"/>
          <w:szCs w:val="32"/>
          <w:highlight w:val="none"/>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0.35万元，30205水费0.12万元，30206电费0.84万元，30207邮电费3.98万元，30215会议费1.50万元，30217公务接待2.97万元，30218专业材料费0.02万元，30228工会经费6.92万元，30231公务公车运行维护费6.87万元，30239其他交通费用22.57万元，30299其他商品和服务支出0.47万元。</w:t>
      </w:r>
    </w:p>
    <w:p>
      <w:pPr>
        <w:keepNext w:val="0"/>
        <w:keepLines w:val="0"/>
        <w:pageBreakBefore w:val="0"/>
        <w:widowControl w:val="0"/>
        <w:numPr>
          <w:ilvl w:val="0"/>
          <w:numId w:val="0"/>
        </w:numPr>
        <w:kinsoku/>
        <w:wordWrap/>
        <w:overflowPunct/>
        <w:topLinePunct w:val="0"/>
        <w:bidi w:val="0"/>
        <w:snapToGrid/>
        <w:spacing w:line="240" w:lineRule="auto"/>
        <w:ind w:leftChars="196"/>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drawing>
          <wp:inline distT="0" distB="0" distL="114300" distR="114300">
            <wp:extent cx="4749800" cy="3190875"/>
            <wp:effectExtent l="0" t="0" r="12700" b="9525"/>
            <wp:docPr id="12"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
                    <pic:cNvPicPr>
                      <a:picLocks noChangeAspect="1"/>
                    </pic:cNvPicPr>
                  </pic:nvPicPr>
                  <pic:blipFill>
                    <a:blip r:embed="rId9"/>
                    <a:stretch>
                      <a:fillRect/>
                    </a:stretch>
                  </pic:blipFill>
                  <pic:spPr>
                    <a:xfrm>
                      <a:off x="0" y="0"/>
                      <a:ext cx="4749800" cy="3190875"/>
                    </a:xfrm>
                    <a:prstGeom prst="rect">
                      <a:avLst/>
                    </a:prstGeom>
                  </pic:spPr>
                </pic:pic>
              </a:graphicData>
            </a:graphic>
          </wp:inline>
        </w:drawing>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left="0" w:leftChars="0" w:right="0" w:rightChars="0" w:firstLine="627" w:firstLineChars="196"/>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对个人和家庭的补助</w:t>
      </w:r>
      <w:r>
        <w:rPr>
          <w:rFonts w:hint="eastAsia" w:ascii="仿宋" w:hAnsi="仿宋" w:eastAsia="仿宋" w:cs="仿宋"/>
          <w:sz w:val="32"/>
          <w:highlight w:val="none"/>
          <w:u w:color="auto"/>
          <w:lang w:val="en-US" w:eastAsia="zh-CN"/>
        </w:rPr>
        <w:t>17.80</w:t>
      </w:r>
      <w:r>
        <w:rPr>
          <w:rFonts w:ascii="仿宋" w:hAnsi="仿宋" w:eastAsia="仿宋" w:cs="仿宋"/>
          <w:sz w:val="32"/>
          <w:highlight w:val="none"/>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171.15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主要原因是：2023年有3</w:t>
      </w:r>
      <w:r>
        <w:rPr>
          <w:rFonts w:hint="eastAsia" w:ascii="仿宋" w:hAnsi="仿宋" w:eastAsia="仿宋" w:cs="仿宋"/>
          <w:color w:val="auto"/>
          <w:kern w:val="2"/>
          <w:sz w:val="32"/>
          <w:szCs w:val="32"/>
          <w:highlight w:val="none"/>
          <w:lang w:val="en-US" w:eastAsia="zh-CN" w:bidi="ar"/>
        </w:rPr>
        <w:t>人退休，年中</w:t>
      </w:r>
      <w:r>
        <w:rPr>
          <w:rFonts w:hint="eastAsia" w:ascii="仿宋" w:hAnsi="仿宋" w:eastAsia="仿宋"/>
          <w:color w:val="000000" w:themeColor="text1"/>
          <w:sz w:val="32"/>
          <w:szCs w:val="32"/>
          <w:highlight w:val="none"/>
          <w:lang w:val="en-US" w:eastAsia="zh-CN"/>
          <w14:textFill>
            <w14:solidFill>
              <w14:schemeClr w14:val="tx1"/>
            </w14:solidFill>
          </w14:textFill>
        </w:rPr>
        <w:t>下达预算指标支付了退休人员的生活补助</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30305生活补助17.80万元。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四、202</w:t>
      </w:r>
      <w:r>
        <w:rPr>
          <w:rFonts w:hint="eastAsia" w:ascii="黑体" w:hAnsi="黑体" w:eastAsia="黑体" w:cs="仿宋_GB2312"/>
          <w:kern w:val="0"/>
          <w:sz w:val="32"/>
          <w:szCs w:val="32"/>
          <w:highlight w:val="none"/>
          <w:lang w:val="en-US" w:eastAsia="zh-CN"/>
        </w:rPr>
        <w:t>3</w:t>
      </w:r>
      <w:r>
        <w:rPr>
          <w:rFonts w:hint="eastAsia" w:ascii="黑体" w:hAnsi="黑体" w:eastAsia="黑体" w:cs="仿宋_GB2312"/>
          <w:kern w:val="0"/>
          <w:sz w:val="32"/>
          <w:szCs w:val="32"/>
          <w:highlight w:val="none"/>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hAnsi="黑体" w:eastAsia="仿宋_GB2312"/>
          <w:bCs/>
          <w:color w:val="000000"/>
          <w:sz w:val="32"/>
          <w:szCs w:val="32"/>
          <w:highlight w:val="none"/>
          <w:u w:val="none"/>
        </w:rPr>
        <w:t xml:space="preserve"> </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年度政府性基金支出</w:t>
      </w:r>
      <w:r>
        <w:rPr>
          <w:rFonts w:hint="eastAsia" w:ascii="仿宋_GB2312" w:eastAsia="仿宋_GB2312" w:cs="仿宋_GB2312"/>
          <w:kern w:val="0"/>
          <w:sz w:val="32"/>
          <w:szCs w:val="32"/>
          <w:highlight w:val="none"/>
          <w:lang w:val="en-US" w:eastAsia="zh-CN"/>
        </w:rPr>
        <w:t>11.00</w:t>
      </w:r>
      <w:r>
        <w:rPr>
          <w:rFonts w:hint="eastAsia" w:ascii="仿宋_GB2312" w:eastAsia="仿宋_GB2312" w:cs="仿宋_GB2312"/>
          <w:kern w:val="0"/>
          <w:sz w:val="32"/>
          <w:szCs w:val="32"/>
          <w:highlight w:val="none"/>
        </w:rPr>
        <w:t>万元，</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11.00</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100.00</w:t>
      </w:r>
      <w:r>
        <w:rPr>
          <w:rFonts w:hint="eastAsia" w:ascii="仿宋_GB2312" w:hAnsi="黑体" w:eastAsia="仿宋_GB2312" w:cs="仿宋_GB2312"/>
          <w:kern w:val="0"/>
          <w:sz w:val="32"/>
          <w:szCs w:val="32"/>
          <w:highlight w:val="none"/>
        </w:rPr>
        <w:t xml:space="preserve"> %。</w:t>
      </w:r>
      <w:r>
        <w:rPr>
          <w:rFonts w:hint="eastAsia" w:ascii="仿宋_GB2312" w:eastAsia="仿宋_GB2312" w:cs="仿宋_GB2312"/>
          <w:kern w:val="0"/>
          <w:sz w:val="32"/>
          <w:szCs w:val="32"/>
          <w:highlight w:val="none"/>
        </w:rPr>
        <w:t>其中：基本支出</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万元，项目支出</w:t>
      </w:r>
      <w:r>
        <w:rPr>
          <w:rFonts w:hint="eastAsia" w:ascii="仿宋_GB2312" w:eastAsia="仿宋_GB2312" w:cs="仿宋_GB2312"/>
          <w:kern w:val="0"/>
          <w:sz w:val="32"/>
          <w:szCs w:val="32"/>
          <w:highlight w:val="none"/>
          <w:lang w:val="en-US" w:eastAsia="zh-CN"/>
        </w:rPr>
        <w:t>11.00</w:t>
      </w:r>
      <w:r>
        <w:rPr>
          <w:rFonts w:hint="eastAsia" w:ascii="仿宋_GB2312" w:eastAsia="仿宋_GB2312" w:cs="仿宋_GB2312"/>
          <w:kern w:val="0"/>
          <w:sz w:val="32"/>
          <w:szCs w:val="32"/>
          <w:highlight w:val="none"/>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hAnsi="黑体" w:eastAsia="仿宋_GB2312"/>
          <w:kern w:val="0"/>
          <w:sz w:val="32"/>
          <w:szCs w:val="32"/>
          <w:highlight w:val="none"/>
        </w:rPr>
        <w:t>202</w:t>
      </w:r>
      <w:r>
        <w:rPr>
          <w:rFonts w:hint="eastAsia" w:ascii="仿宋_GB2312" w:hAnsi="黑体" w:eastAsia="仿宋_GB2312"/>
          <w:kern w:val="0"/>
          <w:sz w:val="32"/>
          <w:szCs w:val="32"/>
          <w:highlight w:val="none"/>
          <w:lang w:val="en-US" w:eastAsia="zh-CN"/>
        </w:rPr>
        <w:t>3</w:t>
      </w:r>
      <w:r>
        <w:rPr>
          <w:rFonts w:hint="eastAsia" w:ascii="仿宋_GB2312" w:hAnsi="黑体" w:eastAsia="仿宋_GB2312" w:cs="仿宋_GB2312"/>
          <w:kern w:val="0"/>
          <w:sz w:val="32"/>
          <w:szCs w:val="32"/>
          <w:highlight w:val="none"/>
        </w:rPr>
        <w:t>年度政府性基金支出年初预算为</w:t>
      </w:r>
      <w:r>
        <w:rPr>
          <w:rFonts w:hint="eastAsia" w:ascii="仿宋_GB2312"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万元，支出决算为</w:t>
      </w:r>
      <w:r>
        <w:rPr>
          <w:rFonts w:hint="eastAsia" w:ascii="仿宋_GB2312" w:eastAsia="仿宋_GB2312" w:cs="仿宋_GB2312"/>
          <w:kern w:val="0"/>
          <w:sz w:val="32"/>
          <w:szCs w:val="32"/>
          <w:highlight w:val="none"/>
          <w:lang w:val="en-US" w:eastAsia="zh-CN"/>
        </w:rPr>
        <w:t>11.00</w:t>
      </w:r>
      <w:r>
        <w:rPr>
          <w:rFonts w:hint="eastAsia" w:ascii="仿宋_GB2312" w:hAnsi="黑体"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100.00</w:t>
      </w:r>
      <w:r>
        <w:rPr>
          <w:rFonts w:hint="eastAsia" w:ascii="仿宋_GB2312" w:hAnsi="黑体" w:eastAsia="仿宋_GB2312" w:cs="仿宋_GB2312"/>
          <w:kern w:val="0"/>
          <w:sz w:val="32"/>
          <w:szCs w:val="32"/>
          <w:highlight w:val="none"/>
        </w:rPr>
        <w:t>%。</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eastAsia="仿宋_GB2312"/>
          <w:bCs/>
          <w:kern w:val="0"/>
          <w:sz w:val="32"/>
          <w:szCs w:val="32"/>
          <w:highlight w:val="none"/>
        </w:rPr>
        <w:t>（一）</w:t>
      </w:r>
      <w:r>
        <w:rPr>
          <w:rFonts w:hint="eastAsia" w:ascii="仿宋_GB2312" w:eastAsia="仿宋_GB2312" w:cs="仿宋_GB2312"/>
          <w:kern w:val="0"/>
          <w:sz w:val="32"/>
          <w:szCs w:val="32"/>
          <w:highlight w:val="none"/>
          <w:lang w:val="en-US" w:eastAsia="zh-CN"/>
        </w:rPr>
        <w:t>城乡社区支出（212类）</w:t>
      </w:r>
      <w:r>
        <w:rPr>
          <w:rFonts w:hint="eastAsia" w:ascii="仿宋_GB2312" w:hAnsi="黑体" w:eastAsia="仿宋_GB2312" w:cs="仿宋_GB2312"/>
          <w:kern w:val="0"/>
          <w:sz w:val="32"/>
          <w:szCs w:val="32"/>
          <w:highlight w:val="none"/>
        </w:rPr>
        <w:t>年初预算为</w:t>
      </w:r>
      <w:r>
        <w:rPr>
          <w:rFonts w:hint="eastAsia" w:ascii="仿宋_GB2312"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万元，支出决算为</w:t>
      </w:r>
      <w:r>
        <w:rPr>
          <w:rFonts w:hint="eastAsia" w:ascii="仿宋_GB2312" w:eastAsia="仿宋_GB2312" w:cs="仿宋_GB2312"/>
          <w:kern w:val="0"/>
          <w:sz w:val="32"/>
          <w:szCs w:val="32"/>
          <w:highlight w:val="none"/>
          <w:lang w:val="en-US" w:eastAsia="zh-CN"/>
        </w:rPr>
        <w:t>11.00</w:t>
      </w:r>
      <w:r>
        <w:rPr>
          <w:rFonts w:hint="eastAsia" w:ascii="仿宋_GB2312" w:hAnsi="黑体"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 xml:space="preserve"> </w:t>
      </w:r>
      <w:r>
        <w:rPr>
          <w:rFonts w:hint="eastAsia" w:ascii="仿宋_GB2312" w:hAnsi="黑体" w:eastAsia="仿宋_GB2312" w:cs="仿宋_GB2312"/>
          <w:kern w:val="0"/>
          <w:sz w:val="32"/>
          <w:szCs w:val="32"/>
          <w:highlight w:val="none"/>
          <w:lang w:val="en-US" w:eastAsia="zh-CN"/>
        </w:rPr>
        <w:t>.00</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lang w:val="en-US" w:eastAsia="zh-CN"/>
        </w:rPr>
        <w:t>主要用于：行政执法制式服装和标志费。较年初预算增加了11.00万元，增加100.00%，主要原因是：2023年根据工作的开展推进，年中追加预算下达了应急管理综合行政执法制式服装和标志的预算资金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五、202</w:t>
      </w:r>
      <w:r>
        <w:rPr>
          <w:rFonts w:hint="eastAsia" w:ascii="黑体" w:hAnsi="黑体" w:eastAsia="黑体" w:cs="仿宋_GB2312"/>
          <w:kern w:val="0"/>
          <w:sz w:val="32"/>
          <w:szCs w:val="32"/>
          <w:highlight w:val="none"/>
          <w:lang w:val="en-US" w:eastAsia="zh-CN"/>
        </w:rPr>
        <w:t>3</w:t>
      </w:r>
      <w:r>
        <w:rPr>
          <w:rFonts w:hint="eastAsia" w:ascii="黑体" w:hAnsi="黑体" w:eastAsia="黑体" w:cs="仿宋_GB2312"/>
          <w:kern w:val="0"/>
          <w:sz w:val="32"/>
          <w:szCs w:val="32"/>
          <w:highlight w:val="none"/>
        </w:rPr>
        <w:t>年度国有资本经营预算支出决算情况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年度国有资本经营预算支出</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其中：基本支出</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万元，项目支出</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hAnsi="黑体" w:eastAsia="仿宋_GB2312"/>
          <w:kern w:val="0"/>
          <w:sz w:val="32"/>
          <w:szCs w:val="32"/>
          <w:highlight w:val="none"/>
        </w:rPr>
        <w:t>202</w:t>
      </w:r>
      <w:r>
        <w:rPr>
          <w:rFonts w:hint="eastAsia" w:ascii="仿宋_GB2312" w:hAnsi="黑体" w:eastAsia="仿宋_GB2312"/>
          <w:kern w:val="0"/>
          <w:sz w:val="32"/>
          <w:szCs w:val="32"/>
          <w:highlight w:val="none"/>
          <w:lang w:val="en-US" w:eastAsia="zh-CN"/>
        </w:rPr>
        <w:t>3</w:t>
      </w:r>
      <w:r>
        <w:rPr>
          <w:rFonts w:hint="eastAsia" w:ascii="仿宋_GB2312" w:hAnsi="黑体" w:eastAsia="仿宋_GB2312" w:cs="仿宋_GB2312"/>
          <w:kern w:val="0"/>
          <w:sz w:val="32"/>
          <w:szCs w:val="32"/>
          <w:highlight w:val="none"/>
        </w:rPr>
        <w:t>年度</w:t>
      </w:r>
      <w:r>
        <w:rPr>
          <w:rFonts w:hint="eastAsia" w:ascii="仿宋_GB2312" w:eastAsia="仿宋_GB2312" w:cs="仿宋_GB2312"/>
          <w:kern w:val="0"/>
          <w:sz w:val="32"/>
          <w:szCs w:val="32"/>
          <w:highlight w:val="none"/>
        </w:rPr>
        <w:t>国有资本经营预算</w:t>
      </w:r>
      <w:r>
        <w:rPr>
          <w:rFonts w:hint="eastAsia" w:ascii="仿宋_GB2312" w:hAnsi="黑体" w:eastAsia="仿宋_GB2312" w:cs="仿宋_GB2312"/>
          <w:kern w:val="0"/>
          <w:sz w:val="32"/>
          <w:szCs w:val="32"/>
          <w:highlight w:val="none"/>
        </w:rPr>
        <w:t>支出年初预算为</w:t>
      </w:r>
      <w:r>
        <w:rPr>
          <w:rFonts w:hint="eastAsia" w:ascii="仿宋_GB2312"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万元，支出决算为</w:t>
      </w:r>
      <w:r>
        <w:rPr>
          <w:rFonts w:hint="eastAsia" w:ascii="仿宋_GB2312"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0.00</w:t>
      </w:r>
      <w:r>
        <w:rPr>
          <w:rFonts w:hint="eastAsia" w:ascii="仿宋_GB2312" w:hAnsi="黑体" w:eastAsia="仿宋_GB2312" w:cs="仿宋_GB2312"/>
          <w:kern w:val="0"/>
          <w:sz w:val="32"/>
          <w:szCs w:val="32"/>
          <w:highlight w:val="none"/>
        </w:rPr>
        <w:t>%。</w:t>
      </w:r>
    </w:p>
    <w:p>
      <w:pPr>
        <w:keepNext w:val="0"/>
        <w:keepLines w:val="0"/>
        <w:pageBreakBefore w:val="0"/>
        <w:widowControl w:val="0"/>
        <w:kinsoku/>
        <w:wordWrap/>
        <w:overflowPunct/>
        <w:topLinePunct w:val="0"/>
        <w:bidi w:val="0"/>
        <w:snapToGrid/>
        <w:spacing w:line="560" w:lineRule="exact"/>
        <w:ind w:left="0" w:firstLine="627" w:firstLineChars="196"/>
        <w:jc w:val="left"/>
        <w:textAlignment w:val="auto"/>
        <w:rPr>
          <w:rFonts w:hint="eastAsia" w:ascii="仿宋" w:hAnsi="仿宋" w:eastAsia="仿宋" w:cs="仿宋"/>
          <w:color w:val="auto"/>
          <w:sz w:val="32"/>
          <w:szCs w:val="32"/>
          <w:highlight w:val="none"/>
        </w:rPr>
      </w:pPr>
      <w:bookmarkStart w:id="1" w:name="PO_part3A5B1C1DiffReason1"/>
      <w:r>
        <w:rPr>
          <w:rFonts w:hint="eastAsia" w:ascii="仿宋_GB2312" w:hAnsi="Times New Roman" w:eastAsia="仿宋_GB2312" w:cs="Times New Roman"/>
          <w:color w:val="auto"/>
          <w:sz w:val="32"/>
          <w:szCs w:val="32"/>
          <w:highlight w:val="none"/>
          <w:lang w:val="en-US" w:eastAsia="zh-CN"/>
        </w:rPr>
        <w:t>本</w:t>
      </w:r>
      <w:r>
        <w:rPr>
          <w:rFonts w:hint="eastAsia" w:ascii="仿宋_GB2312" w:hAnsi="Times New Roman" w:eastAsia="仿宋_GB2312" w:cs="Times New Roman"/>
          <w:color w:val="auto"/>
          <w:sz w:val="32"/>
          <w:szCs w:val="32"/>
          <w:highlight w:val="none"/>
          <w:lang w:eastAsia="zh-CN"/>
        </w:rPr>
        <w:t>单位</w:t>
      </w:r>
      <w:r>
        <w:rPr>
          <w:rFonts w:ascii="仿宋_GB2312" w:hAnsi="仿宋_GB2312" w:eastAsia="仿宋_GB2312" w:cs="仿宋_GB2312"/>
          <w:color w:val="auto"/>
          <w:sz w:val="32"/>
          <w:highlight w:val="none"/>
          <w:u w:color="auto"/>
        </w:rPr>
        <w:t>没有国有资本经营预算收入，也没有国有资本经营预算收入</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安排的支出，故本段落无表述。</w:t>
      </w:r>
      <w:bookmarkEnd w:id="1"/>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六、财政拨款安排的“三公”经费支出决算情况说明</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ascii="仿宋" w:hAnsi="仿宋" w:eastAsia="仿宋" w:cs="仿宋"/>
          <w:sz w:val="32"/>
          <w:szCs w:val="32"/>
          <w:highlight w:val="none"/>
        </w:rPr>
      </w:pPr>
      <w:r>
        <w:rPr>
          <w:rFonts w:hint="eastAsia" w:ascii="仿宋_GB2312" w:eastAsia="仿宋_GB2312" w:cs="仿宋_GB2312"/>
          <w:kern w:val="0"/>
          <w:sz w:val="32"/>
          <w:szCs w:val="32"/>
          <w:highlight w:val="none"/>
        </w:rPr>
        <w:t>202</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 xml:space="preserve">年度财政拨款安排的“三公”经费支出 </w:t>
      </w:r>
      <w:r>
        <w:rPr>
          <w:rFonts w:hint="eastAsia" w:ascii="仿宋_GB2312" w:eastAsia="仿宋_GB2312" w:cs="仿宋_GB2312"/>
          <w:kern w:val="0"/>
          <w:sz w:val="32"/>
          <w:szCs w:val="32"/>
          <w:highlight w:val="none"/>
          <w:lang w:val="en-US" w:eastAsia="zh-CN"/>
        </w:rPr>
        <w:t>13.44</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98.81</w:t>
      </w:r>
      <w:r>
        <w:rPr>
          <w:rFonts w:hint="eastAsia" w:ascii="仿宋_GB2312" w:eastAsia="仿宋_GB2312" w:cs="仿宋_GB2312"/>
          <w:kern w:val="0"/>
          <w:sz w:val="32"/>
          <w:szCs w:val="32"/>
          <w:highlight w:val="none"/>
        </w:rPr>
        <w:t xml:space="preserve"> %，比上年增</w:t>
      </w:r>
      <w:r>
        <w:rPr>
          <w:rFonts w:hint="eastAsia" w:ascii="仿宋_GB2312" w:eastAsia="仿宋_GB2312" w:cs="仿宋_GB2312"/>
          <w:kern w:val="0"/>
          <w:sz w:val="32"/>
          <w:szCs w:val="32"/>
          <w:highlight w:val="none"/>
          <w:lang w:val="en-US" w:eastAsia="zh-CN"/>
        </w:rPr>
        <w:t>加7.53</w:t>
      </w:r>
      <w:r>
        <w:rPr>
          <w:rFonts w:hint="eastAsia" w:ascii="仿宋_GB2312" w:eastAsia="仿宋_GB2312" w:cs="仿宋_GB2312"/>
          <w:kern w:val="0"/>
          <w:sz w:val="32"/>
          <w:szCs w:val="32"/>
          <w:highlight w:val="none"/>
        </w:rPr>
        <w:t>万元，主要原因是</w:t>
      </w:r>
      <w:r>
        <w:rPr>
          <w:rFonts w:hint="eastAsia" w:ascii="仿宋" w:hAnsi="仿宋" w:eastAsia="仿宋" w:cs="仿宋"/>
          <w:color w:val="auto"/>
          <w:kern w:val="2"/>
          <w:sz w:val="32"/>
          <w:szCs w:val="32"/>
          <w:highlight w:val="none"/>
          <w:lang w:val="en-US" w:eastAsia="zh-CN" w:bidi="ar"/>
        </w:rPr>
        <w:t>根据实际工作安排，支付往年公务接待费用。</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8.39</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5.04</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具体情况如下：</w:t>
      </w:r>
    </w:p>
    <w:p>
      <w:pPr>
        <w:keepNext w:val="0"/>
        <w:keepLines w:val="0"/>
        <w:pageBreakBefore w:val="0"/>
        <w:widowControl w:val="0"/>
        <w:numPr>
          <w:ilvl w:val="0"/>
          <w:numId w:val="4"/>
        </w:numPr>
        <w:kinsoku/>
        <w:wordWrap/>
        <w:overflowPunct/>
        <w:topLinePunct w:val="0"/>
        <w:bidi w:val="0"/>
        <w:snapToGrid/>
        <w:spacing w:line="560" w:lineRule="exact"/>
        <w:ind w:left="0" w:firstLine="627" w:firstLineChars="196"/>
        <w:jc w:val="lef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kern w:val="0"/>
          <w:sz w:val="32"/>
          <w:szCs w:val="32"/>
          <w:highlight w:val="none"/>
        </w:rPr>
        <w:t>（一）因公出国（境）费支出</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%，比上年增</w:t>
      </w:r>
      <w:r>
        <w:rPr>
          <w:rFonts w:hint="eastAsia" w:ascii="仿宋_GB2312" w:eastAsia="仿宋_GB2312" w:cs="仿宋_GB2312"/>
          <w:kern w:val="0"/>
          <w:sz w:val="32"/>
          <w:szCs w:val="32"/>
          <w:highlight w:val="none"/>
          <w:lang w:val="en-US" w:eastAsia="zh-CN"/>
        </w:rPr>
        <w:t>加0.00</w:t>
      </w:r>
      <w:r>
        <w:rPr>
          <w:rFonts w:hint="eastAsia" w:ascii="仿宋_GB2312" w:eastAsia="仿宋_GB2312" w:cs="仿宋_GB2312"/>
          <w:kern w:val="0"/>
          <w:sz w:val="32"/>
          <w:szCs w:val="32"/>
          <w:highlight w:val="none"/>
        </w:rPr>
        <w:t>万元，原因是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sz w:val="32"/>
          <w:szCs w:val="32"/>
          <w:highlight w:val="none"/>
        </w:rPr>
        <w:t>因公出国（境）</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（二）公务用车购置及运行费支出</w:t>
      </w:r>
      <w:r>
        <w:rPr>
          <w:rFonts w:hint="eastAsia" w:ascii="仿宋_GB2312" w:eastAsia="仿宋_GB2312" w:cs="仿宋_GB2312"/>
          <w:kern w:val="0"/>
          <w:sz w:val="32"/>
          <w:szCs w:val="32"/>
          <w:highlight w:val="none"/>
          <w:lang w:val="en-US" w:eastAsia="zh-CN"/>
        </w:rPr>
        <w:t>8.39</w:t>
      </w:r>
      <w:r>
        <w:rPr>
          <w:rFonts w:hint="eastAsia" w:ascii="仿宋_GB2312" w:eastAsia="仿宋_GB2312" w:cs="仿宋_GB2312"/>
          <w:kern w:val="0"/>
          <w:sz w:val="32"/>
          <w:szCs w:val="32"/>
          <w:highlight w:val="none"/>
        </w:rPr>
        <w:t>万元。其中：</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 w:hAnsi="仿宋" w:eastAsia="仿宋" w:cs="仿宋"/>
          <w:color w:val="auto"/>
          <w:sz w:val="32"/>
          <w:szCs w:val="32"/>
          <w:highlight w:val="none"/>
        </w:rPr>
      </w:pPr>
      <w:r>
        <w:rPr>
          <w:rFonts w:hint="eastAsia" w:ascii="仿宋_GB2312" w:eastAsia="仿宋_GB2312" w:cs="仿宋_GB2312"/>
          <w:kern w:val="0"/>
          <w:sz w:val="32"/>
          <w:szCs w:val="32"/>
          <w:highlight w:val="none"/>
        </w:rPr>
        <w:t>公务用车购置支出</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%，比上年增</w:t>
      </w:r>
      <w:r>
        <w:rPr>
          <w:rFonts w:hint="eastAsia" w:ascii="仿宋_GB2312" w:eastAsia="仿宋_GB2312" w:cs="仿宋_GB2312"/>
          <w:kern w:val="0"/>
          <w:sz w:val="32"/>
          <w:szCs w:val="32"/>
          <w:highlight w:val="none"/>
          <w:lang w:val="en-US" w:eastAsia="zh-CN"/>
        </w:rPr>
        <w:t>加0.00</w:t>
      </w:r>
      <w:r>
        <w:rPr>
          <w:rFonts w:hint="eastAsia" w:ascii="仿宋_GB2312" w:eastAsia="仿宋_GB2312" w:cs="仿宋_GB2312"/>
          <w:kern w:val="0"/>
          <w:sz w:val="32"/>
          <w:szCs w:val="32"/>
          <w:highlight w:val="none"/>
        </w:rPr>
        <w:t>万元，原因是</w:t>
      </w:r>
      <w:bookmarkStart w:id="2" w:name="PO_part3A6B2IncReason1"/>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无公务用车购置</w:t>
      </w:r>
      <w:bookmarkEnd w:id="2"/>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bidi w:val="0"/>
        <w:snapToGrid/>
        <w:spacing w:line="560" w:lineRule="exact"/>
        <w:ind w:left="0" w:firstLine="627" w:firstLineChars="196"/>
        <w:jc w:val="left"/>
        <w:textAlignment w:val="auto"/>
        <w:rPr>
          <w:rFonts w:ascii="仿宋" w:hAnsi="仿宋" w:eastAsia="仿宋" w:cs="仿宋"/>
          <w:color w:val="FF0000"/>
          <w:sz w:val="32"/>
          <w:szCs w:val="32"/>
          <w:highlight w:val="none"/>
        </w:rPr>
      </w:pPr>
      <w:r>
        <w:rPr>
          <w:rFonts w:hint="eastAsia" w:ascii="仿宋_GB2312" w:eastAsia="仿宋_GB2312" w:cs="仿宋_GB2312"/>
          <w:kern w:val="0"/>
          <w:sz w:val="32"/>
          <w:szCs w:val="32"/>
          <w:highlight w:val="none"/>
        </w:rPr>
        <w:t>公务用车运行支出</w:t>
      </w:r>
      <w:r>
        <w:rPr>
          <w:rFonts w:hint="eastAsia" w:ascii="仿宋_GB2312" w:eastAsia="仿宋_GB2312" w:cs="仿宋_GB2312"/>
          <w:kern w:val="0"/>
          <w:sz w:val="32"/>
          <w:szCs w:val="32"/>
          <w:highlight w:val="none"/>
          <w:lang w:val="en-US" w:eastAsia="zh-CN"/>
        </w:rPr>
        <w:t>8.39</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97.56</w:t>
      </w:r>
      <w:r>
        <w:rPr>
          <w:rFonts w:hint="eastAsia" w:ascii="仿宋_GB2312" w:eastAsia="仿宋_GB2312" w:cs="仿宋_GB2312"/>
          <w:kern w:val="0"/>
          <w:sz w:val="32"/>
          <w:szCs w:val="32"/>
          <w:highlight w:val="none"/>
        </w:rPr>
        <w:t>%，比上年增</w:t>
      </w:r>
      <w:r>
        <w:rPr>
          <w:rFonts w:hint="eastAsia" w:ascii="仿宋_GB2312" w:eastAsia="仿宋_GB2312" w:cs="仿宋_GB2312"/>
          <w:kern w:val="0"/>
          <w:sz w:val="32"/>
          <w:szCs w:val="32"/>
          <w:highlight w:val="none"/>
          <w:lang w:val="en-US" w:eastAsia="zh-CN"/>
        </w:rPr>
        <w:t>加6.67</w:t>
      </w:r>
      <w:r>
        <w:rPr>
          <w:rFonts w:hint="eastAsia" w:ascii="仿宋_GB2312" w:eastAsia="仿宋_GB2312" w:cs="仿宋_GB2312"/>
          <w:kern w:val="0"/>
          <w:sz w:val="32"/>
          <w:szCs w:val="32"/>
          <w:highlight w:val="none"/>
        </w:rPr>
        <w:t>万元，原因是</w:t>
      </w:r>
      <w:r>
        <w:rPr>
          <w:rFonts w:hint="eastAsia" w:ascii="仿宋" w:hAnsi="仿宋" w:eastAsia="仿宋" w:cs="仿宋"/>
          <w:color w:val="auto"/>
          <w:kern w:val="2"/>
          <w:sz w:val="32"/>
          <w:szCs w:val="32"/>
          <w:highlight w:val="none"/>
          <w:lang w:val="en-US" w:eastAsia="zh-CN" w:bidi="ar"/>
        </w:rPr>
        <w:t>2023年本单位调入一部公务车，年初预算增加了一部公务车的预算；根据实际工作安排租赁了一部车辆。</w:t>
      </w:r>
      <w:r>
        <w:rPr>
          <w:rFonts w:hint="eastAsia" w:ascii="仿宋_GB2312" w:eastAsia="仿宋_GB2312" w:cs="仿宋_GB2312"/>
          <w:kern w:val="0"/>
          <w:sz w:val="32"/>
          <w:szCs w:val="32"/>
          <w:highlight w:val="none"/>
        </w:rPr>
        <w:t>公务用车运行支出主要用于</w:t>
      </w:r>
      <w:r>
        <w:rPr>
          <w:rFonts w:hint="eastAsia" w:ascii="仿宋_GB2312" w:eastAsia="仿宋_GB2312" w:cs="仿宋_GB2312"/>
          <w:kern w:val="0"/>
          <w:sz w:val="32"/>
          <w:szCs w:val="32"/>
          <w:highlight w:val="none"/>
          <w:lang w:val="en-US" w:eastAsia="zh-CN"/>
        </w:rPr>
        <w:t>县</w:t>
      </w:r>
      <w:r>
        <w:rPr>
          <w:rFonts w:hint="eastAsia" w:ascii="仿宋_GB2312" w:eastAsia="仿宋_GB2312" w:cs="仿宋_GB2312"/>
          <w:kern w:val="0"/>
          <w:sz w:val="32"/>
          <w:szCs w:val="32"/>
          <w:highlight w:val="none"/>
        </w:rPr>
        <w:t>内因公出行以及开展</w:t>
      </w:r>
      <w:r>
        <w:rPr>
          <w:rFonts w:hint="eastAsia" w:ascii="仿宋_GB2312" w:eastAsia="仿宋_GB2312" w:cs="仿宋_GB2312"/>
          <w:kern w:val="0"/>
          <w:sz w:val="32"/>
          <w:szCs w:val="32"/>
          <w:highlight w:val="none"/>
          <w:lang w:val="en-US" w:eastAsia="zh-CN"/>
        </w:rPr>
        <w:t>安全检查、综合应急救援</w:t>
      </w:r>
      <w:r>
        <w:rPr>
          <w:rFonts w:hint="eastAsia" w:ascii="仿宋_GB2312" w:eastAsia="仿宋_GB2312" w:cs="仿宋_GB2312"/>
          <w:kern w:val="0"/>
          <w:sz w:val="32"/>
          <w:szCs w:val="32"/>
          <w:highlight w:val="none"/>
        </w:rPr>
        <w:t>业务所需车辆燃料费、维修费、过路过桥费、保险费等。</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highlight w:val="none"/>
          <w:u w:color="auto"/>
          <w:lang w:val="en-US" w:eastAsia="zh-CN"/>
        </w:rPr>
        <w:t>本</w:t>
      </w:r>
      <w:r>
        <w:rPr>
          <w:rFonts w:hint="eastAsia" w:ascii="仿宋" w:hAnsi="仿宋" w:eastAsia="仿宋" w:cs="仿宋"/>
          <w:sz w:val="32"/>
          <w:highlight w:val="none"/>
          <w:u w:color="auto"/>
          <w:lang w:eastAsia="zh-CN"/>
        </w:rPr>
        <w:t>单位</w:t>
      </w:r>
      <w:r>
        <w:rPr>
          <w:rFonts w:hint="eastAsia" w:ascii="仿宋" w:hAnsi="仿宋" w:eastAsia="仿宋" w:cs="仿宋"/>
          <w:sz w:val="32"/>
          <w:szCs w:val="32"/>
          <w:highlight w:val="none"/>
        </w:rPr>
        <w:t>及</w:t>
      </w:r>
      <w:r>
        <w:rPr>
          <w:rFonts w:hint="eastAsia" w:ascii="仿宋" w:hAnsi="仿宋" w:eastAsia="仿宋" w:cs="仿宋"/>
          <w:color w:val="auto"/>
          <w:sz w:val="32"/>
          <w:szCs w:val="32"/>
          <w:highlight w:val="none"/>
          <w:u w:val="single"/>
          <w:lang w:val="en-US" w:eastAsia="zh-CN"/>
        </w:rPr>
        <w:t xml:space="preserve"> 2个</w:t>
      </w:r>
      <w:r>
        <w:rPr>
          <w:rFonts w:hint="eastAsia" w:ascii="仿宋" w:hAnsi="仿宋" w:eastAsia="仿宋" w:cs="仿宋"/>
          <w:sz w:val="32"/>
          <w:szCs w:val="32"/>
          <w:highlight w:val="none"/>
        </w:rPr>
        <w:t>所属单位开支财政拨款的公务用车保有量为</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辆，全年运行费支出</w:t>
      </w:r>
      <w:r>
        <w:rPr>
          <w:rFonts w:hint="eastAsia" w:ascii="仿宋" w:hAnsi="仿宋" w:eastAsia="仿宋" w:cs="仿宋"/>
          <w:sz w:val="32"/>
          <w:highlight w:val="none"/>
          <w:u w:color="auto"/>
          <w:lang w:val="en-US" w:eastAsia="zh-CN"/>
        </w:rPr>
        <w:t>8.39</w:t>
      </w:r>
      <w:r>
        <w:rPr>
          <w:rFonts w:hint="eastAsia" w:ascii="仿宋" w:hAnsi="仿宋" w:eastAsia="仿宋" w:cs="仿宋"/>
          <w:sz w:val="32"/>
          <w:szCs w:val="32"/>
          <w:highlight w:val="none"/>
        </w:rPr>
        <w:t>万</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2.79</w:t>
      </w:r>
      <w:r>
        <w:rPr>
          <w:rFonts w:hint="eastAsia" w:ascii="仿宋" w:hAnsi="仿宋" w:eastAsia="仿宋" w:cs="仿宋"/>
          <w:color w:val="auto"/>
          <w:sz w:val="32"/>
          <w:szCs w:val="32"/>
          <w:highlight w:val="none"/>
        </w:rPr>
        <w:t>万元。</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7" w:firstLineChars="196"/>
        <w:jc w:val="left"/>
        <w:textAlignment w:val="auto"/>
        <w:rPr>
          <w:rFonts w:ascii="仿宋" w:hAnsi="仿宋" w:eastAsia="仿宋" w:cs="仿宋"/>
          <w:sz w:val="32"/>
          <w:szCs w:val="32"/>
          <w:highlight w:val="none"/>
        </w:rPr>
      </w:pPr>
      <w:r>
        <w:rPr>
          <w:rFonts w:hint="eastAsia" w:ascii="仿宋_GB2312" w:eastAsia="仿宋_GB2312" w:cs="仿宋_GB2312"/>
          <w:kern w:val="0"/>
          <w:sz w:val="32"/>
          <w:szCs w:val="32"/>
          <w:highlight w:val="none"/>
        </w:rPr>
        <w:t>（三）公务接待费支出</w:t>
      </w:r>
      <w:r>
        <w:rPr>
          <w:rFonts w:hint="eastAsia" w:ascii="仿宋_GB2312" w:eastAsia="仿宋_GB2312" w:cs="仿宋_GB2312"/>
          <w:kern w:val="0"/>
          <w:sz w:val="32"/>
          <w:szCs w:val="32"/>
          <w:highlight w:val="none"/>
          <w:lang w:val="en-US" w:eastAsia="zh-CN"/>
        </w:rPr>
        <w:t>5.04</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100</w:t>
      </w:r>
      <w:r>
        <w:rPr>
          <w:rFonts w:hint="eastAsia" w:ascii="仿宋_GB2312" w:eastAsia="仿宋_GB2312" w:cs="仿宋_GB2312"/>
          <w:kern w:val="0"/>
          <w:sz w:val="32"/>
          <w:szCs w:val="32"/>
          <w:highlight w:val="none"/>
        </w:rPr>
        <w:t>%，比上年增</w:t>
      </w:r>
      <w:r>
        <w:rPr>
          <w:rFonts w:hint="eastAsia" w:ascii="仿宋_GB2312" w:eastAsia="仿宋_GB2312" w:cs="仿宋_GB2312"/>
          <w:kern w:val="0"/>
          <w:sz w:val="32"/>
          <w:szCs w:val="32"/>
          <w:highlight w:val="none"/>
          <w:lang w:val="en-US" w:eastAsia="zh-CN"/>
        </w:rPr>
        <w:t>加0.8</w:t>
      </w:r>
      <w:r>
        <w:rPr>
          <w:rFonts w:hint="eastAsia" w:ascii="仿宋_GB2312" w:eastAsia="仿宋_GB2312" w:cs="仿宋_GB2312"/>
          <w:kern w:val="0"/>
          <w:sz w:val="32"/>
          <w:szCs w:val="32"/>
          <w:highlight w:val="none"/>
        </w:rPr>
        <w:t>万元，主要原因是</w:t>
      </w:r>
      <w:r>
        <w:rPr>
          <w:rFonts w:hint="eastAsia" w:ascii="仿宋" w:hAnsi="仿宋" w:eastAsia="仿宋" w:cs="仿宋"/>
          <w:color w:val="auto"/>
          <w:kern w:val="2"/>
          <w:sz w:val="32"/>
          <w:szCs w:val="32"/>
          <w:highlight w:val="none"/>
          <w:lang w:val="en-US" w:eastAsia="zh-CN" w:bidi="ar"/>
        </w:rPr>
        <w:t>根据实际工作安排，支付往年公务接待费用。</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72</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420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七、其他重要事项情况说明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楷体_GB2312" w:eastAsia="楷体_GB2312" w:cs="仿宋_GB2312"/>
          <w:kern w:val="0"/>
          <w:sz w:val="32"/>
          <w:szCs w:val="32"/>
          <w:highlight w:val="none"/>
        </w:rPr>
      </w:pPr>
      <w:r>
        <w:rPr>
          <w:rFonts w:hint="eastAsia" w:ascii="楷体_GB2312" w:eastAsia="楷体_GB2312" w:cs="仿宋_GB2312"/>
          <w:kern w:val="0"/>
          <w:sz w:val="32"/>
          <w:szCs w:val="32"/>
          <w:highlight w:val="none"/>
        </w:rPr>
        <w:t>（一）机关运行经费支出情况说明。</w:t>
      </w:r>
    </w:p>
    <w:p>
      <w:pPr>
        <w:keepNext w:val="0"/>
        <w:keepLines w:val="0"/>
        <w:pageBreakBefore w:val="0"/>
        <w:widowControl w:val="0"/>
        <w:kinsoku/>
        <w:wordWrap/>
        <w:overflowPunct/>
        <w:topLinePunct w:val="0"/>
        <w:bidi w:val="0"/>
        <w:snapToGrid/>
        <w:spacing w:line="560" w:lineRule="exact"/>
        <w:ind w:left="0" w:firstLine="627" w:firstLineChars="196"/>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本部门202</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年度机关运行经费支出</w:t>
      </w:r>
      <w:r>
        <w:rPr>
          <w:rFonts w:hint="eastAsia" w:ascii="仿宋_GB2312" w:eastAsia="仿宋_GB2312" w:cs="仿宋_GB2312"/>
          <w:kern w:val="0"/>
          <w:sz w:val="32"/>
          <w:szCs w:val="32"/>
          <w:highlight w:val="none"/>
          <w:lang w:val="en-US" w:eastAsia="zh-CN"/>
        </w:rPr>
        <w:t>46.61</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比年初预算数增加</w:t>
      </w:r>
      <w:r>
        <w:rPr>
          <w:rFonts w:hint="eastAsia" w:ascii="仿宋_GB2312" w:eastAsia="仿宋_GB2312" w:cs="仿宋_GB2312"/>
          <w:kern w:val="0"/>
          <w:sz w:val="32"/>
          <w:szCs w:val="32"/>
          <w:highlight w:val="none"/>
          <w:lang w:val="en-US" w:eastAsia="zh-CN"/>
        </w:rPr>
        <w:t>0.23</w:t>
      </w:r>
      <w:r>
        <w:rPr>
          <w:rFonts w:hint="eastAsia" w:ascii="仿宋_GB2312" w:eastAsia="仿宋_GB2312" w:cs="仿宋_GB2312"/>
          <w:kern w:val="0"/>
          <w:sz w:val="32"/>
          <w:szCs w:val="32"/>
          <w:highlight w:val="none"/>
        </w:rPr>
        <w:t>万元，增长</w:t>
      </w:r>
      <w:r>
        <w:rPr>
          <w:rFonts w:hint="eastAsia" w:ascii="仿宋_GB2312" w:eastAsia="仿宋_GB2312" w:cs="仿宋_GB2312"/>
          <w:kern w:val="0"/>
          <w:sz w:val="32"/>
          <w:szCs w:val="32"/>
          <w:highlight w:val="none"/>
          <w:lang w:val="en-US" w:eastAsia="zh-CN"/>
        </w:rPr>
        <w:t>0.50</w:t>
      </w:r>
      <w:r>
        <w:rPr>
          <w:rFonts w:hint="eastAsia" w:ascii="仿宋_GB2312" w:eastAsia="仿宋_GB2312" w:cs="仿宋_GB2312"/>
          <w:kern w:val="0"/>
          <w:sz w:val="32"/>
          <w:szCs w:val="32"/>
          <w:highlight w:val="none"/>
        </w:rPr>
        <w:t xml:space="preserve"> %，比上年决算数减少</w:t>
      </w:r>
      <w:r>
        <w:rPr>
          <w:rFonts w:hint="eastAsia" w:ascii="仿宋_GB2312" w:eastAsia="仿宋_GB2312" w:cs="仿宋_GB2312"/>
          <w:kern w:val="0"/>
          <w:sz w:val="32"/>
          <w:szCs w:val="32"/>
          <w:highlight w:val="none"/>
          <w:lang w:val="en-US" w:eastAsia="zh-CN"/>
        </w:rPr>
        <w:t>4.40万</w:t>
      </w:r>
      <w:r>
        <w:rPr>
          <w:rFonts w:hint="eastAsia" w:ascii="仿宋_GB2312" w:eastAsia="仿宋_GB2312" w:cs="仿宋_GB2312"/>
          <w:kern w:val="0"/>
          <w:sz w:val="32"/>
          <w:szCs w:val="32"/>
          <w:highlight w:val="none"/>
        </w:rPr>
        <w:t>元，降低</w:t>
      </w:r>
      <w:r>
        <w:rPr>
          <w:rFonts w:hint="eastAsia" w:ascii="仿宋_GB2312" w:eastAsia="仿宋_GB2312" w:cs="仿宋_GB2312"/>
          <w:kern w:val="0"/>
          <w:sz w:val="32"/>
          <w:szCs w:val="32"/>
          <w:highlight w:val="none"/>
          <w:lang w:val="en-US" w:eastAsia="zh-CN"/>
        </w:rPr>
        <w:t>8.63</w:t>
      </w:r>
      <w:r>
        <w:rPr>
          <w:rFonts w:hint="eastAsia" w:ascii="仿宋_GB2312" w:eastAsia="仿宋_GB2312" w:cs="仿宋_GB2312"/>
          <w:kern w:val="0"/>
          <w:sz w:val="32"/>
          <w:szCs w:val="32"/>
          <w:highlight w:val="none"/>
        </w:rPr>
        <w:t>%。主要原因是：</w:t>
      </w:r>
      <w:r>
        <w:rPr>
          <w:rFonts w:hint="eastAsia" w:ascii="仿宋" w:hAnsi="仿宋" w:eastAsia="仿宋" w:cs="仿宋"/>
          <w:color w:val="auto"/>
          <w:sz w:val="32"/>
          <w:szCs w:val="32"/>
          <w:highlight w:val="none"/>
        </w:rPr>
        <w:t>落实过紧日子要求压减支出。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color w:val="auto"/>
          <w:kern w:val="0"/>
          <w:sz w:val="32"/>
          <w:szCs w:val="32"/>
          <w:highlight w:val="none"/>
        </w:rPr>
      </w:pPr>
      <w:r>
        <w:rPr>
          <w:rFonts w:hint="eastAsia" w:ascii="楷体_GB2312" w:eastAsia="楷体_GB2312" w:cs="仿宋_GB2312"/>
          <w:kern w:val="0"/>
          <w:sz w:val="32"/>
          <w:szCs w:val="32"/>
          <w:highlight w:val="none"/>
        </w:rPr>
        <w:t>（二）政府采购支出情况说明。</w:t>
      </w:r>
      <w:r>
        <w:rPr>
          <w:rFonts w:hint="eastAsia" w:ascii="仿宋_GB2312" w:eastAsia="仿宋_GB2312" w:cs="仿宋_GB2312"/>
          <w:kern w:val="0"/>
          <w:sz w:val="32"/>
          <w:szCs w:val="32"/>
          <w:highlight w:val="none"/>
        </w:rPr>
        <w:t>本部门202</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年度政府采购支出总额</w:t>
      </w:r>
      <w:r>
        <w:rPr>
          <w:rFonts w:hint="eastAsia" w:ascii="仿宋_GB2312" w:eastAsia="仿宋_GB2312" w:cs="仿宋_GB2312"/>
          <w:kern w:val="0"/>
          <w:sz w:val="32"/>
          <w:szCs w:val="32"/>
          <w:highlight w:val="none"/>
          <w:lang w:val="en-US" w:eastAsia="zh-CN"/>
        </w:rPr>
        <w:t>126.80</w:t>
      </w:r>
      <w:r>
        <w:rPr>
          <w:rFonts w:hint="eastAsia" w:ascii="仿宋_GB2312" w:eastAsia="仿宋_GB2312" w:cs="仿宋_GB2312"/>
          <w:kern w:val="0"/>
          <w:sz w:val="32"/>
          <w:szCs w:val="32"/>
          <w:highlight w:val="none"/>
        </w:rPr>
        <w:t>万元，其中：政府采购货物支出</w:t>
      </w:r>
      <w:r>
        <w:rPr>
          <w:rFonts w:hint="eastAsia" w:ascii="仿宋_GB2312" w:eastAsia="仿宋_GB2312" w:cs="仿宋_GB2312"/>
          <w:kern w:val="0"/>
          <w:sz w:val="32"/>
          <w:szCs w:val="32"/>
          <w:highlight w:val="none"/>
          <w:lang w:val="en-US" w:eastAsia="zh-CN"/>
        </w:rPr>
        <w:t>126.33</w:t>
      </w:r>
      <w:r>
        <w:rPr>
          <w:rFonts w:hint="eastAsia" w:ascii="仿宋_GB2312" w:eastAsia="仿宋_GB2312" w:cs="仿宋_GB2312"/>
          <w:kern w:val="0"/>
          <w:sz w:val="32"/>
          <w:szCs w:val="32"/>
          <w:highlight w:val="none"/>
        </w:rPr>
        <w:t>万元、政府采购工程支出</w:t>
      </w:r>
      <w:r>
        <w:rPr>
          <w:rFonts w:hint="eastAsia" w:ascii="仿宋_GB2312" w:eastAsia="仿宋_GB2312" w:cs="仿宋_GB2312"/>
          <w:kern w:val="0"/>
          <w:sz w:val="32"/>
          <w:szCs w:val="32"/>
          <w:highlight w:val="none"/>
          <w:lang w:val="en-US" w:eastAsia="zh-CN"/>
        </w:rPr>
        <w:t>0.00</w:t>
      </w:r>
      <w:r>
        <w:rPr>
          <w:rFonts w:hint="eastAsia" w:ascii="仿宋_GB2312" w:eastAsia="仿宋_GB2312" w:cs="仿宋_GB2312"/>
          <w:kern w:val="0"/>
          <w:sz w:val="32"/>
          <w:szCs w:val="32"/>
          <w:highlight w:val="none"/>
        </w:rPr>
        <w:t>万元、政府采购服务支出</w:t>
      </w:r>
      <w:r>
        <w:rPr>
          <w:rFonts w:hint="eastAsia" w:ascii="仿宋_GB2312" w:eastAsia="仿宋_GB2312" w:cs="仿宋_GB2312"/>
          <w:kern w:val="0"/>
          <w:sz w:val="32"/>
          <w:szCs w:val="32"/>
          <w:highlight w:val="none"/>
          <w:lang w:val="en-US" w:eastAsia="zh-CN"/>
        </w:rPr>
        <w:t>0.47</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授予中小企业合同金额</w:t>
      </w:r>
      <w:r>
        <w:rPr>
          <w:rFonts w:hint="eastAsia" w:ascii="仿宋_GB2312" w:eastAsia="仿宋_GB2312" w:cs="仿宋_GB2312"/>
          <w:kern w:val="0"/>
          <w:sz w:val="32"/>
          <w:szCs w:val="32"/>
          <w:highlight w:val="none"/>
          <w:lang w:val="en-US" w:eastAsia="zh-CN"/>
        </w:rPr>
        <w:t>126.33</w:t>
      </w:r>
      <w:r>
        <w:rPr>
          <w:rFonts w:hint="eastAsia" w:ascii="仿宋_GB2312" w:eastAsia="仿宋_GB2312" w:cs="仿宋_GB2312"/>
          <w:kern w:val="0"/>
          <w:sz w:val="32"/>
          <w:szCs w:val="32"/>
          <w:highlight w:val="none"/>
        </w:rPr>
        <w:t>万元，占政府采购支出总额的</w:t>
      </w:r>
      <w:r>
        <w:rPr>
          <w:rFonts w:hint="eastAsia" w:ascii="仿宋_GB2312" w:eastAsia="仿宋_GB2312" w:cs="仿宋_GB2312"/>
          <w:kern w:val="0"/>
          <w:sz w:val="32"/>
          <w:szCs w:val="32"/>
          <w:highlight w:val="none"/>
          <w:lang w:val="en-US" w:eastAsia="zh-CN"/>
        </w:rPr>
        <w:t>99.63</w:t>
      </w:r>
      <w:r>
        <w:rPr>
          <w:rFonts w:hint="eastAsia" w:ascii="仿宋_GB2312" w:eastAsia="仿宋_GB2312" w:cs="仿宋_GB2312"/>
          <w:kern w:val="0"/>
          <w:sz w:val="32"/>
          <w:szCs w:val="32"/>
          <w:highlight w:val="none"/>
        </w:rPr>
        <w:t>%，其中：授予小微企业合同金额</w:t>
      </w:r>
      <w:r>
        <w:rPr>
          <w:rFonts w:hint="eastAsia" w:ascii="仿宋_GB2312" w:eastAsia="仿宋_GB2312" w:cs="仿宋_GB2312"/>
          <w:kern w:val="0"/>
          <w:sz w:val="32"/>
          <w:szCs w:val="32"/>
          <w:highlight w:val="none"/>
          <w:lang w:val="en-US" w:eastAsia="zh-CN"/>
        </w:rPr>
        <w:t>126.33</w:t>
      </w:r>
      <w:r>
        <w:rPr>
          <w:rFonts w:hint="eastAsia" w:ascii="仿宋_GB2312" w:eastAsia="仿宋_GB2312" w:cs="仿宋_GB2312"/>
          <w:kern w:val="0"/>
          <w:sz w:val="32"/>
          <w:szCs w:val="32"/>
          <w:highlight w:val="none"/>
        </w:rPr>
        <w:t>万元，占授予中小企业合同金额的</w:t>
      </w:r>
      <w:r>
        <w:rPr>
          <w:rFonts w:hint="eastAsia" w:ascii="仿宋_GB2312" w:eastAsia="仿宋_GB2312" w:cs="仿宋_GB2312"/>
          <w:kern w:val="0"/>
          <w:sz w:val="32"/>
          <w:szCs w:val="32"/>
          <w:highlight w:val="none"/>
          <w:lang w:val="en-US" w:eastAsia="zh-CN"/>
        </w:rPr>
        <w:t>100.00</w:t>
      </w:r>
      <w:r>
        <w:rPr>
          <w:rFonts w:hint="eastAsia" w:ascii="仿宋_GB2312"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货物采购授予中小企业合同金额占货物支出金额额</w:t>
      </w:r>
      <w:r>
        <w:rPr>
          <w:rFonts w:hint="eastAsia" w:ascii="仿宋_GB2312" w:eastAsia="仿宋_GB2312" w:cs="仿宋_GB2312"/>
          <w:kern w:val="0"/>
          <w:sz w:val="32"/>
          <w:szCs w:val="32"/>
          <w:highlight w:val="none"/>
          <w:lang w:val="en-US" w:eastAsia="zh-CN"/>
        </w:rPr>
        <w:t>100.00</w:t>
      </w:r>
      <w:r>
        <w:rPr>
          <w:rFonts w:hint="eastAsia" w:ascii="仿宋_GB2312" w:hAnsi="Times New Roman" w:eastAsia="仿宋_GB2312" w:cs="仿宋_GB2312"/>
          <w:kern w:val="0"/>
          <w:sz w:val="32"/>
          <w:szCs w:val="32"/>
          <w:highlight w:val="none"/>
          <w:lang w:val="en-US" w:eastAsia="zh-CN"/>
        </w:rPr>
        <w:t xml:space="preserve"> </w:t>
      </w:r>
      <w:r>
        <w:rPr>
          <w:rFonts w:hint="eastAsia" w:ascii="仿宋_GB2312" w:hAnsi="Times New Roman"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highlight w:val="none"/>
          <w:lang w:val="en-US" w:eastAsia="zh-CN"/>
        </w:rPr>
        <w:t>0.00</w:t>
      </w:r>
      <w:r>
        <w:rPr>
          <w:rFonts w:hint="eastAsia" w:ascii="仿宋_GB2312" w:hAnsi="Times New Roman"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highlight w:val="none"/>
          <w:lang w:val="en-US" w:eastAsia="zh-CN"/>
        </w:rPr>
        <w:t>0.00</w:t>
      </w:r>
      <w:r>
        <w:rPr>
          <w:rFonts w:hint="eastAsia" w:ascii="仿宋_GB2312" w:hAnsi="Times New Roman"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楷体_GB2312" w:eastAsia="楷体_GB2312" w:cs="仿宋_GB2312"/>
          <w:kern w:val="0"/>
          <w:sz w:val="32"/>
          <w:szCs w:val="32"/>
          <w:highlight w:val="none"/>
        </w:rPr>
      </w:pPr>
      <w:r>
        <w:rPr>
          <w:rFonts w:hint="eastAsia" w:ascii="楷体_GB2312" w:eastAsia="楷体_GB2312" w:cs="仿宋_GB2312"/>
          <w:kern w:val="0"/>
          <w:sz w:val="32"/>
          <w:szCs w:val="32"/>
          <w:highlight w:val="none"/>
        </w:rPr>
        <w:t>（三）国有资产占用情况说明。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截至202</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年12月31日，本部门共有车辆</w:t>
      </w:r>
      <w:r>
        <w:rPr>
          <w:rFonts w:hint="eastAsia" w:ascii="仿宋_GB2312" w:eastAsia="仿宋_GB2312" w:cs="仿宋_GB2312"/>
          <w:kern w:val="0"/>
          <w:sz w:val="32"/>
          <w:szCs w:val="32"/>
          <w:highlight w:val="none"/>
          <w:lang w:val="en-US" w:eastAsia="zh-CN"/>
        </w:rPr>
        <w:t>2</w:t>
      </w:r>
      <w:r>
        <w:rPr>
          <w:rFonts w:hint="eastAsia" w:ascii="仿宋_GB2312" w:eastAsia="仿宋_GB2312" w:cs="仿宋_GB2312"/>
          <w:kern w:val="0"/>
          <w:sz w:val="32"/>
          <w:szCs w:val="32"/>
          <w:highlight w:val="none"/>
        </w:rPr>
        <w:t>辆，其中：副部（省）级领导干部用车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辆、机要通信用车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辆、应急保障用车</w:t>
      </w:r>
      <w:r>
        <w:rPr>
          <w:rFonts w:hint="eastAsia" w:ascii="仿宋_GB2312" w:eastAsia="仿宋_GB2312" w:cs="仿宋_GB2312"/>
          <w:kern w:val="0"/>
          <w:sz w:val="32"/>
          <w:szCs w:val="32"/>
          <w:highlight w:val="none"/>
          <w:lang w:val="en-US" w:eastAsia="zh-CN"/>
        </w:rPr>
        <w:t>2</w:t>
      </w:r>
      <w:r>
        <w:rPr>
          <w:rFonts w:hint="eastAsia" w:ascii="仿宋_GB2312" w:eastAsia="仿宋_GB2312" w:cs="仿宋_GB2312"/>
          <w:kern w:val="0"/>
          <w:sz w:val="32"/>
          <w:szCs w:val="32"/>
          <w:highlight w:val="none"/>
        </w:rPr>
        <w:t>辆、执法执勤用车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辆、特种专业技术用车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辆、其他用车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辆，单位价值50万元以上通用设备</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 xml:space="preserve">台（套）；单位价值100万元以上专用设备 </w:t>
      </w:r>
      <w:r>
        <w:rPr>
          <w:rFonts w:hint="eastAsia" w:ascii="仿宋_GB2312" w:eastAsia="仿宋_GB2312" w:cs="仿宋_GB2312"/>
          <w:kern w:val="0"/>
          <w:sz w:val="32"/>
          <w:szCs w:val="32"/>
          <w:highlight w:val="none"/>
          <w:lang w:val="en-US" w:eastAsia="zh-CN"/>
        </w:rPr>
        <w:t>1</w:t>
      </w:r>
      <w:r>
        <w:rPr>
          <w:rFonts w:hint="eastAsia" w:ascii="仿宋_GB2312" w:eastAsia="仿宋_GB2312" w:cs="仿宋_GB2312"/>
          <w:kern w:val="0"/>
          <w:sz w:val="32"/>
          <w:szCs w:val="32"/>
          <w:highlight w:val="none"/>
        </w:rPr>
        <w:t>台（套）。</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both"/>
        <w:textAlignment w:val="auto"/>
        <w:rPr>
          <w:rFonts w:hint="eastAsia" w:ascii="楷体_GB2312" w:eastAsia="楷体_GB2312" w:cs="仿宋_GB2312"/>
          <w:kern w:val="0"/>
          <w:sz w:val="32"/>
          <w:szCs w:val="32"/>
          <w:highlight w:val="none"/>
        </w:rPr>
      </w:pPr>
      <w:r>
        <w:rPr>
          <w:rFonts w:hint="eastAsia" w:ascii="黑体" w:hAnsi="黑体" w:eastAsia="黑体" w:cs="黑体"/>
          <w:kern w:val="0"/>
          <w:sz w:val="32"/>
          <w:szCs w:val="32"/>
          <w:highlight w:val="none"/>
          <w:lang w:eastAsia="zh-CN"/>
        </w:rPr>
        <w:t>八、</w:t>
      </w:r>
      <w:r>
        <w:rPr>
          <w:rFonts w:hint="eastAsia" w:ascii="黑体" w:hAnsi="黑体" w:eastAsia="黑体" w:cs="黑体"/>
          <w:kern w:val="0"/>
          <w:sz w:val="32"/>
          <w:szCs w:val="32"/>
          <w:highlight w:val="none"/>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27" w:firstLineChars="196"/>
        <w:jc w:val="both"/>
        <w:textAlignment w:val="auto"/>
        <w:outlineLvl w:val="9"/>
        <w:rPr>
          <w:rFonts w:hint="eastAsia" w:ascii="仿宋_GB2312" w:eastAsia="仿宋_GB2312" w:cs="仿宋_GB2312"/>
          <w:caps w:val="0"/>
          <w:color w:val="auto"/>
          <w:kern w:val="0"/>
          <w:sz w:val="32"/>
          <w:szCs w:val="32"/>
          <w:highlight w:val="none"/>
          <w:vertAlign w:val="baseline"/>
          <w:lang w:bidi="ar"/>
        </w:rPr>
      </w:pPr>
      <w:r>
        <w:rPr>
          <w:rFonts w:hint="default" w:ascii="仿宋_GB2312" w:hAnsi="Times New Roman" w:eastAsia="仿宋_GB2312" w:cs="仿宋_GB2312"/>
          <w:b w:val="0"/>
          <w:bCs w:val="0"/>
          <w:caps w:val="0"/>
          <w:color w:val="auto"/>
          <w:kern w:val="0"/>
          <w:sz w:val="32"/>
          <w:szCs w:val="32"/>
          <w:highlight w:val="none"/>
          <w:vertAlign w:val="baseline"/>
          <w:lang w:val="en-US" w:eastAsia="zh-CN" w:bidi="ar"/>
        </w:rPr>
        <w:t>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27" w:firstLineChars="196"/>
        <w:jc w:val="both"/>
        <w:textAlignment w:val="auto"/>
        <w:outlineLvl w:val="9"/>
        <w:rPr>
          <w:rFonts w:hint="eastAsia" w:ascii="仿宋" w:hAnsi="仿宋" w:eastAsia="仿宋" w:cs="仿宋"/>
          <w:color w:val="auto"/>
          <w:sz w:val="32"/>
          <w:szCs w:val="32"/>
          <w:highlight w:val="none"/>
          <w:lang w:val="en-US" w:eastAsia="zh-CN"/>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我部门2023年度部门预算数1538万元，执行数1471.33万元，预算执行率为95.67%，整体支出绩效自评结果为</w:t>
      </w:r>
      <w:r>
        <w:rPr>
          <w:rFonts w:hint="eastAsia" w:ascii="仿宋_GB2312" w:eastAsia="仿宋_GB2312" w:cs="仿宋_GB2312"/>
          <w:kern w:val="0"/>
          <w:sz w:val="32"/>
          <w:szCs w:val="32"/>
          <w:highlight w:val="none"/>
          <w:lang w:val="en-US" w:eastAsia="zh-CN"/>
        </w:rPr>
        <w:t>二</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等。按照工作要求对企业进行安全生产巡查，对人民群众进行安全生产宣传，</w:t>
      </w:r>
      <w:r>
        <w:rPr>
          <w:rFonts w:hint="eastAsia" w:ascii="仿宋" w:hAnsi="仿宋" w:eastAsia="仿宋" w:cs="仿宋"/>
          <w:color w:val="auto"/>
          <w:sz w:val="32"/>
          <w:szCs w:val="32"/>
          <w:highlight w:val="none"/>
          <w:lang w:val="en-US" w:eastAsia="zh-CN"/>
        </w:rPr>
        <w:t>较好的完成了2023年的预算安排。</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27" w:firstLineChars="196"/>
        <w:jc w:val="both"/>
        <w:textAlignment w:val="auto"/>
        <w:outlineLvl w:val="9"/>
        <w:rPr>
          <w:rFonts w:hint="eastAsia" w:ascii="仿宋" w:hAnsi="仿宋" w:eastAsia="仿宋" w:cs="仿宋"/>
          <w:color w:val="auto"/>
          <w:sz w:val="32"/>
          <w:szCs w:val="32"/>
          <w:highlight w:val="none"/>
          <w:lang w:val="en-US" w:eastAsia="zh-CN"/>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27" w:firstLineChars="196"/>
        <w:jc w:val="both"/>
        <w:textAlignment w:val="auto"/>
        <w:outlineLvl w:val="9"/>
        <w:rPr>
          <w:rFonts w:hint="eastAsia" w:ascii="仿宋_GB2312" w:eastAsia="仿宋_GB2312" w:cs="仿宋_GB2312"/>
          <w:caps w:val="0"/>
          <w:color w:val="auto"/>
          <w:kern w:val="0"/>
          <w:sz w:val="32"/>
          <w:szCs w:val="32"/>
          <w:highlight w:val="none"/>
          <w:vertAlign w:val="baseline"/>
          <w:lang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项目绩效自评总体情况：我部门2023年度项目</w:t>
      </w:r>
      <w:r>
        <w:rPr>
          <w:rFonts w:hint="eastAsia" w:ascii="仿宋_GB2312" w:eastAsia="仿宋_GB2312" w:cs="仿宋_GB2312"/>
          <w:kern w:val="0"/>
          <w:sz w:val="32"/>
          <w:szCs w:val="32"/>
          <w:highlight w:val="none"/>
          <w:lang w:val="en-US" w:eastAsia="zh-CN"/>
        </w:rPr>
        <w:t>28</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个，项目支出总额438.64万元。其中，本级项目24个，本级项目支出</w:t>
      </w:r>
      <w:r>
        <w:rPr>
          <w:rFonts w:hint="eastAsia" w:ascii="仿宋_GB2312" w:eastAsia="仿宋_GB2312" w:cs="仿宋_GB2312"/>
          <w:kern w:val="0"/>
          <w:sz w:val="32"/>
          <w:szCs w:val="32"/>
          <w:highlight w:val="none"/>
          <w:lang w:val="en-US" w:eastAsia="zh-CN"/>
        </w:rPr>
        <w:t>198.78</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万元；对下转移支付项目</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个，对下转移支付</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万元。项目中，敏感涉密项目</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个，涉及资金</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27" w:firstLineChars="196"/>
        <w:jc w:val="left"/>
        <w:textAlignment w:val="auto"/>
        <w:rPr>
          <w:rFonts w:hint="eastAsia" w:ascii="仿宋" w:hAnsi="仿宋" w:eastAsia="仿宋" w:cs="仿宋"/>
          <w:sz w:val="32"/>
          <w:szCs w:val="32"/>
          <w:highlight w:val="none"/>
          <w:lang w:val="en-US" w:eastAsia="zh-CN"/>
        </w:rPr>
        <w:sectPr>
          <w:pgSz w:w="11906" w:h="16838"/>
          <w:pgMar w:top="1440" w:right="1803" w:bottom="1440" w:left="1803" w:header="851" w:footer="992" w:gutter="0"/>
          <w:cols w:space="0" w:num="1"/>
          <w:rtlGutter w:val="0"/>
          <w:docGrid w:type="lines" w:linePitch="312" w:charSpace="0"/>
        </w:sect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个项目评为一等，涉及资金</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万元，占项目总数比例</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%，占项目支出总额比例</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w:t>
      </w:r>
      <w:r>
        <w:rPr>
          <w:rFonts w:hint="eastAsia" w:ascii="仿宋_GB2312" w:eastAsia="仿宋_GB2312" w:cs="仿宋_GB2312"/>
          <w:kern w:val="0"/>
          <w:sz w:val="32"/>
          <w:szCs w:val="32"/>
          <w:highlight w:val="none"/>
          <w:lang w:val="en-US" w:eastAsia="zh-CN"/>
        </w:rPr>
        <w:t>28</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个项目评为二等，涉及资金</w:t>
      </w:r>
      <w:r>
        <w:rPr>
          <w:rFonts w:hint="eastAsia" w:ascii="仿宋_GB2312" w:eastAsia="仿宋_GB2312" w:cs="仿宋_GB2312"/>
          <w:kern w:val="0"/>
          <w:sz w:val="32"/>
          <w:szCs w:val="32"/>
          <w:highlight w:val="none"/>
          <w:lang w:val="en-US" w:eastAsia="zh-CN"/>
        </w:rPr>
        <w:t>438.64</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万元，占项目总数比例</w:t>
      </w:r>
      <w:r>
        <w:rPr>
          <w:rFonts w:hint="eastAsia" w:ascii="仿宋_GB2312" w:eastAsia="仿宋_GB2312" w:cs="仿宋_GB2312"/>
          <w:kern w:val="0"/>
          <w:sz w:val="32"/>
          <w:szCs w:val="32"/>
          <w:highlight w:val="none"/>
          <w:lang w:val="en-US" w:eastAsia="zh-CN"/>
        </w:rPr>
        <w:t>100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 xml:space="preserve"> %，占项目支出总额比例</w:t>
      </w:r>
      <w:r>
        <w:rPr>
          <w:rFonts w:hint="eastAsia" w:ascii="仿宋_GB2312" w:eastAsia="仿宋_GB2312" w:cs="仿宋_GB2312"/>
          <w:kern w:val="0"/>
          <w:sz w:val="32"/>
          <w:szCs w:val="32"/>
          <w:highlight w:val="none"/>
          <w:lang w:val="en-US" w:eastAsia="zh-CN"/>
        </w:rPr>
        <w:t>100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 xml:space="preserve"> %；</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个项目评为三等，涉及资金</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万元，占项目总数比例</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 xml:space="preserve"> %，占项目支出总额比例</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 xml:space="preserve"> %；</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个项目评为四等，涉及资金</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万元，占项目总数比例</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 xml:space="preserve"> %，占项目支出总额比例</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 xml:space="preserve"> %。自评发现的主要问题及原因</w:t>
      </w:r>
      <w:r>
        <w:rPr>
          <w:rFonts w:hint="eastAsia" w:ascii="仿宋" w:hAnsi="仿宋" w:eastAsia="仿宋" w:cs="仿宋"/>
          <w:sz w:val="32"/>
          <w:szCs w:val="32"/>
          <w:highlight w:val="none"/>
          <w:lang w:val="en-US" w:eastAsia="zh-CN"/>
        </w:rPr>
        <w:t>详见附件表格。</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2512"/>
        <w:gridCol w:w="1268"/>
        <w:gridCol w:w="905"/>
        <w:gridCol w:w="970"/>
        <w:gridCol w:w="4616"/>
        <w:gridCol w:w="3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预算执行率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自评得分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自评结论</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发现的主要问题及原因</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下一步改进措施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安全生产月活动经费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生产月宣传活动社会影响力不广</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加大宣传力度和范围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安全监督监察专项资金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部分企业对安全生产意识仍然薄弱</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加强监督监察力度，扩大宣传范围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安全生产委员会办公室办公资金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86.87</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实际工作中实际涉及的项目增多，资金有缺口</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根据实际工作情况给予支付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安全生产执法监察大队工作资金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87.66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保障运行经费尚有缺口</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细化预算，持续加大预算投入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综合应急指挥中心工作资金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99.69</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保障运行经费尚有缺口</w:t>
            </w:r>
          </w:p>
        </w:tc>
        <w:tc>
          <w:tcPr>
            <w:tcW w:w="108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细化预算，持续加大预算投入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聘请安全生产专家检查、评审资金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87.68</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保障运行经费尚有缺口</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细化预算，持续加大预算投入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党支部组织生活资金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89.72</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资金有限，开展的活动的力度和范围比较小</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积极投入，扩大活动范围和教育意义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防汛抗旱专项工作资金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89.22</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保障运行经费尚有缺口</w:t>
            </w:r>
          </w:p>
        </w:tc>
        <w:tc>
          <w:tcPr>
            <w:tcW w:w="10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进一步提升工作力度，持续加大预算投入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森林防灭火专项工作资金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87.65</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保障运行经费尚有缺口</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细化预算，持续加大预算投入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应急救援专项工作资金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86.67</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应急救援能力有待提高，资金有缺口</w:t>
            </w:r>
          </w:p>
        </w:tc>
        <w:tc>
          <w:tcPr>
            <w:tcW w:w="10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继续加大预算投入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自然灾害县级配套资金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86.45</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上级转移救灾资金已经保障群众基本生活</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根据实际工作情况支付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广西地震背景场观测网络项目日常运行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87.66</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维护建设GNSS（全球导航卫星系统）基准站资金有缺口</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继续加大预算投入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广西地震烈度速报与预警系统项目台站管护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88.32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部分群众意识偏差，对地震预警系统不了解</w:t>
            </w:r>
          </w:p>
        </w:tc>
        <w:tc>
          <w:tcPr>
            <w:tcW w:w="108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加大宣传力度，加强管护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防震减灾科普宣传</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部分群众意识偏差，对防震减灾的认识比较薄弱</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加大宣传力度和范围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地震预测预报与宏观观测</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87.37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保障运行经费尚有缺口</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细化预算，持续加大预算投入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奖励性补贴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部分群众认识偏差</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继续做好宣传引导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扑火、作训服装及装备等应急装备物资采购经费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年中追加指标增加的项目支出，装备配置仍有缺口</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细化预算，加大预算投入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自然灾害综合风险普查工作经费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76.75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87.97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开展第一次灾害风险普查经验不足，制度流程不够完善</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制定更完善的流程，配备更多的普查员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综合应急救援队伍应急救援培训经费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51.31</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因经费紧缺，未能足额落实</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根据实际工作情况给予支付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应急救援车辆租用及运行维护经费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73.09</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89.81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因经费紧缺，未能足额落实</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根据实际工作情况给予支付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奖励性补贴(非三保)</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89.87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部分群众认识偏差</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继续做好宣传引导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灾害民生综合保费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89.45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部分群众认识偏差，对灾害民生综合保险不够了解</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加大宣传力度和范围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自然灾害救灾资金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87.77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本年度没有符合救助补助要求的对象</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根据实际工作情况给予支付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应急管理专项工作资金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37.88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85.79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因经费紧缺，未能足额落实</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根据实际工作情况给予支付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灾害民生综合保险保费（县级）</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部分群众认识偏差，对灾害民生综合保险不够了解</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加大宣传力度和范围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应急管理综合行政执法制式服装和标志采购</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88.17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因经费紧缺，未能足额落实</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根据实际工作情况给予支付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春节慰问经费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88.55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部分群众意识偏差</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加大宣传力度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疫情防控工作经费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97.53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87.86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年中追加指标增加的项目支出，时间急促</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制定更加完善的应急预案，加大宣传力度</w:t>
            </w:r>
          </w:p>
        </w:tc>
      </w:tr>
    </w:tbl>
    <w:p>
      <w:pPr>
        <w:autoSpaceDE w:val="0"/>
        <w:autoSpaceDN w:val="0"/>
        <w:adjustRightInd w:val="0"/>
        <w:spacing w:line="560" w:lineRule="exact"/>
        <w:ind w:firstLine="640" w:firstLineChars="200"/>
        <w:jc w:val="left"/>
        <w:rPr>
          <w:rFonts w:hint="eastAsia" w:ascii="仿宋" w:hAnsi="仿宋" w:eastAsia="仿宋" w:cs="仿宋"/>
          <w:sz w:val="32"/>
          <w:szCs w:val="32"/>
          <w:highlight w:val="none"/>
          <w:lang w:val="en-US" w:eastAsia="zh-CN"/>
        </w:rPr>
        <w:sectPr>
          <w:pgSz w:w="16838" w:h="11906" w:orient="landscape"/>
          <w:pgMar w:top="1803" w:right="1440" w:bottom="1803" w:left="1440" w:header="851" w:footer="992" w:gutter="0"/>
          <w:cols w:space="0" w:num="1"/>
          <w:rtlGutter w:val="0"/>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1799"/>
        <w:gridCol w:w="2197"/>
        <w:gridCol w:w="2767"/>
        <w:gridCol w:w="1551"/>
        <w:gridCol w:w="1127"/>
        <w:gridCol w:w="1165"/>
        <w:gridCol w:w="993"/>
        <w:gridCol w:w="2515"/>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Style w:val="10"/>
                <w:sz w:val="21"/>
                <w:szCs w:val="21"/>
                <w:highlight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安全生产月活动经费</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7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保障安全生产月宣传活动的开展。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5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1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举办减灾、防汛、防火活动宣传次数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≥4次</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年内举办的减灾、防汛、防火、安全生产宣传4次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宣传对象知晓率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目标宣传对象知晓率达98%</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宣传对象及时知晓率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各项宣传及时举办</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宣传材料制作费</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≤25000元</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25000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控制在预算指标内</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宣贯政策知晓率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群众知晓率提高，达到宣传目的</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宣传范围继续加大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宣传对象满意度</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群众满意</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7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年度预算总额25000元，执行数25000元，执行率100%，达到预期工作要求。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7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7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7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bl>
    <w:p>
      <w:pPr>
        <w:rPr>
          <w:rFonts w:hint="eastAsia" w:ascii="仿宋" w:hAnsi="仿宋" w:eastAsia="仿宋" w:cs="仿宋"/>
          <w:sz w:val="32"/>
          <w:szCs w:val="32"/>
          <w:highlight w:val="none"/>
          <w:lang w:val="en-US" w:eastAsia="zh-CN"/>
        </w:rPr>
        <w:sectPr>
          <w:pgSz w:w="16838" w:h="11906" w:orient="landscape"/>
          <w:pgMar w:top="567" w:right="567" w:bottom="567" w:left="567" w:header="851" w:footer="992" w:gutter="0"/>
          <w:cols w:space="0" w:num="1"/>
          <w:rtlGutter w:val="0"/>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
        <w:gridCol w:w="45"/>
        <w:gridCol w:w="45"/>
        <w:gridCol w:w="4"/>
        <w:gridCol w:w="2"/>
        <w:gridCol w:w="2"/>
        <w:gridCol w:w="2"/>
        <w:gridCol w:w="2"/>
        <w:gridCol w:w="1584"/>
        <w:gridCol w:w="28"/>
        <w:gridCol w:w="31"/>
        <w:gridCol w:w="11"/>
        <w:gridCol w:w="3"/>
        <w:gridCol w:w="2"/>
        <w:gridCol w:w="2"/>
        <w:gridCol w:w="17"/>
        <w:gridCol w:w="29"/>
        <w:gridCol w:w="71"/>
        <w:gridCol w:w="19"/>
        <w:gridCol w:w="192"/>
        <w:gridCol w:w="15"/>
        <w:gridCol w:w="15"/>
        <w:gridCol w:w="13"/>
        <w:gridCol w:w="28"/>
        <w:gridCol w:w="45"/>
        <w:gridCol w:w="4"/>
        <w:gridCol w:w="11"/>
        <w:gridCol w:w="1295"/>
        <w:gridCol w:w="103"/>
        <w:gridCol w:w="4"/>
        <w:gridCol w:w="13"/>
        <w:gridCol w:w="11"/>
        <w:gridCol w:w="13"/>
        <w:gridCol w:w="2"/>
        <w:gridCol w:w="2"/>
        <w:gridCol w:w="2"/>
        <w:gridCol w:w="2"/>
        <w:gridCol w:w="2"/>
        <w:gridCol w:w="126"/>
        <w:gridCol w:w="30"/>
        <w:gridCol w:w="15"/>
        <w:gridCol w:w="49"/>
        <w:gridCol w:w="71"/>
        <w:gridCol w:w="661"/>
        <w:gridCol w:w="237"/>
        <w:gridCol w:w="11"/>
        <w:gridCol w:w="6"/>
        <w:gridCol w:w="2"/>
        <w:gridCol w:w="9"/>
        <w:gridCol w:w="19"/>
        <w:gridCol w:w="4"/>
        <w:gridCol w:w="1"/>
        <w:gridCol w:w="3"/>
        <w:gridCol w:w="53"/>
        <w:gridCol w:w="10"/>
        <w:gridCol w:w="164"/>
        <w:gridCol w:w="1"/>
        <w:gridCol w:w="160"/>
        <w:gridCol w:w="283"/>
        <w:gridCol w:w="266"/>
        <w:gridCol w:w="140"/>
        <w:gridCol w:w="245"/>
        <w:gridCol w:w="38"/>
        <w:gridCol w:w="28"/>
        <w:gridCol w:w="6"/>
        <w:gridCol w:w="24"/>
        <w:gridCol w:w="6"/>
        <w:gridCol w:w="4"/>
        <w:gridCol w:w="4"/>
        <w:gridCol w:w="92"/>
        <w:gridCol w:w="152"/>
        <w:gridCol w:w="9"/>
        <w:gridCol w:w="75"/>
        <w:gridCol w:w="809"/>
        <w:gridCol w:w="434"/>
        <w:gridCol w:w="6"/>
        <w:gridCol w:w="19"/>
        <w:gridCol w:w="8"/>
        <w:gridCol w:w="3"/>
        <w:gridCol w:w="1"/>
        <w:gridCol w:w="2"/>
        <w:gridCol w:w="1"/>
        <w:gridCol w:w="1"/>
        <w:gridCol w:w="2"/>
        <w:gridCol w:w="1"/>
        <w:gridCol w:w="132"/>
        <w:gridCol w:w="55"/>
        <w:gridCol w:w="1"/>
        <w:gridCol w:w="43"/>
        <w:gridCol w:w="146"/>
        <w:gridCol w:w="520"/>
        <w:gridCol w:w="246"/>
        <w:gridCol w:w="426"/>
        <w:gridCol w:w="11"/>
        <w:gridCol w:w="6"/>
        <w:gridCol w:w="3"/>
        <w:gridCol w:w="8"/>
        <w:gridCol w:w="4"/>
        <w:gridCol w:w="2"/>
        <w:gridCol w:w="2"/>
        <w:gridCol w:w="2"/>
        <w:gridCol w:w="2"/>
        <w:gridCol w:w="90"/>
        <w:gridCol w:w="40"/>
        <w:gridCol w:w="19"/>
        <w:gridCol w:w="70"/>
        <w:gridCol w:w="509"/>
        <w:gridCol w:w="644"/>
        <w:gridCol w:w="14"/>
        <w:gridCol w:w="8"/>
        <w:gridCol w:w="2"/>
        <w:gridCol w:w="4"/>
        <w:gridCol w:w="4"/>
        <w:gridCol w:w="2"/>
        <w:gridCol w:w="2"/>
        <w:gridCol w:w="2"/>
        <w:gridCol w:w="2"/>
        <w:gridCol w:w="2"/>
        <w:gridCol w:w="82"/>
        <w:gridCol w:w="34"/>
        <w:gridCol w:w="27"/>
        <w:gridCol w:w="17"/>
        <w:gridCol w:w="99"/>
        <w:gridCol w:w="389"/>
        <w:gridCol w:w="165"/>
        <w:gridCol w:w="389"/>
        <w:gridCol w:w="15"/>
        <w:gridCol w:w="150"/>
        <w:gridCol w:w="15"/>
        <w:gridCol w:w="4"/>
        <w:gridCol w:w="8"/>
        <w:gridCol w:w="3"/>
        <w:gridCol w:w="5"/>
        <w:gridCol w:w="2"/>
        <w:gridCol w:w="2"/>
        <w:gridCol w:w="4"/>
        <w:gridCol w:w="15"/>
        <w:gridCol w:w="34"/>
        <w:gridCol w:w="23"/>
        <w:gridCol w:w="33"/>
        <w:gridCol w:w="257"/>
        <w:gridCol w:w="379"/>
        <w:gridCol w:w="749"/>
        <w:gridCol w:w="32"/>
        <w:gridCol w:w="125"/>
        <w:gridCol w:w="36"/>
        <w:gridCol w:w="3"/>
        <w:gridCol w:w="4"/>
        <w:gridCol w:w="11"/>
        <w:gridCol w:w="75"/>
        <w:gridCol w:w="26"/>
        <w:gridCol w:w="47"/>
        <w:gridCol w:w="1"/>
        <w:gridCol w:w="34"/>
        <w:gridCol w:w="9"/>
        <w:gridCol w:w="11"/>
        <w:gridCol w:w="18"/>
        <w:gridCol w:w="44"/>
        <w:gridCol w:w="24"/>
        <w:gridCol w:w="9"/>
        <w:gridCol w:w="15"/>
        <w:gridCol w:w="60"/>
        <w:gridCol w:w="88"/>
        <w:gridCol w:w="969"/>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23"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42" w:type="pct"/>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安全监督监察专项资金</w:t>
            </w:r>
          </w:p>
        </w:tc>
        <w:tc>
          <w:tcPr>
            <w:tcW w:w="47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2" w:type="pct"/>
            <w:gridSpan w:val="8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23"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42" w:type="pct"/>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47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2" w:type="pct"/>
            <w:gridSpan w:val="8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23" w:type="pct"/>
            <w:gridSpan w:val="2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65"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23" w:type="pct"/>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65"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23" w:type="pct"/>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78"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7"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23" w:type="pct"/>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78"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7"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23" w:type="pct"/>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7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823" w:type="pct"/>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7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823" w:type="pct"/>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7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3"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76" w:type="pct"/>
            <w:gridSpan w:val="14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保障安全监督监察工作的开展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302" w:type="pct"/>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63"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1"/>
                <w:szCs w:val="21"/>
                <w:highlight w:val="none"/>
                <w:u w:val="none"/>
                <w:lang w:val="en-US" w:eastAsia="zh-CN" w:bidi="ar"/>
              </w:rPr>
              <w:t>89</w:t>
            </w:r>
          </w:p>
        </w:tc>
        <w:tc>
          <w:tcPr>
            <w:tcW w:w="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2" w:type="pct"/>
            <w:gridSpan w:val="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9"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3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7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6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34" w:type="pct"/>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7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6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完成年度安全监督监察工作</w:t>
            </w:r>
          </w:p>
        </w:tc>
        <w:tc>
          <w:tcPr>
            <w:tcW w:w="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≥24次</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按年度执法计划开展监督工作</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34"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7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6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反应问题真实率</w:t>
            </w:r>
          </w:p>
        </w:tc>
        <w:tc>
          <w:tcPr>
            <w:tcW w:w="471"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如实反映问题</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34"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7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6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年度按时完成率</w:t>
            </w:r>
          </w:p>
        </w:tc>
        <w:tc>
          <w:tcPr>
            <w:tcW w:w="471"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按时完成</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34"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7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6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安全监督监察工作成本</w:t>
            </w:r>
          </w:p>
        </w:tc>
        <w:tc>
          <w:tcPr>
            <w:tcW w:w="471"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≤64000元</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64000</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控制在预算安排64000元内</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3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7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可持续影响</w:t>
            </w:r>
          </w:p>
        </w:tc>
        <w:tc>
          <w:tcPr>
            <w:tcW w:w="86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安全监督监察发现问题整改落实率</w:t>
            </w:r>
          </w:p>
        </w:tc>
        <w:tc>
          <w:tcPr>
            <w:tcW w:w="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安全隐患整改率100%</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3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7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6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被监督监察人员的满意度</w:t>
            </w:r>
          </w:p>
        </w:tc>
        <w:tc>
          <w:tcPr>
            <w:tcW w:w="47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37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监察人员普遍认可</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89"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3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76" w:type="pct"/>
            <w:gridSpan w:val="14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年度预算金额为64000元，执行数为64000元，执行率100%，达到预期的工作要求。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3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76" w:type="pct"/>
            <w:gridSpan w:val="14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3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76" w:type="pct"/>
            <w:gridSpan w:val="14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3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76" w:type="pct"/>
            <w:gridSpan w:val="14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Style w:val="11"/>
                <w:sz w:val="21"/>
                <w:szCs w:val="21"/>
                <w:highlight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19"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419" w:type="pct"/>
            <w:gridSpan w:val="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安全生产委员会办公室办公资金</w:t>
            </w:r>
          </w:p>
        </w:tc>
        <w:tc>
          <w:tcPr>
            <w:tcW w:w="51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241" w:type="pct"/>
            <w:gridSpan w:val="7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819"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419" w:type="pct"/>
            <w:gridSpan w:val="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1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241" w:type="pct"/>
            <w:gridSpan w:val="7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19" w:type="pct"/>
            <w:gridSpan w:val="2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992" w:type="pct"/>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6"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1037" w:type="pct"/>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92"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6"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2.7799</w:t>
            </w:r>
          </w:p>
        </w:tc>
        <w:tc>
          <w:tcPr>
            <w:tcW w:w="1037" w:type="pct"/>
            <w:gridSpan w:val="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6" w:type="pct"/>
            <w:gridSpan w:val="1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455"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6"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37" w:type="pct"/>
            <w:gridSpan w:val="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6"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455"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6"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2.7799</w:t>
            </w:r>
          </w:p>
        </w:tc>
        <w:tc>
          <w:tcPr>
            <w:tcW w:w="1037" w:type="pct"/>
            <w:gridSpan w:val="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6"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45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6"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37" w:type="pct"/>
            <w:gridSpan w:val="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6"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45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6"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37" w:type="pct"/>
            <w:gridSpan w:val="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6"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45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6"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37" w:type="pct"/>
            <w:gridSpan w:val="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19"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80" w:type="pct"/>
            <w:gridSpan w:val="1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保障安全生产委员会办公室工作的开展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356" w:type="pct"/>
            <w:gridSpan w:val="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83"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85.4</w:t>
            </w:r>
          </w:p>
        </w:tc>
        <w:tc>
          <w:tcPr>
            <w:tcW w:w="51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241" w:type="pct"/>
            <w:gridSpan w:val="7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47"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3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8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1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622"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7" w:type="pct"/>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3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8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安全生产委员会办公室办公资金</w:t>
            </w:r>
          </w:p>
        </w:tc>
        <w:tc>
          <w:tcPr>
            <w:tcW w:w="51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≤32000元</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27798.96</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17.19</w:t>
            </w:r>
          </w:p>
        </w:tc>
        <w:tc>
          <w:tcPr>
            <w:tcW w:w="622"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在预算内保证安委办工作正常运转</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厉行节约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7"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8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年度解决问题完成率</w:t>
            </w:r>
          </w:p>
        </w:tc>
        <w:tc>
          <w:tcPr>
            <w:tcW w:w="51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问题解决率100%</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7"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8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年度工作完成率</w:t>
            </w:r>
          </w:p>
        </w:tc>
        <w:tc>
          <w:tcPr>
            <w:tcW w:w="51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完成年度工作计划目标</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7"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8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年度工作成本</w:t>
            </w:r>
          </w:p>
        </w:tc>
        <w:tc>
          <w:tcPr>
            <w:tcW w:w="51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≤32000元</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27798.96</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7.19</w:t>
            </w:r>
          </w:p>
        </w:tc>
        <w:tc>
          <w:tcPr>
            <w:tcW w:w="622"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经费开支控制在预算内</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厉行节约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7"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3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8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对单位履职、促进事业发展的影响提升程度</w:t>
            </w:r>
          </w:p>
        </w:tc>
        <w:tc>
          <w:tcPr>
            <w:tcW w:w="51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提升</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22.33</w:t>
            </w:r>
          </w:p>
        </w:tc>
        <w:tc>
          <w:tcPr>
            <w:tcW w:w="622"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促进全县安全生产形势向好</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充分发挥安委办职能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7"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36"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8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公众满意度</w:t>
            </w:r>
          </w:p>
        </w:tc>
        <w:tc>
          <w:tcPr>
            <w:tcW w:w="51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5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3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公众满意</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47"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80" w:type="pct"/>
            <w:gridSpan w:val="1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年度预算金额为32000元，执行数为27798.96元，执行率86.87%，达到预期的工作要求。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7"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80" w:type="pct"/>
            <w:gridSpan w:val="1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7"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80" w:type="pct"/>
            <w:gridSpan w:val="1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7"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80" w:type="pct"/>
            <w:gridSpan w:val="1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Style w:val="12"/>
                <w:sz w:val="22"/>
                <w:szCs w:val="22"/>
                <w:highlight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819"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46" w:type="pct"/>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安全生产执法监察大队工作资金</w:t>
            </w:r>
          </w:p>
        </w:tc>
        <w:tc>
          <w:tcPr>
            <w:tcW w:w="47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0" w:type="pct"/>
            <w:gridSpan w:val="8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19"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46" w:type="pct"/>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47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0" w:type="pct"/>
            <w:gridSpan w:val="8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19" w:type="pct"/>
            <w:gridSpan w:val="2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71"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71"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1" w:type="pct"/>
            <w:gridSpan w:val="1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1"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1"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1"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19" w:type="pct"/>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1"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1041"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19"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80" w:type="pct"/>
            <w:gridSpan w:val="1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保障安全生产执法监察大队工作的开展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301"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6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87.66</w:t>
            </w:r>
          </w:p>
        </w:tc>
        <w:tc>
          <w:tcPr>
            <w:tcW w:w="47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0" w:type="pct"/>
            <w:gridSpan w:val="8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2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8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64"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47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9"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8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64"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安全生产执法监察大队工作经费</w:t>
            </w:r>
          </w:p>
        </w:tc>
        <w:tc>
          <w:tcPr>
            <w:tcW w:w="47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≤32000元</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32000</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按预算安排资金开展工作</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9"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64"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经费支出合规性</w:t>
            </w:r>
          </w:p>
        </w:tc>
        <w:tc>
          <w:tcPr>
            <w:tcW w:w="47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合规</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合理合规支出经费</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9"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64"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年度工作完成率</w:t>
            </w:r>
          </w:p>
        </w:tc>
        <w:tc>
          <w:tcPr>
            <w:tcW w:w="47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按时完成</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9"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64"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年度工作成本</w:t>
            </w:r>
          </w:p>
        </w:tc>
        <w:tc>
          <w:tcPr>
            <w:tcW w:w="47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≤32000元</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32000</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控制在预算安排范围内</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8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64"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推动安全生产执法监察工作的落实</w:t>
            </w:r>
          </w:p>
        </w:tc>
        <w:tc>
          <w:tcPr>
            <w:tcW w:w="47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17.66</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保障安全生产执法工作正常开展</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执法工作涉及面广，经费尚有缺口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8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64"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47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37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执法人员满意</w:t>
            </w:r>
          </w:p>
        </w:tc>
        <w:tc>
          <w:tcPr>
            <w:tcW w:w="502"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2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80" w:type="pct"/>
            <w:gridSpan w:val="1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年度预算金额为32000元，执行数为32000元，执行率100%，达到预期的工作要求，保障安全生产执法工作正常运转。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80" w:type="pct"/>
            <w:gridSpan w:val="1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80" w:type="pct"/>
            <w:gridSpan w:val="1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80" w:type="pct"/>
            <w:gridSpan w:val="1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15"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21" w:type="pct"/>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综合应急指挥中心工作资金</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0" w:type="pct"/>
            <w:gridSpan w:val="8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15"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21" w:type="pct"/>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0" w:type="pct"/>
            <w:gridSpan w:val="8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15" w:type="pct"/>
            <w:gridSpan w:val="2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75"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15" w:type="pct"/>
            <w:gridSpan w:val="2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75"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4.486</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15" w:type="pct"/>
            <w:gridSpan w:val="2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7" w:type="pct"/>
            <w:gridSpan w:val="1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15" w:type="pct"/>
            <w:gridSpan w:val="2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7"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4.486</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15" w:type="pct"/>
            <w:gridSpan w:val="2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7"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15" w:type="pct"/>
            <w:gridSpan w:val="2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7"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15" w:type="pct"/>
            <w:gridSpan w:val="2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7"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15"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84" w:type="pct"/>
            <w:gridSpan w:val="1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保障综合应急指挥中心工作的开展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03" w:type="pct"/>
            <w:gridSpan w:val="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88.3</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0" w:type="pct"/>
            <w:gridSpan w:val="8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24"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8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601"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4" w:type="pct"/>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8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开展工作跨度</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≤12月</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601"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年度内安排</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4"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经费支出合规性</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合规</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01"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合理合规开支经费</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4"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经费计划支出时间</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2023年年度</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01"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2023年度内完成</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4"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8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工作开展经费</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≤56000元</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44860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01"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控制在预算指标内</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4"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8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推动综合应急指挥中心工作的开展</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18.33</w:t>
            </w:r>
          </w:p>
        </w:tc>
        <w:tc>
          <w:tcPr>
            <w:tcW w:w="601"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保障应急指挥中心工作顺利开展</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保障运行经费尚有缺口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4"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8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01"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工作人员满意</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24"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84" w:type="pct"/>
            <w:gridSpan w:val="1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年度预算金额为45000元，执行数为44860元，执行率99.69%，达到预期的工作要求。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4"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84" w:type="pct"/>
            <w:gridSpan w:val="1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4"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84" w:type="pct"/>
            <w:gridSpan w:val="1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4"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84" w:type="pct"/>
            <w:gridSpan w:val="1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10"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24" w:type="pct"/>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聘请安全生产专家检查、评审资金</w:t>
            </w:r>
          </w:p>
        </w:tc>
        <w:tc>
          <w:tcPr>
            <w:tcW w:w="50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2" w:type="pct"/>
            <w:gridSpan w:val="8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10"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24" w:type="pct"/>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2" w:type="pct"/>
            <w:gridSpan w:val="8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10" w:type="pct"/>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79"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79"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0" w:type="pct"/>
            <w:gridSpan w:val="1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0"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10"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保障聘请安全生产专家检查、评审工作的开展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01"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3"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87.68</w:t>
            </w:r>
          </w:p>
        </w:tc>
        <w:tc>
          <w:tcPr>
            <w:tcW w:w="50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2" w:type="pct"/>
            <w:gridSpan w:val="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9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7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4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9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检查频次</w:t>
            </w:r>
          </w:p>
        </w:tc>
        <w:tc>
          <w:tcPr>
            <w:tcW w:w="50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≥42次</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7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全年完成检查42次</w:t>
            </w:r>
          </w:p>
        </w:tc>
        <w:tc>
          <w:tcPr>
            <w:tcW w:w="4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完成检查报告数量</w:t>
            </w:r>
          </w:p>
        </w:tc>
        <w:tc>
          <w:tcPr>
            <w:tcW w:w="50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≥42个</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7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形成检查报告42份</w:t>
            </w:r>
          </w:p>
        </w:tc>
        <w:tc>
          <w:tcPr>
            <w:tcW w:w="4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年度检查任务按时完成率</w:t>
            </w:r>
          </w:p>
        </w:tc>
        <w:tc>
          <w:tcPr>
            <w:tcW w:w="50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7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按时完成</w:t>
            </w:r>
          </w:p>
        </w:tc>
        <w:tc>
          <w:tcPr>
            <w:tcW w:w="4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聘请安全生产专家检查、评审费用</w:t>
            </w:r>
          </w:p>
        </w:tc>
        <w:tc>
          <w:tcPr>
            <w:tcW w:w="50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≤200000元</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180000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57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经费压减</w:t>
            </w:r>
          </w:p>
        </w:tc>
        <w:tc>
          <w:tcPr>
            <w:tcW w:w="4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财政预算经费调减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9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检查结果公开率</w:t>
            </w:r>
          </w:p>
        </w:tc>
        <w:tc>
          <w:tcPr>
            <w:tcW w:w="50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18.68</w:t>
            </w:r>
          </w:p>
        </w:tc>
        <w:tc>
          <w:tcPr>
            <w:tcW w:w="57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按时公开</w:t>
            </w:r>
          </w:p>
        </w:tc>
        <w:tc>
          <w:tcPr>
            <w:tcW w:w="4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公开力度进一步加强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9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3"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检查人员被投诉次数</w:t>
            </w:r>
          </w:p>
        </w:tc>
        <w:tc>
          <w:tcPr>
            <w:tcW w:w="50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≤1次</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7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全年执法检查零投诉</w:t>
            </w:r>
          </w:p>
        </w:tc>
        <w:tc>
          <w:tcPr>
            <w:tcW w:w="4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年度预算金额为180000元，执行数为180000元，执行率100%，达到预期工作要求。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10"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25" w:type="pct"/>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党支部组织生活资金</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0" w:type="pct"/>
            <w:gridSpan w:val="8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10"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25" w:type="pct"/>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0" w:type="pct"/>
            <w:gridSpan w:val="8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10" w:type="pct"/>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80"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80"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0.22</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0.22</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0.22</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0.22</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0.22</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0.22</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10"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保障党支部组织生活活动的开展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303" w:type="pct"/>
            <w:gridSpan w:val="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89.72</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0" w:type="pct"/>
            <w:gridSpan w:val="8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举办活动场次</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≥2次</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举办党员活动2次</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参与活动的党员</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参与活动党员人数达到预期目标</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活动完成时间</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2023年内年</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如期完成</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人均成本</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≤100元</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人均100元内</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参与活动人次</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≥36人次</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23.22</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参与人次达到预期计划</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争取全体党员参与活动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党员对活动的满意程度</w:t>
            </w:r>
          </w:p>
        </w:tc>
        <w:tc>
          <w:tcPr>
            <w:tcW w:w="50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党员对活动满意</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年度预算金额为2200元，执行数为2200元，执行率100%，达到预期的工作要求。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10"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25" w:type="pct"/>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防汛抗旱专项工作资金</w:t>
            </w:r>
          </w:p>
        </w:tc>
        <w:tc>
          <w:tcPr>
            <w:tcW w:w="504"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59" w:type="pct"/>
            <w:gridSpan w:val="8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10"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25" w:type="pct"/>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4"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59" w:type="pct"/>
            <w:gridSpan w:val="8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10" w:type="pct"/>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80"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9"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80"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9"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12.42</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12.42</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12.42</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9"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9"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12.42</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12.42</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12.42</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9"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9"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10"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9"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10"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保障防汛抗旱专项工作的开展。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303" w:type="pct"/>
            <w:gridSpan w:val="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89.22</w:t>
            </w:r>
          </w:p>
        </w:tc>
        <w:tc>
          <w:tcPr>
            <w:tcW w:w="50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59" w:type="pct"/>
            <w:gridSpan w:val="8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年度内工作经费支出</w:t>
            </w:r>
          </w:p>
        </w:tc>
        <w:tc>
          <w:tcPr>
            <w:tcW w:w="50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≤12月</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年度内有序推进</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经费支出合规性</w:t>
            </w:r>
          </w:p>
        </w:tc>
        <w:tc>
          <w:tcPr>
            <w:tcW w:w="504"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合规</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合理合规开支</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经费计划支出时间</w:t>
            </w:r>
          </w:p>
        </w:tc>
        <w:tc>
          <w:tcPr>
            <w:tcW w:w="504"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2023年度内年度</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按期完成</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年度工作成本</w:t>
            </w:r>
          </w:p>
        </w:tc>
        <w:tc>
          <w:tcPr>
            <w:tcW w:w="504"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≤124200元</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124200</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控制在预算安排范围内</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推进防汛抗旱专项工作的落实</w:t>
            </w:r>
          </w:p>
        </w:tc>
        <w:tc>
          <w:tcPr>
            <w:tcW w:w="50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19.22</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推进防汛抗旱工作开展</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进一步提升工作力度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9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50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3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工作人员满意</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年度预算金额为124200元，执行数为124200元，执行率100%，达到预期的工作要求。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8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Style w:val="13"/>
                <w:sz w:val="22"/>
                <w:szCs w:val="22"/>
                <w:highlight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47"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65"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森林防灭火专项工作资金</w:t>
            </w:r>
          </w:p>
        </w:tc>
        <w:tc>
          <w:tcPr>
            <w:tcW w:w="545"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241" w:type="pct"/>
            <w:gridSpan w:val="7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47"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65"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45"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241" w:type="pct"/>
            <w:gridSpan w:val="7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847" w:type="pct"/>
            <w:gridSpan w:val="2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914"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96"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47" w:type="pct"/>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14"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96"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847" w:type="pct"/>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41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96"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47" w:type="pct"/>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41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96"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47" w:type="pct"/>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41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96"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47" w:type="pct"/>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41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96"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847" w:type="pct"/>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41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96"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47"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52" w:type="pct"/>
            <w:gridSpan w:val="1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保障森林防灭火专项工作的开展。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351" w:type="pct"/>
            <w:gridSpan w:val="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61"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87.65</w:t>
            </w:r>
          </w:p>
        </w:tc>
        <w:tc>
          <w:tcPr>
            <w:tcW w:w="54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241" w:type="pct"/>
            <w:gridSpan w:val="7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58"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61"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4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63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61"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森林消防灭火专项工作经费</w:t>
            </w:r>
          </w:p>
        </w:tc>
        <w:tc>
          <w:tcPr>
            <w:tcW w:w="54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≤144000元</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144000</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63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在预算安排资金内保障森林防灭火工作运转</w:t>
            </w:r>
          </w:p>
        </w:tc>
        <w:tc>
          <w:tcPr>
            <w:tcW w:w="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61"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经费支出合规性</w:t>
            </w:r>
          </w:p>
        </w:tc>
        <w:tc>
          <w:tcPr>
            <w:tcW w:w="545"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合规</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3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合理合规支出经费</w:t>
            </w:r>
          </w:p>
        </w:tc>
        <w:tc>
          <w:tcPr>
            <w:tcW w:w="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61"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经费计划支出时间</w:t>
            </w:r>
          </w:p>
        </w:tc>
        <w:tc>
          <w:tcPr>
            <w:tcW w:w="545"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2023年年度</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3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按时间进度支付</w:t>
            </w:r>
          </w:p>
        </w:tc>
        <w:tc>
          <w:tcPr>
            <w:tcW w:w="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61"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年度内工作成本</w:t>
            </w:r>
          </w:p>
        </w:tc>
        <w:tc>
          <w:tcPr>
            <w:tcW w:w="545"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≤144000元</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144000</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3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按经费开支控制在预算安排内</w:t>
            </w:r>
          </w:p>
        </w:tc>
        <w:tc>
          <w:tcPr>
            <w:tcW w:w="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61"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推动森林防灭火专项工作的落实</w:t>
            </w:r>
          </w:p>
        </w:tc>
        <w:tc>
          <w:tcPr>
            <w:tcW w:w="54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17.65</w:t>
            </w:r>
          </w:p>
        </w:tc>
        <w:tc>
          <w:tcPr>
            <w:tcW w:w="63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防灭火工作有待进一步加强提高</w:t>
            </w:r>
          </w:p>
        </w:tc>
        <w:tc>
          <w:tcPr>
            <w:tcW w:w="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61"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服务对象的满意度</w:t>
            </w:r>
          </w:p>
        </w:tc>
        <w:tc>
          <w:tcPr>
            <w:tcW w:w="54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37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44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3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工作人员满意</w:t>
            </w:r>
          </w:p>
        </w:tc>
        <w:tc>
          <w:tcPr>
            <w:tcW w:w="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58"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52" w:type="pct"/>
            <w:gridSpan w:val="1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年度预算金额为144000元，执行数为144000元，执行率100%，达到预期的工作要求。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52" w:type="pct"/>
            <w:gridSpan w:val="1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52" w:type="pct"/>
            <w:gridSpan w:val="1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52" w:type="pct"/>
            <w:gridSpan w:val="1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trPr>
        <w:tc>
          <w:tcPr>
            <w:tcW w:w="85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284" w:type="pct"/>
            <w:gridSpan w:val="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应急救援专项工作资金</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284" w:type="pct"/>
            <w:gridSpan w:val="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trPr>
        <w:tc>
          <w:tcPr>
            <w:tcW w:w="851" w:type="pct"/>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39"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39"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5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48" w:type="pct"/>
            <w:gridSpan w:val="1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保障应急救援专项工作的开展。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301"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86.67</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3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44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应急救援专项工作资金</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≤135200元</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3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保障应急救援工作正常运转</w:t>
            </w:r>
          </w:p>
        </w:tc>
        <w:tc>
          <w:tcPr>
            <w:tcW w:w="44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经费支出合规性</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合规</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合理合规开支经费</w:t>
            </w:r>
          </w:p>
        </w:tc>
        <w:tc>
          <w:tcPr>
            <w:tcW w:w="44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经费计划支出时间</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2023年年度</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年度内有序支出</w:t>
            </w:r>
          </w:p>
        </w:tc>
        <w:tc>
          <w:tcPr>
            <w:tcW w:w="44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年度完成工作成本</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≤120000元</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控制在预算安排指标内</w:t>
            </w:r>
          </w:p>
        </w:tc>
        <w:tc>
          <w:tcPr>
            <w:tcW w:w="44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推动应急救援工作的落实</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18.67</w:t>
            </w:r>
          </w:p>
        </w:tc>
        <w:tc>
          <w:tcPr>
            <w:tcW w:w="53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推动应急救援工作能力提升</w:t>
            </w:r>
          </w:p>
        </w:tc>
        <w:tc>
          <w:tcPr>
            <w:tcW w:w="44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5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53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工作人员普遍满意</w:t>
            </w:r>
          </w:p>
        </w:tc>
        <w:tc>
          <w:tcPr>
            <w:tcW w:w="44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48" w:type="pct"/>
            <w:gridSpan w:val="1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年度预算金额为120000元，执行数为120000元，执行率100%，达到预期的工作要求。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48" w:type="pct"/>
            <w:gridSpan w:val="1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48" w:type="pct"/>
            <w:gridSpan w:val="1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48" w:type="pct"/>
            <w:gridSpan w:val="1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289" w:type="pct"/>
            <w:gridSpan w:val="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自然灾害县级配套资金</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451226210331700004653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289" w:type="pct"/>
            <w:gridSpan w:val="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46" w:type="pct"/>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44"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44"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0.05</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0.05</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9"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保障自然灾害县级配套资金活动的开展。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301"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86.45</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运送应急物资的次数</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≥2次</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2次</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物资抵达保障率</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物资按要求运送抵达</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运送物质按时开展率</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按时开展运送工作</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本指标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运送物资成本</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≤1000元</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运输费用500元</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节约开支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按时完成率</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≥100元</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26.45</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及时处置灾情，保障人民群众生命财产安全</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响应速度进一步提升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受灾人员满意度</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3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2"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受灾人员满意度</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年度预算金额为1000元，执行数为500元，执行率50%，达到预期的工作要求。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85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131"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广西地震背景场观测网络项目日常运行</w:t>
            </w:r>
          </w:p>
        </w:tc>
        <w:tc>
          <w:tcPr>
            <w:tcW w:w="50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508" w:type="pct"/>
            <w:gridSpan w:val="9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451226210331700005554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85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131"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508" w:type="pct"/>
            <w:gridSpan w:val="9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1" w:type="pct"/>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5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784"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745"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56"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784"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745"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1"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65"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784"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745"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1"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65"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784"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745"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1"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6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784"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745"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1"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6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784"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745"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851" w:type="pct"/>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1"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6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784"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745"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48" w:type="pct"/>
            <w:gridSpan w:val="1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保障地震背景场观测网络项目的日常运行。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2"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640"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87.66</w:t>
            </w:r>
          </w:p>
        </w:tc>
        <w:tc>
          <w:tcPr>
            <w:tcW w:w="50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508" w:type="pct"/>
            <w:gridSpan w:val="9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9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6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415"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9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6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广西地震背景场观测网络项目日常运行</w:t>
            </w:r>
          </w:p>
        </w:tc>
        <w:tc>
          <w:tcPr>
            <w:tcW w:w="50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≤30000元</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15"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保障工作正常运转</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6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经费支出合规性</w:t>
            </w:r>
          </w:p>
        </w:tc>
        <w:tc>
          <w:tcPr>
            <w:tcW w:w="50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合规</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部分达成预期指标并具有一定效果</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15"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合理合规支出经费</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6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经费计划支出时间</w:t>
            </w:r>
          </w:p>
        </w:tc>
        <w:tc>
          <w:tcPr>
            <w:tcW w:w="50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15"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按期完成</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9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6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年初项目支出成本</w:t>
            </w:r>
          </w:p>
        </w:tc>
        <w:tc>
          <w:tcPr>
            <w:tcW w:w="50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≤30000元</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15"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控制在预算安排支出范围内</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9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6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推动广西地震背景场观测网络项目的落实</w:t>
            </w:r>
          </w:p>
        </w:tc>
        <w:tc>
          <w:tcPr>
            <w:tcW w:w="50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17.66</w:t>
            </w:r>
          </w:p>
        </w:tc>
        <w:tc>
          <w:tcPr>
            <w:tcW w:w="415"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推动广西地震背景场观测项目的开展</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9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6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50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505"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839"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41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15"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群众满意</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48" w:type="pct"/>
            <w:gridSpan w:val="1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年度预算金额为30000元，执行数为30000元，执行率100%，达到预期的工作要求。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48" w:type="pct"/>
            <w:gridSpan w:val="1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48" w:type="pct"/>
            <w:gridSpan w:val="1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6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48" w:type="pct"/>
            <w:gridSpan w:val="13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290" w:type="pct"/>
            <w:gridSpan w:val="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广西地震烈度速报与预警系统项目台站管护</w:t>
            </w:r>
          </w:p>
        </w:tc>
        <w:tc>
          <w:tcPr>
            <w:tcW w:w="502"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0" w:type="pct"/>
            <w:gridSpan w:val="8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451226210331700005556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290" w:type="pct"/>
            <w:gridSpan w:val="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2"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0" w:type="pct"/>
            <w:gridSpan w:val="8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846" w:type="pct"/>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44"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9"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44"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9"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9"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9"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9"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9"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9"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保障地震烈度速报与预警系统项目台站管护工作的开展。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301"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88.32</w:t>
            </w:r>
          </w:p>
        </w:tc>
        <w:tc>
          <w:tcPr>
            <w:tcW w:w="50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0" w:type="pct"/>
            <w:gridSpan w:val="8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2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广西地震烈度速报与预警系统项目台站管护</w:t>
            </w:r>
          </w:p>
        </w:tc>
        <w:tc>
          <w:tcPr>
            <w:tcW w:w="50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≤41500元</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2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维护地震台站正常运行监测</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经费支出合规性</w:t>
            </w:r>
          </w:p>
        </w:tc>
        <w:tc>
          <w:tcPr>
            <w:tcW w:w="502"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合规</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合理合规开支经费</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经费计划支出时间</w:t>
            </w:r>
          </w:p>
        </w:tc>
        <w:tc>
          <w:tcPr>
            <w:tcW w:w="502"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2023年年度</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及时支付经费</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年度内开展工作的成本</w:t>
            </w:r>
          </w:p>
        </w:tc>
        <w:tc>
          <w:tcPr>
            <w:tcW w:w="502"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≤41500元</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41500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控制在41500元</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推进广西地震烈度速报与预警系统项目台站管护工作的落实</w:t>
            </w:r>
          </w:p>
        </w:tc>
        <w:tc>
          <w:tcPr>
            <w:tcW w:w="50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19.54</w:t>
            </w:r>
          </w:p>
        </w:tc>
        <w:tc>
          <w:tcPr>
            <w:tcW w:w="52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维护社会稳定，保障人民群众生命财产安全</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进一步推进工作力度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50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8.78</w:t>
            </w:r>
          </w:p>
        </w:tc>
        <w:tc>
          <w:tcPr>
            <w:tcW w:w="52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服务对象满意度有提升</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年度预算金额为41500元，执行数为41500元，执行率100%，达到预期工作要求。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289" w:type="pct"/>
            <w:gridSpan w:val="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防震减灾科普宣传</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289" w:type="pct"/>
            <w:gridSpan w:val="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846" w:type="pct"/>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44"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8"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44"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78"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978"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保障防震减灾科普宣传工作的开展。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301"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87.4</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624"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防震减灾科普宣传次数</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≥5次</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624"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开展防震减灾宣传5次</w:t>
            </w:r>
          </w:p>
        </w:tc>
        <w:tc>
          <w:tcPr>
            <w:tcW w:w="3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宣传对象知晓率</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4"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目标对象宣传达到预期目标</w:t>
            </w:r>
          </w:p>
        </w:tc>
        <w:tc>
          <w:tcPr>
            <w:tcW w:w="3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宣传对象及时知晓率</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4"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在重要时段宣传及时</w:t>
            </w:r>
          </w:p>
        </w:tc>
        <w:tc>
          <w:tcPr>
            <w:tcW w:w="3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宣传材料制作费</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≤30000元</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4"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宣传费用控制在3万元内</w:t>
            </w:r>
          </w:p>
        </w:tc>
        <w:tc>
          <w:tcPr>
            <w:tcW w:w="3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宣贯政策知晓率</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17.4</w:t>
            </w:r>
          </w:p>
        </w:tc>
        <w:tc>
          <w:tcPr>
            <w:tcW w:w="624"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群众抗震防灾意识有提升</w:t>
            </w:r>
          </w:p>
        </w:tc>
        <w:tc>
          <w:tcPr>
            <w:tcW w:w="3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进一步提高宣传力度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5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4"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宣传对象普遍满意</w:t>
            </w:r>
          </w:p>
        </w:tc>
        <w:tc>
          <w:tcPr>
            <w:tcW w:w="3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年度预算金额为30000元，执行数为30000元，执行率100%，达到预期工作要求。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278" w:type="pct"/>
            <w:gridSpan w:val="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地震预测预报与宏观观测</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70" w:type="pct"/>
            <w:gridSpan w:val="8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451226210331700005559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278" w:type="pct"/>
            <w:gridSpan w:val="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70" w:type="pct"/>
            <w:gridSpan w:val="8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 w:hRule="atLeast"/>
        </w:trPr>
        <w:tc>
          <w:tcPr>
            <w:tcW w:w="846" w:type="pct"/>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3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30"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4.81</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4.81</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4.81</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7"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7"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4.81</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4.81</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4.81</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7"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2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7"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2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4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7"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2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4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保障地震预测预报与宏观观测工作的开展。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393" w:type="pct"/>
            <w:gridSpan w:val="4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731"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87.37</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70" w:type="pct"/>
            <w:gridSpan w:val="8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47"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73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69"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47"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73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年度内观测次数</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≥24次</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69"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完成年度观测任务</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7"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73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经费支出合规性</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合规</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69"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合理合规开支经费</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7"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73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经费计划支出时间</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69"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按时支出</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7"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73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年度内项目支出成本</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≤48100元</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48100</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69"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控制在预算安排指标内</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47"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73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推动地震预测预报与宏观观测工作的落实</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17.37</w:t>
            </w:r>
          </w:p>
        </w:tc>
        <w:tc>
          <w:tcPr>
            <w:tcW w:w="569"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保障地震预测预报工作正常运行</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进一步推进工作力度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47"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73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69"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群众满意</w:t>
            </w:r>
          </w:p>
        </w:tc>
        <w:tc>
          <w:tcPr>
            <w:tcW w:w="41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年度预算金额为48100元，执行数为48100元，执行率100%，达到预期的工作要求。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53" w:type="pct"/>
            <w:gridSpan w:val="1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705"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430" w:type="pct"/>
            <w:gridSpan w:val="5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奖励性补贴</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451226220331700006176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trPr>
        <w:tc>
          <w:tcPr>
            <w:tcW w:w="705"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430" w:type="pct"/>
            <w:gridSpan w:val="5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705"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984" w:type="pct"/>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6"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84" w:type="pct"/>
            <w:gridSpan w:val="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34.4166</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34.4166</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34.4166</w:t>
            </w:r>
          </w:p>
        </w:tc>
        <w:tc>
          <w:tcPr>
            <w:tcW w:w="976"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95" w:type="pct"/>
            <w:gridSpan w:val="2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6"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95" w:type="pct"/>
            <w:gridSpan w:val="2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34.4166</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34.4166</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34.4166</w:t>
            </w:r>
          </w:p>
        </w:tc>
        <w:tc>
          <w:tcPr>
            <w:tcW w:w="976"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95" w:type="pct"/>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6"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95" w:type="pct"/>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6"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95" w:type="pct"/>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6"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05"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294" w:type="pct"/>
            <w:gridSpan w:val="15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保障干部职工奖励性补贴的发放。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301"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89</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9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4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512"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9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奖励性补贴的发放总额</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≤428048元</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423048</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4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按审定数额发放</w:t>
            </w:r>
          </w:p>
        </w:tc>
        <w:tc>
          <w:tcPr>
            <w:tcW w:w="512"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人员变动，有偏差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9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发放奖励性补贴的过程</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顺利发放</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顺利发放</w:t>
            </w:r>
          </w:p>
        </w:tc>
        <w:tc>
          <w:tcPr>
            <w:tcW w:w="512"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9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发放奖励性补贴的时间</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及时发放</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按规定时间发放</w:t>
            </w:r>
          </w:p>
        </w:tc>
        <w:tc>
          <w:tcPr>
            <w:tcW w:w="512"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9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奖励性补贴的发放金额</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≤423048元</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423048</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按审定数额发放</w:t>
            </w:r>
          </w:p>
        </w:tc>
        <w:tc>
          <w:tcPr>
            <w:tcW w:w="512"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9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干部职工对奖励性补贴发放的评价</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保障发放</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部分达成预期指标并具有一定效果</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激励干部职工干事热情</w:t>
            </w:r>
          </w:p>
        </w:tc>
        <w:tc>
          <w:tcPr>
            <w:tcW w:w="512"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继续改善和提高激励制度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9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干部职工对发放奖励性补贴的满意度</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6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干部职工普遍认可</w:t>
            </w:r>
          </w:p>
        </w:tc>
        <w:tc>
          <w:tcPr>
            <w:tcW w:w="512"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294" w:type="pct"/>
            <w:gridSpan w:val="15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年度预算总额344166元，执行数344166元，执行率100%，达到预期的工作要求。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294" w:type="pct"/>
            <w:gridSpan w:val="15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294" w:type="pct"/>
            <w:gridSpan w:val="15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294" w:type="pct"/>
            <w:gridSpan w:val="15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419" w:type="pct"/>
            <w:gridSpan w:val="5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扑火、作训服装及装备等应急装备物资采购经费</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70" w:type="pct"/>
            <w:gridSpan w:val="8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451226220431700006644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705"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419" w:type="pct"/>
            <w:gridSpan w:val="5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70" w:type="pct"/>
            <w:gridSpan w:val="8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971" w:type="pct"/>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71"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17.961</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17.961</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17.961</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2"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2"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17.961</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17.961</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17.961</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1"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4"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705"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294" w:type="pct"/>
            <w:gridSpan w:val="15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保障扑火、作训服装及装备等应急装备物资的采购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8"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7"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89</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70" w:type="pct"/>
            <w:gridSpan w:val="8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8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7"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60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8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7"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购置作训服、装备批次</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＜1批</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60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完成扑火、作训服装及装备采购</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7"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扑火、作训服装及装备等应急装备物资采购经费</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符合扑火装备要求</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0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达到使用要求</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7"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扑火装备、作训服及时发放</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及时有效</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0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及时采购装备及服装</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7"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采购经费</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≤1150000元</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179610</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0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上年项目本年完成</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上年预算项目部分采购本年度完成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8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7"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采购需求</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保障群众生命财产安全</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60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保障应急救援工作开展，保证人民群众生命财产安全</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8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7"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群众满意度</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群众满意</w:t>
            </w:r>
          </w:p>
        </w:tc>
        <w:tc>
          <w:tcPr>
            <w:tcW w:w="50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60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受益群众普遍认可</w:t>
            </w:r>
          </w:p>
        </w:tc>
        <w:tc>
          <w:tcPr>
            <w:tcW w:w="3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全年目标完成情况</w:t>
            </w:r>
          </w:p>
        </w:tc>
        <w:tc>
          <w:tcPr>
            <w:tcW w:w="4294" w:type="pct"/>
            <w:gridSpan w:val="15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年度预算金额为179610元，执行数为179610元，执行率100%，达到预期工作要求。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294" w:type="pct"/>
            <w:gridSpan w:val="15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294" w:type="pct"/>
            <w:gridSpan w:val="15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294" w:type="pct"/>
            <w:gridSpan w:val="15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pct"/>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03" w:type="pct"/>
            <w:gridSpan w:val="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自然灾害综合风险普查工作经费</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451226230331700007212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pct"/>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03" w:type="pct"/>
            <w:gridSpan w:val="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pct"/>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58"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832" w:type="pct"/>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58"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95.639</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95.639</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73.4</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832" w:type="pct"/>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69"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pct"/>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69"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95.639</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95.639</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73.4</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pct"/>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69"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pct"/>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69"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pct"/>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69"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8"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832" w:type="pct"/>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167" w:type="pct"/>
            <w:gridSpan w:val="1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保障自然灾害综合风险普查工作的开展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01"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87.97</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64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46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2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44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2" w:type="pct"/>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46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普查次数</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＝1次</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2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完成全县自然灾害风险普查</w:t>
            </w:r>
          </w:p>
        </w:tc>
        <w:tc>
          <w:tcPr>
            <w:tcW w:w="44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2"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6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普查质量</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质量达到要求</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普查质量达到预期要求</w:t>
            </w:r>
          </w:p>
        </w:tc>
        <w:tc>
          <w:tcPr>
            <w:tcW w:w="44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2"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6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完成时间</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按时完成</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按时完成</w:t>
            </w:r>
          </w:p>
        </w:tc>
        <w:tc>
          <w:tcPr>
            <w:tcW w:w="44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2"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46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普查成本</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≤956390元</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734000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7.68</w:t>
            </w:r>
          </w:p>
        </w:tc>
        <w:tc>
          <w:tcPr>
            <w:tcW w:w="52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先支付部分普查经费</w:t>
            </w:r>
          </w:p>
        </w:tc>
        <w:tc>
          <w:tcPr>
            <w:tcW w:w="44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财政资金紧缺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46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群众反馈</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规避灾害风险</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23.62</w:t>
            </w:r>
          </w:p>
        </w:tc>
        <w:tc>
          <w:tcPr>
            <w:tcW w:w="52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对全县灾害信息全面了解</w:t>
            </w:r>
          </w:p>
        </w:tc>
        <w:tc>
          <w:tcPr>
            <w:tcW w:w="44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进一步巩固普查成果并加以应用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469"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4"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普查服务对象满意度</w:t>
            </w:r>
          </w:p>
        </w:tc>
        <w:tc>
          <w:tcPr>
            <w:tcW w:w="50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50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43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52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普查对象满意</w:t>
            </w:r>
          </w:p>
        </w:tc>
        <w:tc>
          <w:tcPr>
            <w:tcW w:w="449"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有待进一步提高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64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167" w:type="pct"/>
            <w:gridSpan w:val="1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年度预算金额为956390元，执行数为734000元，执行率76.75%，达到预期的工作要求。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167" w:type="pct"/>
            <w:gridSpan w:val="1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167" w:type="pct"/>
            <w:gridSpan w:val="1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4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167" w:type="pct"/>
            <w:gridSpan w:val="1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513" w:type="pct"/>
            <w:gridSpan w:val="6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综合应急救援队伍应急救援培训经费</w:t>
            </w:r>
          </w:p>
        </w:tc>
        <w:tc>
          <w:tcPr>
            <w:tcW w:w="48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00" w:type="pct"/>
            <w:gridSpan w:val="7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451226230331700007354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70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513" w:type="pct"/>
            <w:gridSpan w:val="6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48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00" w:type="pct"/>
            <w:gridSpan w:val="7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2"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977"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1019" w:type="pct"/>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44"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2"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77" w:type="pct"/>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1019"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9.2544</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9.2544</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4.7485</w:t>
            </w:r>
          </w:p>
        </w:tc>
        <w:tc>
          <w:tcPr>
            <w:tcW w:w="944"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702"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9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1019"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44"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702"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9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1019"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9.2544</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9.2544</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4.7485</w:t>
            </w:r>
          </w:p>
        </w:tc>
        <w:tc>
          <w:tcPr>
            <w:tcW w:w="944"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702"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9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019"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44"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702"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9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019"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44"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02"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9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019" w:type="pct"/>
            <w:gridSpan w:val="3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44"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0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297" w:type="pct"/>
            <w:gridSpan w:val="15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保障2023年综合应急救援队伍应急求援培训的开展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288"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927" w:type="pct"/>
            <w:gridSpan w:val="4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88.4</w:t>
            </w:r>
          </w:p>
        </w:tc>
        <w:tc>
          <w:tcPr>
            <w:tcW w:w="48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00" w:type="pct"/>
            <w:gridSpan w:val="7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8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927" w:type="pct"/>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48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2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42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8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927" w:type="pct"/>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开展次数</w:t>
            </w:r>
          </w:p>
        </w:tc>
        <w:tc>
          <w:tcPr>
            <w:tcW w:w="48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≥2次</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2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培训2次</w:t>
            </w:r>
          </w:p>
        </w:tc>
        <w:tc>
          <w:tcPr>
            <w:tcW w:w="42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927" w:type="pct"/>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保障培训的开展</w:t>
            </w:r>
          </w:p>
        </w:tc>
        <w:tc>
          <w:tcPr>
            <w:tcW w:w="48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完成预期工作</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达到培训目标</w:t>
            </w:r>
          </w:p>
        </w:tc>
        <w:tc>
          <w:tcPr>
            <w:tcW w:w="42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927" w:type="pct"/>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开展培训完成时间</w:t>
            </w:r>
          </w:p>
        </w:tc>
        <w:tc>
          <w:tcPr>
            <w:tcW w:w="48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2023年12月31日前</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如期开展</w:t>
            </w:r>
          </w:p>
        </w:tc>
        <w:tc>
          <w:tcPr>
            <w:tcW w:w="42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927" w:type="pct"/>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开展培训的支出金额</w:t>
            </w:r>
          </w:p>
        </w:tc>
        <w:tc>
          <w:tcPr>
            <w:tcW w:w="482"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≤97500元</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47485.16</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5.14</w:t>
            </w:r>
          </w:p>
        </w:tc>
        <w:tc>
          <w:tcPr>
            <w:tcW w:w="52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经费控制在预算安排内</w:t>
            </w:r>
          </w:p>
        </w:tc>
        <w:tc>
          <w:tcPr>
            <w:tcW w:w="42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经费紧张支出未能安排支付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8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927" w:type="pct"/>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保障提高应急救援队伍的专业技能</w:t>
            </w:r>
          </w:p>
        </w:tc>
        <w:tc>
          <w:tcPr>
            <w:tcW w:w="48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28.13</w:t>
            </w:r>
          </w:p>
        </w:tc>
        <w:tc>
          <w:tcPr>
            <w:tcW w:w="52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提高应急救援能力</w:t>
            </w:r>
          </w:p>
        </w:tc>
        <w:tc>
          <w:tcPr>
            <w:tcW w:w="42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进一步加大培训力度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8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927" w:type="pct"/>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48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48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427"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培训对象普遍满意</w:t>
            </w:r>
          </w:p>
        </w:tc>
        <w:tc>
          <w:tcPr>
            <w:tcW w:w="42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19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297" w:type="pct"/>
            <w:gridSpan w:val="15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年度预算金额为92544元，执行数为47485.16元，执行率51.31%，达到预期的工作要求。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297" w:type="pct"/>
            <w:gridSpan w:val="15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297" w:type="pct"/>
            <w:gridSpan w:val="15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9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297" w:type="pct"/>
            <w:gridSpan w:val="15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1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722"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410" w:type="pct"/>
            <w:gridSpan w:val="4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应急救援车辆租用及运行维护经费</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4" w:type="pct"/>
            <w:gridSpan w:val="8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451226230331700007481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722"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410" w:type="pct"/>
            <w:gridSpan w:val="4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4" w:type="pct"/>
            <w:gridSpan w:val="8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722" w:type="pct"/>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96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4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81" w:type="pct"/>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722"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65"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46"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7.1624</w:t>
            </w:r>
          </w:p>
        </w:tc>
        <w:tc>
          <w:tcPr>
            <w:tcW w:w="981"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722"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77" w:type="pct"/>
            <w:gridSpan w:val="1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46"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1"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22"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77"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46"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7.1624</w:t>
            </w:r>
          </w:p>
        </w:tc>
        <w:tc>
          <w:tcPr>
            <w:tcW w:w="981"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722"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6"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1"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722"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6"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1"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722"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46"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1"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 w:hRule="atLeast"/>
        </w:trPr>
        <w:tc>
          <w:tcPr>
            <w:tcW w:w="722"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277" w:type="pct"/>
            <w:gridSpan w:val="1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保障应急救援工作开展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299"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3"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89.81</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4" w:type="pct"/>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8"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3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625"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trPr>
        <w:tc>
          <w:tcPr>
            <w:tcW w:w="18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4"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车辆租赁数量</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625"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租赁1辆应急救援用车</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4"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经费支出合规性</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合规</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5"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合理合规支出</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4"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经费支出时效性</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2023年度</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5"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及时支付</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4"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租赁及维修单位成本</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≤98000元</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71624</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25"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厉行节约合理开支</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厉行节约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4"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及时开展疫情防控工作</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高效</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w:t>
            </w:r>
          </w:p>
        </w:tc>
        <w:tc>
          <w:tcPr>
            <w:tcW w:w="625"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保障应急救援工作顺利开展</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进一步加大保障力度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18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4"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可持续影响</w:t>
            </w:r>
          </w:p>
        </w:tc>
        <w:tc>
          <w:tcPr>
            <w:tcW w:w="83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设备使用年限</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≥10年</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5"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爱护车辆增加使用年限，保障工作顺利开展</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18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7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3"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人员满意度</w:t>
            </w:r>
          </w:p>
        </w:tc>
        <w:tc>
          <w:tcPr>
            <w:tcW w:w="501"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w:t>
            </w:r>
          </w:p>
        </w:tc>
        <w:tc>
          <w:tcPr>
            <w:tcW w:w="44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25"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开展应急工作人员满意度提升</w:t>
            </w:r>
          </w:p>
        </w:tc>
        <w:tc>
          <w:tcPr>
            <w:tcW w:w="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88"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3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277" w:type="pct"/>
            <w:gridSpan w:val="1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年度预算金额为98000元，执行数为71624元，执行率73.09%，达到预期工作要求。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8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277" w:type="pct"/>
            <w:gridSpan w:val="1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277" w:type="pct"/>
            <w:gridSpan w:val="1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277" w:type="pct"/>
            <w:gridSpan w:val="1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715" w:hRule="atLeast"/>
        </w:trPr>
        <w:tc>
          <w:tcPr>
            <w:tcW w:w="5000" w:type="pct"/>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2" w:hRule="atLeast"/>
        </w:trPr>
        <w:tc>
          <w:tcPr>
            <w:tcW w:w="71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422" w:type="pct"/>
            <w:gridSpan w:val="5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奖励性补贴(非三保)</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59" w:type="pct"/>
            <w:gridSpan w:val="8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451226230331700007526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82" w:hRule="atLeast"/>
        </w:trPr>
        <w:tc>
          <w:tcPr>
            <w:tcW w:w="71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422" w:type="pct"/>
            <w:gridSpan w:val="5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59" w:type="pct"/>
            <w:gridSpan w:val="8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4" w:hRule="atLeast"/>
        </w:trPr>
        <w:tc>
          <w:tcPr>
            <w:tcW w:w="713" w:type="pct"/>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1048" w:type="pct"/>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87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2" w:hRule="atLeast"/>
        </w:trPr>
        <w:tc>
          <w:tcPr>
            <w:tcW w:w="713"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48" w:type="pct"/>
            <w:gridSpan w:val="4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878"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36.7422</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36.7422</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36.7422</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77" w:hRule="atLeast"/>
        </w:trPr>
        <w:tc>
          <w:tcPr>
            <w:tcW w:w="713"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90"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878"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2" w:hRule="atLeast"/>
        </w:trPr>
        <w:tc>
          <w:tcPr>
            <w:tcW w:w="713"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90"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878"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36.7422</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36.7422</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36.7422</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2" w:hRule="atLeast"/>
        </w:trPr>
        <w:tc>
          <w:tcPr>
            <w:tcW w:w="713"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9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878"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4" w:hRule="atLeast"/>
        </w:trPr>
        <w:tc>
          <w:tcPr>
            <w:tcW w:w="713"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9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878"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77" w:hRule="atLeast"/>
        </w:trPr>
        <w:tc>
          <w:tcPr>
            <w:tcW w:w="713" w:type="pct"/>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9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878"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7" w:hRule="atLeast"/>
        </w:trPr>
        <w:tc>
          <w:tcPr>
            <w:tcW w:w="71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286" w:type="pct"/>
            <w:gridSpan w:val="1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保障2022年奖励性补贴的发放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4" w:hRule="atLeast"/>
        </w:trPr>
        <w:tc>
          <w:tcPr>
            <w:tcW w:w="1371" w:type="pct"/>
            <w:gridSpan w:val="4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764"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89.87</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59" w:type="pct"/>
            <w:gridSpan w:val="8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79" w:hRule="atLeast"/>
        </w:trPr>
        <w:tc>
          <w:tcPr>
            <w:tcW w:w="18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65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764"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9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8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4"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65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764"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奖励性补贴发放人数</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≤37人</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9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按审定人数发放</w:t>
            </w:r>
          </w:p>
        </w:tc>
        <w:tc>
          <w:tcPr>
            <w:tcW w:w="38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4"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764"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保障奖励性补贴足额发放</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足额发放</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9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足额发放</w:t>
            </w:r>
          </w:p>
        </w:tc>
        <w:tc>
          <w:tcPr>
            <w:tcW w:w="38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4"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764"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发放时间</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2023年前</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9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按期完成</w:t>
            </w:r>
          </w:p>
        </w:tc>
        <w:tc>
          <w:tcPr>
            <w:tcW w:w="38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4"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5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764"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奖励性补贴的金额</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≤380000元</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380000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9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发放38000元</w:t>
            </w:r>
          </w:p>
        </w:tc>
        <w:tc>
          <w:tcPr>
            <w:tcW w:w="38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04"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65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764"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生活幸福感</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显著提高</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19.87</w:t>
            </w:r>
          </w:p>
        </w:tc>
        <w:tc>
          <w:tcPr>
            <w:tcW w:w="59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干部职工幸福感提高</w:t>
            </w:r>
          </w:p>
        </w:tc>
        <w:tc>
          <w:tcPr>
            <w:tcW w:w="38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有待进一步加强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658"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764"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50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50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9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干部职工满意度提高</w:t>
            </w:r>
          </w:p>
        </w:tc>
        <w:tc>
          <w:tcPr>
            <w:tcW w:w="38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75" w:hRule="atLeast"/>
        </w:trPr>
        <w:tc>
          <w:tcPr>
            <w:tcW w:w="18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286" w:type="pct"/>
            <w:gridSpan w:val="1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年度预算金额为367422元，执行数为367422元，执行率100%，达到预期工作要求。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89"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286" w:type="pct"/>
            <w:gridSpan w:val="14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52"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286" w:type="pct"/>
            <w:gridSpan w:val="14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12"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286" w:type="pct"/>
            <w:gridSpan w:val="14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5000" w:type="pct"/>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64" w:hRule="atLeast"/>
        </w:trPr>
        <w:tc>
          <w:tcPr>
            <w:tcW w:w="75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84" w:type="pct"/>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灾害民生综合保费</w:t>
            </w:r>
          </w:p>
        </w:tc>
        <w:tc>
          <w:tcPr>
            <w:tcW w:w="50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451226230331700007900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trPr>
        <w:tc>
          <w:tcPr>
            <w:tcW w:w="75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84" w:type="pct"/>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24" w:hRule="atLeast"/>
        </w:trPr>
        <w:tc>
          <w:tcPr>
            <w:tcW w:w="750" w:type="pct"/>
            <w:gridSpan w:val="1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1011"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876"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85"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89" w:hRule="atLeast"/>
        </w:trPr>
        <w:tc>
          <w:tcPr>
            <w:tcW w:w="750"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11" w:type="pct"/>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876"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79.8</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79.8</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79.8</w:t>
            </w:r>
          </w:p>
        </w:tc>
        <w:tc>
          <w:tcPr>
            <w:tcW w:w="985"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19" w:hRule="atLeast"/>
        </w:trPr>
        <w:tc>
          <w:tcPr>
            <w:tcW w:w="750"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1" w:type="pct"/>
            <w:gridSpan w:val="2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90"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876"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79.8</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79.8</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79.8</w:t>
            </w:r>
          </w:p>
        </w:tc>
        <w:tc>
          <w:tcPr>
            <w:tcW w:w="985"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24" w:hRule="atLeast"/>
        </w:trPr>
        <w:tc>
          <w:tcPr>
            <w:tcW w:w="750"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1" w:type="pct"/>
            <w:gridSpan w:val="2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90"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876"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5"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64" w:hRule="atLeast"/>
        </w:trPr>
        <w:tc>
          <w:tcPr>
            <w:tcW w:w="750"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1"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9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876"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5"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4" w:hRule="atLeast"/>
        </w:trPr>
        <w:tc>
          <w:tcPr>
            <w:tcW w:w="750"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1"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9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876"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5"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4" w:hRule="atLeast"/>
        </w:trPr>
        <w:tc>
          <w:tcPr>
            <w:tcW w:w="750"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1"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9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876"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5"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29" w:hRule="atLeast"/>
        </w:trPr>
        <w:tc>
          <w:tcPr>
            <w:tcW w:w="75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24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2023年10月15日前完成支付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371" w:type="pct"/>
            <w:gridSpan w:val="4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763"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89.45</w:t>
            </w:r>
          </w:p>
        </w:tc>
        <w:tc>
          <w:tcPr>
            <w:tcW w:w="50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61" w:type="pct"/>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00" w:hRule="atLeast"/>
        </w:trPr>
        <w:tc>
          <w:tcPr>
            <w:tcW w:w="18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6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621"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763"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462"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4"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2" w:type="pct"/>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621"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763"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保障投保户数</w:t>
            </w:r>
          </w:p>
        </w:tc>
        <w:tc>
          <w:tcPr>
            <w:tcW w:w="50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≥11.92万户</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11.92</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为全县人口投保灾害民生保险</w:t>
            </w:r>
          </w:p>
        </w:tc>
        <w:tc>
          <w:tcPr>
            <w:tcW w:w="462"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2"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1"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763"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立案结案率</w:t>
            </w:r>
          </w:p>
        </w:tc>
        <w:tc>
          <w:tcPr>
            <w:tcW w:w="50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立案结案率100%</w:t>
            </w:r>
          </w:p>
        </w:tc>
        <w:tc>
          <w:tcPr>
            <w:tcW w:w="462"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2"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1"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763"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确认资料齐全之日起至支付赔款时间</w:t>
            </w:r>
          </w:p>
        </w:tc>
        <w:tc>
          <w:tcPr>
            <w:tcW w:w="50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按承诺时限办结</w:t>
            </w:r>
          </w:p>
        </w:tc>
        <w:tc>
          <w:tcPr>
            <w:tcW w:w="462"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2"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21"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763"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灾害民生综合保险保费自治区财政负担部分</w:t>
            </w:r>
          </w:p>
        </w:tc>
        <w:tc>
          <w:tcPr>
            <w:tcW w:w="50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＝1330000元</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1330000</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全年保险费1330000元</w:t>
            </w:r>
          </w:p>
        </w:tc>
        <w:tc>
          <w:tcPr>
            <w:tcW w:w="462"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621"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763"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获得保险理赔的防止返贫监测户返贫致贫率</w:t>
            </w:r>
          </w:p>
        </w:tc>
        <w:tc>
          <w:tcPr>
            <w:tcW w:w="50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19.45</w:t>
            </w:r>
          </w:p>
        </w:tc>
        <w:tc>
          <w:tcPr>
            <w:tcW w:w="5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获理赔返贫致贫率小于5%</w:t>
            </w:r>
          </w:p>
        </w:tc>
        <w:tc>
          <w:tcPr>
            <w:tcW w:w="462"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进一步提升工作力度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621"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763"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群众满意度</w:t>
            </w:r>
          </w:p>
        </w:tc>
        <w:tc>
          <w:tcPr>
            <w:tcW w:w="50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501"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43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受灾群众满意度达95%</w:t>
            </w:r>
          </w:p>
        </w:tc>
        <w:tc>
          <w:tcPr>
            <w:tcW w:w="462"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69" w:hRule="atLeast"/>
        </w:trPr>
        <w:tc>
          <w:tcPr>
            <w:tcW w:w="18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6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24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年度预算总额798000元，执行数798000元，执行率100%，达到预期工作要求。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00"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24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24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5"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6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249" w:type="pct"/>
            <w:gridSpan w:val="1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0" w:hRule="atLeast"/>
        </w:trPr>
        <w:tc>
          <w:tcPr>
            <w:tcW w:w="5000" w:type="pct"/>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Style w:val="14"/>
                <w:sz w:val="22"/>
                <w:szCs w:val="22"/>
                <w:highlight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706"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408" w:type="pct"/>
            <w:gridSpan w:val="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自然灾害救灾资金</w:t>
            </w:r>
          </w:p>
        </w:tc>
        <w:tc>
          <w:tcPr>
            <w:tcW w:w="567"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17" w:type="pct"/>
            <w:gridSpan w:val="7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451226230331700007915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9" w:hRule="atLeast"/>
        </w:trPr>
        <w:tc>
          <w:tcPr>
            <w:tcW w:w="706"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408" w:type="pct"/>
            <w:gridSpan w:val="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67"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17" w:type="pct"/>
            <w:gridSpan w:val="7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84" w:hRule="atLeast"/>
        </w:trPr>
        <w:tc>
          <w:tcPr>
            <w:tcW w:w="706" w:type="pct"/>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975" w:type="pct"/>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99" w:type="pct"/>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61"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39" w:hRule="atLeast"/>
        </w:trPr>
        <w:tc>
          <w:tcPr>
            <w:tcW w:w="70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75"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99" w:type="pct"/>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961"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9" w:hRule="atLeast"/>
        </w:trPr>
        <w:tc>
          <w:tcPr>
            <w:tcW w:w="70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9" w:type="pct"/>
            <w:gridSpan w:val="1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6"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99" w:type="pct"/>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61"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64" w:hRule="atLeast"/>
        </w:trPr>
        <w:tc>
          <w:tcPr>
            <w:tcW w:w="70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9" w:type="pct"/>
            <w:gridSpan w:val="1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6"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99" w:type="pct"/>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61"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19" w:hRule="atLeast"/>
        </w:trPr>
        <w:tc>
          <w:tcPr>
            <w:tcW w:w="70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99" w:type="pct"/>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61"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4" w:hRule="atLeast"/>
        </w:trPr>
        <w:tc>
          <w:tcPr>
            <w:tcW w:w="70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99" w:type="pct"/>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61"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74" w:hRule="atLeast"/>
        </w:trPr>
        <w:tc>
          <w:tcPr>
            <w:tcW w:w="70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6"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99" w:type="pct"/>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61"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trPr>
        <w:tc>
          <w:tcPr>
            <w:tcW w:w="706"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293" w:type="pct"/>
            <w:gridSpan w:val="1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2024年5月31日前根据实际情况组织开展救灾救助工作。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trPr>
        <w:tc>
          <w:tcPr>
            <w:tcW w:w="1295"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19"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87.77</w:t>
            </w:r>
          </w:p>
        </w:tc>
        <w:tc>
          <w:tcPr>
            <w:tcW w:w="56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17" w:type="pct"/>
            <w:gridSpan w:val="7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4" w:hRule="atLeast"/>
        </w:trPr>
        <w:tc>
          <w:tcPr>
            <w:tcW w:w="18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19"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6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19"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救灾资金下拨率</w:t>
            </w:r>
          </w:p>
        </w:tc>
        <w:tc>
          <w:tcPr>
            <w:tcW w:w="56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资金100%下拨</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19"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应急救助人员合格率</w:t>
            </w:r>
          </w:p>
        </w:tc>
        <w:tc>
          <w:tcPr>
            <w:tcW w:w="567" w:type="pct"/>
            <w:gridSpan w:val="2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救助人员符合救助补助要求</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19"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资金下达时限</w:t>
            </w:r>
          </w:p>
        </w:tc>
        <w:tc>
          <w:tcPr>
            <w:tcW w:w="567" w:type="pct"/>
            <w:gridSpan w:val="2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2024年5月31日前</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2024年完成救助</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19"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自治区资金</w:t>
            </w:r>
          </w:p>
        </w:tc>
        <w:tc>
          <w:tcPr>
            <w:tcW w:w="567" w:type="pct"/>
            <w:gridSpan w:val="2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＝50000元</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资金50000元</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19"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灾区社会秩序</w:t>
            </w:r>
          </w:p>
        </w:tc>
        <w:tc>
          <w:tcPr>
            <w:tcW w:w="56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稳定有序</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27.77</w:t>
            </w:r>
          </w:p>
        </w:tc>
        <w:tc>
          <w:tcPr>
            <w:tcW w:w="5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灾区社会秩序稳定</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进一步加大工作力度，维护社会稳定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19"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受灾群众满意率</w:t>
            </w:r>
          </w:p>
        </w:tc>
        <w:tc>
          <w:tcPr>
            <w:tcW w:w="567"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488"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42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受灾群众满意</w:t>
            </w:r>
          </w:p>
        </w:tc>
        <w:tc>
          <w:tcPr>
            <w:tcW w:w="451"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8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293" w:type="pct"/>
            <w:gridSpan w:val="1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年度预算金额为50000元，执行数为0元，执行率0%，达到预期的工作要求。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704"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293" w:type="pct"/>
            <w:gridSpan w:val="1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7"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293" w:type="pct"/>
            <w:gridSpan w:val="1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62"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293" w:type="pct"/>
            <w:gridSpan w:val="15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5" w:hRule="atLeast"/>
        </w:trPr>
        <w:tc>
          <w:tcPr>
            <w:tcW w:w="5000" w:type="pct"/>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39" w:hRule="atLeast"/>
        </w:trPr>
        <w:tc>
          <w:tcPr>
            <w:tcW w:w="707"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95" w:type="pct"/>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应急管理专项工作资金</w:t>
            </w:r>
          </w:p>
        </w:tc>
        <w:tc>
          <w:tcPr>
            <w:tcW w:w="596"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00" w:type="pct"/>
            <w:gridSpan w:val="7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451226230331700007930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82" w:hRule="atLeast"/>
        </w:trPr>
        <w:tc>
          <w:tcPr>
            <w:tcW w:w="707"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95" w:type="pct"/>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96"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00" w:type="pct"/>
            <w:gridSpan w:val="7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707"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971"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1020" w:type="pct"/>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53"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64" w:hRule="atLeast"/>
        </w:trPr>
        <w:tc>
          <w:tcPr>
            <w:tcW w:w="707"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71"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1020" w:type="pct"/>
            <w:gridSpan w:val="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18.9388</w:t>
            </w:r>
          </w:p>
        </w:tc>
        <w:tc>
          <w:tcPr>
            <w:tcW w:w="953"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74" w:hRule="atLeast"/>
        </w:trPr>
        <w:tc>
          <w:tcPr>
            <w:tcW w:w="707"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6"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1020" w:type="pct"/>
            <w:gridSpan w:val="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53"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34" w:hRule="atLeast"/>
        </w:trPr>
        <w:tc>
          <w:tcPr>
            <w:tcW w:w="707"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6"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1020" w:type="pct"/>
            <w:gridSpan w:val="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18.9388</w:t>
            </w:r>
          </w:p>
        </w:tc>
        <w:tc>
          <w:tcPr>
            <w:tcW w:w="953"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707"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020" w:type="pct"/>
            <w:gridSpan w:val="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53"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44" w:hRule="atLeast"/>
        </w:trPr>
        <w:tc>
          <w:tcPr>
            <w:tcW w:w="707"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020" w:type="pct"/>
            <w:gridSpan w:val="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53"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44" w:hRule="atLeast"/>
        </w:trPr>
        <w:tc>
          <w:tcPr>
            <w:tcW w:w="707"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020" w:type="pct"/>
            <w:gridSpan w:val="4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53"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4" w:hRule="atLeast"/>
        </w:trPr>
        <w:tc>
          <w:tcPr>
            <w:tcW w:w="707"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292" w:type="pct"/>
            <w:gridSpan w:val="1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保障应急工作的正常运转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34" w:hRule="atLeast"/>
        </w:trPr>
        <w:tc>
          <w:tcPr>
            <w:tcW w:w="1292"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10"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85.79</w:t>
            </w:r>
          </w:p>
        </w:tc>
        <w:tc>
          <w:tcPr>
            <w:tcW w:w="59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00" w:type="pct"/>
            <w:gridSpan w:val="7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94" w:hRule="atLeast"/>
        </w:trPr>
        <w:tc>
          <w:tcPr>
            <w:tcW w:w="189"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8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10"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9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6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8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8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10"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日常运转资金下拨率</w:t>
            </w:r>
          </w:p>
        </w:tc>
        <w:tc>
          <w:tcPr>
            <w:tcW w:w="59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6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下拨率100%</w:t>
            </w:r>
          </w:p>
        </w:tc>
        <w:tc>
          <w:tcPr>
            <w:tcW w:w="38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10"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日常运转资金使用率</w:t>
            </w:r>
          </w:p>
        </w:tc>
        <w:tc>
          <w:tcPr>
            <w:tcW w:w="596" w:type="pct"/>
            <w:gridSpan w:val="2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6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资金使用率达100%</w:t>
            </w:r>
          </w:p>
        </w:tc>
        <w:tc>
          <w:tcPr>
            <w:tcW w:w="38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10"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根据工作推进使用时间</w:t>
            </w:r>
          </w:p>
        </w:tc>
        <w:tc>
          <w:tcPr>
            <w:tcW w:w="596" w:type="pct"/>
            <w:gridSpan w:val="2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2023年12月31日前</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6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按时推进</w:t>
            </w:r>
          </w:p>
        </w:tc>
        <w:tc>
          <w:tcPr>
            <w:tcW w:w="38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36"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8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10"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使用金额</w:t>
            </w:r>
          </w:p>
        </w:tc>
        <w:tc>
          <w:tcPr>
            <w:tcW w:w="596" w:type="pct"/>
            <w:gridSpan w:val="2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≤50万元</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18.94</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6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18.94万元</w:t>
            </w:r>
          </w:p>
        </w:tc>
        <w:tc>
          <w:tcPr>
            <w:tcW w:w="38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因经费紧缺，未能足额落实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8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10"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应急管理局的日常运转</w:t>
            </w:r>
          </w:p>
        </w:tc>
        <w:tc>
          <w:tcPr>
            <w:tcW w:w="59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妥善保障基本运转</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部分达成预期指标并具有一定效果</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56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保障应急工作正常运转</w:t>
            </w:r>
          </w:p>
        </w:tc>
        <w:tc>
          <w:tcPr>
            <w:tcW w:w="38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财政经费紧缺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8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10"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59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48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425"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67"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工作人员普遍认可</w:t>
            </w:r>
          </w:p>
        </w:tc>
        <w:tc>
          <w:tcPr>
            <w:tcW w:w="38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0" w:hRule="atLeast"/>
        </w:trPr>
        <w:tc>
          <w:tcPr>
            <w:tcW w:w="189"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292" w:type="pct"/>
            <w:gridSpan w:val="1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年度预算金额为500000元，执行数为189387.75元，执行率37.88%，达到预期一定的工作要求。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39"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292" w:type="pct"/>
            <w:gridSpan w:val="1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30"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292" w:type="pct"/>
            <w:gridSpan w:val="1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05" w:hRule="atLeast"/>
        </w:trPr>
        <w:tc>
          <w:tcPr>
            <w:tcW w:w="18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1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292" w:type="pct"/>
            <w:gridSpan w:val="15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10" w:hRule="atLeast"/>
        </w:trPr>
        <w:tc>
          <w:tcPr>
            <w:tcW w:w="5000" w:type="pct"/>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59" w:hRule="atLeast"/>
        </w:trPr>
        <w:tc>
          <w:tcPr>
            <w:tcW w:w="74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79" w:type="pct"/>
            <w:gridSpan w:val="4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灾害民生综合保险保费（县级）</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72" w:type="pct"/>
            <w:gridSpan w:val="8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451226230331700008794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59" w:hRule="atLeast"/>
        </w:trPr>
        <w:tc>
          <w:tcPr>
            <w:tcW w:w="74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79" w:type="pct"/>
            <w:gridSpan w:val="4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72" w:type="pct"/>
            <w:gridSpan w:val="8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19" w:hRule="atLeast"/>
        </w:trPr>
        <w:tc>
          <w:tcPr>
            <w:tcW w:w="744" w:type="pct"/>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929"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53"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89" w:type="pct"/>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9" w:hRule="atLeast"/>
        </w:trPr>
        <w:tc>
          <w:tcPr>
            <w:tcW w:w="744"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29"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53"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53.2</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53.2</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53.2</w:t>
            </w:r>
          </w:p>
        </w:tc>
        <w:tc>
          <w:tcPr>
            <w:tcW w:w="989"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9" w:hRule="atLeast"/>
        </w:trPr>
        <w:tc>
          <w:tcPr>
            <w:tcW w:w="744"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2"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6"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53"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9"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12" w:hRule="atLeast"/>
        </w:trPr>
        <w:tc>
          <w:tcPr>
            <w:tcW w:w="744"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2"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6"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53"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53.2</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53.2</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53.2</w:t>
            </w:r>
          </w:p>
        </w:tc>
        <w:tc>
          <w:tcPr>
            <w:tcW w:w="989"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79" w:hRule="atLeast"/>
        </w:trPr>
        <w:tc>
          <w:tcPr>
            <w:tcW w:w="744"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3"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9"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7" w:hRule="atLeast"/>
        </w:trPr>
        <w:tc>
          <w:tcPr>
            <w:tcW w:w="744"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3"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9"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57" w:hRule="atLeast"/>
        </w:trPr>
        <w:tc>
          <w:tcPr>
            <w:tcW w:w="744" w:type="pct"/>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2"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6"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3"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9"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4" w:hRule="atLeast"/>
        </w:trPr>
        <w:tc>
          <w:tcPr>
            <w:tcW w:w="744"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255" w:type="pct"/>
            <w:gridSpan w:val="14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保障县级配套灾害民生综合保险保费的支出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287"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6" w:type="pct"/>
            <w:gridSpan w:val="3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89.23</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72" w:type="pct"/>
            <w:gridSpan w:val="8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89" w:hRule="atLeast"/>
        </w:trPr>
        <w:tc>
          <w:tcPr>
            <w:tcW w:w="18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56"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4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6"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9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9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19"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56"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4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6"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保障投保户数</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≥11.92万户</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11.92</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9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全县民生灾害投保全覆盖</w:t>
            </w:r>
          </w:p>
        </w:tc>
        <w:tc>
          <w:tcPr>
            <w:tcW w:w="39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49"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56"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6"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立案结案率</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9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立案结案率100%</w:t>
            </w:r>
          </w:p>
        </w:tc>
        <w:tc>
          <w:tcPr>
            <w:tcW w:w="39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56"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6"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确认资料齐全之日起至支付赔款时间</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≤10天</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9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承诺期限内完成</w:t>
            </w:r>
          </w:p>
        </w:tc>
        <w:tc>
          <w:tcPr>
            <w:tcW w:w="39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9"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56"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6"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灾害民生综合保险保费县级配套部分</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＝53.2万元</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53.2</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9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县级配套53.2万元</w:t>
            </w:r>
          </w:p>
        </w:tc>
        <w:tc>
          <w:tcPr>
            <w:tcW w:w="39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56"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4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6"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获得保险理赔的防止返贫监测户返贫致贫率</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19.23</w:t>
            </w:r>
          </w:p>
        </w:tc>
        <w:tc>
          <w:tcPr>
            <w:tcW w:w="59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按期理赔保障受灾群众生产生活</w:t>
            </w:r>
          </w:p>
        </w:tc>
        <w:tc>
          <w:tcPr>
            <w:tcW w:w="39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进一步宣传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56"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4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6" w:type="pct"/>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5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502"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439"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9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群众满意</w:t>
            </w:r>
          </w:p>
        </w:tc>
        <w:tc>
          <w:tcPr>
            <w:tcW w:w="39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89" w:hRule="atLeast"/>
        </w:trPr>
        <w:tc>
          <w:tcPr>
            <w:tcW w:w="18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56"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255" w:type="pct"/>
            <w:gridSpan w:val="14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年度预算金额为532000元，执行数为532000元，执行率100%，达到预期的工作要求。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85"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56"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255" w:type="pct"/>
            <w:gridSpan w:val="14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7"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56"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255" w:type="pct"/>
            <w:gridSpan w:val="14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2" w:hRule="atLeast"/>
        </w:trPr>
        <w:tc>
          <w:tcPr>
            <w:tcW w:w="18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56"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255" w:type="pct"/>
            <w:gridSpan w:val="14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97" w:hRule="atLeast"/>
        </w:trPr>
        <w:tc>
          <w:tcPr>
            <w:tcW w:w="5000" w:type="pct"/>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2" w:hRule="atLeast"/>
        </w:trPr>
        <w:tc>
          <w:tcPr>
            <w:tcW w:w="708"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192" w:type="pct"/>
            <w:gridSpan w:val="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应急管理综合行政执法制式服装和标志采购</w:t>
            </w:r>
          </w:p>
        </w:tc>
        <w:tc>
          <w:tcPr>
            <w:tcW w:w="812"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286" w:type="pct"/>
            <w:gridSpan w:val="7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451226230331700008962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708"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192" w:type="pct"/>
            <w:gridSpan w:val="4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812"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286" w:type="pct"/>
            <w:gridSpan w:val="7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29" w:hRule="atLeast"/>
        </w:trPr>
        <w:tc>
          <w:tcPr>
            <w:tcW w:w="708" w:type="pct"/>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891"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1113" w:type="pct"/>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71"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2" w:hRule="atLeast"/>
        </w:trPr>
        <w:tc>
          <w:tcPr>
            <w:tcW w:w="708"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91"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1113"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97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37" w:hRule="atLeast"/>
        </w:trPr>
        <w:tc>
          <w:tcPr>
            <w:tcW w:w="708"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6" w:type="pct"/>
            <w:gridSpan w:val="1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44"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6"/>
                <w:szCs w:val="16"/>
                <w:highlight w:val="none"/>
                <w:u w:val="none"/>
                <w:lang w:val="en-US" w:eastAsia="zh-CN" w:bidi="ar"/>
              </w:rPr>
              <w:t>其中: 上级</w:t>
            </w:r>
          </w:p>
        </w:tc>
        <w:tc>
          <w:tcPr>
            <w:tcW w:w="1113"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708"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44"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1113"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708"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6"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113"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w:t>
            </w:r>
          </w:p>
        </w:tc>
        <w:tc>
          <w:tcPr>
            <w:tcW w:w="97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708"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6"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国有资本经营预算</w:t>
            </w:r>
          </w:p>
        </w:tc>
        <w:tc>
          <w:tcPr>
            <w:tcW w:w="3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113"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2" w:hRule="atLeast"/>
        </w:trPr>
        <w:tc>
          <w:tcPr>
            <w:tcW w:w="708" w:type="pct"/>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6"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113"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71"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2" w:hRule="atLeast"/>
        </w:trPr>
        <w:tc>
          <w:tcPr>
            <w:tcW w:w="708"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291" w:type="pct"/>
            <w:gridSpan w:val="14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保障综合行政执法制式服装和标志的采购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255"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645" w:type="pct"/>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18"/>
                <w:szCs w:val="18"/>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88.17</w:t>
            </w:r>
          </w:p>
        </w:tc>
        <w:tc>
          <w:tcPr>
            <w:tcW w:w="81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286" w:type="pct"/>
            <w:gridSpan w:val="7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69" w:hRule="atLeast"/>
        </w:trPr>
        <w:tc>
          <w:tcPr>
            <w:tcW w:w="18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2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54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645"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81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49" w:hRule="atLeast"/>
        </w:trPr>
        <w:tc>
          <w:tcPr>
            <w:tcW w:w="1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1" w:type="pct"/>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4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645"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采购服装套数</w:t>
            </w:r>
          </w:p>
        </w:tc>
        <w:tc>
          <w:tcPr>
            <w:tcW w:w="81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＝35套</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按在职人数采购制服</w:t>
            </w:r>
          </w:p>
        </w:tc>
        <w:tc>
          <w:tcPr>
            <w:tcW w:w="3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37" w:hRule="atLeast"/>
        </w:trPr>
        <w:tc>
          <w:tcPr>
            <w:tcW w:w="1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1"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645"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经费支出合规性</w:t>
            </w:r>
          </w:p>
        </w:tc>
        <w:tc>
          <w:tcPr>
            <w:tcW w:w="812" w:type="pct"/>
            <w:gridSpan w:val="3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严格执行相关财经法规、制度</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按规定合理开支</w:t>
            </w:r>
          </w:p>
        </w:tc>
        <w:tc>
          <w:tcPr>
            <w:tcW w:w="3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56" w:hRule="atLeast"/>
        </w:trPr>
        <w:tc>
          <w:tcPr>
            <w:tcW w:w="1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1"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645"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经费支出完成时间</w:t>
            </w:r>
          </w:p>
        </w:tc>
        <w:tc>
          <w:tcPr>
            <w:tcW w:w="812" w:type="pct"/>
            <w:gridSpan w:val="3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2023年12月33日前完成支付</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部分达成预期指标并具有一定效果</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因经费紧张，仅支付尾款</w:t>
            </w:r>
          </w:p>
        </w:tc>
        <w:tc>
          <w:tcPr>
            <w:tcW w:w="3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因经费紧张，不能在本年度支付完毕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4" w:hRule="atLeast"/>
        </w:trPr>
        <w:tc>
          <w:tcPr>
            <w:tcW w:w="1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1" w:type="pct"/>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4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645"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项目支出成本</w:t>
            </w:r>
          </w:p>
        </w:tc>
        <w:tc>
          <w:tcPr>
            <w:tcW w:w="812" w:type="pct"/>
            <w:gridSpan w:val="3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≤113205元</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110000</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7.17</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按采购合同支付采购费用</w:t>
            </w:r>
          </w:p>
        </w:tc>
        <w:tc>
          <w:tcPr>
            <w:tcW w:w="3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9" w:hRule="atLeast"/>
        </w:trPr>
        <w:tc>
          <w:tcPr>
            <w:tcW w:w="1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4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645"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保障提高执法规范性</w:t>
            </w:r>
          </w:p>
        </w:tc>
        <w:tc>
          <w:tcPr>
            <w:tcW w:w="81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显著</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保障执法工作规范性、严肃性</w:t>
            </w:r>
          </w:p>
        </w:tc>
        <w:tc>
          <w:tcPr>
            <w:tcW w:w="3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4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645" w:type="pct"/>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12"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4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28"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w:t>
            </w:r>
          </w:p>
        </w:tc>
        <w:tc>
          <w:tcPr>
            <w:tcW w:w="363"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89"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执法工作人员满意</w:t>
            </w:r>
          </w:p>
        </w:tc>
        <w:tc>
          <w:tcPr>
            <w:tcW w:w="3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25" w:hRule="atLeast"/>
        </w:trPr>
        <w:tc>
          <w:tcPr>
            <w:tcW w:w="18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2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291" w:type="pct"/>
            <w:gridSpan w:val="14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年度预算总额110000元，执行数110000元，执行率100%，达到预期工作要求。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44" w:hRule="atLeast"/>
        </w:trPr>
        <w:tc>
          <w:tcPr>
            <w:tcW w:w="1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291" w:type="pct"/>
            <w:gridSpan w:val="14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72" w:hRule="atLeast"/>
        </w:trPr>
        <w:tc>
          <w:tcPr>
            <w:tcW w:w="1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291" w:type="pct"/>
            <w:gridSpan w:val="14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02" w:hRule="atLeast"/>
        </w:trPr>
        <w:tc>
          <w:tcPr>
            <w:tcW w:w="1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291" w:type="pct"/>
            <w:gridSpan w:val="14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5" w:hRule="atLeast"/>
        </w:trPr>
        <w:tc>
          <w:tcPr>
            <w:tcW w:w="5000" w:type="pct"/>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9" w:hRule="atLeast"/>
        </w:trPr>
        <w:tc>
          <w:tcPr>
            <w:tcW w:w="692"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444" w:type="pct"/>
            <w:gridSpan w:val="5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春节慰问经费</w:t>
            </w:r>
          </w:p>
        </w:tc>
        <w:tc>
          <w:tcPr>
            <w:tcW w:w="50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358" w:type="pct"/>
            <w:gridSpan w:val="7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451226230431700007697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9" w:hRule="atLeast"/>
        </w:trPr>
        <w:tc>
          <w:tcPr>
            <w:tcW w:w="692"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444" w:type="pct"/>
            <w:gridSpan w:val="5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50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358" w:type="pct"/>
            <w:gridSpan w:val="7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9" w:hRule="atLeast"/>
        </w:trPr>
        <w:tc>
          <w:tcPr>
            <w:tcW w:w="692" w:type="pct"/>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997" w:type="pct"/>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951"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9" w:hRule="atLeast"/>
        </w:trPr>
        <w:tc>
          <w:tcPr>
            <w:tcW w:w="692"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97" w:type="pct"/>
            <w:gridSpan w:val="4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951"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89" w:hRule="atLeast"/>
        </w:trPr>
        <w:tc>
          <w:tcPr>
            <w:tcW w:w="692"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09" w:type="pct"/>
            <w:gridSpan w:val="2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951"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4" w:hRule="atLeast"/>
        </w:trPr>
        <w:tc>
          <w:tcPr>
            <w:tcW w:w="692"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09" w:type="pct"/>
            <w:gridSpan w:val="2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951"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9" w:hRule="atLeast"/>
        </w:trPr>
        <w:tc>
          <w:tcPr>
            <w:tcW w:w="692"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09"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1"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4" w:hRule="atLeast"/>
        </w:trPr>
        <w:tc>
          <w:tcPr>
            <w:tcW w:w="692"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09"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1"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9" w:hRule="atLeast"/>
        </w:trPr>
        <w:tc>
          <w:tcPr>
            <w:tcW w:w="692" w:type="pct"/>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09"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88"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951"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980" w:type="pct"/>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4" w:hRule="atLeast"/>
        </w:trPr>
        <w:tc>
          <w:tcPr>
            <w:tcW w:w="692"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307" w:type="pct"/>
            <w:gridSpan w:val="15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保障2023年防火队员的春节慰问支出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84" w:hRule="atLeast"/>
        </w:trPr>
        <w:tc>
          <w:tcPr>
            <w:tcW w:w="1301"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88.55</w:t>
            </w:r>
          </w:p>
        </w:tc>
        <w:tc>
          <w:tcPr>
            <w:tcW w:w="50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358" w:type="pct"/>
            <w:gridSpan w:val="7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94" w:hRule="atLeast"/>
        </w:trPr>
        <w:tc>
          <w:tcPr>
            <w:tcW w:w="18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609"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50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617"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71"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609"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慰问人数</w:t>
            </w:r>
          </w:p>
        </w:tc>
        <w:tc>
          <w:tcPr>
            <w:tcW w:w="50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＝107人</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617"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对了应急救援聘用人员107人进行慰问</w:t>
            </w:r>
          </w:p>
        </w:tc>
        <w:tc>
          <w:tcPr>
            <w:tcW w:w="3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97"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09"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资金拨付率</w:t>
            </w:r>
          </w:p>
        </w:tc>
        <w:tc>
          <w:tcPr>
            <w:tcW w:w="50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17"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资金拨付到位</w:t>
            </w:r>
          </w:p>
        </w:tc>
        <w:tc>
          <w:tcPr>
            <w:tcW w:w="3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37"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09"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2023年1月份支出率</w:t>
            </w:r>
          </w:p>
        </w:tc>
        <w:tc>
          <w:tcPr>
            <w:tcW w:w="50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17"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资金按时拨付</w:t>
            </w:r>
          </w:p>
        </w:tc>
        <w:tc>
          <w:tcPr>
            <w:tcW w:w="3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59"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09"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发放慰问金的金额</w:t>
            </w:r>
          </w:p>
        </w:tc>
        <w:tc>
          <w:tcPr>
            <w:tcW w:w="503"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＝53500元</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53500</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17"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发放53500元慰问金</w:t>
            </w:r>
          </w:p>
        </w:tc>
        <w:tc>
          <w:tcPr>
            <w:tcW w:w="3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23"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609"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慰问对象</w:t>
            </w:r>
          </w:p>
        </w:tc>
        <w:tc>
          <w:tcPr>
            <w:tcW w:w="50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得到慰问</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20.55</w:t>
            </w:r>
          </w:p>
        </w:tc>
        <w:tc>
          <w:tcPr>
            <w:tcW w:w="617"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慰问对象感受到党委政府的关怀，激发干事热情</w:t>
            </w:r>
          </w:p>
        </w:tc>
        <w:tc>
          <w:tcPr>
            <w:tcW w:w="3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609"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835" w:type="pct"/>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发放对象满意度</w:t>
            </w:r>
          </w:p>
        </w:tc>
        <w:tc>
          <w:tcPr>
            <w:tcW w:w="50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50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3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438"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17"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救援队员满意</w:t>
            </w:r>
          </w:p>
        </w:tc>
        <w:tc>
          <w:tcPr>
            <w:tcW w:w="3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29" w:hRule="atLeast"/>
        </w:trPr>
        <w:tc>
          <w:tcPr>
            <w:tcW w:w="188"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307" w:type="pct"/>
            <w:gridSpan w:val="15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年度预算总额53500元，执行数53500元，执行率100%，达到预期工作要求。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734"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307" w:type="pct"/>
            <w:gridSpan w:val="15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07"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307" w:type="pct"/>
            <w:gridSpan w:val="15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77" w:hRule="atLeast"/>
        </w:trPr>
        <w:tc>
          <w:tcPr>
            <w:tcW w:w="188"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307" w:type="pct"/>
            <w:gridSpan w:val="15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50" w:hRule="atLeast"/>
        </w:trPr>
        <w:tc>
          <w:tcPr>
            <w:tcW w:w="5000" w:type="pct"/>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44" w:hRule="atLeast"/>
        </w:trPr>
        <w:tc>
          <w:tcPr>
            <w:tcW w:w="684"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42" w:type="pct"/>
            <w:gridSpan w:val="5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疫情防控工作经费</w:t>
            </w:r>
          </w:p>
        </w:tc>
        <w:tc>
          <w:tcPr>
            <w:tcW w:w="894"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2079" w:type="pct"/>
            <w:gridSpan w:val="7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451226230431700008168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4" w:hRule="atLeast"/>
        </w:trPr>
        <w:tc>
          <w:tcPr>
            <w:tcW w:w="684"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项目实施单位</w:t>
            </w:r>
          </w:p>
        </w:tc>
        <w:tc>
          <w:tcPr>
            <w:tcW w:w="1342" w:type="pct"/>
            <w:gridSpan w:val="5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317001-环江毛南族自治县应急管理局</w:t>
            </w:r>
          </w:p>
        </w:tc>
        <w:tc>
          <w:tcPr>
            <w:tcW w:w="894"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2079" w:type="pct"/>
            <w:gridSpan w:val="7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317-环江毛南族自治县应急管理局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4" w:hRule="atLeast"/>
        </w:trPr>
        <w:tc>
          <w:tcPr>
            <w:tcW w:w="684"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预算执行情况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(万元)</w:t>
            </w:r>
          </w:p>
        </w:tc>
        <w:tc>
          <w:tcPr>
            <w:tcW w:w="1026" w:type="pct"/>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资金来源</w:t>
            </w:r>
          </w:p>
        </w:tc>
        <w:tc>
          <w:tcPr>
            <w:tcW w:w="1210" w:type="pct"/>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年初预算数</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年中预算调整数</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调整后预算数</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实际支出数</w:t>
            </w:r>
          </w:p>
        </w:tc>
        <w:tc>
          <w:tcPr>
            <w:tcW w:w="863"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9" w:hRule="atLeast"/>
        </w:trPr>
        <w:tc>
          <w:tcPr>
            <w:tcW w:w="684"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026" w:type="pct"/>
            <w:gridSpan w:val="4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1210"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4.6184</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4.6184</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4.5044</w:t>
            </w:r>
          </w:p>
        </w:tc>
        <w:tc>
          <w:tcPr>
            <w:tcW w:w="863"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9" w:hRule="atLeast"/>
        </w:trPr>
        <w:tc>
          <w:tcPr>
            <w:tcW w:w="684"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16" w:type="pct"/>
            <w:gridSpan w:val="2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其中：一般公共预算拨款</w:t>
            </w:r>
          </w:p>
        </w:tc>
        <w:tc>
          <w:tcPr>
            <w:tcW w:w="410"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 上级</w:t>
            </w:r>
          </w:p>
        </w:tc>
        <w:tc>
          <w:tcPr>
            <w:tcW w:w="1210"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4.4444</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4.4444</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4.4444</w:t>
            </w:r>
          </w:p>
        </w:tc>
        <w:tc>
          <w:tcPr>
            <w:tcW w:w="863"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59" w:hRule="atLeast"/>
        </w:trPr>
        <w:tc>
          <w:tcPr>
            <w:tcW w:w="684"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16" w:type="pct"/>
            <w:gridSpan w:val="2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none"/>
                <w:u w:val="none"/>
              </w:rPr>
            </w:pPr>
          </w:p>
        </w:tc>
        <w:tc>
          <w:tcPr>
            <w:tcW w:w="410"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本级</w:t>
            </w:r>
          </w:p>
        </w:tc>
        <w:tc>
          <w:tcPr>
            <w:tcW w:w="1210"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0.174</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0.174</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0.06</w:t>
            </w:r>
          </w:p>
        </w:tc>
        <w:tc>
          <w:tcPr>
            <w:tcW w:w="863"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9" w:hRule="atLeast"/>
        </w:trPr>
        <w:tc>
          <w:tcPr>
            <w:tcW w:w="684"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1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政府性基金</w:t>
            </w:r>
          </w:p>
        </w:tc>
        <w:tc>
          <w:tcPr>
            <w:tcW w:w="41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210"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863"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59" w:hRule="atLeast"/>
        </w:trPr>
        <w:tc>
          <w:tcPr>
            <w:tcW w:w="684"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1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国有资本经营预算</w:t>
            </w:r>
          </w:p>
        </w:tc>
        <w:tc>
          <w:tcPr>
            <w:tcW w:w="41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210"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863"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9" w:hRule="atLeast"/>
        </w:trPr>
        <w:tc>
          <w:tcPr>
            <w:tcW w:w="684"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16" w:type="pct"/>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410" w:type="pct"/>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w:t>
            </w:r>
          </w:p>
        </w:tc>
        <w:tc>
          <w:tcPr>
            <w:tcW w:w="1210" w:type="pct"/>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w:t>
            </w:r>
          </w:p>
        </w:tc>
        <w:tc>
          <w:tcPr>
            <w:tcW w:w="863" w:type="pct"/>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89" w:hRule="atLeast"/>
        </w:trPr>
        <w:tc>
          <w:tcPr>
            <w:tcW w:w="684"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年度绩效目标</w:t>
            </w:r>
          </w:p>
        </w:tc>
        <w:tc>
          <w:tcPr>
            <w:tcW w:w="4315" w:type="pct"/>
            <w:gridSpan w:val="15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保障前期疫情防控工作经费的支出。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300" w:type="pct"/>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自评得分（满分100分）</w:t>
            </w:r>
          </w:p>
        </w:tc>
        <w:tc>
          <w:tcPr>
            <w:tcW w:w="726"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highlight w:val="none"/>
                <w:u w:val="none"/>
              </w:rPr>
            </w:pPr>
            <w:r>
              <w:rPr>
                <w:rFonts w:hint="eastAsia" w:ascii="仿宋_GB2312" w:hAnsi="Arial" w:eastAsia="仿宋_GB2312" w:cs="仿宋_GB2312"/>
                <w:i w:val="0"/>
                <w:iCs w:val="0"/>
                <w:color w:val="000000"/>
                <w:kern w:val="0"/>
                <w:sz w:val="22"/>
                <w:szCs w:val="22"/>
                <w:highlight w:val="none"/>
                <w:u w:val="none"/>
                <w:lang w:val="en-US" w:eastAsia="zh-CN" w:bidi="ar"/>
              </w:rPr>
              <w:t>87.86</w:t>
            </w:r>
          </w:p>
        </w:tc>
        <w:tc>
          <w:tcPr>
            <w:tcW w:w="894"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预算执行（10分）</w:t>
            </w:r>
          </w:p>
        </w:tc>
        <w:tc>
          <w:tcPr>
            <w:tcW w:w="2079" w:type="pct"/>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9.75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26" w:hRule="atLeast"/>
        </w:trPr>
        <w:tc>
          <w:tcPr>
            <w:tcW w:w="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项目绩效目标衡量指标</w:t>
            </w:r>
          </w:p>
        </w:tc>
        <w:tc>
          <w:tcPr>
            <w:tcW w:w="5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一级指标</w:t>
            </w:r>
          </w:p>
        </w:tc>
        <w:tc>
          <w:tcPr>
            <w:tcW w:w="616"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二级指标</w:t>
            </w:r>
          </w:p>
        </w:tc>
        <w:tc>
          <w:tcPr>
            <w:tcW w:w="72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指标内容</w:t>
            </w:r>
          </w:p>
        </w:tc>
        <w:tc>
          <w:tcPr>
            <w:tcW w:w="894"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指标值</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分值</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实际完成值</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指标得分</w:t>
            </w:r>
          </w:p>
        </w:tc>
        <w:tc>
          <w:tcPr>
            <w:tcW w:w="56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完成情况简要描述</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18"/>
                <w:szCs w:val="18"/>
                <w:highlight w:val="none"/>
                <w:u w:val="none"/>
              </w:rPr>
            </w:pPr>
            <w:r>
              <w:rPr>
                <w:rFonts w:hint="eastAsia" w:ascii="仿宋_GB2312" w:hAnsi="Arial" w:eastAsia="仿宋_GB2312" w:cs="仿宋_GB2312"/>
                <w:b/>
                <w:bCs/>
                <w:i w:val="0"/>
                <w:iCs w:val="0"/>
                <w:color w:val="000000"/>
                <w:kern w:val="0"/>
                <w:sz w:val="18"/>
                <w:szCs w:val="18"/>
                <w:highlight w:val="none"/>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26"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5"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616"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72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支出的项目个数</w:t>
            </w:r>
          </w:p>
        </w:tc>
        <w:tc>
          <w:tcPr>
            <w:tcW w:w="894"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＝21个数</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6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完成21个核酸采样点物资采购</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34"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5"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16"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72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疫情防控工作的配套设施</w:t>
            </w:r>
          </w:p>
        </w:tc>
        <w:tc>
          <w:tcPr>
            <w:tcW w:w="894" w:type="pct"/>
            <w:gridSpan w:val="3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质量达到要求</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6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质量合格达到使用标准</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9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5"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16"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72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使用期限</w:t>
            </w:r>
          </w:p>
        </w:tc>
        <w:tc>
          <w:tcPr>
            <w:tcW w:w="894" w:type="pct"/>
            <w:gridSpan w:val="3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2023年12月31日前使用完毕</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6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如期完成</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34"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5"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616"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72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疫控防控工作经费</w:t>
            </w:r>
          </w:p>
        </w:tc>
        <w:tc>
          <w:tcPr>
            <w:tcW w:w="894" w:type="pct"/>
            <w:gridSpan w:val="30"/>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≤46184元</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45044</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7.53</w:t>
            </w:r>
          </w:p>
        </w:tc>
        <w:tc>
          <w:tcPr>
            <w:tcW w:w="56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控制在预算指标内</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0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616"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w:t>
            </w:r>
          </w:p>
        </w:tc>
        <w:tc>
          <w:tcPr>
            <w:tcW w:w="72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驻点广而告之</w:t>
            </w:r>
          </w:p>
        </w:tc>
        <w:tc>
          <w:tcPr>
            <w:tcW w:w="894"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人民群众配合疫情防控工作要求</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达成预期指标</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22.58</w:t>
            </w:r>
          </w:p>
        </w:tc>
        <w:tc>
          <w:tcPr>
            <w:tcW w:w="56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满足疫情防控要求</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04"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616"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服务对象满意度</w:t>
            </w:r>
          </w:p>
        </w:tc>
        <w:tc>
          <w:tcPr>
            <w:tcW w:w="726"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服务对象的满意度</w:t>
            </w:r>
          </w:p>
        </w:tc>
        <w:tc>
          <w:tcPr>
            <w:tcW w:w="894"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≤93%</w:t>
            </w:r>
          </w:p>
        </w:tc>
        <w:tc>
          <w:tcPr>
            <w:tcW w:w="449"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15"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93</w:t>
            </w:r>
          </w:p>
        </w:tc>
        <w:tc>
          <w:tcPr>
            <w:tcW w:w="35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561"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群众普遍认可</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15" w:hRule="atLeast"/>
        </w:trPr>
        <w:tc>
          <w:tcPr>
            <w:tcW w:w="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自评分析</w:t>
            </w:r>
          </w:p>
        </w:tc>
        <w:tc>
          <w:tcPr>
            <w:tcW w:w="5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全年目标完成情况</w:t>
            </w:r>
          </w:p>
        </w:tc>
        <w:tc>
          <w:tcPr>
            <w:tcW w:w="4315" w:type="pct"/>
            <w:gridSpan w:val="15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年度预算金额为46184元，执行数为45044元，执行率97.53%，达到预期的工作要求。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绩效目标偏离原因分析</w:t>
            </w:r>
          </w:p>
        </w:tc>
        <w:tc>
          <w:tcPr>
            <w:tcW w:w="4315" w:type="pct"/>
            <w:gridSpan w:val="15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77"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整改措施及建议</w:t>
            </w:r>
          </w:p>
        </w:tc>
        <w:tc>
          <w:tcPr>
            <w:tcW w:w="4315" w:type="pct"/>
            <w:gridSpan w:val="15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17"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其他需说明问题</w:t>
            </w:r>
          </w:p>
        </w:tc>
        <w:tc>
          <w:tcPr>
            <w:tcW w:w="4315" w:type="pct"/>
            <w:gridSpan w:val="15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w:t>
            </w:r>
          </w:p>
        </w:tc>
      </w:tr>
    </w:tbl>
    <w:p>
      <w:pPr>
        <w:autoSpaceDE w:val="0"/>
        <w:autoSpaceDN w:val="0"/>
        <w:adjustRightInd w:val="0"/>
        <w:spacing w:line="560" w:lineRule="exact"/>
        <w:jc w:val="both"/>
        <w:rPr>
          <w:rFonts w:hint="eastAsia" w:ascii="仿宋_GB2312" w:eastAsia="仿宋_GB2312" w:cs="仿宋_GB2312"/>
          <w:b/>
          <w:kern w:val="0"/>
          <w:sz w:val="32"/>
          <w:szCs w:val="32"/>
          <w:highlight w:val="none"/>
        </w:rPr>
        <w:sectPr>
          <w:pgSz w:w="16838" w:h="11906" w:orient="landscape"/>
          <w:pgMar w:top="567" w:right="454" w:bottom="283" w:left="567" w:header="851" w:footer="992" w:gutter="0"/>
          <w:cols w:space="0" w:num="1"/>
          <w:rtlGutter w:val="0"/>
          <w:docGrid w:type="lines" w:linePitch="312" w:charSpace="0"/>
        </w:sectPr>
      </w:pPr>
    </w:p>
    <w:p>
      <w:pPr>
        <w:autoSpaceDE w:val="0"/>
        <w:autoSpaceDN w:val="0"/>
        <w:adjustRightInd w:val="0"/>
        <w:spacing w:line="560" w:lineRule="exact"/>
        <w:rPr>
          <w:rFonts w:hint="eastAsia" w:ascii="仿宋_GB2312" w:eastAsia="仿宋_GB2312" w:cs="仿宋_GB2312"/>
          <w:b/>
          <w:kern w:val="0"/>
          <w:sz w:val="32"/>
          <w:szCs w:val="32"/>
          <w:highlight w:val="none"/>
        </w:rPr>
      </w:pPr>
    </w:p>
    <w:p>
      <w:pPr>
        <w:autoSpaceDE w:val="0"/>
        <w:autoSpaceDN w:val="0"/>
        <w:adjustRightInd w:val="0"/>
        <w:spacing w:line="560" w:lineRule="exact"/>
        <w:jc w:val="center"/>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第四部分  名词解释</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 xml:space="preserve">一、财政拨款收入：指自治区财政部门当年拨付的资金。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二、事业收入：指事业单位开展专业业务活动及辅助活动所取得的收入。</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四、其他收入：指除上述“财政拨款收入”“事业收入”“经营收入”等以外的收入。</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五、使用非财政拨款结余</w:t>
      </w:r>
      <w:r>
        <w:rPr>
          <w:rFonts w:hint="eastAsia" w:ascii="仿宋_GB2312" w:eastAsia="仿宋_GB2312"/>
          <w:sz w:val="32"/>
          <w:szCs w:val="32"/>
          <w:highlight w:val="none"/>
          <w:lang w:eastAsia="zh-CN"/>
        </w:rPr>
        <w:t>（含专用结余）</w:t>
      </w:r>
      <w:r>
        <w:rPr>
          <w:rFonts w:hint="eastAsia" w:ascii="仿宋_GB2312" w:eastAsia="仿宋_GB2312"/>
          <w:sz w:val="32"/>
          <w:szCs w:val="32"/>
          <w:highlight w:val="none"/>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w:t>
      </w:r>
    </w:p>
    <w:p>
      <w:pPr>
        <w:widowControl w:val="0"/>
        <w:spacing w:line="56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（各部门可根据本部门实际情况，参考对口中央部门决算公开内容确定</w:t>
      </w:r>
      <w:r>
        <w:rPr>
          <w:rFonts w:hint="eastAsia" w:ascii="黑体" w:hAnsi="黑体" w:eastAsia="黑体" w:cs="仿宋_GB2312"/>
          <w:kern w:val="0"/>
          <w:sz w:val="32"/>
          <w:szCs w:val="32"/>
          <w:highlight w:val="none"/>
          <w:lang w:eastAsia="zh-CN"/>
        </w:rPr>
        <w:t>；</w:t>
      </w:r>
      <w:r>
        <w:rPr>
          <w:rFonts w:hint="eastAsia" w:ascii="黑体" w:hAnsi="黑体" w:eastAsia="黑体" w:cs="仿宋_GB2312"/>
          <w:i w:val="0"/>
          <w:caps w:val="0"/>
          <w:spacing w:val="0"/>
          <w:kern w:val="0"/>
          <w:sz w:val="32"/>
          <w:szCs w:val="32"/>
          <w:highlight w:val="none"/>
          <w:shd w:val="clear" w:color="auto" w:fill="auto"/>
          <w:lang w:val="en-US" w:eastAsia="zh-CN" w:bidi="ar"/>
        </w:rPr>
        <w:t>所属单位公开格式可参考部门公开格式</w:t>
      </w:r>
      <w:r>
        <w:rPr>
          <w:rFonts w:hint="eastAsia" w:ascii="黑体" w:hAnsi="黑体" w:eastAsia="黑体" w:cs="仿宋_GB2312"/>
          <w:kern w:val="0"/>
          <w:sz w:val="32"/>
          <w:szCs w:val="32"/>
          <w:highlight w:val="none"/>
        </w:rPr>
        <w:t>）</w:t>
      </w:r>
    </w:p>
    <w:p>
      <w:pPr>
        <w:rPr>
          <w:rFonts w:hint="default" w:ascii="方正小标宋简体" w:eastAsia="方正小标宋简体" w:cs="ArialUnicodeMS"/>
          <w:kern w:val="0"/>
          <w:sz w:val="52"/>
          <w:szCs w:val="52"/>
          <w:highlight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8E725"/>
    <w:multiLevelType w:val="singleLevel"/>
    <w:tmpl w:val="8E78E725"/>
    <w:lvl w:ilvl="0" w:tentative="0">
      <w:start w:val="3"/>
      <w:numFmt w:val="decimal"/>
      <w:lvlText w:val="%1."/>
      <w:lvlJc w:val="left"/>
      <w:pPr>
        <w:tabs>
          <w:tab w:val="left" w:pos="312"/>
        </w:tabs>
        <w:ind w:left="440" w:leftChars="0" w:firstLine="0" w:firstLineChars="0"/>
      </w:pPr>
    </w:lvl>
  </w:abstractNum>
  <w:abstractNum w:abstractNumId="1">
    <w:nsid w:val="064CF274"/>
    <w:multiLevelType w:val="singleLevel"/>
    <w:tmpl w:val="064CF274"/>
    <w:lvl w:ilvl="0" w:tentative="0">
      <w:start w:val="1"/>
      <w:numFmt w:val="chineseCounting"/>
      <w:suff w:val="nothing"/>
      <w:lvlText w:val="（%1）"/>
      <w:lvlJc w:val="left"/>
      <w:rPr>
        <w:rFonts w:hint="eastAsia"/>
      </w:rPr>
    </w:lvl>
  </w:abstractNum>
  <w:abstractNum w:abstractNumId="2">
    <w:nsid w:val="235FF55B"/>
    <w:multiLevelType w:val="singleLevel"/>
    <w:tmpl w:val="235FF55B"/>
    <w:lvl w:ilvl="0" w:tentative="0">
      <w:start w:val="1"/>
      <w:numFmt w:val="chineseCounting"/>
      <w:suff w:val="nothing"/>
      <w:lvlText w:val="（%1）"/>
      <w:lvlJc w:val="left"/>
      <w:rPr>
        <w:rFonts w:hint="eastAsia"/>
      </w:rPr>
    </w:lvl>
  </w:abstractNum>
  <w:abstractNum w:abstractNumId="3">
    <w:nsid w:val="78C4032D"/>
    <w:multiLevelType w:val="singleLevel"/>
    <w:tmpl w:val="78C4032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YWFkNDVmOGNhZTA1NGUxNTMzZjk2ZjQxZDkyYzIifQ=="/>
  </w:docVars>
  <w:rsids>
    <w:rsidRoot w:val="00000000"/>
    <w:rsid w:val="00305CE7"/>
    <w:rsid w:val="0096248D"/>
    <w:rsid w:val="00965083"/>
    <w:rsid w:val="009C0DA5"/>
    <w:rsid w:val="00AD714B"/>
    <w:rsid w:val="00B70E3B"/>
    <w:rsid w:val="00D9200A"/>
    <w:rsid w:val="010233B3"/>
    <w:rsid w:val="01163C7F"/>
    <w:rsid w:val="018B7BC6"/>
    <w:rsid w:val="01995BAA"/>
    <w:rsid w:val="01D56E90"/>
    <w:rsid w:val="0241242E"/>
    <w:rsid w:val="02527497"/>
    <w:rsid w:val="029F0414"/>
    <w:rsid w:val="03156CB7"/>
    <w:rsid w:val="036839EA"/>
    <w:rsid w:val="036D5C5E"/>
    <w:rsid w:val="038E2E1D"/>
    <w:rsid w:val="03C60012"/>
    <w:rsid w:val="03DD389F"/>
    <w:rsid w:val="04C160C9"/>
    <w:rsid w:val="04DA269D"/>
    <w:rsid w:val="04E43656"/>
    <w:rsid w:val="04E83A31"/>
    <w:rsid w:val="05A30D9B"/>
    <w:rsid w:val="05E74E14"/>
    <w:rsid w:val="06311251"/>
    <w:rsid w:val="063616F8"/>
    <w:rsid w:val="06451A56"/>
    <w:rsid w:val="06557754"/>
    <w:rsid w:val="06A91D04"/>
    <w:rsid w:val="06DD312B"/>
    <w:rsid w:val="072B44E3"/>
    <w:rsid w:val="0747037F"/>
    <w:rsid w:val="07C57BD4"/>
    <w:rsid w:val="07CF3528"/>
    <w:rsid w:val="0826741A"/>
    <w:rsid w:val="0862654D"/>
    <w:rsid w:val="08943444"/>
    <w:rsid w:val="08C40B70"/>
    <w:rsid w:val="08C50C19"/>
    <w:rsid w:val="08D5688C"/>
    <w:rsid w:val="08E66B26"/>
    <w:rsid w:val="090B7486"/>
    <w:rsid w:val="098C5296"/>
    <w:rsid w:val="0A0C0156"/>
    <w:rsid w:val="0A2E0CC2"/>
    <w:rsid w:val="0A382C50"/>
    <w:rsid w:val="0AA37852"/>
    <w:rsid w:val="0AD32169"/>
    <w:rsid w:val="0ADB6F55"/>
    <w:rsid w:val="0B005F1C"/>
    <w:rsid w:val="0B796AE0"/>
    <w:rsid w:val="0BD62E5A"/>
    <w:rsid w:val="0BE166CF"/>
    <w:rsid w:val="0C176B74"/>
    <w:rsid w:val="0C2B7FCF"/>
    <w:rsid w:val="0C2D33EC"/>
    <w:rsid w:val="0C693E6F"/>
    <w:rsid w:val="0C7D2E8A"/>
    <w:rsid w:val="0C897545"/>
    <w:rsid w:val="0CAB26D5"/>
    <w:rsid w:val="0CC52C64"/>
    <w:rsid w:val="0D56300D"/>
    <w:rsid w:val="0DE76F44"/>
    <w:rsid w:val="0E005601"/>
    <w:rsid w:val="0E383160"/>
    <w:rsid w:val="0E5C7E9D"/>
    <w:rsid w:val="0E9B78CA"/>
    <w:rsid w:val="0F180250"/>
    <w:rsid w:val="0F216961"/>
    <w:rsid w:val="0F2A0321"/>
    <w:rsid w:val="0F8C2131"/>
    <w:rsid w:val="100509AB"/>
    <w:rsid w:val="10EE0964"/>
    <w:rsid w:val="11253D5A"/>
    <w:rsid w:val="11B03955"/>
    <w:rsid w:val="11B64AD6"/>
    <w:rsid w:val="11C56BB4"/>
    <w:rsid w:val="11C572CA"/>
    <w:rsid w:val="120F4BDD"/>
    <w:rsid w:val="121210D7"/>
    <w:rsid w:val="12612C05"/>
    <w:rsid w:val="128027D6"/>
    <w:rsid w:val="13814D1A"/>
    <w:rsid w:val="14181987"/>
    <w:rsid w:val="1425541A"/>
    <w:rsid w:val="142935F1"/>
    <w:rsid w:val="14385F95"/>
    <w:rsid w:val="145C1D50"/>
    <w:rsid w:val="1484504F"/>
    <w:rsid w:val="14E77D2F"/>
    <w:rsid w:val="14FF3F1F"/>
    <w:rsid w:val="150B7C96"/>
    <w:rsid w:val="15417B74"/>
    <w:rsid w:val="154B6906"/>
    <w:rsid w:val="157750CB"/>
    <w:rsid w:val="158660DC"/>
    <w:rsid w:val="15C85138"/>
    <w:rsid w:val="15D477CF"/>
    <w:rsid w:val="160D46BC"/>
    <w:rsid w:val="165C7015"/>
    <w:rsid w:val="166B7499"/>
    <w:rsid w:val="167969DD"/>
    <w:rsid w:val="16A76CE0"/>
    <w:rsid w:val="16B46578"/>
    <w:rsid w:val="170419F4"/>
    <w:rsid w:val="17150358"/>
    <w:rsid w:val="17165895"/>
    <w:rsid w:val="173922B9"/>
    <w:rsid w:val="17905436"/>
    <w:rsid w:val="17B57C3A"/>
    <w:rsid w:val="17B82D77"/>
    <w:rsid w:val="17D271A5"/>
    <w:rsid w:val="180E5434"/>
    <w:rsid w:val="181E09F9"/>
    <w:rsid w:val="1831447E"/>
    <w:rsid w:val="18592901"/>
    <w:rsid w:val="186D350E"/>
    <w:rsid w:val="18BA4824"/>
    <w:rsid w:val="19052A19"/>
    <w:rsid w:val="190B5852"/>
    <w:rsid w:val="193C0975"/>
    <w:rsid w:val="1954059A"/>
    <w:rsid w:val="197C5DC0"/>
    <w:rsid w:val="19823668"/>
    <w:rsid w:val="19DD2A35"/>
    <w:rsid w:val="1A265E54"/>
    <w:rsid w:val="1A2C027D"/>
    <w:rsid w:val="1A512A3C"/>
    <w:rsid w:val="1A5F7BAB"/>
    <w:rsid w:val="1A79617E"/>
    <w:rsid w:val="1A8A0C5F"/>
    <w:rsid w:val="1AB3725D"/>
    <w:rsid w:val="1AC16573"/>
    <w:rsid w:val="1ADE3924"/>
    <w:rsid w:val="1AFC50D3"/>
    <w:rsid w:val="1B526E2C"/>
    <w:rsid w:val="1BBC447B"/>
    <w:rsid w:val="1C0124B9"/>
    <w:rsid w:val="1C0302FC"/>
    <w:rsid w:val="1C3D34E0"/>
    <w:rsid w:val="1C477673"/>
    <w:rsid w:val="1C502766"/>
    <w:rsid w:val="1C5B250F"/>
    <w:rsid w:val="1C6646A5"/>
    <w:rsid w:val="1CA87FF2"/>
    <w:rsid w:val="1CB57CA7"/>
    <w:rsid w:val="1CEA04B0"/>
    <w:rsid w:val="1CF70A24"/>
    <w:rsid w:val="1CFB7D84"/>
    <w:rsid w:val="1D2D4A96"/>
    <w:rsid w:val="1D4F19F4"/>
    <w:rsid w:val="1D885A81"/>
    <w:rsid w:val="1DC72FE7"/>
    <w:rsid w:val="1E206C00"/>
    <w:rsid w:val="1EA10C17"/>
    <w:rsid w:val="1EDD284F"/>
    <w:rsid w:val="1EFA4A59"/>
    <w:rsid w:val="1F022D6F"/>
    <w:rsid w:val="1F420C28"/>
    <w:rsid w:val="1F5B33FE"/>
    <w:rsid w:val="1FA215F4"/>
    <w:rsid w:val="1FD27BC4"/>
    <w:rsid w:val="20053897"/>
    <w:rsid w:val="20354B9F"/>
    <w:rsid w:val="2041079C"/>
    <w:rsid w:val="204D3C8B"/>
    <w:rsid w:val="2051474A"/>
    <w:rsid w:val="20E83492"/>
    <w:rsid w:val="210F3DDB"/>
    <w:rsid w:val="211B52FE"/>
    <w:rsid w:val="212C5E28"/>
    <w:rsid w:val="21851140"/>
    <w:rsid w:val="21974DC3"/>
    <w:rsid w:val="219A188C"/>
    <w:rsid w:val="21B80CDF"/>
    <w:rsid w:val="21BB3EBD"/>
    <w:rsid w:val="21C80F79"/>
    <w:rsid w:val="21CF231E"/>
    <w:rsid w:val="21D12087"/>
    <w:rsid w:val="21DF0B9E"/>
    <w:rsid w:val="21E1245D"/>
    <w:rsid w:val="220D00D4"/>
    <w:rsid w:val="22274D44"/>
    <w:rsid w:val="222A579A"/>
    <w:rsid w:val="223076A3"/>
    <w:rsid w:val="225B2600"/>
    <w:rsid w:val="228813B7"/>
    <w:rsid w:val="22960560"/>
    <w:rsid w:val="22B41E7B"/>
    <w:rsid w:val="22F25F5A"/>
    <w:rsid w:val="23131247"/>
    <w:rsid w:val="231D4202"/>
    <w:rsid w:val="23266A73"/>
    <w:rsid w:val="234D45F8"/>
    <w:rsid w:val="235563CF"/>
    <w:rsid w:val="236B3BA8"/>
    <w:rsid w:val="2375135C"/>
    <w:rsid w:val="23796741"/>
    <w:rsid w:val="23B567AE"/>
    <w:rsid w:val="24567F3A"/>
    <w:rsid w:val="24A60DCE"/>
    <w:rsid w:val="24CA4DE9"/>
    <w:rsid w:val="24EB531E"/>
    <w:rsid w:val="250207C6"/>
    <w:rsid w:val="251209F1"/>
    <w:rsid w:val="2569240D"/>
    <w:rsid w:val="25760BB0"/>
    <w:rsid w:val="2583582E"/>
    <w:rsid w:val="267473A3"/>
    <w:rsid w:val="2678382B"/>
    <w:rsid w:val="26A80AF7"/>
    <w:rsid w:val="26C13A9F"/>
    <w:rsid w:val="26DD391D"/>
    <w:rsid w:val="277751B0"/>
    <w:rsid w:val="27985EAC"/>
    <w:rsid w:val="27B66AB6"/>
    <w:rsid w:val="27BB0A3D"/>
    <w:rsid w:val="28187A54"/>
    <w:rsid w:val="281A6A27"/>
    <w:rsid w:val="28855E8A"/>
    <w:rsid w:val="289865FD"/>
    <w:rsid w:val="28D82090"/>
    <w:rsid w:val="2939653E"/>
    <w:rsid w:val="294058B8"/>
    <w:rsid w:val="294B58AC"/>
    <w:rsid w:val="296C5733"/>
    <w:rsid w:val="29A71464"/>
    <w:rsid w:val="29F14AD8"/>
    <w:rsid w:val="2A8C4AAB"/>
    <w:rsid w:val="2A945BEA"/>
    <w:rsid w:val="2AAF4215"/>
    <w:rsid w:val="2AC47F35"/>
    <w:rsid w:val="2B315B1C"/>
    <w:rsid w:val="2B5C1DAF"/>
    <w:rsid w:val="2B64351B"/>
    <w:rsid w:val="2C2D606D"/>
    <w:rsid w:val="2C3254EA"/>
    <w:rsid w:val="2C393D1C"/>
    <w:rsid w:val="2D2C202A"/>
    <w:rsid w:val="2E25256F"/>
    <w:rsid w:val="2EB22C0A"/>
    <w:rsid w:val="2EE3751E"/>
    <w:rsid w:val="2F2B1AF0"/>
    <w:rsid w:val="2FB92659"/>
    <w:rsid w:val="2FDC5D77"/>
    <w:rsid w:val="303125C6"/>
    <w:rsid w:val="30AE7DBF"/>
    <w:rsid w:val="30C67313"/>
    <w:rsid w:val="30C83E35"/>
    <w:rsid w:val="30EF70FF"/>
    <w:rsid w:val="31701D2A"/>
    <w:rsid w:val="318D16E0"/>
    <w:rsid w:val="31F724B8"/>
    <w:rsid w:val="3206199C"/>
    <w:rsid w:val="32092BC7"/>
    <w:rsid w:val="32583BAA"/>
    <w:rsid w:val="32806A4D"/>
    <w:rsid w:val="332C3B76"/>
    <w:rsid w:val="334C1C90"/>
    <w:rsid w:val="335A37D9"/>
    <w:rsid w:val="336743E3"/>
    <w:rsid w:val="3388239A"/>
    <w:rsid w:val="33995EB7"/>
    <w:rsid w:val="33DD1598"/>
    <w:rsid w:val="34203812"/>
    <w:rsid w:val="34860FB8"/>
    <w:rsid w:val="34C051E2"/>
    <w:rsid w:val="34DA77AC"/>
    <w:rsid w:val="34F46125"/>
    <w:rsid w:val="35515208"/>
    <w:rsid w:val="35534E88"/>
    <w:rsid w:val="357F3C9D"/>
    <w:rsid w:val="358A54E7"/>
    <w:rsid w:val="35B5088A"/>
    <w:rsid w:val="36355473"/>
    <w:rsid w:val="36AE099C"/>
    <w:rsid w:val="36B85416"/>
    <w:rsid w:val="36C303E9"/>
    <w:rsid w:val="36D92785"/>
    <w:rsid w:val="36EE2207"/>
    <w:rsid w:val="3717293F"/>
    <w:rsid w:val="37271676"/>
    <w:rsid w:val="37614B2E"/>
    <w:rsid w:val="376C354E"/>
    <w:rsid w:val="376C67FD"/>
    <w:rsid w:val="37843EA3"/>
    <w:rsid w:val="378D6D31"/>
    <w:rsid w:val="381505EA"/>
    <w:rsid w:val="381E2BFF"/>
    <w:rsid w:val="388D46D6"/>
    <w:rsid w:val="38952A06"/>
    <w:rsid w:val="38964FE5"/>
    <w:rsid w:val="38A22FF6"/>
    <w:rsid w:val="392A3BCE"/>
    <w:rsid w:val="39386D6D"/>
    <w:rsid w:val="394423A3"/>
    <w:rsid w:val="39653CAE"/>
    <w:rsid w:val="39887DF1"/>
    <w:rsid w:val="39B403E3"/>
    <w:rsid w:val="3A037C32"/>
    <w:rsid w:val="3A0B4B47"/>
    <w:rsid w:val="3A7C5D33"/>
    <w:rsid w:val="3A844811"/>
    <w:rsid w:val="3ACE360B"/>
    <w:rsid w:val="3AFB7CD2"/>
    <w:rsid w:val="3B1F6C0D"/>
    <w:rsid w:val="3B8537CA"/>
    <w:rsid w:val="3BB4167F"/>
    <w:rsid w:val="3BF746F2"/>
    <w:rsid w:val="3C3144CC"/>
    <w:rsid w:val="3CA24724"/>
    <w:rsid w:val="3CFF16A1"/>
    <w:rsid w:val="3D033562"/>
    <w:rsid w:val="3D0C2F35"/>
    <w:rsid w:val="3D21240B"/>
    <w:rsid w:val="3D4502AA"/>
    <w:rsid w:val="3D646EE8"/>
    <w:rsid w:val="3D8B4BB3"/>
    <w:rsid w:val="3E137EE5"/>
    <w:rsid w:val="3E7F73C7"/>
    <w:rsid w:val="3F332CFB"/>
    <w:rsid w:val="3F5E6C02"/>
    <w:rsid w:val="3F9779DF"/>
    <w:rsid w:val="3FBD6C24"/>
    <w:rsid w:val="401E7040"/>
    <w:rsid w:val="4073674A"/>
    <w:rsid w:val="40F84946"/>
    <w:rsid w:val="4106153C"/>
    <w:rsid w:val="410F3D5F"/>
    <w:rsid w:val="411E6BE3"/>
    <w:rsid w:val="41650612"/>
    <w:rsid w:val="416E7C67"/>
    <w:rsid w:val="41C27C55"/>
    <w:rsid w:val="41EE3A38"/>
    <w:rsid w:val="420055A0"/>
    <w:rsid w:val="421019EE"/>
    <w:rsid w:val="423F789B"/>
    <w:rsid w:val="42487CB9"/>
    <w:rsid w:val="427E58D8"/>
    <w:rsid w:val="42BF2494"/>
    <w:rsid w:val="4314039F"/>
    <w:rsid w:val="434D6E78"/>
    <w:rsid w:val="43960A6A"/>
    <w:rsid w:val="442A314B"/>
    <w:rsid w:val="444733DE"/>
    <w:rsid w:val="44620F3E"/>
    <w:rsid w:val="446866CB"/>
    <w:rsid w:val="44B5472C"/>
    <w:rsid w:val="44C157A9"/>
    <w:rsid w:val="44C84AAF"/>
    <w:rsid w:val="451467E3"/>
    <w:rsid w:val="452A74EE"/>
    <w:rsid w:val="45392349"/>
    <w:rsid w:val="453B0C21"/>
    <w:rsid w:val="45434139"/>
    <w:rsid w:val="458A10B2"/>
    <w:rsid w:val="45B82804"/>
    <w:rsid w:val="46317EB5"/>
    <w:rsid w:val="464F2136"/>
    <w:rsid w:val="46A017ED"/>
    <w:rsid w:val="46D81947"/>
    <w:rsid w:val="46D93C3F"/>
    <w:rsid w:val="46F2727A"/>
    <w:rsid w:val="46F6046C"/>
    <w:rsid w:val="47A670C8"/>
    <w:rsid w:val="47F525C7"/>
    <w:rsid w:val="486A685A"/>
    <w:rsid w:val="4881312E"/>
    <w:rsid w:val="48F974F3"/>
    <w:rsid w:val="492571FA"/>
    <w:rsid w:val="492C413F"/>
    <w:rsid w:val="492F1A7F"/>
    <w:rsid w:val="4940268E"/>
    <w:rsid w:val="49787384"/>
    <w:rsid w:val="49A83CE4"/>
    <w:rsid w:val="4A1C404E"/>
    <w:rsid w:val="4A475399"/>
    <w:rsid w:val="4A626095"/>
    <w:rsid w:val="4A8C7352"/>
    <w:rsid w:val="4AC61F3D"/>
    <w:rsid w:val="4AE1494C"/>
    <w:rsid w:val="4B1A6144"/>
    <w:rsid w:val="4BFA055B"/>
    <w:rsid w:val="4C020640"/>
    <w:rsid w:val="4C25173A"/>
    <w:rsid w:val="4C3B2418"/>
    <w:rsid w:val="4C426EAB"/>
    <w:rsid w:val="4C893D9C"/>
    <w:rsid w:val="4CE77DF3"/>
    <w:rsid w:val="4D3919C1"/>
    <w:rsid w:val="4D507A4C"/>
    <w:rsid w:val="4D817BB7"/>
    <w:rsid w:val="4DE07F8B"/>
    <w:rsid w:val="4E0F4E9D"/>
    <w:rsid w:val="4E301841"/>
    <w:rsid w:val="4EEF78C2"/>
    <w:rsid w:val="4F5C7C62"/>
    <w:rsid w:val="4F646914"/>
    <w:rsid w:val="4FC257E1"/>
    <w:rsid w:val="50306E88"/>
    <w:rsid w:val="50352964"/>
    <w:rsid w:val="50867708"/>
    <w:rsid w:val="50AD059E"/>
    <w:rsid w:val="50C77614"/>
    <w:rsid w:val="51110D0D"/>
    <w:rsid w:val="511E02A1"/>
    <w:rsid w:val="518D32B2"/>
    <w:rsid w:val="519353F8"/>
    <w:rsid w:val="51950F28"/>
    <w:rsid w:val="51FB05A4"/>
    <w:rsid w:val="52035CEE"/>
    <w:rsid w:val="536D7406"/>
    <w:rsid w:val="537D186D"/>
    <w:rsid w:val="538D7F06"/>
    <w:rsid w:val="53972C59"/>
    <w:rsid w:val="540135DE"/>
    <w:rsid w:val="540754E7"/>
    <w:rsid w:val="544C48C0"/>
    <w:rsid w:val="548739D4"/>
    <w:rsid w:val="552C737E"/>
    <w:rsid w:val="552D61D0"/>
    <w:rsid w:val="554716F7"/>
    <w:rsid w:val="5584155C"/>
    <w:rsid w:val="55924950"/>
    <w:rsid w:val="55CA644D"/>
    <w:rsid w:val="55FE3424"/>
    <w:rsid w:val="561A3F54"/>
    <w:rsid w:val="562C5F03"/>
    <w:rsid w:val="56F15EAF"/>
    <w:rsid w:val="57376624"/>
    <w:rsid w:val="5747472B"/>
    <w:rsid w:val="57496D95"/>
    <w:rsid w:val="57604482"/>
    <w:rsid w:val="57707A82"/>
    <w:rsid w:val="57FB0FCC"/>
    <w:rsid w:val="582160BE"/>
    <w:rsid w:val="58487AE6"/>
    <w:rsid w:val="58757391"/>
    <w:rsid w:val="58851B49"/>
    <w:rsid w:val="58BC4BDF"/>
    <w:rsid w:val="58D83B72"/>
    <w:rsid w:val="59467832"/>
    <w:rsid w:val="59592707"/>
    <w:rsid w:val="59AF0BA0"/>
    <w:rsid w:val="59D11B6D"/>
    <w:rsid w:val="5A214DED"/>
    <w:rsid w:val="5A2B6347"/>
    <w:rsid w:val="5A683E3A"/>
    <w:rsid w:val="5ABC7610"/>
    <w:rsid w:val="5AFD4584"/>
    <w:rsid w:val="5B140C0A"/>
    <w:rsid w:val="5B2E6224"/>
    <w:rsid w:val="5B3326AC"/>
    <w:rsid w:val="5B423504"/>
    <w:rsid w:val="5B7D25FB"/>
    <w:rsid w:val="5B8A6105"/>
    <w:rsid w:val="5B9C45BA"/>
    <w:rsid w:val="5BFC0EC3"/>
    <w:rsid w:val="5C2F7F0B"/>
    <w:rsid w:val="5C550600"/>
    <w:rsid w:val="5C9A3BE5"/>
    <w:rsid w:val="5CCC4937"/>
    <w:rsid w:val="5D333476"/>
    <w:rsid w:val="5DD64D22"/>
    <w:rsid w:val="5E116815"/>
    <w:rsid w:val="5E2F29E1"/>
    <w:rsid w:val="5E3A0775"/>
    <w:rsid w:val="5E602D1B"/>
    <w:rsid w:val="5E7241A2"/>
    <w:rsid w:val="5E8D1147"/>
    <w:rsid w:val="5EB96775"/>
    <w:rsid w:val="5EBE7CF1"/>
    <w:rsid w:val="5EFA28BD"/>
    <w:rsid w:val="5F1F066A"/>
    <w:rsid w:val="5F7664C3"/>
    <w:rsid w:val="5F9E5AEE"/>
    <w:rsid w:val="5FB811F8"/>
    <w:rsid w:val="5FCA04E2"/>
    <w:rsid w:val="5FCD2315"/>
    <w:rsid w:val="5FE47241"/>
    <w:rsid w:val="5FEB44F1"/>
    <w:rsid w:val="5FEE3B82"/>
    <w:rsid w:val="604C498D"/>
    <w:rsid w:val="60677735"/>
    <w:rsid w:val="607367D7"/>
    <w:rsid w:val="60F61183"/>
    <w:rsid w:val="610F6741"/>
    <w:rsid w:val="61281D72"/>
    <w:rsid w:val="612974BF"/>
    <w:rsid w:val="612C7A53"/>
    <w:rsid w:val="61356E89"/>
    <w:rsid w:val="61D817A5"/>
    <w:rsid w:val="620C2AF0"/>
    <w:rsid w:val="62674C7D"/>
    <w:rsid w:val="62CA6F20"/>
    <w:rsid w:val="63113D7A"/>
    <w:rsid w:val="633E4C62"/>
    <w:rsid w:val="64087974"/>
    <w:rsid w:val="641B581B"/>
    <w:rsid w:val="64615D3C"/>
    <w:rsid w:val="64723792"/>
    <w:rsid w:val="647E786B"/>
    <w:rsid w:val="64A747DD"/>
    <w:rsid w:val="64C634E2"/>
    <w:rsid w:val="6519754A"/>
    <w:rsid w:val="652201F3"/>
    <w:rsid w:val="65285B05"/>
    <w:rsid w:val="658A3D2B"/>
    <w:rsid w:val="659139EE"/>
    <w:rsid w:val="66D3234F"/>
    <w:rsid w:val="66D36D9D"/>
    <w:rsid w:val="66D74AF5"/>
    <w:rsid w:val="66F824FD"/>
    <w:rsid w:val="6747166D"/>
    <w:rsid w:val="67987117"/>
    <w:rsid w:val="67A7359A"/>
    <w:rsid w:val="67AB0557"/>
    <w:rsid w:val="67E60BCD"/>
    <w:rsid w:val="67F66B9D"/>
    <w:rsid w:val="68336A02"/>
    <w:rsid w:val="6858593D"/>
    <w:rsid w:val="68B667AD"/>
    <w:rsid w:val="68F72E0B"/>
    <w:rsid w:val="69112B6D"/>
    <w:rsid w:val="69894F6A"/>
    <w:rsid w:val="698A2CFF"/>
    <w:rsid w:val="699A504F"/>
    <w:rsid w:val="69CD45A5"/>
    <w:rsid w:val="6A1F39A3"/>
    <w:rsid w:val="6A49294B"/>
    <w:rsid w:val="6A7C4D8B"/>
    <w:rsid w:val="6B3A21D5"/>
    <w:rsid w:val="6BEF570B"/>
    <w:rsid w:val="6BF95E33"/>
    <w:rsid w:val="6C1369DD"/>
    <w:rsid w:val="6C596188"/>
    <w:rsid w:val="6CD70134"/>
    <w:rsid w:val="6CE91AA7"/>
    <w:rsid w:val="6D2F5EB0"/>
    <w:rsid w:val="6D5F6FB3"/>
    <w:rsid w:val="6DCB0504"/>
    <w:rsid w:val="6DDB3069"/>
    <w:rsid w:val="6DEA041C"/>
    <w:rsid w:val="6DF75FCA"/>
    <w:rsid w:val="6E0572AF"/>
    <w:rsid w:val="6E9702FE"/>
    <w:rsid w:val="6EB846B2"/>
    <w:rsid w:val="6EF7549B"/>
    <w:rsid w:val="6F0919FC"/>
    <w:rsid w:val="6F1B6955"/>
    <w:rsid w:val="6F1C291B"/>
    <w:rsid w:val="6F734F4D"/>
    <w:rsid w:val="6FEC7104"/>
    <w:rsid w:val="6FFC51F3"/>
    <w:rsid w:val="706459F2"/>
    <w:rsid w:val="7075370E"/>
    <w:rsid w:val="7121699B"/>
    <w:rsid w:val="71435060"/>
    <w:rsid w:val="715A4C86"/>
    <w:rsid w:val="71E75B6E"/>
    <w:rsid w:val="71F35A36"/>
    <w:rsid w:val="7265261F"/>
    <w:rsid w:val="72696ADE"/>
    <w:rsid w:val="73AD1526"/>
    <w:rsid w:val="74147744"/>
    <w:rsid w:val="74374FC3"/>
    <w:rsid w:val="752C3307"/>
    <w:rsid w:val="75521712"/>
    <w:rsid w:val="758614DD"/>
    <w:rsid w:val="75A80B7E"/>
    <w:rsid w:val="76057041"/>
    <w:rsid w:val="761323C6"/>
    <w:rsid w:val="76173A19"/>
    <w:rsid w:val="766521BC"/>
    <w:rsid w:val="769046BE"/>
    <w:rsid w:val="7696299F"/>
    <w:rsid w:val="76A20ABC"/>
    <w:rsid w:val="76D3023F"/>
    <w:rsid w:val="76EF15EF"/>
    <w:rsid w:val="7734249D"/>
    <w:rsid w:val="773C7BD3"/>
    <w:rsid w:val="7779019A"/>
    <w:rsid w:val="779A4939"/>
    <w:rsid w:val="77AF2CF0"/>
    <w:rsid w:val="77DA21CE"/>
    <w:rsid w:val="77F625BB"/>
    <w:rsid w:val="7812701B"/>
    <w:rsid w:val="78222126"/>
    <w:rsid w:val="78224195"/>
    <w:rsid w:val="783512CE"/>
    <w:rsid w:val="784E4108"/>
    <w:rsid w:val="78973CF5"/>
    <w:rsid w:val="78E17F32"/>
    <w:rsid w:val="78FD4A6F"/>
    <w:rsid w:val="7907393D"/>
    <w:rsid w:val="791B013F"/>
    <w:rsid w:val="791F6B45"/>
    <w:rsid w:val="793B1245"/>
    <w:rsid w:val="795B6772"/>
    <w:rsid w:val="798D338A"/>
    <w:rsid w:val="7A197CD0"/>
    <w:rsid w:val="7A265916"/>
    <w:rsid w:val="7A7A6A26"/>
    <w:rsid w:val="7B8C07F6"/>
    <w:rsid w:val="7BB60A9F"/>
    <w:rsid w:val="7BD47DAB"/>
    <w:rsid w:val="7C013085"/>
    <w:rsid w:val="7C18217D"/>
    <w:rsid w:val="7C505703"/>
    <w:rsid w:val="7C6805D1"/>
    <w:rsid w:val="7CAB1F1D"/>
    <w:rsid w:val="7CC0102A"/>
    <w:rsid w:val="7CC72525"/>
    <w:rsid w:val="7CE47AD8"/>
    <w:rsid w:val="7CEB5730"/>
    <w:rsid w:val="7D2E27F0"/>
    <w:rsid w:val="7D2F3A6C"/>
    <w:rsid w:val="7D730CDE"/>
    <w:rsid w:val="7DEA41A0"/>
    <w:rsid w:val="7E27258E"/>
    <w:rsid w:val="7E532DEE"/>
    <w:rsid w:val="7E9F0B34"/>
    <w:rsid w:val="7EA53F2D"/>
    <w:rsid w:val="7EA82C06"/>
    <w:rsid w:val="7EAF54D9"/>
    <w:rsid w:val="7ED42283"/>
    <w:rsid w:val="7EFA4507"/>
    <w:rsid w:val="7EFC65E6"/>
    <w:rsid w:val="7EFD4068"/>
    <w:rsid w:val="7F5C1C18"/>
    <w:rsid w:val="7FAC712A"/>
    <w:rsid w:val="7FB30CF2"/>
    <w:rsid w:val="7FB52326"/>
    <w:rsid w:val="7FDE04ED"/>
    <w:rsid w:val="7FE4525F"/>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21"/>
    <w:basedOn w:val="7"/>
    <w:qFormat/>
    <w:uiPriority w:val="0"/>
    <w:rPr>
      <w:rFonts w:hint="eastAsia" w:ascii="宋体" w:hAnsi="宋体" w:eastAsia="宋体" w:cs="宋体"/>
      <w:b/>
      <w:bCs/>
      <w:color w:val="000000"/>
      <w:sz w:val="36"/>
      <w:szCs w:val="36"/>
      <w:u w:val="none"/>
    </w:rPr>
  </w:style>
  <w:style w:type="character" w:customStyle="1" w:styleId="11">
    <w:name w:val="font11"/>
    <w:basedOn w:val="7"/>
    <w:qFormat/>
    <w:uiPriority w:val="0"/>
    <w:rPr>
      <w:rFonts w:hint="eastAsia" w:ascii="宋体" w:hAnsi="宋体" w:eastAsia="宋体" w:cs="宋体"/>
      <w:b/>
      <w:bCs/>
      <w:color w:val="000000"/>
      <w:sz w:val="36"/>
      <w:szCs w:val="36"/>
      <w:u w:val="none"/>
    </w:rPr>
  </w:style>
  <w:style w:type="character" w:customStyle="1" w:styleId="12">
    <w:name w:val="font31"/>
    <w:basedOn w:val="7"/>
    <w:qFormat/>
    <w:uiPriority w:val="0"/>
    <w:rPr>
      <w:rFonts w:hint="eastAsia" w:ascii="宋体" w:hAnsi="宋体" w:eastAsia="宋体" w:cs="宋体"/>
      <w:b/>
      <w:bCs/>
      <w:color w:val="000000"/>
      <w:sz w:val="36"/>
      <w:szCs w:val="36"/>
      <w:u w:val="none"/>
    </w:rPr>
  </w:style>
  <w:style w:type="character" w:customStyle="1" w:styleId="13">
    <w:name w:val="font01"/>
    <w:basedOn w:val="7"/>
    <w:qFormat/>
    <w:uiPriority w:val="0"/>
    <w:rPr>
      <w:rFonts w:hint="eastAsia" w:ascii="宋体" w:hAnsi="宋体" w:eastAsia="宋体" w:cs="宋体"/>
      <w:b/>
      <w:bCs/>
      <w:color w:val="000000"/>
      <w:sz w:val="36"/>
      <w:szCs w:val="36"/>
      <w:u w:val="none"/>
    </w:rPr>
  </w:style>
  <w:style w:type="character" w:customStyle="1" w:styleId="14">
    <w:name w:val="font41"/>
    <w:basedOn w:val="7"/>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2023-05-26T00:30:00Z</dcterms:created>
  <dc:creator>Administrator</dc:creator>
  <cp:lastModifiedBy>Administrator</cp:lastModifiedBy>
  <cp:lastPrinted>2024-12-27T01:53:00Z</cp:lastPrinted>
  <dcterms:modified xsi:type="dcterms:W3CDTF">2024-12-27T09:26:06Z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82489E41A4D94A8DA018E4DFF127A313</vt:lpwstr>
  </property>
</Properties>
</file>