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p>
    <w:p>
      <w:pPr>
        <w:keepNext w:val="0"/>
        <w:keepLines w:val="0"/>
        <w:pageBreakBefore w:val="0"/>
        <w:kinsoku/>
        <w:wordWrap/>
        <w:overflowPunct/>
        <w:topLinePunct w:val="0"/>
        <w:bidi w:val="0"/>
        <w:snapToGrid/>
        <w:ind w:firstLine="1044" w:firstLineChars="200"/>
        <w:jc w:val="center"/>
        <w:rPr>
          <w:rFonts w:ascii="黑体" w:hAnsi="黑体" w:eastAsia="黑体" w:cs="黑体"/>
          <w:b/>
          <w:bCs/>
          <w:color w:val="auto"/>
          <w:sz w:val="52"/>
          <w:szCs w:val="52"/>
          <w:highlight w:val="none"/>
        </w:rPr>
      </w:pPr>
      <w:r>
        <w:rPr>
          <w:rFonts w:hint="eastAsia" w:ascii="黑体" w:hAnsi="黑体" w:eastAsia="黑体" w:cs="黑体"/>
          <w:b/>
          <w:bCs/>
          <w:color w:val="auto"/>
          <w:sz w:val="52"/>
          <w:szCs w:val="52"/>
          <w:highlight w:val="none"/>
        </w:rPr>
        <w:t>中国共产党环江毛南族自治县委员会党史研究室202</w:t>
      </w:r>
      <w:r>
        <w:rPr>
          <w:rFonts w:hint="eastAsia" w:ascii="黑体" w:hAnsi="黑体" w:eastAsia="黑体" w:cs="黑体"/>
          <w:b/>
          <w:bCs/>
          <w:color w:val="auto"/>
          <w:sz w:val="52"/>
          <w:szCs w:val="52"/>
          <w:highlight w:val="none"/>
          <w:lang w:val="en-US" w:eastAsia="zh-CN"/>
        </w:rPr>
        <w:t>3</w:t>
      </w:r>
      <w:r>
        <w:rPr>
          <w:rFonts w:hint="eastAsia" w:ascii="黑体" w:hAnsi="黑体" w:eastAsia="黑体" w:cs="黑体"/>
          <w:b/>
          <w:bCs/>
          <w:color w:val="auto"/>
          <w:sz w:val="52"/>
          <w:szCs w:val="52"/>
          <w:highlight w:val="none"/>
        </w:rPr>
        <w:t>年度部门决算</w:t>
      </w:r>
    </w:p>
    <w:p>
      <w:pPr>
        <w:keepNext w:val="0"/>
        <w:keepLines w:val="0"/>
        <w:pageBreakBefore w:val="0"/>
        <w:kinsoku/>
        <w:wordWrap/>
        <w:overflowPunct/>
        <w:topLinePunct w:val="0"/>
        <w:bidi w:val="0"/>
        <w:snapToGrid/>
        <w:ind w:firstLine="640" w:firstLineChars="200"/>
        <w:jc w:val="center"/>
        <w:rPr>
          <w:rFonts w:ascii="仿宋" w:hAnsi="仿宋" w:eastAsia="仿宋" w:cs="仿宋"/>
          <w:color w:val="auto"/>
          <w:sz w:val="32"/>
          <w:szCs w:val="32"/>
          <w:highlight w:val="none"/>
        </w:rPr>
      </w:pP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p>
    <w:p>
      <w:pPr>
        <w:keepNext w:val="0"/>
        <w:keepLines w:val="0"/>
        <w:pageBreakBefore w:val="0"/>
        <w:kinsoku/>
        <w:wordWrap/>
        <w:overflowPunct/>
        <w:topLinePunct w:val="0"/>
        <w:bidi w:val="0"/>
        <w:snapToGrid/>
        <w:ind w:firstLine="723" w:firstLineChars="200"/>
        <w:jc w:val="both"/>
        <w:rPr>
          <w:rFonts w:ascii="黑体" w:hAnsi="黑体" w:eastAsia="黑体" w:cs="黑体"/>
          <w:b/>
          <w:bCs/>
          <w:color w:val="auto"/>
          <w:sz w:val="36"/>
          <w:szCs w:val="36"/>
          <w:highlight w:val="none"/>
        </w:rPr>
      </w:pPr>
      <w:r>
        <w:rPr>
          <w:rFonts w:hint="eastAsia" w:ascii="黑体" w:hAnsi="黑体" w:eastAsia="黑体" w:cs="黑体"/>
          <w:b/>
          <w:bCs/>
          <w:color w:val="auto"/>
          <w:sz w:val="36"/>
          <w:szCs w:val="36"/>
          <w:highlight w:val="none"/>
        </w:rPr>
        <w:t>202</w:t>
      </w:r>
      <w:r>
        <w:rPr>
          <w:rFonts w:hint="eastAsia" w:ascii="黑体" w:hAnsi="黑体" w:eastAsia="黑体" w:cs="黑体"/>
          <w:b/>
          <w:bCs/>
          <w:color w:val="auto"/>
          <w:sz w:val="36"/>
          <w:szCs w:val="36"/>
          <w:highlight w:val="none"/>
          <w:lang w:val="en-US" w:eastAsia="zh-CN"/>
        </w:rPr>
        <w:t>4</w:t>
      </w:r>
      <w:r>
        <w:rPr>
          <w:rFonts w:hint="eastAsia" w:ascii="黑体" w:hAnsi="黑体" w:eastAsia="黑体" w:cs="黑体"/>
          <w:b/>
          <w:bCs/>
          <w:color w:val="auto"/>
          <w:sz w:val="36"/>
          <w:szCs w:val="36"/>
          <w:highlight w:val="none"/>
        </w:rPr>
        <w:t>年</w:t>
      </w:r>
      <w:r>
        <w:rPr>
          <w:rFonts w:hint="eastAsia" w:ascii="黑体" w:hAnsi="黑体" w:eastAsia="黑体" w:cs="黑体"/>
          <w:b/>
          <w:bCs/>
          <w:color w:val="auto"/>
          <w:sz w:val="36"/>
          <w:szCs w:val="36"/>
          <w:highlight w:val="none"/>
          <w:lang w:val="en-US" w:eastAsia="zh-CN"/>
        </w:rPr>
        <w:t>12</w:t>
      </w:r>
      <w:r>
        <w:rPr>
          <w:rFonts w:hint="eastAsia" w:ascii="黑体" w:hAnsi="黑体" w:eastAsia="黑体" w:cs="黑体"/>
          <w:b/>
          <w:bCs/>
          <w:color w:val="auto"/>
          <w:sz w:val="36"/>
          <w:szCs w:val="36"/>
          <w:highlight w:val="none"/>
        </w:rPr>
        <w:t>月</w:t>
      </w:r>
    </w:p>
    <w:p>
      <w:pPr>
        <w:keepNext w:val="0"/>
        <w:keepLines w:val="0"/>
        <w:pageBreakBefore w:val="0"/>
        <w:kinsoku/>
        <w:wordWrap/>
        <w:overflowPunct/>
        <w:topLinePunct w:val="0"/>
        <w:bidi w:val="0"/>
        <w:snapToGrid/>
        <w:ind w:firstLine="640" w:firstLineChars="200"/>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pPr>
        <w:keepNext w:val="0"/>
        <w:keepLines w:val="0"/>
        <w:pageBreakBefore w:val="0"/>
        <w:kinsoku/>
        <w:wordWrap/>
        <w:overflowPunct/>
        <w:topLinePunct w:val="0"/>
        <w:bidi w:val="0"/>
        <w:snapToGrid/>
        <w:ind w:firstLine="723" w:firstLineChars="200"/>
        <w:jc w:val="center"/>
        <w:rPr>
          <w:rFonts w:ascii="黑体" w:hAnsi="黑体" w:eastAsia="黑体" w:cs="黑体"/>
          <w:b/>
          <w:bCs/>
          <w:color w:val="auto"/>
          <w:sz w:val="36"/>
          <w:szCs w:val="36"/>
          <w:highlight w:val="none"/>
        </w:rPr>
      </w:pPr>
      <w:r>
        <w:rPr>
          <w:rFonts w:hint="eastAsia" w:ascii="黑体" w:hAnsi="黑体" w:eastAsia="黑体" w:cs="黑体"/>
          <w:b/>
          <w:bCs/>
          <w:color w:val="auto"/>
          <w:sz w:val="36"/>
          <w:szCs w:val="36"/>
          <w:highlight w:val="none"/>
        </w:rPr>
        <w:t>目</w:t>
      </w:r>
      <w:r>
        <w:rPr>
          <w:rFonts w:hint="eastAsia" w:ascii="黑体" w:hAnsi="黑体" w:eastAsia="黑体" w:cs="黑体"/>
          <w:b/>
          <w:bCs/>
          <w:color w:val="auto"/>
          <w:sz w:val="36"/>
          <w:szCs w:val="36"/>
          <w:highlight w:val="none"/>
          <w:lang w:val="en-US" w:eastAsia="zh-CN"/>
        </w:rPr>
        <w:t xml:space="preserve">  </w:t>
      </w:r>
      <w:r>
        <w:rPr>
          <w:rFonts w:hint="eastAsia" w:ascii="黑体" w:hAnsi="黑体" w:eastAsia="黑体" w:cs="黑体"/>
          <w:b/>
          <w:bCs/>
          <w:color w:val="auto"/>
          <w:sz w:val="36"/>
          <w:szCs w:val="36"/>
          <w:highlight w:val="none"/>
        </w:rPr>
        <w:t xml:space="preserve"> 录</w:t>
      </w:r>
    </w:p>
    <w:p>
      <w:pPr>
        <w:keepNext w:val="0"/>
        <w:keepLines w:val="0"/>
        <w:pageBreakBefore w:val="0"/>
        <w:kinsoku/>
        <w:wordWrap/>
        <w:overflowPunct/>
        <w:topLinePunct w:val="0"/>
        <w:bidi w:val="0"/>
        <w:snapToGrid/>
        <w:ind w:firstLine="723" w:firstLineChars="200"/>
        <w:jc w:val="left"/>
        <w:rPr>
          <w:rFonts w:ascii="黑体" w:hAnsi="黑体" w:eastAsia="黑体" w:cs="黑体"/>
          <w:b/>
          <w:bCs/>
          <w:color w:val="auto"/>
          <w:sz w:val="36"/>
          <w:szCs w:val="36"/>
          <w:highlight w:val="none"/>
        </w:rPr>
      </w:pP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第一部分：</w:t>
      </w:r>
      <w:r>
        <w:rPr>
          <w:rFonts w:ascii="黑体" w:hAnsi="黑体" w:eastAsia="黑体" w:cs="黑体"/>
          <w:color w:val="auto"/>
          <w:sz w:val="32"/>
          <w:u w:color="auto"/>
        </w:rPr>
        <w:t>中国共产党环江毛南族自治县委员会党史研究室</w:t>
      </w:r>
      <w:r>
        <w:rPr>
          <w:rFonts w:hint="eastAsia" w:ascii="黑体" w:hAnsi="黑体" w:eastAsia="黑体" w:cs="黑体"/>
          <w:color w:val="auto"/>
          <w:sz w:val="32"/>
          <w:szCs w:val="32"/>
          <w:highlight w:val="none"/>
        </w:rPr>
        <w:t>概况</w:t>
      </w: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一、主要职能</w:t>
      </w: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二、部门决算单位构成</w:t>
      </w:r>
    </w:p>
    <w:p>
      <w:pPr>
        <w:keepNext w:val="0"/>
        <w:keepLines w:val="0"/>
        <w:pageBreakBefore w:val="0"/>
        <w:kinsoku/>
        <w:wordWrap/>
        <w:overflowPunct/>
        <w:topLinePunct w:val="0"/>
        <w:bidi w:val="0"/>
        <w:snapToGrid/>
        <w:ind w:firstLine="640" w:firstLineChars="200"/>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第二部分：</w:t>
      </w:r>
      <w:r>
        <w:rPr>
          <w:rFonts w:ascii="黑体" w:hAnsi="黑体" w:eastAsia="黑体" w:cs="黑体"/>
          <w:color w:val="auto"/>
          <w:sz w:val="32"/>
          <w:u w:color="auto"/>
        </w:rPr>
        <w:t>中国共产党环江毛南族自治县委员会党史研究室</w:t>
      </w:r>
      <w:r>
        <w:rPr>
          <w:rFonts w:hint="eastAsia" w:ascii="黑体" w:hAnsi="黑体" w:eastAsia="黑体" w:cs="黑体"/>
          <w:color w:val="auto"/>
          <w:sz w:val="32"/>
          <w:szCs w:val="32"/>
          <w:highlight w:val="none"/>
          <w:lang w:eastAsia="zh-CN"/>
        </w:rPr>
        <w:t>2023年</w:t>
      </w:r>
      <w:r>
        <w:rPr>
          <w:rFonts w:hint="eastAsia" w:ascii="黑体" w:hAnsi="黑体" w:eastAsia="黑体" w:cs="黑体"/>
          <w:color w:val="auto"/>
          <w:sz w:val="32"/>
          <w:szCs w:val="32"/>
          <w:highlight w:val="none"/>
        </w:rPr>
        <w:t>度部门决算报表</w:t>
      </w:r>
    </w:p>
    <w:p>
      <w:pPr>
        <w:keepNext w:val="0"/>
        <w:keepLines w:val="0"/>
        <w:pageBreakBefore w:val="0"/>
        <w:kinsoku/>
        <w:wordWrap/>
        <w:overflowPunct/>
        <w:topLinePunct w:val="0"/>
        <w:bidi w:val="0"/>
        <w:snapToGrid/>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表一：收入支出决算总表</w:t>
      </w:r>
    </w:p>
    <w:p>
      <w:pPr>
        <w:keepNext w:val="0"/>
        <w:keepLines w:val="0"/>
        <w:pageBreakBefore w:val="0"/>
        <w:kinsoku/>
        <w:wordWrap/>
        <w:overflowPunct/>
        <w:topLinePunct w:val="0"/>
        <w:bidi w:val="0"/>
        <w:snapToGrid/>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表二：收入决算表</w:t>
      </w:r>
    </w:p>
    <w:p>
      <w:pPr>
        <w:keepNext w:val="0"/>
        <w:keepLines w:val="0"/>
        <w:pageBreakBefore w:val="0"/>
        <w:kinsoku/>
        <w:wordWrap/>
        <w:overflowPunct/>
        <w:topLinePunct w:val="0"/>
        <w:bidi w:val="0"/>
        <w:snapToGrid/>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表三：支出决算表</w:t>
      </w:r>
    </w:p>
    <w:p>
      <w:pPr>
        <w:keepNext w:val="0"/>
        <w:keepLines w:val="0"/>
        <w:pageBreakBefore w:val="0"/>
        <w:kinsoku/>
        <w:wordWrap/>
        <w:overflowPunct/>
        <w:topLinePunct w:val="0"/>
        <w:bidi w:val="0"/>
        <w:snapToGrid/>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表四：财政拨款收入支出决算总表</w:t>
      </w:r>
    </w:p>
    <w:p>
      <w:pPr>
        <w:keepNext w:val="0"/>
        <w:keepLines w:val="0"/>
        <w:pageBreakBefore w:val="0"/>
        <w:kinsoku/>
        <w:wordWrap/>
        <w:overflowPunct/>
        <w:topLinePunct w:val="0"/>
        <w:bidi w:val="0"/>
        <w:snapToGrid/>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表五：一般公共预算财政拨款支出决算表</w:t>
      </w:r>
    </w:p>
    <w:p>
      <w:pPr>
        <w:keepNext w:val="0"/>
        <w:keepLines w:val="0"/>
        <w:pageBreakBefore w:val="0"/>
        <w:kinsoku/>
        <w:wordWrap/>
        <w:overflowPunct/>
        <w:topLinePunct w:val="0"/>
        <w:bidi w:val="0"/>
        <w:snapToGrid/>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表六：一般公共预算财政拨款基本支出决算明细表</w:t>
      </w:r>
    </w:p>
    <w:p>
      <w:pPr>
        <w:keepNext w:val="0"/>
        <w:keepLines w:val="0"/>
        <w:pageBreakBefore w:val="0"/>
        <w:kinsoku/>
        <w:wordWrap/>
        <w:overflowPunct/>
        <w:topLinePunct w:val="0"/>
        <w:bidi w:val="0"/>
        <w:snapToGrid/>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表七：政府性基金</w:t>
      </w:r>
      <w:r>
        <w:rPr>
          <w:rFonts w:hint="eastAsia" w:ascii="仿宋_GB2312" w:hAnsi="黑体" w:eastAsia="仿宋_GB2312"/>
          <w:color w:val="auto"/>
          <w:sz w:val="32"/>
          <w:szCs w:val="32"/>
          <w:highlight w:val="none"/>
        </w:rPr>
        <w:t>预算财政拨款</w:t>
      </w:r>
      <w:r>
        <w:rPr>
          <w:rFonts w:hint="eastAsia" w:ascii="仿宋_GB2312" w:eastAsia="仿宋_GB2312"/>
          <w:color w:val="auto"/>
          <w:sz w:val="32"/>
          <w:szCs w:val="32"/>
          <w:highlight w:val="none"/>
        </w:rPr>
        <w:t>收入支出决算表</w:t>
      </w:r>
    </w:p>
    <w:p>
      <w:pPr>
        <w:keepNext w:val="0"/>
        <w:keepLines w:val="0"/>
        <w:pageBreakBefore w:val="0"/>
        <w:kinsoku/>
        <w:wordWrap/>
        <w:overflowPunct/>
        <w:topLinePunct w:val="0"/>
        <w:bidi w:val="0"/>
        <w:snapToGrid/>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表八：国有资本经营预算</w:t>
      </w:r>
      <w:r>
        <w:rPr>
          <w:rFonts w:hint="eastAsia" w:ascii="仿宋_GB2312" w:hAnsi="黑体" w:eastAsia="仿宋_GB2312"/>
          <w:color w:val="auto"/>
          <w:sz w:val="32"/>
          <w:szCs w:val="32"/>
          <w:highlight w:val="none"/>
        </w:rPr>
        <w:t>财政拨款</w:t>
      </w:r>
      <w:r>
        <w:rPr>
          <w:rFonts w:hint="eastAsia" w:ascii="仿宋_GB2312" w:eastAsia="仿宋_GB2312"/>
          <w:color w:val="auto"/>
          <w:sz w:val="32"/>
          <w:szCs w:val="32"/>
          <w:highlight w:val="none"/>
        </w:rPr>
        <w:t>支出决算表</w:t>
      </w:r>
    </w:p>
    <w:p>
      <w:pPr>
        <w:keepNext w:val="0"/>
        <w:keepLines w:val="0"/>
        <w:pageBreakBefore w:val="0"/>
        <w:kinsoku/>
        <w:wordWrap/>
        <w:overflowPunct/>
        <w:topLinePunct w:val="0"/>
        <w:bidi w:val="0"/>
        <w:snapToGrid/>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表九：财政拨款“三公”经费支出决算表</w:t>
      </w: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第三部分：</w:t>
      </w:r>
      <w:r>
        <w:rPr>
          <w:rFonts w:ascii="黑体" w:hAnsi="黑体" w:eastAsia="黑体" w:cs="黑体"/>
          <w:color w:val="auto"/>
          <w:sz w:val="32"/>
          <w:u w:color="auto"/>
        </w:rPr>
        <w:t>中国共产党环江毛南族自治县委员会党史研究室</w:t>
      </w:r>
      <w:r>
        <w:rPr>
          <w:rFonts w:hint="eastAsia" w:ascii="黑体" w:hAnsi="黑体" w:eastAsia="黑体" w:cs="黑体"/>
          <w:color w:val="auto"/>
          <w:sz w:val="32"/>
          <w:szCs w:val="32"/>
          <w:highlight w:val="none"/>
          <w:lang w:eastAsia="zh-CN"/>
        </w:rPr>
        <w:t>2023年</w:t>
      </w:r>
      <w:r>
        <w:rPr>
          <w:rFonts w:hint="eastAsia" w:ascii="黑体" w:hAnsi="黑体" w:eastAsia="黑体" w:cs="黑体"/>
          <w:color w:val="auto"/>
          <w:sz w:val="32"/>
          <w:szCs w:val="32"/>
          <w:highlight w:val="none"/>
        </w:rPr>
        <w:t>度部门决算情况说明</w:t>
      </w:r>
    </w:p>
    <w:p>
      <w:pPr>
        <w:keepNext w:val="0"/>
        <w:keepLines w:val="0"/>
        <w:pageBreakBefore w:val="0"/>
        <w:kinsoku/>
        <w:wordWrap/>
        <w:overflowPunct/>
        <w:topLinePunct w:val="0"/>
        <w:autoSpaceDE w:val="0"/>
        <w:autoSpaceDN w:val="0"/>
        <w:bidi w:val="0"/>
        <w:adjustRightInd w:val="0"/>
        <w:snapToGrid/>
        <w:ind w:firstLine="640" w:firstLineChars="20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一、</w:t>
      </w:r>
      <w:r>
        <w:rPr>
          <w:rFonts w:hint="eastAsia" w:ascii="仿宋_GB2312" w:eastAsia="仿宋_GB2312"/>
          <w:color w:val="auto"/>
          <w:kern w:val="0"/>
          <w:sz w:val="32"/>
          <w:szCs w:val="32"/>
          <w:highlight w:val="none"/>
          <w:lang w:eastAsia="zh-CN"/>
        </w:rPr>
        <w:t>2023年</w:t>
      </w:r>
      <w:r>
        <w:rPr>
          <w:rFonts w:hint="eastAsia" w:ascii="仿宋_GB2312" w:eastAsia="仿宋_GB2312" w:cs="仿宋_GB2312"/>
          <w:color w:val="auto"/>
          <w:kern w:val="0"/>
          <w:sz w:val="32"/>
          <w:szCs w:val="32"/>
          <w:highlight w:val="none"/>
        </w:rPr>
        <w:t>度收入支出决算总体情况。</w:t>
      </w:r>
    </w:p>
    <w:p>
      <w:pPr>
        <w:keepNext w:val="0"/>
        <w:keepLines w:val="0"/>
        <w:pageBreakBefore w:val="0"/>
        <w:kinsoku/>
        <w:wordWrap/>
        <w:overflowPunct/>
        <w:topLinePunct w:val="0"/>
        <w:autoSpaceDE w:val="0"/>
        <w:autoSpaceDN w:val="0"/>
        <w:bidi w:val="0"/>
        <w:adjustRightInd w:val="0"/>
        <w:snapToGrid/>
        <w:ind w:firstLine="640" w:firstLineChars="20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二、</w:t>
      </w:r>
      <w:r>
        <w:rPr>
          <w:rFonts w:hint="eastAsia" w:ascii="仿宋_GB2312" w:eastAsia="仿宋_GB2312"/>
          <w:color w:val="auto"/>
          <w:kern w:val="0"/>
          <w:sz w:val="32"/>
          <w:szCs w:val="32"/>
          <w:highlight w:val="none"/>
          <w:lang w:eastAsia="zh-CN"/>
        </w:rPr>
        <w:t>2023年</w:t>
      </w:r>
      <w:r>
        <w:rPr>
          <w:rFonts w:hint="eastAsia" w:ascii="仿宋_GB2312" w:eastAsia="仿宋_GB2312" w:cs="仿宋_GB2312"/>
          <w:color w:val="auto"/>
          <w:kern w:val="0"/>
          <w:sz w:val="32"/>
          <w:szCs w:val="32"/>
          <w:highlight w:val="none"/>
        </w:rPr>
        <w:t>度</w:t>
      </w:r>
      <w:r>
        <w:rPr>
          <w:rFonts w:hint="eastAsia" w:ascii="仿宋_GB2312" w:eastAsia="仿宋_GB2312"/>
          <w:color w:val="auto"/>
          <w:sz w:val="32"/>
          <w:szCs w:val="32"/>
          <w:highlight w:val="none"/>
        </w:rPr>
        <w:t>一般</w:t>
      </w:r>
      <w:r>
        <w:rPr>
          <w:rFonts w:hint="eastAsia" w:ascii="仿宋_GB2312" w:eastAsia="仿宋_GB2312" w:cs="仿宋_GB2312"/>
          <w:color w:val="auto"/>
          <w:kern w:val="0"/>
          <w:sz w:val="32"/>
          <w:szCs w:val="32"/>
          <w:highlight w:val="none"/>
        </w:rPr>
        <w:t>公共预算财政拨款支出决算情况。</w:t>
      </w:r>
    </w:p>
    <w:p>
      <w:pPr>
        <w:keepNext w:val="0"/>
        <w:keepLines w:val="0"/>
        <w:pageBreakBefore w:val="0"/>
        <w:kinsoku/>
        <w:wordWrap/>
        <w:overflowPunct/>
        <w:topLinePunct w:val="0"/>
        <w:autoSpaceDE w:val="0"/>
        <w:autoSpaceDN w:val="0"/>
        <w:bidi w:val="0"/>
        <w:adjustRightInd w:val="0"/>
        <w:snapToGrid/>
        <w:ind w:firstLine="640" w:firstLineChars="20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三、</w:t>
      </w:r>
      <w:r>
        <w:rPr>
          <w:rFonts w:hint="eastAsia" w:ascii="仿宋_GB2312" w:eastAsia="仿宋_GB2312" w:cs="仿宋_GB2312"/>
          <w:color w:val="auto"/>
          <w:kern w:val="0"/>
          <w:sz w:val="32"/>
          <w:szCs w:val="32"/>
          <w:highlight w:val="none"/>
          <w:lang w:eastAsia="zh-CN"/>
        </w:rPr>
        <w:t>2023年</w:t>
      </w:r>
      <w:r>
        <w:rPr>
          <w:rFonts w:hint="eastAsia" w:ascii="仿宋_GB2312" w:eastAsia="仿宋_GB2312" w:cs="仿宋_GB2312"/>
          <w:color w:val="auto"/>
          <w:kern w:val="0"/>
          <w:sz w:val="32"/>
          <w:szCs w:val="32"/>
          <w:highlight w:val="none"/>
        </w:rPr>
        <w:t>度一般公共预算财政拨款基本支出决算情况说明。</w:t>
      </w:r>
    </w:p>
    <w:p>
      <w:pPr>
        <w:keepNext w:val="0"/>
        <w:keepLines w:val="0"/>
        <w:pageBreakBefore w:val="0"/>
        <w:kinsoku/>
        <w:wordWrap/>
        <w:overflowPunct/>
        <w:topLinePunct w:val="0"/>
        <w:autoSpaceDE w:val="0"/>
        <w:autoSpaceDN w:val="0"/>
        <w:bidi w:val="0"/>
        <w:adjustRightInd w:val="0"/>
        <w:snapToGrid/>
        <w:ind w:firstLine="640" w:firstLineChars="20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四、</w:t>
      </w:r>
      <w:r>
        <w:rPr>
          <w:rFonts w:hint="eastAsia" w:ascii="仿宋_GB2312" w:eastAsia="仿宋_GB2312"/>
          <w:color w:val="auto"/>
          <w:kern w:val="0"/>
          <w:sz w:val="32"/>
          <w:szCs w:val="32"/>
          <w:highlight w:val="none"/>
          <w:lang w:eastAsia="zh-CN"/>
        </w:rPr>
        <w:t>2023年</w:t>
      </w:r>
      <w:r>
        <w:rPr>
          <w:rFonts w:hint="eastAsia" w:ascii="仿宋_GB2312" w:eastAsia="仿宋_GB2312" w:cs="仿宋_GB2312"/>
          <w:color w:val="auto"/>
          <w:kern w:val="0"/>
          <w:sz w:val="32"/>
          <w:szCs w:val="32"/>
          <w:highlight w:val="none"/>
        </w:rPr>
        <w:t>度政府性基金支出决算情况。</w:t>
      </w:r>
    </w:p>
    <w:p>
      <w:pPr>
        <w:keepNext w:val="0"/>
        <w:keepLines w:val="0"/>
        <w:pageBreakBefore w:val="0"/>
        <w:kinsoku/>
        <w:wordWrap/>
        <w:overflowPunct/>
        <w:topLinePunct w:val="0"/>
        <w:autoSpaceDE w:val="0"/>
        <w:autoSpaceDN w:val="0"/>
        <w:bidi w:val="0"/>
        <w:adjustRightInd w:val="0"/>
        <w:snapToGrid/>
        <w:ind w:firstLine="640" w:firstLineChars="200"/>
        <w:jc w:val="left"/>
        <w:rPr>
          <w:rFonts w:hint="eastAsia" w:ascii="仿宋_GB2312" w:eastAsia="仿宋_GB2312" w:cs="仿宋_GB2312"/>
          <w:color w:val="auto"/>
          <w:kern w:val="0"/>
          <w:sz w:val="32"/>
          <w:szCs w:val="32"/>
          <w:highlight w:val="none"/>
          <w:lang w:eastAsia="zh-CN"/>
        </w:rPr>
      </w:pPr>
      <w:r>
        <w:rPr>
          <w:rFonts w:hint="eastAsia" w:ascii="仿宋_GB2312" w:eastAsia="仿宋_GB2312" w:cs="仿宋_GB2312"/>
          <w:color w:val="auto"/>
          <w:kern w:val="0"/>
          <w:sz w:val="32"/>
          <w:szCs w:val="32"/>
          <w:highlight w:val="none"/>
        </w:rPr>
        <w:t>五、</w:t>
      </w:r>
      <w:r>
        <w:rPr>
          <w:rFonts w:hint="eastAsia" w:ascii="仿宋_GB2312" w:eastAsia="仿宋_GB2312" w:cs="仿宋_GB2312"/>
          <w:color w:val="auto"/>
          <w:kern w:val="0"/>
          <w:sz w:val="32"/>
          <w:szCs w:val="32"/>
          <w:highlight w:val="none"/>
          <w:lang w:eastAsia="zh-CN"/>
        </w:rPr>
        <w:t>2023年</w:t>
      </w:r>
      <w:r>
        <w:rPr>
          <w:rFonts w:hint="eastAsia" w:ascii="仿宋_GB2312" w:eastAsia="仿宋_GB2312" w:cs="仿宋_GB2312"/>
          <w:color w:val="auto"/>
          <w:kern w:val="0"/>
          <w:sz w:val="32"/>
          <w:szCs w:val="32"/>
          <w:highlight w:val="none"/>
        </w:rPr>
        <w:t>度国有资本经营预算支出决算情况</w:t>
      </w:r>
      <w:r>
        <w:rPr>
          <w:rFonts w:hint="eastAsia" w:ascii="仿宋_GB2312" w:eastAsia="仿宋_GB2312" w:cs="仿宋_GB2312"/>
          <w:color w:val="auto"/>
          <w:kern w:val="0"/>
          <w:sz w:val="32"/>
          <w:szCs w:val="32"/>
          <w:highlight w:val="none"/>
          <w:lang w:eastAsia="zh-CN"/>
        </w:rPr>
        <w:t>。</w:t>
      </w:r>
    </w:p>
    <w:p>
      <w:pPr>
        <w:keepNext w:val="0"/>
        <w:keepLines w:val="0"/>
        <w:pageBreakBefore w:val="0"/>
        <w:kinsoku/>
        <w:wordWrap/>
        <w:overflowPunct/>
        <w:topLinePunct w:val="0"/>
        <w:autoSpaceDE w:val="0"/>
        <w:autoSpaceDN w:val="0"/>
        <w:bidi w:val="0"/>
        <w:adjustRightInd w:val="0"/>
        <w:snapToGrid/>
        <w:ind w:firstLine="640" w:firstLineChars="20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六、财政拨款“三公”经费支出决算情况说明。</w:t>
      </w:r>
    </w:p>
    <w:p>
      <w:pPr>
        <w:keepNext w:val="0"/>
        <w:keepLines w:val="0"/>
        <w:pageBreakBefore w:val="0"/>
        <w:kinsoku/>
        <w:wordWrap/>
        <w:overflowPunct/>
        <w:topLinePunct w:val="0"/>
        <w:autoSpaceDE w:val="0"/>
        <w:autoSpaceDN w:val="0"/>
        <w:bidi w:val="0"/>
        <w:adjustRightInd w:val="0"/>
        <w:snapToGrid/>
        <w:ind w:firstLine="640" w:firstLineChars="20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七、其他重要事项情况说明。</w:t>
      </w:r>
    </w:p>
    <w:p>
      <w:pPr>
        <w:keepNext w:val="0"/>
        <w:keepLines w:val="0"/>
        <w:pageBreakBefore w:val="0"/>
        <w:kinsoku/>
        <w:wordWrap/>
        <w:overflowPunct/>
        <w:topLinePunct w:val="0"/>
        <w:bidi w:val="0"/>
        <w:snapToGrid/>
        <w:ind w:firstLine="640" w:firstLineChars="200"/>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第四部分：名词解释</w:t>
      </w:r>
    </w:p>
    <w:p>
      <w:pPr>
        <w:keepNext w:val="0"/>
        <w:keepLines w:val="0"/>
        <w:pageBreakBefore w:val="0"/>
        <w:kinsoku/>
        <w:wordWrap/>
        <w:overflowPunct/>
        <w:topLinePunct w:val="0"/>
        <w:bidi w:val="0"/>
        <w:snapToGrid/>
        <w:ind w:firstLine="640" w:firstLineChars="200"/>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p>
    <w:p>
      <w:pPr>
        <w:keepNext w:val="0"/>
        <w:keepLines w:val="0"/>
        <w:pageBreakBefore w:val="0"/>
        <w:kinsoku/>
        <w:wordWrap/>
        <w:overflowPunct/>
        <w:topLinePunct w:val="0"/>
        <w:bidi w:val="0"/>
        <w:snapToGrid/>
        <w:ind w:firstLine="643" w:firstLineChars="200"/>
        <w:jc w:val="center"/>
        <w:rPr>
          <w:rFonts w:ascii="仿宋" w:hAnsi="仿宋" w:eastAsia="仿宋" w:cs="仿宋"/>
          <w:color w:val="auto"/>
          <w:sz w:val="32"/>
          <w:szCs w:val="32"/>
          <w:highlight w:val="none"/>
        </w:rPr>
      </w:pPr>
      <w:r>
        <w:rPr>
          <w:rFonts w:hint="eastAsia" w:ascii="黑体" w:hAnsi="黑体" w:eastAsia="黑体" w:cs="黑体"/>
          <w:b/>
          <w:bCs/>
          <w:color w:val="auto"/>
          <w:sz w:val="32"/>
          <w:szCs w:val="32"/>
          <w:highlight w:val="none"/>
        </w:rPr>
        <w:t>第一部分：</w:t>
      </w:r>
      <w:r>
        <w:rPr>
          <w:rFonts w:ascii="黑体" w:hAnsi="黑体" w:eastAsia="黑体" w:cs="黑体"/>
          <w:b/>
          <w:color w:val="auto"/>
          <w:sz w:val="32"/>
          <w:u w:color="auto"/>
        </w:rPr>
        <w:t>中国共产党环江毛南族自治县委员会党史研究室</w:t>
      </w:r>
      <w:r>
        <w:rPr>
          <w:rFonts w:hint="eastAsia" w:ascii="黑体" w:hAnsi="黑体" w:eastAsia="黑体" w:cs="黑体"/>
          <w:b/>
          <w:bCs/>
          <w:color w:val="auto"/>
          <w:sz w:val="32"/>
          <w:szCs w:val="32"/>
          <w:highlight w:val="none"/>
        </w:rPr>
        <w:t>概况</w:t>
      </w: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一、主要职能</w:t>
      </w:r>
    </w:p>
    <w:p>
      <w:pPr>
        <w:keepNext w:val="0"/>
        <w:keepLines w:val="0"/>
        <w:pageBreakBefore w:val="0"/>
        <w:kinsoku/>
        <w:wordWrap/>
        <w:overflowPunct/>
        <w:topLinePunct w:val="0"/>
        <w:bidi w:val="0"/>
        <w:snapToGrid/>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1.为地方党委决策提供历史咨询；</w:t>
      </w:r>
    </w:p>
    <w:p>
      <w:pPr>
        <w:keepNext w:val="0"/>
        <w:keepLines w:val="0"/>
        <w:pageBreakBefore w:val="0"/>
        <w:kinsoku/>
        <w:wordWrap/>
        <w:overflowPunct/>
        <w:topLinePunct w:val="0"/>
        <w:bidi w:val="0"/>
        <w:snapToGrid/>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2.负责向自治县党委提出开展党史宣传、教育和举办纪念活动的意见或建议。</w:t>
      </w:r>
    </w:p>
    <w:p>
      <w:pPr>
        <w:keepNext w:val="0"/>
        <w:keepLines w:val="0"/>
        <w:pageBreakBefore w:val="0"/>
        <w:kinsoku/>
        <w:wordWrap/>
        <w:overflowPunct/>
        <w:topLinePunct w:val="0"/>
        <w:bidi w:val="0"/>
        <w:snapToGrid/>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3.参与发起和组织有关党史研究工作会议。</w:t>
      </w:r>
    </w:p>
    <w:p>
      <w:pPr>
        <w:keepNext w:val="0"/>
        <w:keepLines w:val="0"/>
        <w:pageBreakBefore w:val="0"/>
        <w:kinsoku/>
        <w:wordWrap/>
        <w:overflowPunct/>
        <w:topLinePunct w:val="0"/>
        <w:bidi w:val="0"/>
        <w:snapToGrid/>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4.代县委对下级党委的有关党史工作予以指导。</w:t>
      </w:r>
    </w:p>
    <w:p>
      <w:pPr>
        <w:keepNext w:val="0"/>
        <w:keepLines w:val="0"/>
        <w:pageBreakBefore w:val="0"/>
        <w:kinsoku/>
        <w:wordWrap/>
        <w:overflowPunct/>
        <w:topLinePunct w:val="0"/>
        <w:bidi w:val="0"/>
        <w:snapToGrid/>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5.负责组织力量开展地方党史的征集、整理、鉴别、核实、研究和编写工作。</w:t>
      </w:r>
    </w:p>
    <w:p>
      <w:pPr>
        <w:keepNext w:val="0"/>
        <w:keepLines w:val="0"/>
        <w:pageBreakBefore w:val="0"/>
        <w:kinsoku/>
        <w:wordWrap/>
        <w:overflowPunct/>
        <w:topLinePunct w:val="0"/>
        <w:bidi w:val="0"/>
        <w:snapToGrid/>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6.负责开展多种形式的党史宣传教育工作。</w:t>
      </w: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二、部门决算单位构成</w:t>
      </w:r>
    </w:p>
    <w:p>
      <w:pPr>
        <w:keepNext w:val="0"/>
        <w:keepLines w:val="0"/>
        <w:pageBreakBefore w:val="0"/>
        <w:kinsoku/>
        <w:wordWrap/>
        <w:overflowPunct/>
        <w:topLinePunct w:val="0"/>
        <w:bidi w:val="0"/>
        <w:snapToGrid/>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党史办为参公事业单位，属于一级财政预算单位，未设二级预算单位。事业编制人数6人，实有在职人员6人，离退休人员7人，其他财政供养人员0人。</w:t>
      </w:r>
    </w:p>
    <w:tbl>
      <w:tblPr>
        <w:tblStyle w:val="6"/>
        <w:tblW w:w="94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5"/>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5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before="0" w:beforeAutospacing="0" w:after="0" w:afterAutospacing="0" w:line="520" w:lineRule="exact"/>
              <w:ind w:left="0" w:right="0" w:firstLine="643" w:firstLineChars="200"/>
              <w:jc w:val="left"/>
              <w:rPr>
                <w:rFonts w:hint="eastAsia" w:ascii="仿宋" w:hAnsi="仿宋" w:eastAsia="仿宋" w:cs="仿宋"/>
                <w:b/>
                <w:color w:val="auto"/>
                <w:kern w:val="0"/>
                <w:sz w:val="32"/>
                <w:szCs w:val="32"/>
              </w:rPr>
            </w:pPr>
            <w:bookmarkStart w:id="0" w:name="_Hlk109379180"/>
            <w:r>
              <w:rPr>
                <w:rFonts w:hint="eastAsia" w:ascii="仿宋" w:hAnsi="仿宋" w:eastAsia="仿宋" w:cs="仿宋"/>
                <w:b/>
                <w:color w:val="auto"/>
                <w:kern w:val="0"/>
                <w:sz w:val="32"/>
                <w:szCs w:val="32"/>
              </w:rPr>
              <w:t>单位名称</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before="0" w:beforeAutospacing="0" w:after="0" w:afterAutospacing="0" w:line="520" w:lineRule="exact"/>
              <w:ind w:left="0" w:right="0" w:firstLine="643" w:firstLineChars="200"/>
              <w:jc w:val="lef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6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napToGrid/>
              <w:spacing w:before="0" w:beforeAutospacing="0" w:after="0" w:afterAutospacing="0"/>
              <w:ind w:left="0" w:right="0" w:firstLine="640" w:firstLineChars="200"/>
              <w:jc w:val="left"/>
              <w:rPr>
                <w:rFonts w:hint="eastAsia" w:ascii="仿宋" w:hAnsi="仿宋" w:eastAsia="仿宋" w:cs="仿宋"/>
                <w:color w:val="auto"/>
                <w:sz w:val="32"/>
                <w:szCs w:val="32"/>
              </w:rPr>
            </w:pPr>
            <w:r>
              <w:rPr>
                <w:rFonts w:hint="eastAsia" w:ascii="黑体" w:hAnsi="黑体" w:eastAsia="黑体" w:cs="黑体"/>
                <w:color w:val="auto"/>
                <w:sz w:val="32"/>
                <w:u w:color="auto"/>
                <w:lang w:eastAsia="zh-CN"/>
              </w:rPr>
              <w:t>中国共产党环江毛南族自治县委员会党史研究室</w:t>
            </w:r>
          </w:p>
        </w:tc>
        <w:tc>
          <w:tcPr>
            <w:tcW w:w="3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napToGrid/>
              <w:spacing w:before="0" w:beforeAutospacing="0" w:after="0" w:afterAutospacing="0"/>
              <w:ind w:left="0" w:right="0" w:firstLine="640" w:firstLineChars="200"/>
              <w:jc w:val="left"/>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highlight w:val="none"/>
              </w:rPr>
              <w:t>参公事业单位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640" w:firstLineChars="200"/>
              <w:jc w:val="left"/>
              <w:rPr>
                <w:rFonts w:hint="eastAsia" w:ascii="仿宋" w:hAnsi="仿宋" w:eastAsia="仿宋" w:cs="仿宋"/>
                <w:color w:val="auto"/>
                <w:sz w:val="32"/>
                <w:szCs w:val="32"/>
              </w:rPr>
            </w:pPr>
          </w:p>
        </w:tc>
        <w:tc>
          <w:tcPr>
            <w:tcW w:w="3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640" w:firstLineChars="200"/>
              <w:jc w:val="left"/>
              <w:rPr>
                <w:rFonts w:hint="eastAsia"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640" w:firstLineChars="200"/>
              <w:jc w:val="left"/>
              <w:rPr>
                <w:rFonts w:hint="eastAsia" w:ascii="仿宋" w:hAnsi="仿宋" w:eastAsia="仿宋" w:cs="仿宋"/>
                <w:color w:val="auto"/>
                <w:sz w:val="32"/>
                <w:szCs w:val="32"/>
              </w:rPr>
            </w:pPr>
          </w:p>
        </w:tc>
        <w:tc>
          <w:tcPr>
            <w:tcW w:w="3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640" w:firstLineChars="200"/>
              <w:jc w:val="left"/>
              <w:rPr>
                <w:rFonts w:hint="eastAsia" w:ascii="仿宋" w:hAnsi="仿宋" w:eastAsia="仿宋" w:cs="仿宋"/>
                <w:color w:val="auto"/>
                <w:sz w:val="32"/>
                <w:szCs w:val="32"/>
              </w:rPr>
            </w:pPr>
          </w:p>
        </w:tc>
      </w:tr>
      <w:bookmarkEnd w:id="0"/>
    </w:tbl>
    <w:p>
      <w:pPr>
        <w:keepNext w:val="0"/>
        <w:keepLines w:val="0"/>
        <w:pageBreakBefore w:val="0"/>
        <w:kinsoku/>
        <w:wordWrap/>
        <w:overflowPunct/>
        <w:topLinePunct w:val="0"/>
        <w:bidi w:val="0"/>
        <w:snapToGrid/>
        <w:ind w:firstLine="640" w:firstLineChars="200"/>
        <w:jc w:val="both"/>
        <w:rPr>
          <w:rFonts w:hint="eastAsia" w:ascii="黑体" w:hAnsi="黑体" w:eastAsia="黑体" w:cs="黑体"/>
          <w:color w:val="auto"/>
          <w:sz w:val="32"/>
          <w:szCs w:val="32"/>
          <w:highlight w:val="none"/>
          <w:lang w:val="en-US" w:eastAsia="zh-CN"/>
        </w:rPr>
      </w:pPr>
    </w:p>
    <w:p>
      <w:pPr>
        <w:keepNext w:val="0"/>
        <w:keepLines w:val="0"/>
        <w:pageBreakBefore w:val="0"/>
        <w:kinsoku/>
        <w:wordWrap/>
        <w:overflowPunct/>
        <w:topLinePunct w:val="0"/>
        <w:bidi w:val="0"/>
        <w:snapToGrid/>
        <w:ind w:firstLine="640" w:firstLineChars="200"/>
        <w:jc w:val="center"/>
        <w:rPr>
          <w:rFonts w:hint="eastAsia" w:ascii="黑体" w:hAnsi="黑体" w:eastAsia="黑体" w:cs="黑体"/>
          <w:color w:val="auto"/>
          <w:sz w:val="32"/>
          <w:szCs w:val="32"/>
          <w:highlight w:val="none"/>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bidi w:val="0"/>
        <w:snapToGrid/>
        <w:ind w:firstLine="640" w:firstLineChars="200"/>
        <w:jc w:val="both"/>
        <w:rPr>
          <w:rFonts w:hint="eastAsia" w:ascii="黑体" w:hAnsi="黑体" w:eastAsia="黑体" w:cs="黑体"/>
          <w:color w:val="auto"/>
          <w:sz w:val="32"/>
          <w:szCs w:val="32"/>
          <w:highlight w:val="none"/>
          <w:lang w:val="en-US" w:eastAsia="zh-CN"/>
        </w:rPr>
      </w:pPr>
    </w:p>
    <w:p>
      <w:pPr>
        <w:keepNext w:val="0"/>
        <w:keepLines w:val="0"/>
        <w:pageBreakBefore w:val="0"/>
        <w:kinsoku/>
        <w:wordWrap/>
        <w:overflowPunct/>
        <w:topLinePunct w:val="0"/>
        <w:bidi w:val="0"/>
        <w:snapToGrid/>
        <w:ind w:firstLine="640" w:firstLineChars="200"/>
        <w:jc w:val="both"/>
        <w:rPr>
          <w:rFonts w:hint="default" w:ascii="黑体" w:hAnsi="黑体" w:eastAsia="黑体" w:cs="黑体"/>
          <w:color w:val="auto"/>
          <w:sz w:val="32"/>
          <w:szCs w:val="32"/>
          <w:highlight w:val="none"/>
          <w:lang w:val="en-US" w:eastAsia="zh-CN"/>
        </w:rPr>
      </w:pPr>
    </w:p>
    <w:p>
      <w:pPr>
        <w:keepNext w:val="0"/>
        <w:keepLines w:val="0"/>
        <w:pageBreakBefore w:val="0"/>
        <w:kinsoku/>
        <w:wordWrap/>
        <w:overflowPunct/>
        <w:topLinePunct w:val="0"/>
        <w:bidi w:val="0"/>
        <w:snapToGrid/>
        <w:ind w:firstLine="640" w:firstLineChars="200"/>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第二部分：</w:t>
      </w:r>
      <w:r>
        <w:rPr>
          <w:rFonts w:ascii="黑体" w:hAnsi="黑体" w:eastAsia="黑体" w:cs="黑体"/>
          <w:color w:val="auto"/>
          <w:sz w:val="32"/>
          <w:u w:color="auto"/>
        </w:rPr>
        <w:t>中国共产党环江毛南族自治县委员会党史研究室</w:t>
      </w:r>
      <w:r>
        <w:rPr>
          <w:rFonts w:hint="eastAsia"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lang w:eastAsia="zh-CN"/>
        </w:rPr>
        <w:t>2023年</w:t>
      </w:r>
      <w:r>
        <w:rPr>
          <w:rFonts w:hint="eastAsia" w:ascii="黑体" w:hAnsi="黑体" w:eastAsia="黑体" w:cs="黑体"/>
          <w:color w:val="auto"/>
          <w:sz w:val="32"/>
          <w:szCs w:val="32"/>
          <w:highlight w:val="none"/>
        </w:rPr>
        <w:t>度部门决算报表</w:t>
      </w:r>
    </w:p>
    <w:tbl>
      <w:tblPr>
        <w:tblStyle w:val="6"/>
        <w:tblW w:w="0" w:type="auto"/>
        <w:tblInd w:w="93" w:type="dxa"/>
        <w:tblLayout w:type="autofit"/>
        <w:tblCellMar>
          <w:top w:w="0" w:type="dxa"/>
          <w:left w:w="108" w:type="dxa"/>
          <w:bottom w:w="0" w:type="dxa"/>
          <w:right w:w="108" w:type="dxa"/>
        </w:tblCellMar>
      </w:tblPr>
      <w:tblGrid>
        <w:gridCol w:w="4215"/>
        <w:gridCol w:w="1134"/>
        <w:gridCol w:w="1367"/>
        <w:gridCol w:w="4107"/>
        <w:gridCol w:w="1123"/>
        <w:gridCol w:w="2124"/>
      </w:tblGrid>
      <w:tr>
        <w:tblPrEx>
          <w:tblCellMar>
            <w:top w:w="0" w:type="dxa"/>
            <w:left w:w="108" w:type="dxa"/>
            <w:bottom w:w="0" w:type="dxa"/>
            <w:right w:w="108" w:type="dxa"/>
          </w:tblCellMar>
        </w:tblPrEx>
        <w:trPr>
          <w:trHeight w:val="902" w:hRule="atLeast"/>
        </w:trPr>
        <w:tc>
          <w:tcPr>
            <w:tcW w:w="0" w:type="auto"/>
            <w:gridSpan w:val="6"/>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表一：收入支出决算总表</w:t>
            </w:r>
          </w:p>
          <w:p>
            <w:pPr>
              <w:keepNext w:val="0"/>
              <w:keepLines w:val="0"/>
              <w:pageBreakBefore w:val="0"/>
              <w:suppressLineNumbers w:val="0"/>
              <w:kinsoku/>
              <w:wordWrap/>
              <w:overflowPunct/>
              <w:topLinePunct w:val="0"/>
              <w:bidi w:val="0"/>
              <w:snapToGrid/>
              <w:spacing w:before="0" w:beforeAutospacing="0" w:after="0" w:afterAutospacing="0"/>
              <w:ind w:left="0" w:right="0" w:firstLine="480" w:firstLineChars="200"/>
              <w:jc w:val="left"/>
              <w:rPr>
                <w:rFonts w:hint="default" w:ascii="仿宋" w:hAnsi="仿宋" w:eastAsia="仿宋" w:cs="仿宋"/>
                <w:color w:val="auto"/>
                <w:sz w:val="24"/>
                <w:highlight w:val="none"/>
              </w:rPr>
            </w:pPr>
          </w:p>
          <w:p>
            <w:pPr>
              <w:keepNext w:val="0"/>
              <w:keepLines w:val="0"/>
              <w:pageBreakBefore w:val="0"/>
              <w:widowControl/>
              <w:suppressLineNumbers w:val="0"/>
              <w:kinsoku/>
              <w:wordWrap/>
              <w:overflowPunct/>
              <w:topLinePunct w:val="0"/>
              <w:bidi w:val="0"/>
              <w:snapToGrid/>
              <w:spacing w:before="0" w:beforeAutospacing="0" w:after="0" w:afterAutospacing="0"/>
              <w:ind w:left="0" w:right="0" w:firstLine="640" w:firstLineChars="20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0" w:type="auto"/>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0" w:type="auto"/>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0" w:type="auto"/>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0" w:type="auto"/>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0" w:type="auto"/>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0" w:type="auto"/>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00" w:firstLineChars="20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0" w:type="auto"/>
            <w:gridSpan w:val="3"/>
            <w:tcBorders>
              <w:top w:val="nil"/>
              <w:left w:val="nil"/>
              <w:bottom w:val="single" w:color="auto" w:sz="4" w:space="0"/>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default" w:ascii="宋体" w:hAnsi="宋体" w:eastAsia="宋体" w:cs="宋体"/>
                <w:color w:val="auto"/>
                <w:sz w:val="20"/>
                <w:u w:color="auto"/>
              </w:rPr>
              <w:t>广西河池市中国共产党环江毛南族自治县委员会党史研究室</w:t>
            </w:r>
          </w:p>
        </w:tc>
        <w:tc>
          <w:tcPr>
            <w:tcW w:w="0" w:type="auto"/>
            <w:tcBorders>
              <w:top w:val="nil"/>
              <w:left w:val="nil"/>
              <w:bottom w:val="single" w:color="auto" w:sz="4" w:space="0"/>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0" w:type="auto"/>
            <w:tcBorders>
              <w:top w:val="nil"/>
              <w:left w:val="nil"/>
              <w:bottom w:val="single" w:color="auto" w:sz="4" w:space="0"/>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0" w:type="auto"/>
            <w:tcBorders>
              <w:top w:val="nil"/>
              <w:left w:val="nil"/>
              <w:bottom w:val="single" w:color="auto" w:sz="4" w:space="0"/>
              <w:right w:val="nil"/>
            </w:tcBorders>
            <w:shd w:val="clear" w:color="auto" w:fill="auto"/>
            <w:noWrap/>
            <w:vAlign w:val="bottom"/>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00" w:firstLineChars="20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收入</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行次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金额</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行次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default" w:ascii="宋体" w:hAnsi="宋体" w:eastAsia="宋体" w:cs="宋体"/>
                <w:color w:val="auto"/>
                <w:sz w:val="22"/>
                <w:szCs w:val="22"/>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default" w:ascii="宋体" w:hAnsi="宋体" w:eastAsia="宋体" w:cs="宋体"/>
                <w:color w:val="auto"/>
                <w:sz w:val="22"/>
                <w:szCs w:val="22"/>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20" w:firstLineChars="200"/>
              <w:jc w:val="left"/>
              <w:textAlignment w:val="center"/>
              <w:rPr>
                <w:rFonts w:hint="default"/>
                <w:color w:val="auto"/>
                <w:highlight w:val="none"/>
              </w:rPr>
            </w:pPr>
            <w:r>
              <w:rPr>
                <w:rFonts w:hint="eastAsia"/>
                <w:color w:val="auto"/>
                <w:highlight w:val="none"/>
              </w:rPr>
              <w:t>一、一般公共预算财政拨款收入</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114.86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一、一般公共服务支出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83.33</w:t>
            </w:r>
          </w:p>
        </w:tc>
      </w:tr>
      <w:tr>
        <w:tblPrEx>
          <w:tblCellMar>
            <w:top w:w="0" w:type="dxa"/>
            <w:left w:w="108" w:type="dxa"/>
            <w:bottom w:w="0" w:type="dxa"/>
            <w:right w:w="108" w:type="dxa"/>
          </w:tblCellMar>
        </w:tblPrEx>
        <w:trPr>
          <w:trHeight w:val="33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20" w:firstLineChars="200"/>
              <w:jc w:val="left"/>
              <w:textAlignment w:val="center"/>
              <w:rPr>
                <w:rFonts w:hint="default"/>
                <w:color w:val="auto"/>
                <w:highlight w:val="none"/>
              </w:rPr>
            </w:pPr>
            <w:r>
              <w:rPr>
                <w:rFonts w:hint="eastAsia"/>
                <w:color w:val="auto"/>
                <w:highlight w:val="none"/>
              </w:rPr>
              <w:t>二、政府性基金预算财政拨款收入</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二、外交支出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20" w:firstLineChars="200"/>
              <w:jc w:val="left"/>
              <w:textAlignment w:val="center"/>
              <w:rPr>
                <w:rFonts w:hint="default"/>
                <w:color w:val="auto"/>
                <w:highlight w:val="none"/>
              </w:rPr>
            </w:pPr>
            <w:r>
              <w:rPr>
                <w:rFonts w:hint="eastAsia"/>
                <w:color w:val="auto"/>
                <w:highlight w:val="none"/>
              </w:rPr>
              <w:t>三、国有资本经营预算财政拨款收入</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三、国防支出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20" w:firstLineChars="200"/>
              <w:jc w:val="left"/>
              <w:textAlignment w:val="center"/>
              <w:rPr>
                <w:rFonts w:hint="default"/>
                <w:color w:val="auto"/>
                <w:highlight w:val="none"/>
              </w:rPr>
            </w:pPr>
            <w:r>
              <w:rPr>
                <w:rFonts w:hint="eastAsia"/>
                <w:color w:val="auto"/>
                <w:highlight w:val="none"/>
              </w:rPr>
              <w:t>四、上级补助收入</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四、公共安全支出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20" w:firstLineChars="200"/>
              <w:jc w:val="left"/>
              <w:textAlignment w:val="center"/>
              <w:rPr>
                <w:rFonts w:hint="default"/>
                <w:color w:val="auto"/>
                <w:highlight w:val="none"/>
              </w:rPr>
            </w:pPr>
            <w:r>
              <w:rPr>
                <w:rFonts w:hint="eastAsia"/>
                <w:color w:val="auto"/>
                <w:highlight w:val="none"/>
              </w:rPr>
              <w:t>五、事业收入</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五、教育支出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20" w:firstLineChars="200"/>
              <w:jc w:val="left"/>
              <w:textAlignment w:val="center"/>
              <w:rPr>
                <w:rFonts w:hint="default"/>
                <w:color w:val="auto"/>
                <w:highlight w:val="none"/>
              </w:rPr>
            </w:pPr>
            <w:r>
              <w:rPr>
                <w:rFonts w:hint="eastAsia"/>
                <w:color w:val="auto"/>
                <w:highlight w:val="none"/>
              </w:rPr>
              <w:t>六、经营收入</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六、科学技术支出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3.59</w:t>
            </w:r>
          </w:p>
        </w:tc>
      </w:tr>
      <w:tr>
        <w:tblPrEx>
          <w:tblCellMar>
            <w:top w:w="0" w:type="dxa"/>
            <w:left w:w="108" w:type="dxa"/>
            <w:bottom w:w="0" w:type="dxa"/>
            <w:right w:w="108" w:type="dxa"/>
          </w:tblCellMar>
        </w:tblPrEx>
        <w:trPr>
          <w:trHeight w:val="33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20" w:firstLineChars="200"/>
              <w:jc w:val="left"/>
              <w:textAlignment w:val="center"/>
              <w:rPr>
                <w:rFonts w:hint="default"/>
                <w:color w:val="auto"/>
                <w:highlight w:val="none"/>
              </w:rPr>
            </w:pPr>
            <w:r>
              <w:rPr>
                <w:rFonts w:hint="eastAsia"/>
                <w:color w:val="auto"/>
                <w:highlight w:val="none"/>
              </w:rPr>
              <w:t>七、附属单位上缴收入</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七、文化旅游体育与传媒支出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20" w:firstLineChars="200"/>
              <w:jc w:val="left"/>
              <w:textAlignment w:val="center"/>
              <w:rPr>
                <w:rFonts w:hint="default"/>
                <w:color w:val="auto"/>
                <w:highlight w:val="none"/>
              </w:rPr>
            </w:pPr>
            <w:r>
              <w:rPr>
                <w:rFonts w:hint="eastAsia"/>
                <w:color w:val="auto"/>
                <w:highlight w:val="none"/>
              </w:rPr>
              <w:t>八、其他收入</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八、社会保障和就业支出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9.79</w:t>
            </w:r>
          </w:p>
        </w:tc>
      </w:tr>
      <w:tr>
        <w:tblPrEx>
          <w:tblCellMar>
            <w:top w:w="0" w:type="dxa"/>
            <w:left w:w="108" w:type="dxa"/>
            <w:bottom w:w="0" w:type="dxa"/>
            <w:right w:w="108" w:type="dxa"/>
          </w:tblCellMar>
        </w:tblPrEx>
        <w:trPr>
          <w:trHeight w:val="33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20" w:firstLineChars="200"/>
              <w:jc w:val="left"/>
              <w:textAlignment w:val="center"/>
              <w:rPr>
                <w:rFonts w:hint="default"/>
                <w:color w:val="auto"/>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九、卫生健康支出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20" w:firstLineChars="200"/>
              <w:jc w:val="left"/>
              <w:textAlignment w:val="center"/>
              <w:rPr>
                <w:rFonts w:hint="default"/>
                <w:color w:val="auto"/>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十、节能环保支出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20" w:firstLineChars="200"/>
              <w:jc w:val="left"/>
              <w:textAlignment w:val="center"/>
              <w:rPr>
                <w:rFonts w:hint="default"/>
                <w:color w:val="auto"/>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十一、城乡社区支出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20" w:firstLineChars="200"/>
              <w:jc w:val="left"/>
              <w:textAlignment w:val="center"/>
              <w:rPr>
                <w:rFonts w:hint="default"/>
                <w:color w:val="auto"/>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十二、农林水支出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20" w:firstLineChars="200"/>
              <w:jc w:val="left"/>
              <w:textAlignment w:val="center"/>
              <w:rPr>
                <w:rFonts w:hint="default"/>
                <w:color w:val="auto"/>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十三、交通运输支出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20" w:firstLineChars="200"/>
              <w:jc w:val="left"/>
              <w:textAlignment w:val="center"/>
              <w:rPr>
                <w:rFonts w:hint="default"/>
                <w:color w:val="auto"/>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十四、资源勘探工业信息等支出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20" w:firstLineChars="200"/>
              <w:jc w:val="left"/>
              <w:textAlignment w:val="center"/>
              <w:rPr>
                <w:rFonts w:hint="default"/>
                <w:color w:val="auto"/>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十五、商业服务业等支出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20" w:firstLineChars="200"/>
              <w:jc w:val="left"/>
              <w:textAlignment w:val="center"/>
              <w:rPr>
                <w:rFonts w:hint="default"/>
                <w:color w:val="auto"/>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十六、金融支出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20" w:firstLineChars="200"/>
              <w:jc w:val="left"/>
              <w:textAlignment w:val="center"/>
              <w:rPr>
                <w:rFonts w:hint="default"/>
                <w:color w:val="auto"/>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十七、援助其他地区支出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20" w:firstLineChars="200"/>
              <w:jc w:val="left"/>
              <w:textAlignment w:val="center"/>
              <w:rPr>
                <w:rFonts w:hint="default"/>
                <w:color w:val="auto"/>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十八、自然资源海洋气象等支出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20" w:firstLineChars="200"/>
              <w:jc w:val="left"/>
              <w:textAlignment w:val="center"/>
              <w:rPr>
                <w:rFonts w:hint="default"/>
                <w:color w:val="auto"/>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十九、住房保障支出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7.35</w:t>
            </w:r>
          </w:p>
        </w:tc>
      </w:tr>
      <w:tr>
        <w:tblPrEx>
          <w:tblCellMar>
            <w:top w:w="0" w:type="dxa"/>
            <w:left w:w="108" w:type="dxa"/>
            <w:bottom w:w="0" w:type="dxa"/>
            <w:right w:w="108" w:type="dxa"/>
          </w:tblCellMar>
        </w:tblPrEx>
        <w:trPr>
          <w:trHeight w:val="33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20" w:firstLineChars="200"/>
              <w:jc w:val="left"/>
              <w:textAlignment w:val="center"/>
              <w:rPr>
                <w:rFonts w:hint="default"/>
                <w:color w:val="auto"/>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二十、粮油物资储备支出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20" w:firstLineChars="200"/>
              <w:jc w:val="left"/>
              <w:textAlignment w:val="center"/>
              <w:rPr>
                <w:rFonts w:hint="default"/>
                <w:color w:val="auto"/>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二十一、国有资本经营预算支出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20" w:firstLineChars="200"/>
              <w:jc w:val="left"/>
              <w:textAlignment w:val="center"/>
              <w:rPr>
                <w:rFonts w:hint="default"/>
                <w:color w:val="auto"/>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二十二、灾害防治及应急管理支出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20" w:firstLineChars="200"/>
              <w:jc w:val="left"/>
              <w:textAlignment w:val="center"/>
              <w:rPr>
                <w:rFonts w:hint="default"/>
                <w:color w:val="auto"/>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二十三、其他支出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10.79</w:t>
            </w:r>
          </w:p>
        </w:tc>
      </w:tr>
      <w:tr>
        <w:tblPrEx>
          <w:tblCellMar>
            <w:top w:w="0" w:type="dxa"/>
            <w:left w:w="108" w:type="dxa"/>
            <w:bottom w:w="0" w:type="dxa"/>
            <w:right w:w="108" w:type="dxa"/>
          </w:tblCellMar>
        </w:tblPrEx>
        <w:trPr>
          <w:trHeight w:val="33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20" w:firstLineChars="200"/>
              <w:jc w:val="left"/>
              <w:textAlignment w:val="center"/>
              <w:rPr>
                <w:rFonts w:hint="default"/>
                <w:color w:val="auto"/>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二十四、债务还本支出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20" w:firstLineChars="200"/>
              <w:jc w:val="left"/>
              <w:textAlignment w:val="center"/>
              <w:rPr>
                <w:rFonts w:hint="default"/>
                <w:color w:val="auto"/>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二十五、债务付息支出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20" w:firstLineChars="200"/>
              <w:jc w:val="left"/>
              <w:textAlignment w:val="center"/>
              <w:rPr>
                <w:rFonts w:hint="default"/>
                <w:color w:val="auto"/>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二十六、抗疫特别国债安排的支出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20" w:firstLineChars="200"/>
              <w:jc w:val="left"/>
              <w:textAlignment w:val="center"/>
              <w:rPr>
                <w:rFonts w:hint="default"/>
                <w:color w:val="auto"/>
                <w:highlight w:val="none"/>
              </w:rPr>
            </w:pPr>
            <w:r>
              <w:rPr>
                <w:rFonts w:hint="eastAsia"/>
                <w:color w:val="auto"/>
                <w:highlight w:val="none"/>
              </w:rPr>
              <w:t>本年收入合计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114.86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本年支出合计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114.86</w:t>
            </w:r>
          </w:p>
        </w:tc>
      </w:tr>
      <w:tr>
        <w:tblPrEx>
          <w:tblCellMar>
            <w:top w:w="0" w:type="dxa"/>
            <w:left w:w="108" w:type="dxa"/>
            <w:bottom w:w="0" w:type="dxa"/>
            <w:right w:w="108" w:type="dxa"/>
          </w:tblCellMar>
        </w:tblPrEx>
        <w:trPr>
          <w:trHeight w:val="33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20" w:firstLineChars="200"/>
              <w:jc w:val="left"/>
              <w:textAlignment w:val="center"/>
              <w:rPr>
                <w:rFonts w:hint="default"/>
                <w:color w:val="auto"/>
                <w:highlight w:val="none"/>
              </w:rPr>
            </w:pPr>
            <w:r>
              <w:rPr>
                <w:rFonts w:hint="eastAsia"/>
                <w:color w:val="auto"/>
                <w:highlight w:val="none"/>
              </w:rPr>
              <w:t>使用非财政拨款结余</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结余分配</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20" w:firstLineChars="200"/>
              <w:jc w:val="left"/>
              <w:textAlignment w:val="center"/>
              <w:rPr>
                <w:rFonts w:hint="default"/>
                <w:color w:val="auto"/>
                <w:highlight w:val="none"/>
              </w:rPr>
            </w:pPr>
            <w:r>
              <w:rPr>
                <w:rFonts w:hint="eastAsia"/>
                <w:color w:val="auto"/>
                <w:highlight w:val="none"/>
              </w:rPr>
              <w:t>年初结转和结余</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年末结转和结余</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20" w:firstLineChars="200"/>
              <w:jc w:val="left"/>
              <w:textAlignment w:val="center"/>
              <w:rPr>
                <w:rFonts w:hint="default"/>
                <w:color w:val="auto"/>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30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default" w:ascii="宋体" w:hAnsi="宋体" w:eastAsia="宋体" w:cs="宋体"/>
                <w:color w:val="auto"/>
                <w:kern w:val="0"/>
                <w:sz w:val="22"/>
                <w:szCs w:val="22"/>
                <w:highlight w:val="none"/>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lef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20" w:firstLineChars="200"/>
              <w:jc w:val="left"/>
              <w:textAlignment w:val="center"/>
              <w:rPr>
                <w:rFonts w:hint="default"/>
                <w:color w:val="auto"/>
                <w:highlight w:val="none"/>
              </w:rPr>
            </w:pPr>
            <w:r>
              <w:rPr>
                <w:rFonts w:hint="eastAsia"/>
                <w:color w:val="auto"/>
                <w:highlight w:val="none"/>
              </w:rPr>
              <w:t>总计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31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114.86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总计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070" w:type="dxa"/>
            <w:gridSpan w:val="6"/>
            <w:tcBorders>
              <w:top w:val="single" w:color="000000" w:sz="4" w:space="0"/>
              <w:left w:val="nil"/>
              <w:bottom w:val="nil"/>
              <w:right w:val="nil"/>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bl>
    <w:p>
      <w:pPr>
        <w:keepNext w:val="0"/>
        <w:keepLines w:val="0"/>
        <w:pageBreakBefore w:val="0"/>
        <w:kinsoku/>
        <w:wordWrap/>
        <w:overflowPunct/>
        <w:topLinePunct w:val="0"/>
        <w:bidi w:val="0"/>
        <w:snapToGrid/>
        <w:ind w:firstLine="600" w:firstLineChars="200"/>
        <w:rPr>
          <w:rFonts w:ascii="宋体" w:hAnsi="宋体" w:eastAsia="宋体" w:cs="宋体"/>
          <w:color w:val="auto"/>
          <w:kern w:val="0"/>
          <w:sz w:val="30"/>
          <w:szCs w:val="30"/>
          <w:highlight w:val="none"/>
          <w:lang w:bidi="ar"/>
        </w:rPr>
      </w:pPr>
    </w:p>
    <w:tbl>
      <w:tblPr>
        <w:tblStyle w:val="6"/>
        <w:tblW w:w="13960" w:type="dxa"/>
        <w:tblInd w:w="93" w:type="dxa"/>
        <w:tblLayout w:type="fixed"/>
        <w:tblCellMar>
          <w:top w:w="0" w:type="dxa"/>
          <w:left w:w="108" w:type="dxa"/>
          <w:bottom w:w="0" w:type="dxa"/>
          <w:right w:w="108" w:type="dxa"/>
        </w:tblCellMar>
      </w:tblPr>
      <w:tblGrid>
        <w:gridCol w:w="3"/>
        <w:gridCol w:w="1069"/>
        <w:gridCol w:w="1893"/>
        <w:gridCol w:w="236"/>
        <w:gridCol w:w="236"/>
        <w:gridCol w:w="524"/>
        <w:gridCol w:w="1507"/>
        <w:gridCol w:w="13"/>
        <w:gridCol w:w="1453"/>
        <w:gridCol w:w="143"/>
        <w:gridCol w:w="1230"/>
        <w:gridCol w:w="165"/>
        <w:gridCol w:w="1092"/>
        <w:gridCol w:w="210"/>
        <w:gridCol w:w="843"/>
        <w:gridCol w:w="637"/>
        <w:gridCol w:w="473"/>
        <w:gridCol w:w="1398"/>
        <w:gridCol w:w="838"/>
        <w:gridCol w:w="118"/>
      </w:tblGrid>
      <w:tr>
        <w:tblPrEx>
          <w:tblCellMar>
            <w:top w:w="0" w:type="dxa"/>
            <w:left w:w="108" w:type="dxa"/>
            <w:bottom w:w="0" w:type="dxa"/>
            <w:right w:w="108" w:type="dxa"/>
          </w:tblCellMar>
        </w:tblPrEx>
        <w:trPr>
          <w:gridBefore w:val="1"/>
          <w:gridAfter w:val="1"/>
          <w:wBefore w:w="3" w:type="dxa"/>
          <w:wAfter w:w="118" w:type="dxa"/>
          <w:trHeight w:val="708" w:hRule="atLeast"/>
        </w:trPr>
        <w:tc>
          <w:tcPr>
            <w:tcW w:w="13960" w:type="dxa"/>
            <w:gridSpan w:val="18"/>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表二：收入决算表</w:t>
            </w:r>
          </w:p>
          <w:p>
            <w:pPr>
              <w:keepNext w:val="0"/>
              <w:keepLines w:val="0"/>
              <w:pageBreakBefore w:val="0"/>
              <w:suppressLineNumbers w:val="0"/>
              <w:kinsoku/>
              <w:wordWrap/>
              <w:overflowPunct/>
              <w:topLinePunct w:val="0"/>
              <w:bidi w:val="0"/>
              <w:snapToGrid/>
              <w:spacing w:before="0" w:beforeAutospacing="0" w:after="0" w:afterAutospacing="0"/>
              <w:ind w:left="0" w:right="0" w:firstLine="480" w:firstLineChars="200"/>
              <w:jc w:val="left"/>
              <w:rPr>
                <w:rFonts w:hint="default" w:ascii="仿宋" w:hAnsi="仿宋" w:eastAsia="仿宋" w:cs="仿宋"/>
                <w:color w:val="auto"/>
                <w:sz w:val="24"/>
                <w:highlight w:val="none"/>
              </w:rPr>
            </w:pPr>
          </w:p>
          <w:p>
            <w:pPr>
              <w:keepNext w:val="0"/>
              <w:keepLines w:val="0"/>
              <w:pageBreakBefore w:val="0"/>
              <w:widowControl/>
              <w:suppressLineNumbers w:val="0"/>
              <w:kinsoku/>
              <w:wordWrap/>
              <w:overflowPunct/>
              <w:topLinePunct w:val="0"/>
              <w:bidi w:val="0"/>
              <w:snapToGrid/>
              <w:spacing w:before="0" w:beforeAutospacing="0" w:after="0" w:afterAutospacing="0"/>
              <w:ind w:left="0" w:right="0" w:firstLine="640" w:firstLineChars="20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收入决算表</w:t>
            </w:r>
          </w:p>
        </w:tc>
      </w:tr>
      <w:tr>
        <w:tblPrEx>
          <w:tblCellMar>
            <w:top w:w="0" w:type="dxa"/>
            <w:left w:w="108" w:type="dxa"/>
            <w:bottom w:w="0" w:type="dxa"/>
            <w:right w:w="108" w:type="dxa"/>
          </w:tblCellMar>
        </w:tblPrEx>
        <w:trPr>
          <w:gridBefore w:val="1"/>
          <w:gridAfter w:val="1"/>
          <w:wBefore w:w="3" w:type="dxa"/>
          <w:wAfter w:w="118" w:type="dxa"/>
          <w:trHeight w:val="317" w:hRule="atLeast"/>
        </w:trPr>
        <w:tc>
          <w:tcPr>
            <w:tcW w:w="2962" w:type="dxa"/>
            <w:gridSpan w:val="2"/>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524"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1520" w:type="dxa"/>
            <w:gridSpan w:val="2"/>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1453"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1373" w:type="dxa"/>
            <w:gridSpan w:val="2"/>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1467" w:type="dxa"/>
            <w:gridSpan w:val="3"/>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1480" w:type="dxa"/>
            <w:gridSpan w:val="2"/>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2709" w:type="dxa"/>
            <w:gridSpan w:val="3"/>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00" w:firstLineChars="20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公开02表</w:t>
            </w:r>
          </w:p>
        </w:tc>
      </w:tr>
      <w:tr>
        <w:trPr>
          <w:gridBefore w:val="1"/>
          <w:gridAfter w:val="1"/>
          <w:wBefore w:w="3" w:type="dxa"/>
          <w:wAfter w:w="118" w:type="dxa"/>
          <w:trHeight w:val="317" w:hRule="atLeast"/>
        </w:trPr>
        <w:tc>
          <w:tcPr>
            <w:tcW w:w="6931" w:type="dxa"/>
            <w:gridSpan w:val="8"/>
            <w:tcBorders>
              <w:top w:val="nil"/>
              <w:left w:val="nil"/>
              <w:bottom w:val="single" w:color="auto" w:sz="4" w:space="0"/>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default" w:ascii="宋体" w:hAnsi="宋体" w:eastAsia="宋体" w:cs="宋体"/>
                <w:color w:val="auto"/>
                <w:sz w:val="20"/>
                <w:u w:color="auto"/>
              </w:rPr>
              <w:t>广西河池市中国共产党环江毛南族自治县委员会党史研究室</w:t>
            </w:r>
          </w:p>
        </w:tc>
        <w:tc>
          <w:tcPr>
            <w:tcW w:w="1373" w:type="dxa"/>
            <w:gridSpan w:val="2"/>
            <w:tcBorders>
              <w:top w:val="nil"/>
              <w:left w:val="nil"/>
              <w:bottom w:val="single" w:color="auto" w:sz="4" w:space="0"/>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1467" w:type="dxa"/>
            <w:gridSpan w:val="3"/>
            <w:tcBorders>
              <w:top w:val="nil"/>
              <w:left w:val="nil"/>
              <w:bottom w:val="single" w:color="auto" w:sz="4" w:space="0"/>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1480" w:type="dxa"/>
            <w:gridSpan w:val="2"/>
            <w:tcBorders>
              <w:top w:val="nil"/>
              <w:left w:val="nil"/>
              <w:bottom w:val="single" w:color="auto" w:sz="4" w:space="0"/>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2709" w:type="dxa"/>
            <w:gridSpan w:val="3"/>
            <w:tcBorders>
              <w:top w:val="nil"/>
              <w:left w:val="nil"/>
              <w:bottom w:val="single" w:color="auto" w:sz="4" w:space="0"/>
            </w:tcBorders>
            <w:shd w:val="clear" w:color="auto" w:fill="auto"/>
            <w:noWrap/>
            <w:vAlign w:val="bottom"/>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00" w:firstLineChars="20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46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09"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395"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053"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11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39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956"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72"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396" w:type="dxa"/>
            <w:gridSpan w:val="5"/>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09"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1053"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956"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72"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4396" w:type="dxa"/>
            <w:gridSpan w:val="5"/>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1609"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1053"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956"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72"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4396" w:type="dxa"/>
            <w:gridSpan w:val="5"/>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1609"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1053"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956"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46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09"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9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56"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46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0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2" w:firstLineChars="20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114.86</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2" w:firstLineChars="20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114.86</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2" w:firstLineChars="200"/>
              <w:jc w:val="right"/>
              <w:rPr>
                <w:rFonts w:hint="eastAsia" w:ascii="宋体" w:hAnsi="宋体" w:eastAsia="宋体" w:cs="宋体"/>
                <w:b/>
                <w:bCs/>
                <w:i w:val="0"/>
                <w:iCs w:val="0"/>
                <w:color w:val="000000"/>
                <w:sz w:val="22"/>
                <w:szCs w:val="22"/>
                <w:u w:val="none"/>
              </w:rPr>
            </w:pP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2" w:firstLineChars="200"/>
              <w:jc w:val="right"/>
              <w:rPr>
                <w:rFonts w:hint="eastAsia" w:ascii="宋体" w:hAnsi="宋体" w:eastAsia="宋体" w:cs="宋体"/>
                <w:b/>
                <w:bCs/>
                <w:i w:val="0"/>
                <w:iCs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2" w:firstLineChars="200"/>
              <w:jc w:val="right"/>
              <w:rPr>
                <w:rFonts w:hint="eastAsia" w:ascii="宋体" w:hAnsi="宋体" w:eastAsia="宋体" w:cs="宋体"/>
                <w:b/>
                <w:bCs/>
                <w:i w:val="0"/>
                <w:iCs w:val="0"/>
                <w:color w:val="000000"/>
                <w:sz w:val="22"/>
                <w:szCs w:val="22"/>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2" w:firstLineChars="200"/>
              <w:jc w:val="right"/>
              <w:rPr>
                <w:rFonts w:hint="eastAsia" w:ascii="宋体" w:hAnsi="宋体" w:eastAsia="宋体" w:cs="宋体"/>
                <w:b/>
                <w:bCs/>
                <w:i w:val="0"/>
                <w:iCs w:val="0"/>
                <w:color w:val="000000"/>
                <w:sz w:val="22"/>
                <w:szCs w:val="22"/>
                <w:u w:val="none"/>
              </w:rPr>
            </w:pPr>
          </w:p>
        </w:tc>
        <w:tc>
          <w:tcPr>
            <w:tcW w:w="95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2" w:firstLineChars="20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7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4396"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60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79.88</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79.88</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95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7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4396"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60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95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7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2012901</w:t>
            </w:r>
          </w:p>
        </w:tc>
        <w:tc>
          <w:tcPr>
            <w:tcW w:w="4396"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60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95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7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4396"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60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95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7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4396"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160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95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7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396"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0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9.79</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9.79</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95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7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396"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60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95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7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4396"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60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10.79</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10.79</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95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081" w:type="dxa"/>
            <w:gridSpan w:val="20"/>
            <w:tcBorders>
              <w:top w:val="single" w:color="000000" w:sz="4" w:space="0"/>
              <w:left w:val="nil"/>
              <w:bottom w:val="nil"/>
              <w:right w:val="nil"/>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keepNext w:val="0"/>
        <w:keepLines w:val="0"/>
        <w:pageBreakBefore w:val="0"/>
        <w:kinsoku/>
        <w:wordWrap/>
        <w:overflowPunct/>
        <w:topLinePunct w:val="0"/>
        <w:bidi w:val="0"/>
        <w:snapToGrid/>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br w:type="page"/>
      </w:r>
    </w:p>
    <w:p>
      <w:pPr>
        <w:keepNext w:val="0"/>
        <w:keepLines w:val="0"/>
        <w:pageBreakBefore w:val="0"/>
        <w:kinsoku/>
        <w:wordWrap/>
        <w:overflowPunct/>
        <w:topLinePunct w:val="0"/>
        <w:bidi w:val="0"/>
        <w:snapToGrid/>
        <w:ind w:firstLine="480" w:firstLineChars="200"/>
        <w:jc w:val="center"/>
        <w:rPr>
          <w:rFonts w:ascii="仿宋" w:hAnsi="仿宋" w:eastAsia="仿宋" w:cs="仿宋"/>
          <w:color w:val="auto"/>
          <w:sz w:val="24"/>
          <w:highlight w:val="none"/>
        </w:rPr>
      </w:pPr>
    </w:p>
    <w:p>
      <w:pPr>
        <w:keepNext w:val="0"/>
        <w:keepLines w:val="0"/>
        <w:pageBreakBefore w:val="0"/>
        <w:kinsoku/>
        <w:wordWrap/>
        <w:overflowPunct/>
        <w:topLinePunct w:val="0"/>
        <w:bidi w:val="0"/>
        <w:snapToGrid/>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表三：支出决算表</w:t>
      </w:r>
    </w:p>
    <w:p>
      <w:pPr>
        <w:keepNext w:val="0"/>
        <w:keepLines w:val="0"/>
        <w:pageBreakBefore w:val="0"/>
        <w:kinsoku/>
        <w:wordWrap/>
        <w:overflowPunct/>
        <w:topLinePunct w:val="0"/>
        <w:bidi w:val="0"/>
        <w:snapToGrid/>
        <w:ind w:firstLine="480" w:firstLineChars="200"/>
        <w:jc w:val="left"/>
        <w:rPr>
          <w:rFonts w:hint="eastAsia" w:ascii="仿宋" w:hAnsi="仿宋" w:eastAsia="仿宋" w:cs="仿宋"/>
          <w:color w:val="auto"/>
          <w:sz w:val="24"/>
          <w:highlight w:val="none"/>
        </w:rPr>
      </w:pPr>
    </w:p>
    <w:tbl>
      <w:tblPr>
        <w:tblStyle w:val="6"/>
        <w:tblW w:w="15720" w:type="dxa"/>
        <w:tblInd w:w="93" w:type="dxa"/>
        <w:tblLayout w:type="fixed"/>
        <w:tblCellMar>
          <w:top w:w="0" w:type="dxa"/>
          <w:left w:w="108" w:type="dxa"/>
          <w:bottom w:w="0" w:type="dxa"/>
          <w:right w:w="108" w:type="dxa"/>
        </w:tblCellMar>
      </w:tblPr>
      <w:tblGrid>
        <w:gridCol w:w="3"/>
        <w:gridCol w:w="1093"/>
        <w:gridCol w:w="49"/>
        <w:gridCol w:w="237"/>
        <w:gridCol w:w="303"/>
        <w:gridCol w:w="2222"/>
        <w:gridCol w:w="1585"/>
        <w:gridCol w:w="42"/>
        <w:gridCol w:w="1494"/>
        <w:gridCol w:w="186"/>
        <w:gridCol w:w="910"/>
        <w:gridCol w:w="850"/>
        <w:gridCol w:w="246"/>
        <w:gridCol w:w="1407"/>
        <w:gridCol w:w="129"/>
        <w:gridCol w:w="1096"/>
        <w:gridCol w:w="429"/>
        <w:gridCol w:w="1702"/>
        <w:gridCol w:w="65"/>
        <w:gridCol w:w="1672"/>
      </w:tblGrid>
      <w:tr>
        <w:tblPrEx>
          <w:tblCellMar>
            <w:top w:w="0" w:type="dxa"/>
            <w:left w:w="108" w:type="dxa"/>
            <w:bottom w:w="0" w:type="dxa"/>
            <w:right w:w="108" w:type="dxa"/>
          </w:tblCellMar>
        </w:tblPrEx>
        <w:trPr>
          <w:gridBefore w:val="1"/>
          <w:gridAfter w:val="2"/>
          <w:wBefore w:w="3" w:type="dxa"/>
          <w:wAfter w:w="65" w:type="dxa"/>
          <w:trHeight w:val="623" w:hRule="atLeast"/>
        </w:trPr>
        <w:tc>
          <w:tcPr>
            <w:tcW w:w="13980" w:type="dxa"/>
            <w:gridSpan w:val="1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640" w:firstLineChars="200"/>
              <w:jc w:val="center"/>
              <w:textAlignment w:val="center"/>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支出决算表</w:t>
            </w:r>
          </w:p>
        </w:tc>
      </w:tr>
      <w:tr>
        <w:tblPrEx>
          <w:tblCellMar>
            <w:top w:w="0" w:type="dxa"/>
            <w:left w:w="108" w:type="dxa"/>
            <w:bottom w:w="0" w:type="dxa"/>
            <w:right w:w="108" w:type="dxa"/>
          </w:tblCellMar>
        </w:tblPrEx>
        <w:trPr>
          <w:gridBefore w:val="1"/>
          <w:gridAfter w:val="2"/>
          <w:wBefore w:w="3" w:type="dxa"/>
          <w:wAfter w:w="65" w:type="dxa"/>
          <w:trHeight w:val="312" w:hRule="atLeast"/>
        </w:trPr>
        <w:tc>
          <w:tcPr>
            <w:tcW w:w="1142" w:type="dxa"/>
            <w:gridSpan w:val="2"/>
            <w:tcBorders>
              <w:top w:val="nil"/>
              <w:left w:val="nil"/>
              <w:bottom w:val="nil"/>
              <w:right w:val="nil"/>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303" w:type="dxa"/>
            <w:tcBorders>
              <w:top w:val="nil"/>
              <w:left w:val="nil"/>
              <w:bottom w:val="nil"/>
              <w:right w:val="nil"/>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1627" w:type="dxa"/>
            <w:gridSpan w:val="2"/>
            <w:tcBorders>
              <w:top w:val="nil"/>
              <w:left w:val="nil"/>
              <w:bottom w:val="nil"/>
              <w:right w:val="nil"/>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1680" w:type="dxa"/>
            <w:gridSpan w:val="2"/>
            <w:tcBorders>
              <w:top w:val="nil"/>
              <w:left w:val="nil"/>
              <w:bottom w:val="nil"/>
              <w:right w:val="nil"/>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1760" w:type="dxa"/>
            <w:gridSpan w:val="2"/>
            <w:tcBorders>
              <w:top w:val="nil"/>
              <w:left w:val="nil"/>
              <w:bottom w:val="nil"/>
              <w:right w:val="nil"/>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1653" w:type="dxa"/>
            <w:gridSpan w:val="2"/>
            <w:tcBorders>
              <w:top w:val="nil"/>
              <w:left w:val="nil"/>
              <w:bottom w:val="nil"/>
              <w:right w:val="nil"/>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1654" w:type="dxa"/>
            <w:gridSpan w:val="3"/>
            <w:tcBorders>
              <w:top w:val="nil"/>
              <w:left w:val="nil"/>
              <w:bottom w:val="nil"/>
              <w:right w:val="nil"/>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00" w:firstLineChars="200"/>
              <w:jc w:val="right"/>
              <w:textAlignment w:val="center"/>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公开03表</w:t>
            </w:r>
          </w:p>
        </w:tc>
      </w:tr>
      <w:tr>
        <w:tblPrEx>
          <w:tblCellMar>
            <w:top w:w="0" w:type="dxa"/>
            <w:left w:w="108" w:type="dxa"/>
            <w:bottom w:w="0" w:type="dxa"/>
            <w:right w:w="108" w:type="dxa"/>
          </w:tblCellMar>
        </w:tblPrEx>
        <w:trPr>
          <w:gridBefore w:val="1"/>
          <w:gridAfter w:val="2"/>
          <w:wBefore w:w="3" w:type="dxa"/>
          <w:wAfter w:w="65" w:type="dxa"/>
          <w:trHeight w:val="312" w:hRule="atLeast"/>
        </w:trPr>
        <w:tc>
          <w:tcPr>
            <w:tcW w:w="8971" w:type="dxa"/>
            <w:gridSpan w:val="11"/>
            <w:tcBorders>
              <w:top w:val="nil"/>
              <w:left w:val="nil"/>
              <w:bottom w:val="single" w:color="auto" w:sz="4" w:space="0"/>
              <w:right w:val="nil"/>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default" w:ascii="宋体" w:hAnsi="宋体" w:eastAsia="宋体" w:cs="宋体"/>
                <w:color w:val="auto"/>
                <w:sz w:val="20"/>
                <w:u w:color="auto"/>
              </w:rPr>
              <w:t>广西河池市中国共产党环江毛南族自治县委员会党史研究室</w:t>
            </w:r>
          </w:p>
        </w:tc>
        <w:tc>
          <w:tcPr>
            <w:tcW w:w="1653" w:type="dxa"/>
            <w:gridSpan w:val="2"/>
            <w:tcBorders>
              <w:top w:val="nil"/>
              <w:left w:val="nil"/>
              <w:bottom w:val="single" w:color="auto" w:sz="4" w:space="0"/>
              <w:right w:val="nil"/>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1654" w:type="dxa"/>
            <w:gridSpan w:val="3"/>
            <w:tcBorders>
              <w:top w:val="nil"/>
              <w:left w:val="nil"/>
              <w:bottom w:val="single" w:color="auto" w:sz="4" w:space="0"/>
              <w:right w:val="nil"/>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00" w:firstLineChars="200"/>
              <w:jc w:val="right"/>
              <w:textAlignment w:val="center"/>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72" w:type="dxa"/>
          <w:trHeight w:val="30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72" w:type="dxa"/>
          <w:trHeight w:val="30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72" w:type="dxa"/>
          <w:trHeight w:val="3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72" w:type="dxa"/>
          <w:trHeight w:val="3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72" w:type="dxa"/>
          <w:trHeight w:val="30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72" w:type="dxa"/>
          <w:trHeight w:val="30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2" w:firstLineChars="20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114.86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2" w:firstLineChars="20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108.06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2" w:firstLineChars="20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2" w:firstLineChars="20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2" w:firstLineChars="200"/>
              <w:jc w:val="right"/>
              <w:rPr>
                <w:rFonts w:hint="eastAsia" w:ascii="宋体" w:hAnsi="宋体" w:eastAsia="宋体" w:cs="宋体"/>
                <w:b/>
                <w:bCs/>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2" w:firstLineChars="20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72" w:type="dxa"/>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72" w:type="dxa"/>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72" w:type="dxa"/>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2012901</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72" w:type="dxa"/>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72" w:type="dxa"/>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72" w:type="dxa"/>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72" w:type="dxa"/>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72" w:type="dxa"/>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0"/>
            <w:tcBorders>
              <w:top w:val="single" w:color="000000" w:sz="4" w:space="0"/>
              <w:left w:val="nil"/>
              <w:bottom w:val="nil"/>
              <w:right w:val="nil"/>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keepNext w:val="0"/>
        <w:keepLines w:val="0"/>
        <w:pageBreakBefore w:val="0"/>
        <w:kinsoku/>
        <w:wordWrap/>
        <w:overflowPunct/>
        <w:topLinePunct w:val="0"/>
        <w:bidi w:val="0"/>
        <w:snapToGrid/>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br w:type="page"/>
      </w:r>
    </w:p>
    <w:p>
      <w:pPr>
        <w:keepNext w:val="0"/>
        <w:keepLines w:val="0"/>
        <w:pageBreakBefore w:val="0"/>
        <w:kinsoku/>
        <w:wordWrap/>
        <w:overflowPunct/>
        <w:topLinePunct w:val="0"/>
        <w:bidi w:val="0"/>
        <w:snapToGrid/>
        <w:ind w:firstLine="480" w:firstLineChars="200"/>
        <w:jc w:val="center"/>
        <w:rPr>
          <w:rFonts w:ascii="仿宋" w:hAnsi="仿宋" w:eastAsia="仿宋" w:cs="仿宋"/>
          <w:color w:val="auto"/>
          <w:sz w:val="24"/>
          <w:highlight w:val="none"/>
        </w:rPr>
      </w:pPr>
    </w:p>
    <w:p>
      <w:pPr>
        <w:keepNext w:val="0"/>
        <w:keepLines w:val="0"/>
        <w:pageBreakBefore w:val="0"/>
        <w:kinsoku/>
        <w:wordWrap/>
        <w:overflowPunct/>
        <w:topLinePunct w:val="0"/>
        <w:bidi w:val="0"/>
        <w:snapToGrid/>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表四：财政拨款收入支出决算总表</w:t>
      </w:r>
    </w:p>
    <w:p>
      <w:pPr>
        <w:keepNext w:val="0"/>
        <w:keepLines w:val="0"/>
        <w:pageBreakBefore w:val="0"/>
        <w:kinsoku/>
        <w:wordWrap/>
        <w:overflowPunct/>
        <w:topLinePunct w:val="0"/>
        <w:bidi w:val="0"/>
        <w:snapToGrid/>
        <w:ind w:firstLine="480" w:firstLineChars="200"/>
        <w:jc w:val="left"/>
        <w:rPr>
          <w:rFonts w:hint="eastAsia" w:ascii="仿宋" w:hAnsi="仿宋" w:eastAsia="仿宋" w:cs="仿宋"/>
          <w:color w:val="auto"/>
          <w:sz w:val="24"/>
          <w:highlight w:val="none"/>
        </w:rPr>
      </w:pPr>
    </w:p>
    <w:tbl>
      <w:tblPr>
        <w:tblStyle w:val="6"/>
        <w:tblW w:w="0" w:type="auto"/>
        <w:tblInd w:w="198" w:type="dxa"/>
        <w:tblLayout w:type="autofit"/>
        <w:tblCellMar>
          <w:top w:w="0" w:type="dxa"/>
          <w:left w:w="108" w:type="dxa"/>
          <w:bottom w:w="0" w:type="dxa"/>
          <w:right w:w="108" w:type="dxa"/>
        </w:tblCellMar>
      </w:tblPr>
      <w:tblGrid>
        <w:gridCol w:w="1228"/>
        <w:gridCol w:w="1556"/>
        <w:gridCol w:w="1235"/>
        <w:gridCol w:w="1628"/>
        <w:gridCol w:w="1286"/>
        <w:gridCol w:w="1286"/>
        <w:gridCol w:w="897"/>
        <w:gridCol w:w="438"/>
        <w:gridCol w:w="438"/>
        <w:gridCol w:w="1452"/>
        <w:gridCol w:w="1267"/>
        <w:gridCol w:w="1265"/>
      </w:tblGrid>
      <w:tr>
        <w:tblPrEx>
          <w:tblCellMar>
            <w:top w:w="0" w:type="dxa"/>
            <w:left w:w="108" w:type="dxa"/>
            <w:bottom w:w="0" w:type="dxa"/>
            <w:right w:w="108" w:type="dxa"/>
          </w:tblCellMar>
        </w:tblPrEx>
        <w:trPr>
          <w:trHeight w:val="520" w:hRule="atLeast"/>
        </w:trPr>
        <w:tc>
          <w:tcPr>
            <w:tcW w:w="13976" w:type="dxa"/>
            <w:gridSpan w:val="12"/>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640" w:firstLineChars="20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961"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0" w:type="auto"/>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0" w:type="auto"/>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0" w:type="auto"/>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0" w:type="auto"/>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0" w:type="auto"/>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0" w:type="auto"/>
            <w:gridSpan w:val="2"/>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0" w:type="auto"/>
            <w:gridSpan w:val="2"/>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0" w:type="auto"/>
            <w:gridSpan w:val="2"/>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00" w:firstLineChars="20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9567" w:type="dxa"/>
            <w:gridSpan w:val="6"/>
            <w:tcBorders>
              <w:top w:val="nil"/>
              <w:left w:val="nil"/>
              <w:bottom w:val="single" w:color="auto" w:sz="4" w:space="0"/>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default" w:ascii="宋体" w:hAnsi="宋体" w:eastAsia="宋体" w:cs="宋体"/>
                <w:color w:val="auto"/>
                <w:sz w:val="20"/>
                <w:u w:color="auto"/>
              </w:rPr>
              <w:t>广西河池市中国共产党环江毛南族自治县委员会党史研究室</w:t>
            </w:r>
          </w:p>
        </w:tc>
        <w:tc>
          <w:tcPr>
            <w:tcW w:w="0" w:type="auto"/>
            <w:gridSpan w:val="2"/>
            <w:tcBorders>
              <w:top w:val="nil"/>
              <w:left w:val="nil"/>
              <w:bottom w:val="single" w:color="auto" w:sz="4" w:space="0"/>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0" w:type="auto"/>
            <w:gridSpan w:val="2"/>
            <w:tcBorders>
              <w:top w:val="nil"/>
              <w:left w:val="nil"/>
              <w:bottom w:val="single" w:color="auto" w:sz="4" w:space="0"/>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0" w:type="auto"/>
            <w:gridSpan w:val="2"/>
            <w:tcBorders>
              <w:top w:val="nil"/>
              <w:left w:val="nil"/>
              <w:bottom w:val="single" w:color="auto" w:sz="4" w:space="0"/>
              <w:right w:val="nil"/>
            </w:tcBorders>
            <w:shd w:val="clear" w:color="auto" w:fill="auto"/>
            <w:noWrap/>
            <w:vAlign w:val="bottom"/>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00" w:firstLineChars="20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87" w:type="dxa"/>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888"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财政拨款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算财政拨款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888"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8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8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114.86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8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8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8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8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8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8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8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8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8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8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8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8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8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8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8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8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8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8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8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8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8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8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8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02" w:firstLineChars="200"/>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8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8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8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114.86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8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8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8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8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8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114.86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84" w:type="dxa"/>
            <w:gridSpan w:val="11"/>
            <w:tcBorders>
              <w:top w:val="single" w:color="000000" w:sz="4" w:space="0"/>
              <w:left w:val="nil"/>
              <w:bottom w:val="nil"/>
              <w:right w:val="nil"/>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single" w:color="000000" w:sz="4" w:space="0"/>
              <w:left w:val="nil"/>
              <w:bottom w:val="nil"/>
              <w:right w:val="nil"/>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jc w:val="left"/>
              <w:rPr>
                <w:rFonts w:hint="eastAsia" w:ascii="宋体" w:hAnsi="宋体" w:eastAsia="宋体" w:cs="宋体"/>
                <w:i w:val="0"/>
                <w:iCs w:val="0"/>
                <w:color w:val="000000"/>
                <w:sz w:val="20"/>
                <w:szCs w:val="20"/>
                <w:u w:val="none"/>
              </w:rPr>
            </w:pPr>
          </w:p>
        </w:tc>
      </w:tr>
    </w:tbl>
    <w:p>
      <w:pPr>
        <w:keepNext w:val="0"/>
        <w:keepLines w:val="0"/>
        <w:pageBreakBefore w:val="0"/>
        <w:kinsoku/>
        <w:wordWrap/>
        <w:overflowPunct/>
        <w:topLinePunct w:val="0"/>
        <w:bidi w:val="0"/>
        <w:snapToGrid/>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br w:type="page"/>
      </w:r>
    </w:p>
    <w:p>
      <w:pPr>
        <w:keepNext w:val="0"/>
        <w:keepLines w:val="0"/>
        <w:pageBreakBefore w:val="0"/>
        <w:kinsoku/>
        <w:wordWrap/>
        <w:overflowPunct/>
        <w:topLinePunct w:val="0"/>
        <w:bidi w:val="0"/>
        <w:snapToGrid/>
        <w:ind w:firstLine="480" w:firstLineChars="200"/>
        <w:jc w:val="left"/>
        <w:rPr>
          <w:rFonts w:ascii="仿宋" w:hAnsi="仿宋" w:eastAsia="仿宋" w:cs="仿宋"/>
          <w:color w:val="auto"/>
          <w:sz w:val="24"/>
          <w:highlight w:val="none"/>
        </w:rPr>
      </w:pPr>
    </w:p>
    <w:p>
      <w:pPr>
        <w:keepNext w:val="0"/>
        <w:keepLines w:val="0"/>
        <w:pageBreakBefore w:val="0"/>
        <w:kinsoku/>
        <w:wordWrap/>
        <w:overflowPunct/>
        <w:topLinePunct w:val="0"/>
        <w:bidi w:val="0"/>
        <w:snapToGrid/>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表五：一般公共预算财政拨款支出决算表</w:t>
      </w:r>
    </w:p>
    <w:p>
      <w:pPr>
        <w:keepNext w:val="0"/>
        <w:keepLines w:val="0"/>
        <w:pageBreakBefore w:val="0"/>
        <w:kinsoku/>
        <w:wordWrap/>
        <w:overflowPunct/>
        <w:topLinePunct w:val="0"/>
        <w:bidi w:val="0"/>
        <w:snapToGrid/>
        <w:ind w:firstLine="480" w:firstLineChars="200"/>
        <w:jc w:val="left"/>
        <w:rPr>
          <w:rFonts w:hint="eastAsia" w:ascii="仿宋" w:hAnsi="仿宋" w:eastAsia="仿宋" w:cs="仿宋"/>
          <w:color w:val="auto"/>
          <w:sz w:val="24"/>
          <w:highlight w:val="none"/>
        </w:rPr>
      </w:pPr>
    </w:p>
    <w:tbl>
      <w:tblPr>
        <w:tblStyle w:val="6"/>
        <w:tblW w:w="14760" w:type="dxa"/>
        <w:tblInd w:w="93" w:type="dxa"/>
        <w:tblLayout w:type="fixed"/>
        <w:tblCellMar>
          <w:top w:w="0" w:type="dxa"/>
          <w:left w:w="108" w:type="dxa"/>
          <w:bottom w:w="0" w:type="dxa"/>
          <w:right w:w="108" w:type="dxa"/>
        </w:tblCellMar>
      </w:tblPr>
      <w:tblGrid>
        <w:gridCol w:w="3"/>
        <w:gridCol w:w="987"/>
        <w:gridCol w:w="1296"/>
        <w:gridCol w:w="238"/>
        <w:gridCol w:w="238"/>
        <w:gridCol w:w="2052"/>
        <w:gridCol w:w="106"/>
        <w:gridCol w:w="3000"/>
        <w:gridCol w:w="67"/>
        <w:gridCol w:w="2813"/>
        <w:gridCol w:w="294"/>
        <w:gridCol w:w="2889"/>
        <w:gridCol w:w="9"/>
      </w:tblGrid>
      <w:tr>
        <w:tblPrEx>
          <w:tblCellMar>
            <w:top w:w="0" w:type="dxa"/>
            <w:left w:w="108" w:type="dxa"/>
            <w:bottom w:w="0" w:type="dxa"/>
            <w:right w:w="108" w:type="dxa"/>
          </w:tblCellMar>
        </w:tblPrEx>
        <w:trPr>
          <w:gridBefore w:val="1"/>
          <w:gridAfter w:val="1"/>
          <w:wBefore w:w="3" w:type="dxa"/>
          <w:wAfter w:w="9" w:type="dxa"/>
          <w:trHeight w:val="693" w:hRule="atLeast"/>
        </w:trPr>
        <w:tc>
          <w:tcPr>
            <w:tcW w:w="13980" w:type="dxa"/>
            <w:gridSpan w:val="11"/>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640" w:firstLineChars="20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一般公共预算财政拨款支出决算表</w:t>
            </w:r>
          </w:p>
        </w:tc>
      </w:tr>
      <w:tr>
        <w:tblPrEx>
          <w:tblCellMar>
            <w:top w:w="0" w:type="dxa"/>
            <w:left w:w="108" w:type="dxa"/>
            <w:bottom w:w="0" w:type="dxa"/>
            <w:right w:w="108" w:type="dxa"/>
          </w:tblCellMar>
        </w:tblPrEx>
        <w:trPr>
          <w:gridBefore w:val="1"/>
          <w:gridAfter w:val="1"/>
          <w:wBefore w:w="3" w:type="dxa"/>
          <w:wAfter w:w="9" w:type="dxa"/>
          <w:trHeight w:val="346" w:hRule="atLeast"/>
        </w:trPr>
        <w:tc>
          <w:tcPr>
            <w:tcW w:w="2283" w:type="dxa"/>
            <w:gridSpan w:val="2"/>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3173" w:type="dxa"/>
            <w:gridSpan w:val="3"/>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3107" w:type="dxa"/>
            <w:gridSpan w:val="2"/>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00" w:firstLineChars="20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公开05表</w:t>
            </w:r>
          </w:p>
        </w:tc>
      </w:tr>
      <w:tr>
        <w:tblPrEx>
          <w:tblCellMar>
            <w:top w:w="0" w:type="dxa"/>
            <w:left w:w="108" w:type="dxa"/>
            <w:bottom w:w="0" w:type="dxa"/>
            <w:right w:w="108" w:type="dxa"/>
          </w:tblCellMar>
        </w:tblPrEx>
        <w:trPr>
          <w:gridBefore w:val="1"/>
          <w:gridAfter w:val="1"/>
          <w:wBefore w:w="3" w:type="dxa"/>
          <w:wAfter w:w="9" w:type="dxa"/>
          <w:trHeight w:val="346" w:hRule="atLeast"/>
        </w:trPr>
        <w:tc>
          <w:tcPr>
            <w:tcW w:w="7984" w:type="dxa"/>
            <w:gridSpan w:val="8"/>
            <w:tcBorders>
              <w:top w:val="nil"/>
              <w:left w:val="nil"/>
              <w:bottom w:val="single" w:color="auto" w:sz="4" w:space="0"/>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default" w:ascii="宋体" w:hAnsi="宋体" w:eastAsia="宋体" w:cs="宋体"/>
                <w:color w:val="auto"/>
                <w:sz w:val="20"/>
                <w:u w:color="auto"/>
              </w:rPr>
              <w:t>广西河池市中国共产党环江毛南族自治县委员会党史研究室</w:t>
            </w:r>
          </w:p>
        </w:tc>
        <w:tc>
          <w:tcPr>
            <w:tcW w:w="3107" w:type="dxa"/>
            <w:gridSpan w:val="2"/>
            <w:tcBorders>
              <w:top w:val="nil"/>
              <w:left w:val="nil"/>
              <w:bottom w:val="single" w:color="auto" w:sz="4" w:space="0"/>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00" w:firstLineChars="20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20"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072"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30" w:type="dxa"/>
            <w:gridSpan w:val="5"/>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88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192"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3930" w:type="dxa"/>
            <w:gridSpan w:val="5"/>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288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3192"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3930" w:type="dxa"/>
            <w:gridSpan w:val="5"/>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288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3192"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920"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0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192"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920"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2" w:firstLineChars="20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114.86</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2" w:firstLineChars="20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108.06</w:t>
            </w:r>
          </w:p>
        </w:tc>
        <w:tc>
          <w:tcPr>
            <w:tcW w:w="319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2" w:firstLineChars="20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393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79.88</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78.70</w:t>
            </w:r>
          </w:p>
        </w:tc>
        <w:tc>
          <w:tcPr>
            <w:tcW w:w="319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393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319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2012901</w:t>
            </w:r>
          </w:p>
        </w:tc>
        <w:tc>
          <w:tcPr>
            <w:tcW w:w="393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319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93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319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393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319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3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9.79</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9.79</w:t>
            </w:r>
          </w:p>
        </w:tc>
        <w:tc>
          <w:tcPr>
            <w:tcW w:w="319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3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w:t>
            </w:r>
          </w:p>
        </w:tc>
        <w:tc>
          <w:tcPr>
            <w:tcW w:w="319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393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10.79</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10.79</w:t>
            </w:r>
          </w:p>
        </w:tc>
        <w:tc>
          <w:tcPr>
            <w:tcW w:w="319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992" w:type="dxa"/>
            <w:gridSpan w:val="13"/>
            <w:tcBorders>
              <w:top w:val="single" w:color="000000" w:sz="4" w:space="0"/>
              <w:left w:val="nil"/>
              <w:bottom w:val="nil"/>
              <w:right w:val="nil"/>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keepNext w:val="0"/>
        <w:keepLines w:val="0"/>
        <w:pageBreakBefore w:val="0"/>
        <w:kinsoku/>
        <w:wordWrap/>
        <w:overflowPunct/>
        <w:topLinePunct w:val="0"/>
        <w:bidi w:val="0"/>
        <w:snapToGrid/>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br w:type="page"/>
      </w:r>
    </w:p>
    <w:p>
      <w:pPr>
        <w:keepNext w:val="0"/>
        <w:keepLines w:val="0"/>
        <w:pageBreakBefore w:val="0"/>
        <w:kinsoku/>
        <w:wordWrap/>
        <w:overflowPunct/>
        <w:topLinePunct w:val="0"/>
        <w:bidi w:val="0"/>
        <w:snapToGrid/>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表六：一般公共预算财政拨款基本支出决算表</w:t>
      </w:r>
    </w:p>
    <w:p>
      <w:pPr>
        <w:keepNext w:val="0"/>
        <w:keepLines w:val="0"/>
        <w:pageBreakBefore w:val="0"/>
        <w:kinsoku/>
        <w:wordWrap/>
        <w:overflowPunct/>
        <w:topLinePunct w:val="0"/>
        <w:bidi w:val="0"/>
        <w:snapToGrid/>
        <w:ind w:firstLine="480" w:firstLineChars="200"/>
        <w:jc w:val="left"/>
        <w:rPr>
          <w:rFonts w:hint="eastAsia" w:ascii="仿宋" w:hAnsi="仿宋" w:eastAsia="仿宋" w:cs="仿宋"/>
          <w:color w:val="auto"/>
          <w:sz w:val="24"/>
          <w:highlight w:val="none"/>
        </w:rPr>
      </w:pPr>
    </w:p>
    <w:tbl>
      <w:tblPr>
        <w:tblStyle w:val="6"/>
        <w:tblW w:w="14484" w:type="dxa"/>
        <w:tblInd w:w="-330" w:type="dxa"/>
        <w:tblLayout w:type="fixed"/>
        <w:tblCellMar>
          <w:top w:w="0" w:type="dxa"/>
          <w:left w:w="108" w:type="dxa"/>
          <w:bottom w:w="0" w:type="dxa"/>
          <w:right w:w="108" w:type="dxa"/>
        </w:tblCellMar>
      </w:tblPr>
      <w:tblGrid>
        <w:gridCol w:w="426"/>
        <w:gridCol w:w="369"/>
        <w:gridCol w:w="738"/>
        <w:gridCol w:w="1902"/>
        <w:gridCol w:w="469"/>
        <w:gridCol w:w="836"/>
        <w:gridCol w:w="270"/>
        <w:gridCol w:w="510"/>
        <w:gridCol w:w="770"/>
        <w:gridCol w:w="1675"/>
        <w:gridCol w:w="672"/>
        <w:gridCol w:w="385"/>
        <w:gridCol w:w="775"/>
        <w:gridCol w:w="343"/>
        <w:gridCol w:w="830"/>
        <w:gridCol w:w="2147"/>
        <w:gridCol w:w="894"/>
        <w:gridCol w:w="899"/>
      </w:tblGrid>
      <w:tr>
        <w:tblPrEx>
          <w:tblCellMar>
            <w:top w:w="0" w:type="dxa"/>
            <w:left w:w="108" w:type="dxa"/>
            <w:bottom w:w="0" w:type="dxa"/>
            <w:right w:w="108" w:type="dxa"/>
          </w:tblCellMar>
        </w:tblPrEx>
        <w:trPr>
          <w:gridBefore w:val="1"/>
          <w:wBefore w:w="426" w:type="dxa"/>
          <w:trHeight w:val="614" w:hRule="atLeast"/>
        </w:trPr>
        <w:tc>
          <w:tcPr>
            <w:tcW w:w="14484" w:type="dxa"/>
            <w:gridSpan w:val="17"/>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640" w:firstLineChars="20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gridBefore w:val="1"/>
          <w:wBefore w:w="426" w:type="dxa"/>
          <w:trHeight w:val="307" w:hRule="atLeast"/>
        </w:trPr>
        <w:tc>
          <w:tcPr>
            <w:tcW w:w="1107" w:type="dxa"/>
            <w:gridSpan w:val="2"/>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2371" w:type="dxa"/>
            <w:gridSpan w:val="2"/>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1106" w:type="dxa"/>
            <w:gridSpan w:val="2"/>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1280" w:type="dxa"/>
            <w:gridSpan w:val="2"/>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2347" w:type="dxa"/>
            <w:gridSpan w:val="2"/>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1160" w:type="dxa"/>
            <w:gridSpan w:val="2"/>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1173" w:type="dxa"/>
            <w:gridSpan w:val="2"/>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1793" w:type="dxa"/>
            <w:gridSpan w:val="2"/>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00" w:firstLineChars="20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公开06表</w:t>
            </w:r>
          </w:p>
        </w:tc>
      </w:tr>
      <w:tr>
        <w:tblPrEx>
          <w:tblCellMar>
            <w:top w:w="0" w:type="dxa"/>
            <w:left w:w="108" w:type="dxa"/>
            <w:bottom w:w="0" w:type="dxa"/>
            <w:right w:w="108" w:type="dxa"/>
          </w:tblCellMar>
        </w:tblPrEx>
        <w:trPr>
          <w:gridBefore w:val="1"/>
          <w:wBefore w:w="426" w:type="dxa"/>
          <w:trHeight w:val="569" w:hRule="atLeast"/>
        </w:trPr>
        <w:tc>
          <w:tcPr>
            <w:tcW w:w="8211" w:type="dxa"/>
            <w:gridSpan w:val="10"/>
            <w:tcBorders>
              <w:top w:val="nil"/>
              <w:left w:val="nil"/>
              <w:bottom w:val="single" w:color="auto" w:sz="4" w:space="0"/>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default" w:ascii="宋体" w:hAnsi="宋体" w:eastAsia="宋体" w:cs="宋体"/>
                <w:color w:val="auto"/>
                <w:sz w:val="20"/>
                <w:u w:color="auto"/>
              </w:rPr>
              <w:t>广西河池市中国共产党环江毛南族自治县委员会党史研究室</w:t>
            </w:r>
          </w:p>
        </w:tc>
        <w:tc>
          <w:tcPr>
            <w:tcW w:w="1160" w:type="dxa"/>
            <w:gridSpan w:val="2"/>
            <w:tcBorders>
              <w:top w:val="nil"/>
              <w:left w:val="nil"/>
              <w:bottom w:val="single" w:color="auto" w:sz="4" w:space="0"/>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1173" w:type="dxa"/>
            <w:gridSpan w:val="2"/>
            <w:tcBorders>
              <w:top w:val="nil"/>
              <w:left w:val="nil"/>
              <w:bottom w:val="single" w:color="auto" w:sz="4" w:space="0"/>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3940" w:type="dxa"/>
            <w:gridSpan w:val="3"/>
            <w:tcBorders>
              <w:top w:val="nil"/>
              <w:left w:val="nil"/>
              <w:bottom w:val="single" w:color="auto" w:sz="4" w:space="0"/>
            </w:tcBorders>
            <w:shd w:val="clear" w:color="auto" w:fill="auto"/>
            <w:noWrap/>
            <w:vAlign w:val="bottom"/>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00" w:firstLineChars="20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740"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10170" w:type="dxa"/>
            <w:gridSpan w:val="1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5"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64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05"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8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445"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57"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118"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871"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78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244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1057"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1118"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3871"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97.77</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387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27.86</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387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19.06</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387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28.41</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387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387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387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9.79</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0.31</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387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387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387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387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387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387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387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387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387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387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387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387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387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387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387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387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387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387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387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387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left"/>
              <w:rPr>
                <w:rFonts w:hint="eastAsia" w:ascii="宋体" w:hAnsi="宋体" w:eastAsia="宋体" w:cs="宋体"/>
                <w:i w:val="0"/>
                <w:iCs w:val="0"/>
                <w:color w:val="000000"/>
                <w:sz w:val="22"/>
                <w:szCs w:val="22"/>
                <w:u w:val="none"/>
              </w:rPr>
            </w:pPr>
          </w:p>
        </w:tc>
        <w:tc>
          <w:tcPr>
            <w:tcW w:w="387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left"/>
              <w:rPr>
                <w:rFonts w:hint="eastAsia" w:ascii="宋体" w:hAnsi="宋体" w:eastAsia="宋体" w:cs="宋体"/>
                <w:i w:val="0"/>
                <w:iCs w:val="0"/>
                <w:color w:val="000000"/>
                <w:sz w:val="22"/>
                <w:szCs w:val="22"/>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left"/>
              <w:rPr>
                <w:rFonts w:hint="eastAsia" w:ascii="宋体" w:hAnsi="宋体" w:eastAsia="宋体" w:cs="宋体"/>
                <w:i w:val="0"/>
                <w:iCs w:val="0"/>
                <w:color w:val="000000"/>
                <w:sz w:val="22"/>
                <w:szCs w:val="22"/>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left"/>
              <w:rPr>
                <w:rFonts w:hint="eastAsia" w:ascii="宋体" w:hAnsi="宋体" w:eastAsia="宋体" w:cs="宋体"/>
                <w:i w:val="0"/>
                <w:iCs w:val="0"/>
                <w:color w:val="000000"/>
                <w:sz w:val="22"/>
                <w:szCs w:val="22"/>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left"/>
              <w:rPr>
                <w:rFonts w:hint="eastAsia" w:ascii="宋体" w:hAnsi="宋体" w:eastAsia="宋体" w:cs="宋体"/>
                <w:i w:val="0"/>
                <w:iCs w:val="0"/>
                <w:color w:val="000000"/>
                <w:sz w:val="22"/>
                <w:szCs w:val="22"/>
                <w:u w:val="none"/>
              </w:rPr>
            </w:pPr>
          </w:p>
        </w:tc>
        <w:tc>
          <w:tcPr>
            <w:tcW w:w="387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left"/>
              <w:rPr>
                <w:rFonts w:hint="eastAsia" w:ascii="宋体" w:hAnsi="宋体" w:eastAsia="宋体" w:cs="宋体"/>
                <w:i w:val="0"/>
                <w:iCs w:val="0"/>
                <w:color w:val="000000"/>
                <w:sz w:val="22"/>
                <w:szCs w:val="22"/>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35" w:type="dxa"/>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104.98</w:t>
            </w:r>
          </w:p>
        </w:tc>
        <w:tc>
          <w:tcPr>
            <w:tcW w:w="9271" w:type="dxa"/>
            <w:gridSpan w:val="11"/>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910" w:type="dxa"/>
            <w:gridSpan w:val="18"/>
            <w:tcBorders>
              <w:top w:val="single" w:color="000000" w:sz="4" w:space="0"/>
              <w:left w:val="nil"/>
              <w:bottom w:val="nil"/>
              <w:right w:val="nil"/>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keepNext w:val="0"/>
        <w:keepLines w:val="0"/>
        <w:pageBreakBefore w:val="0"/>
        <w:kinsoku/>
        <w:wordWrap/>
        <w:overflowPunct/>
        <w:topLinePunct w:val="0"/>
        <w:bidi w:val="0"/>
        <w:snapToGrid/>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br w:type="page"/>
      </w:r>
    </w:p>
    <w:p>
      <w:pPr>
        <w:keepNext w:val="0"/>
        <w:keepLines w:val="0"/>
        <w:pageBreakBefore w:val="0"/>
        <w:kinsoku/>
        <w:wordWrap/>
        <w:overflowPunct/>
        <w:topLinePunct w:val="0"/>
        <w:bidi w:val="0"/>
        <w:snapToGrid/>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w:t>
      </w:r>
      <w:r>
        <w:rPr>
          <w:rFonts w:hint="eastAsia" w:ascii="仿宋" w:hAnsi="仿宋" w:eastAsia="仿宋" w:cs="仿宋"/>
          <w:color w:val="auto"/>
          <w:sz w:val="24"/>
          <w:highlight w:val="none"/>
          <w:lang w:val="en-US" w:eastAsia="zh-CN"/>
        </w:rPr>
        <w:t>七</w:t>
      </w:r>
      <w:r>
        <w:rPr>
          <w:rFonts w:hint="eastAsia" w:ascii="仿宋" w:hAnsi="仿宋" w:eastAsia="仿宋" w:cs="仿宋"/>
          <w:color w:val="auto"/>
          <w:sz w:val="24"/>
          <w:highlight w:val="none"/>
        </w:rPr>
        <w:t>：政府性基金预算财政拨款收入支出决算表</w:t>
      </w:r>
    </w:p>
    <w:p>
      <w:pPr>
        <w:keepNext w:val="0"/>
        <w:keepLines w:val="0"/>
        <w:pageBreakBefore w:val="0"/>
        <w:kinsoku/>
        <w:wordWrap/>
        <w:overflowPunct/>
        <w:topLinePunct w:val="0"/>
        <w:bidi w:val="0"/>
        <w:snapToGrid/>
        <w:ind w:firstLine="480" w:firstLineChars="200"/>
        <w:jc w:val="left"/>
        <w:rPr>
          <w:rFonts w:hint="eastAsia" w:ascii="仿宋" w:hAnsi="仿宋" w:eastAsia="仿宋" w:cs="仿宋"/>
          <w:color w:val="auto"/>
          <w:sz w:val="24"/>
          <w:highlight w:val="none"/>
        </w:rPr>
      </w:pPr>
    </w:p>
    <w:tbl>
      <w:tblPr>
        <w:tblStyle w:val="6"/>
        <w:tblW w:w="13419" w:type="dxa"/>
        <w:tblInd w:w="96" w:type="dxa"/>
        <w:tblLayout w:type="fixed"/>
        <w:tblCellMar>
          <w:top w:w="0" w:type="dxa"/>
          <w:left w:w="108" w:type="dxa"/>
          <w:bottom w:w="0" w:type="dxa"/>
          <w:right w:w="108" w:type="dxa"/>
        </w:tblCellMar>
      </w:tblPr>
      <w:tblGrid>
        <w:gridCol w:w="683"/>
        <w:gridCol w:w="614"/>
        <w:gridCol w:w="240"/>
        <w:gridCol w:w="236"/>
        <w:gridCol w:w="876"/>
        <w:gridCol w:w="2055"/>
        <w:gridCol w:w="1575"/>
        <w:gridCol w:w="1665"/>
        <w:gridCol w:w="680"/>
        <w:gridCol w:w="1045"/>
        <w:gridCol w:w="635"/>
        <w:gridCol w:w="1092"/>
        <w:gridCol w:w="2023"/>
      </w:tblGrid>
      <w:tr>
        <w:tblPrEx>
          <w:tblCellMar>
            <w:top w:w="0" w:type="dxa"/>
            <w:left w:w="108" w:type="dxa"/>
            <w:bottom w:w="0" w:type="dxa"/>
            <w:right w:w="108" w:type="dxa"/>
          </w:tblCellMar>
        </w:tblPrEx>
        <w:trPr>
          <w:trHeight w:val="536" w:hRule="atLeast"/>
        </w:trPr>
        <w:tc>
          <w:tcPr>
            <w:tcW w:w="13419" w:type="dxa"/>
            <w:gridSpan w:val="13"/>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640" w:firstLineChars="20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gridSpan w:val="2"/>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876"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2055"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1575"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2345" w:type="dxa"/>
            <w:gridSpan w:val="2"/>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1680" w:type="dxa"/>
            <w:gridSpan w:val="2"/>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1092"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2023" w:type="dxa"/>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00" w:firstLineChars="20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w:t>
            </w:r>
            <w:r>
              <w:rPr>
                <w:rFonts w:hint="eastAsia" w:ascii="宋体" w:hAnsi="宋体" w:eastAsia="宋体" w:cs="宋体"/>
                <w:color w:val="auto"/>
                <w:kern w:val="0"/>
                <w:sz w:val="20"/>
                <w:szCs w:val="20"/>
                <w:highlight w:val="none"/>
                <w:lang w:val="en-US" w:eastAsia="zh-CN" w:bidi="ar"/>
              </w:rPr>
              <w:t>7</w:t>
            </w:r>
            <w:r>
              <w:rPr>
                <w:rFonts w:hint="eastAsia" w:ascii="宋体" w:hAnsi="宋体" w:eastAsia="宋体" w:cs="宋体"/>
                <w:color w:val="auto"/>
                <w:kern w:val="0"/>
                <w:sz w:val="20"/>
                <w:szCs w:val="20"/>
                <w:highlight w:val="none"/>
                <w:lang w:bidi="ar"/>
              </w:rPr>
              <w:t>表</w:t>
            </w:r>
          </w:p>
        </w:tc>
      </w:tr>
      <w:tr>
        <w:tblPrEx>
          <w:tblCellMar>
            <w:top w:w="0" w:type="dxa"/>
            <w:left w:w="108" w:type="dxa"/>
            <w:bottom w:w="0" w:type="dxa"/>
            <w:right w:w="108" w:type="dxa"/>
          </w:tblCellMar>
        </w:tblPrEx>
        <w:trPr>
          <w:trHeight w:val="268" w:hRule="atLeast"/>
        </w:trPr>
        <w:tc>
          <w:tcPr>
            <w:tcW w:w="8624" w:type="dxa"/>
            <w:gridSpan w:val="9"/>
            <w:tcBorders>
              <w:top w:val="nil"/>
              <w:left w:val="nil"/>
              <w:bottom w:val="single" w:color="auto" w:sz="4" w:space="0"/>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default" w:ascii="宋体" w:hAnsi="宋体" w:eastAsia="宋体" w:cs="宋体"/>
                <w:color w:val="auto"/>
                <w:sz w:val="20"/>
                <w:u w:color="auto"/>
              </w:rPr>
              <w:t>广西河池市中国共产党环江毛南族自治县委员会党史研究室</w:t>
            </w:r>
          </w:p>
        </w:tc>
        <w:tc>
          <w:tcPr>
            <w:tcW w:w="1680" w:type="dxa"/>
            <w:gridSpan w:val="2"/>
            <w:tcBorders>
              <w:top w:val="nil"/>
              <w:left w:val="nil"/>
              <w:bottom w:val="single" w:color="auto" w:sz="4" w:space="0"/>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1092" w:type="dxa"/>
            <w:tcBorders>
              <w:top w:val="nil"/>
              <w:left w:val="nil"/>
              <w:bottom w:val="single" w:color="auto" w:sz="4" w:space="0"/>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2023" w:type="dxa"/>
            <w:tcBorders>
              <w:top w:val="nil"/>
              <w:left w:val="nil"/>
              <w:bottom w:val="single" w:color="auto" w:sz="4" w:space="0"/>
              <w:right w:val="nil"/>
            </w:tcBorders>
            <w:shd w:val="clear" w:color="auto" w:fill="auto"/>
            <w:noWrap/>
            <w:vAlign w:val="bottom"/>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00" w:firstLineChars="20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277" w:hRule="atLeast"/>
        </w:trPr>
        <w:tc>
          <w:tcPr>
            <w:tcW w:w="264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20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本年收入</w:t>
            </w:r>
          </w:p>
        </w:tc>
        <w:tc>
          <w:tcPr>
            <w:tcW w:w="511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本年支出</w:t>
            </w:r>
          </w:p>
        </w:tc>
        <w:tc>
          <w:tcPr>
            <w:tcW w:w="20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CellMar>
            <w:top w:w="0" w:type="dxa"/>
            <w:left w:w="108" w:type="dxa"/>
            <w:bottom w:w="0" w:type="dxa"/>
            <w:right w:w="108" w:type="dxa"/>
          </w:tblCellMar>
        </w:tblPrEx>
        <w:trPr>
          <w:trHeight w:val="312" w:hRule="atLeast"/>
        </w:trPr>
        <w:tc>
          <w:tcPr>
            <w:tcW w:w="6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科目代码</w:t>
            </w:r>
          </w:p>
        </w:tc>
        <w:tc>
          <w:tcPr>
            <w:tcW w:w="1966"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科目名称</w:t>
            </w:r>
          </w:p>
        </w:tc>
        <w:tc>
          <w:tcPr>
            <w:tcW w:w="20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default" w:ascii="宋体" w:hAnsi="宋体" w:eastAsia="宋体" w:cs="宋体"/>
                <w:color w:val="auto"/>
                <w:sz w:val="22"/>
                <w:szCs w:val="22"/>
                <w:highlight w:val="none"/>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default" w:ascii="宋体" w:hAnsi="宋体" w:eastAsia="宋体" w:cs="宋体"/>
                <w:color w:val="auto"/>
                <w:sz w:val="22"/>
                <w:szCs w:val="22"/>
                <w:highlight w:val="none"/>
              </w:rPr>
            </w:pPr>
          </w:p>
        </w:tc>
        <w:tc>
          <w:tcPr>
            <w:tcW w:w="16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小计</w:t>
            </w:r>
          </w:p>
        </w:tc>
        <w:tc>
          <w:tcPr>
            <w:tcW w:w="172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基本支出</w:t>
            </w:r>
          </w:p>
        </w:tc>
        <w:tc>
          <w:tcPr>
            <w:tcW w:w="172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项目支出</w:t>
            </w:r>
          </w:p>
        </w:tc>
        <w:tc>
          <w:tcPr>
            <w:tcW w:w="20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12"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default" w:ascii="宋体" w:hAnsi="宋体" w:eastAsia="宋体" w:cs="宋体"/>
                <w:color w:val="auto"/>
                <w:sz w:val="22"/>
                <w:szCs w:val="22"/>
                <w:highlight w:val="none"/>
              </w:rPr>
            </w:pPr>
          </w:p>
        </w:tc>
        <w:tc>
          <w:tcPr>
            <w:tcW w:w="1966"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default" w:ascii="宋体" w:hAnsi="宋体" w:eastAsia="宋体" w:cs="宋体"/>
                <w:color w:val="auto"/>
                <w:sz w:val="22"/>
                <w:szCs w:val="22"/>
                <w:highlight w:val="none"/>
              </w:rPr>
            </w:pPr>
          </w:p>
        </w:tc>
        <w:tc>
          <w:tcPr>
            <w:tcW w:w="20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default" w:ascii="宋体" w:hAnsi="宋体" w:eastAsia="宋体" w:cs="宋体"/>
                <w:color w:val="auto"/>
                <w:sz w:val="22"/>
                <w:szCs w:val="22"/>
                <w:highlight w:val="none"/>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default" w:ascii="宋体" w:hAnsi="宋体" w:eastAsia="宋体" w:cs="宋体"/>
                <w:color w:val="auto"/>
                <w:sz w:val="22"/>
                <w:szCs w:val="22"/>
                <w:highlight w:val="none"/>
              </w:rPr>
            </w:pPr>
          </w:p>
        </w:tc>
        <w:tc>
          <w:tcPr>
            <w:tcW w:w="16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default" w:ascii="宋体" w:hAnsi="宋体" w:eastAsia="宋体" w:cs="宋体"/>
                <w:color w:val="auto"/>
                <w:sz w:val="22"/>
                <w:szCs w:val="22"/>
                <w:highlight w:val="none"/>
              </w:rPr>
            </w:pPr>
          </w:p>
        </w:tc>
        <w:tc>
          <w:tcPr>
            <w:tcW w:w="172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default" w:ascii="宋体" w:hAnsi="宋体" w:eastAsia="宋体" w:cs="宋体"/>
                <w:color w:val="auto"/>
                <w:sz w:val="22"/>
                <w:szCs w:val="22"/>
                <w:highlight w:val="none"/>
              </w:rPr>
            </w:pPr>
          </w:p>
        </w:tc>
        <w:tc>
          <w:tcPr>
            <w:tcW w:w="172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default" w:ascii="宋体" w:hAnsi="宋体" w:eastAsia="宋体" w:cs="宋体"/>
                <w:color w:val="auto"/>
                <w:sz w:val="22"/>
                <w:szCs w:val="22"/>
                <w:highlight w:val="none"/>
              </w:rPr>
            </w:pPr>
          </w:p>
        </w:tc>
        <w:tc>
          <w:tcPr>
            <w:tcW w:w="20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12"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default" w:ascii="宋体" w:hAnsi="宋体" w:eastAsia="宋体" w:cs="宋体"/>
                <w:color w:val="auto"/>
                <w:sz w:val="22"/>
                <w:szCs w:val="22"/>
                <w:highlight w:val="none"/>
              </w:rPr>
            </w:pPr>
          </w:p>
        </w:tc>
        <w:tc>
          <w:tcPr>
            <w:tcW w:w="1966"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default" w:ascii="宋体" w:hAnsi="宋体" w:eastAsia="宋体" w:cs="宋体"/>
                <w:color w:val="auto"/>
                <w:sz w:val="22"/>
                <w:szCs w:val="22"/>
                <w:highlight w:val="none"/>
              </w:rPr>
            </w:pPr>
          </w:p>
        </w:tc>
        <w:tc>
          <w:tcPr>
            <w:tcW w:w="20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default" w:ascii="宋体" w:hAnsi="宋体" w:eastAsia="宋体" w:cs="宋体"/>
                <w:color w:val="auto"/>
                <w:sz w:val="22"/>
                <w:szCs w:val="22"/>
                <w:highlight w:val="none"/>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default" w:ascii="宋体" w:hAnsi="宋体" w:eastAsia="宋体" w:cs="宋体"/>
                <w:color w:val="auto"/>
                <w:sz w:val="22"/>
                <w:szCs w:val="22"/>
                <w:highlight w:val="none"/>
              </w:rPr>
            </w:pPr>
          </w:p>
        </w:tc>
        <w:tc>
          <w:tcPr>
            <w:tcW w:w="16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default" w:ascii="宋体" w:hAnsi="宋体" w:eastAsia="宋体" w:cs="宋体"/>
                <w:color w:val="auto"/>
                <w:sz w:val="22"/>
                <w:szCs w:val="22"/>
                <w:highlight w:val="none"/>
              </w:rPr>
            </w:pPr>
          </w:p>
        </w:tc>
        <w:tc>
          <w:tcPr>
            <w:tcW w:w="172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default" w:ascii="宋体" w:hAnsi="宋体" w:eastAsia="宋体" w:cs="宋体"/>
                <w:color w:val="auto"/>
                <w:sz w:val="22"/>
                <w:szCs w:val="22"/>
                <w:highlight w:val="none"/>
              </w:rPr>
            </w:pPr>
          </w:p>
        </w:tc>
        <w:tc>
          <w:tcPr>
            <w:tcW w:w="172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default" w:ascii="宋体" w:hAnsi="宋体" w:eastAsia="宋体" w:cs="宋体"/>
                <w:color w:val="auto"/>
                <w:sz w:val="22"/>
                <w:szCs w:val="22"/>
                <w:highlight w:val="none"/>
              </w:rPr>
            </w:pPr>
          </w:p>
        </w:tc>
        <w:tc>
          <w:tcPr>
            <w:tcW w:w="20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277" w:hRule="atLeast"/>
        </w:trPr>
        <w:tc>
          <w:tcPr>
            <w:tcW w:w="264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20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16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c>
          <w:tcPr>
            <w:tcW w:w="17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4</w:t>
            </w:r>
          </w:p>
        </w:tc>
        <w:tc>
          <w:tcPr>
            <w:tcW w:w="17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5</w:t>
            </w:r>
          </w:p>
        </w:tc>
        <w:tc>
          <w:tcPr>
            <w:tcW w:w="2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277" w:hRule="atLeast"/>
        </w:trPr>
        <w:tc>
          <w:tcPr>
            <w:tcW w:w="264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20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2" w:firstLineChars="200"/>
              <w:jc w:val="right"/>
              <w:rPr>
                <w:rFonts w:hint="default" w:ascii="宋体" w:hAnsi="宋体" w:eastAsia="宋体" w:cs="宋体"/>
                <w:b/>
                <w:bCs/>
                <w:color w:val="auto"/>
                <w:sz w:val="22"/>
                <w:szCs w:val="22"/>
                <w:highlight w:val="none"/>
              </w:rPr>
            </w:pP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2" w:firstLineChars="200"/>
              <w:jc w:val="right"/>
              <w:rPr>
                <w:rFonts w:hint="default" w:ascii="宋体" w:hAnsi="宋体" w:eastAsia="宋体" w:cs="宋体"/>
                <w:b/>
                <w:bCs/>
                <w:color w:val="auto"/>
                <w:sz w:val="22"/>
                <w:szCs w:val="22"/>
                <w:highlight w:val="none"/>
              </w:rPr>
            </w:pPr>
          </w:p>
        </w:tc>
        <w:tc>
          <w:tcPr>
            <w:tcW w:w="16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2" w:firstLineChars="200"/>
              <w:jc w:val="right"/>
              <w:rPr>
                <w:rFonts w:hint="default" w:ascii="宋体" w:hAnsi="宋体" w:eastAsia="宋体" w:cs="宋体"/>
                <w:b/>
                <w:bCs/>
                <w:color w:val="auto"/>
                <w:sz w:val="22"/>
                <w:szCs w:val="22"/>
                <w:highlight w:val="none"/>
              </w:rPr>
            </w:pPr>
          </w:p>
        </w:tc>
        <w:tc>
          <w:tcPr>
            <w:tcW w:w="17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2" w:firstLineChars="200"/>
              <w:jc w:val="right"/>
              <w:rPr>
                <w:rFonts w:hint="default" w:ascii="宋体" w:hAnsi="宋体" w:eastAsia="宋体" w:cs="宋体"/>
                <w:b/>
                <w:bCs/>
                <w:color w:val="auto"/>
                <w:sz w:val="22"/>
                <w:szCs w:val="22"/>
                <w:highlight w:val="none"/>
              </w:rPr>
            </w:pPr>
          </w:p>
        </w:tc>
        <w:tc>
          <w:tcPr>
            <w:tcW w:w="17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2" w:firstLineChars="200"/>
              <w:jc w:val="right"/>
              <w:rPr>
                <w:rFonts w:hint="default" w:ascii="宋体" w:hAnsi="宋体" w:eastAsia="宋体" w:cs="宋体"/>
                <w:b/>
                <w:bCs/>
                <w:color w:val="auto"/>
                <w:sz w:val="22"/>
                <w:szCs w:val="22"/>
                <w:highlight w:val="none"/>
              </w:rPr>
            </w:pPr>
          </w:p>
        </w:tc>
        <w:tc>
          <w:tcPr>
            <w:tcW w:w="2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2" w:firstLineChars="200"/>
              <w:jc w:val="right"/>
              <w:rPr>
                <w:rFonts w:hint="default" w:ascii="宋体" w:hAnsi="宋体" w:eastAsia="宋体" w:cs="宋体"/>
                <w:b/>
                <w:bCs/>
                <w:color w:val="auto"/>
                <w:sz w:val="22"/>
                <w:szCs w:val="22"/>
                <w:highlight w:val="none"/>
              </w:rPr>
            </w:pPr>
          </w:p>
        </w:tc>
      </w:tr>
      <w:tr>
        <w:tblPrEx>
          <w:tblCellMar>
            <w:top w:w="0" w:type="dxa"/>
            <w:left w:w="108" w:type="dxa"/>
            <w:bottom w:w="0" w:type="dxa"/>
            <w:right w:w="108" w:type="dxa"/>
          </w:tblCellMar>
        </w:tblPrEx>
        <w:trPr>
          <w:trHeight w:val="277" w:hRule="atLeast"/>
        </w:trPr>
        <w:tc>
          <w:tcPr>
            <w:tcW w:w="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left"/>
              <w:rPr>
                <w:rFonts w:hint="default" w:ascii="宋体" w:hAnsi="宋体" w:eastAsia="宋体" w:cs="宋体"/>
                <w:color w:val="auto"/>
                <w:sz w:val="22"/>
                <w:szCs w:val="22"/>
                <w:highlight w:val="none"/>
              </w:rPr>
            </w:pPr>
          </w:p>
        </w:tc>
        <w:tc>
          <w:tcPr>
            <w:tcW w:w="196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left"/>
              <w:rPr>
                <w:rFonts w:hint="default" w:ascii="宋体" w:hAnsi="宋体" w:eastAsia="宋体" w:cs="宋体"/>
                <w:color w:val="auto"/>
                <w:sz w:val="22"/>
                <w:szCs w:val="22"/>
                <w:highlight w:val="none"/>
              </w:rPr>
            </w:pPr>
          </w:p>
        </w:tc>
        <w:tc>
          <w:tcPr>
            <w:tcW w:w="20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sz w:val="22"/>
                <w:szCs w:val="22"/>
                <w:highlight w:val="none"/>
              </w:rPr>
            </w:pP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sz w:val="22"/>
                <w:szCs w:val="22"/>
                <w:highlight w:val="none"/>
              </w:rPr>
            </w:pPr>
          </w:p>
        </w:tc>
        <w:tc>
          <w:tcPr>
            <w:tcW w:w="16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sz w:val="22"/>
                <w:szCs w:val="22"/>
                <w:highlight w:val="none"/>
              </w:rPr>
            </w:pPr>
          </w:p>
        </w:tc>
        <w:tc>
          <w:tcPr>
            <w:tcW w:w="17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sz w:val="22"/>
                <w:szCs w:val="22"/>
                <w:highlight w:val="none"/>
              </w:rPr>
            </w:pPr>
          </w:p>
        </w:tc>
        <w:tc>
          <w:tcPr>
            <w:tcW w:w="17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sz w:val="22"/>
                <w:szCs w:val="22"/>
                <w:highlight w:val="none"/>
              </w:rPr>
            </w:pPr>
          </w:p>
        </w:tc>
        <w:tc>
          <w:tcPr>
            <w:tcW w:w="2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277" w:hRule="atLeast"/>
        </w:trPr>
        <w:tc>
          <w:tcPr>
            <w:tcW w:w="13419" w:type="dxa"/>
            <w:gridSpan w:val="13"/>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keepNext w:val="0"/>
        <w:keepLines w:val="0"/>
        <w:pageBreakBefore w:val="0"/>
        <w:kinsoku/>
        <w:wordWrap/>
        <w:overflowPunct/>
        <w:topLinePunct w:val="0"/>
        <w:bidi w:val="0"/>
        <w:snapToGrid/>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br w:type="page"/>
      </w:r>
    </w:p>
    <w:p>
      <w:pPr>
        <w:keepNext w:val="0"/>
        <w:keepLines w:val="0"/>
        <w:pageBreakBefore w:val="0"/>
        <w:kinsoku/>
        <w:wordWrap/>
        <w:overflowPunct/>
        <w:topLinePunct w:val="0"/>
        <w:bidi w:val="0"/>
        <w:snapToGrid/>
        <w:ind w:firstLine="480" w:firstLineChars="200"/>
        <w:jc w:val="left"/>
        <w:rPr>
          <w:rFonts w:ascii="仿宋" w:hAnsi="仿宋" w:eastAsia="仿宋" w:cs="仿宋"/>
          <w:color w:val="auto"/>
          <w:sz w:val="24"/>
          <w:highlight w:val="none"/>
        </w:rPr>
      </w:pPr>
    </w:p>
    <w:p>
      <w:pPr>
        <w:keepNext w:val="0"/>
        <w:keepLines w:val="0"/>
        <w:pageBreakBefore w:val="0"/>
        <w:kinsoku/>
        <w:wordWrap/>
        <w:overflowPunct/>
        <w:topLinePunct w:val="0"/>
        <w:bidi w:val="0"/>
        <w:snapToGrid/>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w:t>
      </w:r>
      <w:r>
        <w:rPr>
          <w:rFonts w:hint="eastAsia" w:ascii="仿宋" w:hAnsi="仿宋" w:eastAsia="仿宋" w:cs="仿宋"/>
          <w:color w:val="auto"/>
          <w:sz w:val="24"/>
          <w:highlight w:val="none"/>
          <w:lang w:val="en-US" w:eastAsia="zh-CN"/>
        </w:rPr>
        <w:t>八</w:t>
      </w:r>
      <w:r>
        <w:rPr>
          <w:rFonts w:hint="eastAsia" w:ascii="仿宋" w:hAnsi="仿宋" w:eastAsia="仿宋" w:cs="仿宋"/>
          <w:color w:val="auto"/>
          <w:sz w:val="24"/>
          <w:highlight w:val="none"/>
        </w:rPr>
        <w:t>：国有资本经营预算财政拨款支出决算表</w:t>
      </w:r>
    </w:p>
    <w:p>
      <w:pPr>
        <w:keepNext w:val="0"/>
        <w:keepLines w:val="0"/>
        <w:pageBreakBefore w:val="0"/>
        <w:kinsoku/>
        <w:wordWrap/>
        <w:overflowPunct/>
        <w:topLinePunct w:val="0"/>
        <w:bidi w:val="0"/>
        <w:snapToGrid/>
        <w:ind w:firstLine="480" w:firstLineChars="200"/>
        <w:jc w:val="left"/>
        <w:rPr>
          <w:rFonts w:hint="eastAsia" w:ascii="仿宋" w:hAnsi="仿宋" w:eastAsia="仿宋" w:cs="仿宋"/>
          <w:color w:val="auto"/>
          <w:sz w:val="24"/>
          <w:highlight w:val="none"/>
        </w:rPr>
      </w:pPr>
    </w:p>
    <w:tbl>
      <w:tblPr>
        <w:tblStyle w:val="6"/>
        <w:tblW w:w="0" w:type="auto"/>
        <w:tblInd w:w="0" w:type="dxa"/>
        <w:tblLayout w:type="fixed"/>
        <w:tblCellMar>
          <w:top w:w="0" w:type="dxa"/>
          <w:left w:w="108" w:type="dxa"/>
          <w:bottom w:w="0" w:type="dxa"/>
          <w:right w:w="108" w:type="dxa"/>
        </w:tblCellMar>
      </w:tblPr>
      <w:tblGrid>
        <w:gridCol w:w="675"/>
        <w:gridCol w:w="1215"/>
        <w:gridCol w:w="1050"/>
        <w:gridCol w:w="792"/>
        <w:gridCol w:w="222"/>
        <w:gridCol w:w="366"/>
        <w:gridCol w:w="1425"/>
        <w:gridCol w:w="1035"/>
        <w:gridCol w:w="990"/>
        <w:gridCol w:w="1020"/>
        <w:gridCol w:w="1035"/>
        <w:gridCol w:w="1260"/>
        <w:gridCol w:w="989"/>
        <w:gridCol w:w="346"/>
        <w:gridCol w:w="1175"/>
      </w:tblGrid>
      <w:tr>
        <w:tblPrEx>
          <w:tblCellMar>
            <w:top w:w="0" w:type="dxa"/>
            <w:left w:w="108" w:type="dxa"/>
            <w:bottom w:w="0" w:type="dxa"/>
            <w:right w:w="108" w:type="dxa"/>
          </w:tblCellMar>
        </w:tblPrEx>
        <w:trPr>
          <w:trHeight w:val="384" w:hRule="atLeast"/>
        </w:trPr>
        <w:tc>
          <w:tcPr>
            <w:tcW w:w="13595" w:type="dxa"/>
            <w:gridSpan w:val="15"/>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640" w:firstLineChars="20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675"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1215"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1842" w:type="dxa"/>
            <w:gridSpan w:val="2"/>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588" w:type="dxa"/>
            <w:gridSpan w:val="2"/>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3450" w:type="dxa"/>
            <w:gridSpan w:val="3"/>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4304" w:type="dxa"/>
            <w:gridSpan w:val="4"/>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1521" w:type="dxa"/>
            <w:gridSpan w:val="2"/>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00" w:firstLineChars="20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w:t>
            </w:r>
            <w:r>
              <w:rPr>
                <w:rFonts w:hint="eastAsia" w:ascii="宋体" w:hAnsi="宋体" w:eastAsia="宋体" w:cs="宋体"/>
                <w:color w:val="auto"/>
                <w:kern w:val="0"/>
                <w:sz w:val="20"/>
                <w:szCs w:val="20"/>
                <w:highlight w:val="none"/>
                <w:lang w:val="en-US" w:eastAsia="zh-CN" w:bidi="ar"/>
              </w:rPr>
              <w:t>8</w:t>
            </w:r>
            <w:r>
              <w:rPr>
                <w:rFonts w:hint="eastAsia" w:ascii="宋体" w:hAnsi="宋体" w:eastAsia="宋体" w:cs="宋体"/>
                <w:color w:val="auto"/>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70" w:type="dxa"/>
            <w:gridSpan w:val="9"/>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default" w:ascii="宋体" w:hAnsi="宋体" w:eastAsia="宋体" w:cs="宋体"/>
                <w:color w:val="auto"/>
                <w:sz w:val="20"/>
                <w:u w:color="auto"/>
              </w:rPr>
              <w:t>广西河池市中国共产党环江毛南族自治县委员会党史研究室</w:t>
            </w:r>
          </w:p>
        </w:tc>
        <w:tc>
          <w:tcPr>
            <w:tcW w:w="4304" w:type="dxa"/>
            <w:gridSpan w:val="4"/>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1521" w:type="dxa"/>
            <w:gridSpan w:val="2"/>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00" w:firstLineChars="20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13595" w:type="dxa"/>
            <w:gridSpan w:val="15"/>
            <w:tcBorders>
              <w:top w:val="nil"/>
              <w:left w:val="nil"/>
              <w:bottom w:val="nil"/>
              <w:right w:val="nil"/>
            </w:tcBorders>
            <w:shd w:val="clear" w:color="auto" w:fill="auto"/>
            <w:noWrap/>
            <w:vAlign w:val="center"/>
          </w:tcPr>
          <w:tbl>
            <w:tblPr>
              <w:tblStyle w:val="6"/>
              <w:tblW w:w="13329"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222"/>
              <w:gridCol w:w="222"/>
              <w:gridCol w:w="885"/>
              <w:gridCol w:w="5"/>
              <w:gridCol w:w="3925"/>
              <w:gridCol w:w="5"/>
              <w:gridCol w:w="2275"/>
              <w:gridCol w:w="5"/>
              <w:gridCol w:w="2795"/>
              <w:gridCol w:w="2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64"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065"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4" w:type="dxa"/>
                  <w:gridSpan w:val="4"/>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3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8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80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4" w:type="dxa"/>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393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228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280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4" w:type="dxa"/>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393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228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280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64"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264"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2" w:firstLineChars="200"/>
                    <w:jc w:val="right"/>
                    <w:rPr>
                      <w:rFonts w:hint="eastAsia" w:ascii="宋体" w:hAnsi="宋体" w:eastAsia="宋体" w:cs="宋体"/>
                      <w:b/>
                      <w:bCs/>
                      <w:i w:val="0"/>
                      <w:iCs w:val="0"/>
                      <w:color w:val="000000"/>
                      <w:sz w:val="22"/>
                      <w:szCs w:val="22"/>
                      <w:u w:val="none"/>
                    </w:rPr>
                  </w:pP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2" w:firstLineChars="200"/>
                    <w:jc w:val="right"/>
                    <w:rPr>
                      <w:rFonts w:hint="eastAsia" w:ascii="宋体" w:hAnsi="宋体" w:eastAsia="宋体" w:cs="宋体"/>
                      <w:b/>
                      <w:bCs/>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2" w:firstLineChars="20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left"/>
                    <w:rPr>
                      <w:rFonts w:hint="eastAsia" w:ascii="宋体" w:hAnsi="宋体" w:eastAsia="宋体" w:cs="宋体"/>
                      <w:i w:val="0"/>
                      <w:iCs w:val="0"/>
                      <w:color w:val="000000"/>
                      <w:sz w:val="22"/>
                      <w:szCs w:val="22"/>
                      <w:u w:val="none"/>
                    </w:rPr>
                  </w:pPr>
                </w:p>
              </w:tc>
              <w:tc>
                <w:tcPr>
                  <w:tcW w:w="39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left"/>
                    <w:rPr>
                      <w:rFonts w:hint="eastAsia" w:ascii="宋体" w:hAnsi="宋体" w:eastAsia="宋体" w:cs="宋体"/>
                      <w:i w:val="0"/>
                      <w:iCs w:val="0"/>
                      <w:color w:val="000000"/>
                      <w:sz w:val="22"/>
                      <w:szCs w:val="22"/>
                      <w:u w:val="none"/>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00" w:hRule="atLeast"/>
              </w:trPr>
              <w:tc>
                <w:tcPr>
                  <w:tcW w:w="13324" w:type="dxa"/>
                  <w:gridSpan w:val="10"/>
                  <w:tcBorders>
                    <w:top w:val="single" w:color="000000" w:sz="4" w:space="0"/>
                    <w:left w:val="nil"/>
                    <w:bottom w:val="nil"/>
                    <w:right w:val="nil"/>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70" w:hRule="atLeast"/>
              </w:trPr>
              <w:tc>
                <w:tcPr>
                  <w:tcW w:w="222" w:type="dxa"/>
                  <w:tcBorders>
                    <w:top w:val="nil"/>
                    <w:left w:val="nil"/>
                    <w:bottom w:val="nil"/>
                    <w:right w:val="nil"/>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rPr>
                      <w:rFonts w:hint="eastAsia" w:ascii="宋体" w:hAnsi="宋体" w:eastAsia="宋体" w:cs="宋体"/>
                      <w:i w:val="0"/>
                      <w:iCs w:val="0"/>
                      <w:color w:val="000000"/>
                      <w:sz w:val="22"/>
                      <w:szCs w:val="22"/>
                      <w:u w:val="none"/>
                    </w:rPr>
                  </w:pPr>
                </w:p>
              </w:tc>
              <w:tc>
                <w:tcPr>
                  <w:tcW w:w="222" w:type="dxa"/>
                  <w:tcBorders>
                    <w:top w:val="nil"/>
                    <w:left w:val="nil"/>
                    <w:bottom w:val="nil"/>
                    <w:right w:val="nil"/>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rPr>
                      <w:rFonts w:hint="eastAsia" w:ascii="宋体" w:hAnsi="宋体" w:eastAsia="宋体" w:cs="宋体"/>
                      <w:i w:val="0"/>
                      <w:iCs w:val="0"/>
                      <w:color w:val="000000"/>
                      <w:sz w:val="22"/>
                      <w:szCs w:val="22"/>
                      <w:u w:val="none"/>
                    </w:rPr>
                  </w:pPr>
                </w:p>
              </w:tc>
              <w:tc>
                <w:tcPr>
                  <w:tcW w:w="890" w:type="dxa"/>
                  <w:gridSpan w:val="2"/>
                  <w:tcBorders>
                    <w:top w:val="nil"/>
                    <w:left w:val="nil"/>
                    <w:bottom w:val="nil"/>
                    <w:right w:val="nil"/>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rPr>
                      <w:rFonts w:hint="eastAsia" w:ascii="宋体" w:hAnsi="宋体" w:eastAsia="宋体" w:cs="宋体"/>
                      <w:i w:val="0"/>
                      <w:iCs w:val="0"/>
                      <w:color w:val="000000"/>
                      <w:sz w:val="22"/>
                      <w:szCs w:val="22"/>
                      <w:u w:val="none"/>
                    </w:rPr>
                  </w:pPr>
                </w:p>
              </w:tc>
              <w:tc>
                <w:tcPr>
                  <w:tcW w:w="3930" w:type="dxa"/>
                  <w:gridSpan w:val="2"/>
                  <w:tcBorders>
                    <w:top w:val="nil"/>
                    <w:left w:val="nil"/>
                    <w:bottom w:val="nil"/>
                    <w:right w:val="nil"/>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rPr>
                      <w:rFonts w:hint="eastAsia" w:ascii="宋体" w:hAnsi="宋体" w:eastAsia="宋体" w:cs="宋体"/>
                      <w:i w:val="0"/>
                      <w:iCs w:val="0"/>
                      <w:color w:val="000000"/>
                      <w:sz w:val="22"/>
                      <w:szCs w:val="22"/>
                      <w:u w:val="none"/>
                    </w:rPr>
                  </w:pPr>
                </w:p>
              </w:tc>
              <w:tc>
                <w:tcPr>
                  <w:tcW w:w="2280" w:type="dxa"/>
                  <w:gridSpan w:val="2"/>
                  <w:tcBorders>
                    <w:top w:val="nil"/>
                    <w:left w:val="nil"/>
                    <w:bottom w:val="nil"/>
                    <w:right w:val="nil"/>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rPr>
                      <w:rFonts w:hint="eastAsia" w:ascii="宋体" w:hAnsi="宋体" w:eastAsia="宋体" w:cs="宋体"/>
                      <w:i w:val="0"/>
                      <w:iCs w:val="0"/>
                      <w:color w:val="000000"/>
                      <w:sz w:val="22"/>
                      <w:szCs w:val="22"/>
                      <w:u w:val="none"/>
                    </w:rPr>
                  </w:pPr>
                </w:p>
              </w:tc>
              <w:tc>
                <w:tcPr>
                  <w:tcW w:w="2795" w:type="dxa"/>
                  <w:tcBorders>
                    <w:top w:val="nil"/>
                    <w:left w:val="nil"/>
                    <w:bottom w:val="nil"/>
                    <w:right w:val="nil"/>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rPr>
                      <w:rFonts w:hint="eastAsia" w:ascii="宋体" w:hAnsi="宋体" w:eastAsia="宋体" w:cs="宋体"/>
                      <w:i w:val="0"/>
                      <w:iCs w:val="0"/>
                      <w:color w:val="000000"/>
                      <w:sz w:val="22"/>
                      <w:szCs w:val="22"/>
                      <w:u w:val="none"/>
                    </w:rPr>
                  </w:pPr>
                </w:p>
              </w:tc>
              <w:tc>
                <w:tcPr>
                  <w:tcW w:w="2985" w:type="dxa"/>
                  <w:tcBorders>
                    <w:top w:val="nil"/>
                    <w:left w:val="nil"/>
                    <w:bottom w:val="nil"/>
                    <w:right w:val="nil"/>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rPr>
                      <w:rFonts w:hint="eastAsia" w:ascii="宋体" w:hAnsi="宋体" w:eastAsia="宋体" w:cs="宋体"/>
                      <w:i w:val="0"/>
                      <w:iCs w:val="0"/>
                      <w:color w:val="000000"/>
                      <w:sz w:val="22"/>
                      <w:szCs w:val="22"/>
                      <w:u w:val="none"/>
                    </w:rPr>
                  </w:pPr>
                </w:p>
              </w:tc>
            </w:tr>
          </w:tbl>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632" w:hRule="atLeast"/>
        </w:trPr>
        <w:tc>
          <w:tcPr>
            <w:tcW w:w="13595" w:type="dxa"/>
            <w:gridSpan w:val="15"/>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640" w:firstLineChars="200"/>
              <w:jc w:val="center"/>
              <w:textAlignment w:val="bottom"/>
              <w:rPr>
                <w:rFonts w:hint="eastAsia" w:ascii="宋体" w:hAnsi="宋体" w:eastAsia="宋体" w:cs="宋体"/>
                <w:color w:val="auto"/>
                <w:kern w:val="0"/>
                <w:sz w:val="32"/>
                <w:szCs w:val="32"/>
                <w:highlight w:val="none"/>
                <w:lang w:bidi="ar"/>
              </w:rPr>
            </w:pPr>
          </w:p>
          <w:p>
            <w:pPr>
              <w:keepNext w:val="0"/>
              <w:keepLines w:val="0"/>
              <w:pageBreakBefore w:val="0"/>
              <w:widowControl/>
              <w:suppressLineNumbers w:val="0"/>
              <w:kinsoku/>
              <w:wordWrap/>
              <w:overflowPunct/>
              <w:topLinePunct w:val="0"/>
              <w:bidi w:val="0"/>
              <w:snapToGrid/>
              <w:spacing w:before="0" w:beforeAutospacing="0" w:after="0" w:afterAutospacing="0"/>
              <w:ind w:left="0" w:right="0" w:firstLine="640" w:firstLineChars="200"/>
              <w:jc w:val="center"/>
              <w:textAlignment w:val="bottom"/>
              <w:rPr>
                <w:rFonts w:hint="eastAsia" w:ascii="宋体" w:hAnsi="宋体" w:eastAsia="宋体" w:cs="宋体"/>
                <w:color w:val="auto"/>
                <w:kern w:val="0"/>
                <w:sz w:val="32"/>
                <w:szCs w:val="32"/>
                <w:highlight w:val="none"/>
                <w:lang w:bidi="ar"/>
              </w:rPr>
            </w:pPr>
          </w:p>
          <w:p>
            <w:pPr>
              <w:keepNext w:val="0"/>
              <w:keepLines w:val="0"/>
              <w:pageBreakBefore w:val="0"/>
              <w:widowControl/>
              <w:suppressLineNumbers w:val="0"/>
              <w:kinsoku/>
              <w:wordWrap/>
              <w:overflowPunct/>
              <w:topLinePunct w:val="0"/>
              <w:bidi w:val="0"/>
              <w:snapToGrid/>
              <w:spacing w:before="0" w:beforeAutospacing="0" w:after="0" w:afterAutospacing="0"/>
              <w:ind w:left="0" w:right="0" w:firstLine="640" w:firstLineChars="200"/>
              <w:jc w:val="center"/>
              <w:textAlignment w:val="bottom"/>
              <w:rPr>
                <w:rFonts w:hint="eastAsia" w:ascii="宋体" w:hAnsi="宋体" w:eastAsia="宋体" w:cs="宋体"/>
                <w:color w:val="auto"/>
                <w:kern w:val="0"/>
                <w:sz w:val="32"/>
                <w:szCs w:val="32"/>
                <w:highlight w:val="none"/>
                <w:lang w:bidi="ar"/>
              </w:rPr>
            </w:pPr>
          </w:p>
          <w:p>
            <w:pPr>
              <w:keepNext w:val="0"/>
              <w:keepLines w:val="0"/>
              <w:pageBreakBefore w:val="0"/>
              <w:widowControl/>
              <w:suppressLineNumbers w:val="0"/>
              <w:kinsoku/>
              <w:wordWrap/>
              <w:overflowPunct/>
              <w:topLinePunct w:val="0"/>
              <w:bidi w:val="0"/>
              <w:snapToGrid/>
              <w:spacing w:before="0" w:beforeAutospacing="0" w:after="0" w:afterAutospacing="0"/>
              <w:ind w:left="0" w:right="0" w:firstLine="640" w:firstLineChars="200"/>
              <w:jc w:val="center"/>
              <w:textAlignment w:val="bottom"/>
              <w:rPr>
                <w:rFonts w:hint="eastAsia" w:ascii="宋体" w:hAnsi="宋体" w:eastAsia="宋体" w:cs="宋体"/>
                <w:color w:val="auto"/>
                <w:kern w:val="0"/>
                <w:sz w:val="32"/>
                <w:szCs w:val="32"/>
                <w:highlight w:val="none"/>
                <w:lang w:bidi="ar"/>
              </w:rPr>
            </w:pPr>
          </w:p>
        </w:tc>
      </w:tr>
      <w:tr>
        <w:tblPrEx>
          <w:tblCellMar>
            <w:top w:w="0" w:type="dxa"/>
            <w:left w:w="108" w:type="dxa"/>
            <w:bottom w:w="0" w:type="dxa"/>
            <w:right w:w="108" w:type="dxa"/>
          </w:tblCellMar>
        </w:tblPrEx>
        <w:trPr>
          <w:trHeight w:val="632" w:hRule="atLeast"/>
        </w:trPr>
        <w:tc>
          <w:tcPr>
            <w:tcW w:w="13595" w:type="dxa"/>
            <w:gridSpan w:val="15"/>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80" w:firstLineChars="200"/>
              <w:jc w:val="left"/>
              <w:rPr>
                <w:rFonts w:hint="default" w:ascii="仿宋" w:hAnsi="仿宋" w:eastAsia="仿宋" w:cs="仿宋"/>
                <w:color w:val="auto"/>
                <w:sz w:val="24"/>
                <w:highlight w:val="none"/>
              </w:rPr>
            </w:pPr>
            <w:r>
              <w:rPr>
                <w:rFonts w:hint="eastAsia" w:ascii="仿宋" w:hAnsi="仿宋" w:eastAsia="仿宋" w:cs="仿宋"/>
                <w:color w:val="auto"/>
                <w:sz w:val="24"/>
                <w:highlight w:val="none"/>
                <w:lang w:val="en-US" w:eastAsia="zh-CN"/>
              </w:rPr>
              <w:t>表九：</w:t>
            </w:r>
            <w:r>
              <w:rPr>
                <w:rFonts w:hint="eastAsia" w:ascii="仿宋" w:hAnsi="仿宋" w:eastAsia="仿宋" w:cs="仿宋"/>
                <w:color w:val="auto"/>
                <w:sz w:val="24"/>
                <w:highlight w:val="none"/>
              </w:rPr>
              <w:t>财政拨款“三公”经费支出决算表</w:t>
            </w:r>
          </w:p>
          <w:p>
            <w:pPr>
              <w:keepNext w:val="0"/>
              <w:keepLines w:val="0"/>
              <w:pageBreakBefore w:val="0"/>
              <w:widowControl/>
              <w:suppressLineNumbers w:val="0"/>
              <w:kinsoku/>
              <w:wordWrap/>
              <w:overflowPunct/>
              <w:topLinePunct w:val="0"/>
              <w:bidi w:val="0"/>
              <w:snapToGrid/>
              <w:spacing w:before="0" w:beforeAutospacing="0" w:after="0" w:afterAutospacing="0"/>
              <w:ind w:left="0" w:right="0" w:firstLine="600" w:firstLineChars="200"/>
              <w:jc w:val="center"/>
              <w:textAlignment w:val="bottom"/>
              <w:rPr>
                <w:rFonts w:hint="eastAsia" w:ascii="宋体" w:hAnsi="宋体" w:eastAsia="宋体" w:cs="宋体"/>
                <w:color w:val="auto"/>
                <w:kern w:val="0"/>
                <w:sz w:val="30"/>
                <w:szCs w:val="30"/>
                <w:highlight w:val="none"/>
                <w:lang w:bidi="ar"/>
              </w:rPr>
            </w:pPr>
          </w:p>
          <w:p>
            <w:pPr>
              <w:keepNext w:val="0"/>
              <w:keepLines w:val="0"/>
              <w:pageBreakBefore w:val="0"/>
              <w:widowControl/>
              <w:suppressLineNumbers w:val="0"/>
              <w:kinsoku/>
              <w:wordWrap/>
              <w:overflowPunct/>
              <w:topLinePunct w:val="0"/>
              <w:bidi w:val="0"/>
              <w:snapToGrid/>
              <w:spacing w:before="0" w:beforeAutospacing="0" w:after="0" w:afterAutospacing="0"/>
              <w:ind w:left="0" w:right="0" w:firstLine="640" w:firstLineChars="20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财政拨款“三公”经费支出决算表</w:t>
            </w:r>
          </w:p>
        </w:tc>
      </w:tr>
      <w:tr>
        <w:tblPrEx>
          <w:tblCellMar>
            <w:top w:w="0" w:type="dxa"/>
            <w:left w:w="108" w:type="dxa"/>
            <w:bottom w:w="0" w:type="dxa"/>
            <w:right w:w="108" w:type="dxa"/>
          </w:tblCellMar>
        </w:tblPrEx>
        <w:trPr>
          <w:trHeight w:val="316" w:hRule="atLeast"/>
        </w:trPr>
        <w:tc>
          <w:tcPr>
            <w:tcW w:w="675"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3057" w:type="dxa"/>
            <w:gridSpan w:val="3"/>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222"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366"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1035"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990"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1020"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2295" w:type="dxa"/>
            <w:gridSpan w:val="2"/>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2510" w:type="dxa"/>
            <w:gridSpan w:val="3"/>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00" w:firstLineChars="20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w:t>
            </w:r>
            <w:r>
              <w:rPr>
                <w:rFonts w:hint="eastAsia" w:ascii="宋体" w:hAnsi="宋体" w:eastAsia="宋体" w:cs="宋体"/>
                <w:color w:val="auto"/>
                <w:kern w:val="0"/>
                <w:sz w:val="20"/>
                <w:szCs w:val="20"/>
                <w:highlight w:val="none"/>
                <w:lang w:val="en-US" w:eastAsia="zh-CN" w:bidi="ar"/>
              </w:rPr>
              <w:t>9</w:t>
            </w:r>
            <w:r>
              <w:rPr>
                <w:rFonts w:hint="eastAsia" w:ascii="宋体" w:hAnsi="宋体" w:eastAsia="宋体" w:cs="宋体"/>
                <w:color w:val="auto"/>
                <w:kern w:val="0"/>
                <w:sz w:val="20"/>
                <w:szCs w:val="20"/>
                <w:highlight w:val="none"/>
                <w:lang w:bidi="ar"/>
              </w:rPr>
              <w:t>表</w:t>
            </w:r>
          </w:p>
        </w:tc>
      </w:tr>
      <w:tr>
        <w:tblPrEx>
          <w:tblCellMar>
            <w:top w:w="0" w:type="dxa"/>
            <w:left w:w="108" w:type="dxa"/>
            <w:bottom w:w="0" w:type="dxa"/>
            <w:right w:w="108" w:type="dxa"/>
          </w:tblCellMar>
        </w:tblPrEx>
        <w:trPr>
          <w:trHeight w:val="316" w:hRule="atLeast"/>
        </w:trPr>
        <w:tc>
          <w:tcPr>
            <w:tcW w:w="6780" w:type="dxa"/>
            <w:gridSpan w:val="8"/>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default" w:ascii="宋体" w:hAnsi="宋体" w:eastAsia="宋体" w:cs="宋体"/>
                <w:color w:val="auto"/>
                <w:sz w:val="20"/>
                <w:u w:color="auto"/>
              </w:rPr>
              <w:t>广西河池市中国共产党环江毛南族自治县委员会党史研究室</w:t>
            </w:r>
          </w:p>
        </w:tc>
        <w:tc>
          <w:tcPr>
            <w:tcW w:w="990"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1020"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2295" w:type="dxa"/>
            <w:gridSpan w:val="2"/>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bidi w:val="0"/>
              <w:snapToGrid/>
              <w:spacing w:before="0" w:beforeAutospacing="0" w:after="0" w:afterAutospacing="0"/>
              <w:ind w:left="0" w:right="0" w:firstLine="400" w:firstLineChars="200"/>
              <w:rPr>
                <w:rFonts w:hint="default" w:ascii="Arial" w:hAnsi="Arial" w:cs="Arial"/>
                <w:color w:val="auto"/>
                <w:sz w:val="20"/>
                <w:szCs w:val="20"/>
                <w:highlight w:val="none"/>
              </w:rPr>
            </w:pPr>
          </w:p>
        </w:tc>
        <w:tc>
          <w:tcPr>
            <w:tcW w:w="2510" w:type="dxa"/>
            <w:gridSpan w:val="3"/>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00" w:firstLineChars="20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326" w:hRule="atLeast"/>
        </w:trPr>
        <w:tc>
          <w:tcPr>
            <w:tcW w:w="67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预算数</w:t>
            </w:r>
          </w:p>
        </w:tc>
        <w:tc>
          <w:tcPr>
            <w:tcW w:w="6815"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决算数</w:t>
            </w:r>
          </w:p>
        </w:tc>
      </w:tr>
      <w:tr>
        <w:tblPrEx>
          <w:tblCellMar>
            <w:top w:w="0" w:type="dxa"/>
            <w:left w:w="108" w:type="dxa"/>
            <w:bottom w:w="0" w:type="dxa"/>
            <w:right w:w="108" w:type="dxa"/>
          </w:tblCellMar>
        </w:tblPrEx>
        <w:trPr>
          <w:trHeight w:val="326" w:hRule="atLeast"/>
        </w:trPr>
        <w:tc>
          <w:tcPr>
            <w:tcW w:w="67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1215"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855"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035"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公务接待费</w:t>
            </w:r>
          </w:p>
        </w:tc>
        <w:tc>
          <w:tcPr>
            <w:tcW w:w="99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102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630" w:type="dxa"/>
            <w:gridSpan w:val="4"/>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175"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CellMar>
            <w:top w:w="0" w:type="dxa"/>
            <w:left w:w="108" w:type="dxa"/>
            <w:bottom w:w="0" w:type="dxa"/>
            <w:right w:w="108" w:type="dxa"/>
          </w:tblCellMar>
        </w:tblPrEx>
        <w:trPr>
          <w:trHeight w:val="642" w:hRule="atLeast"/>
        </w:trPr>
        <w:tc>
          <w:tcPr>
            <w:tcW w:w="67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default" w:ascii="宋体" w:hAnsi="宋体" w:eastAsia="宋体" w:cs="宋体"/>
                <w:color w:val="auto"/>
                <w:sz w:val="22"/>
                <w:szCs w:val="22"/>
                <w:highlight w:val="none"/>
              </w:rPr>
            </w:pPr>
          </w:p>
        </w:tc>
        <w:tc>
          <w:tcPr>
            <w:tcW w:w="1215"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default" w:ascii="宋体" w:hAnsi="宋体" w:eastAsia="宋体" w:cs="宋体"/>
                <w:color w:val="auto"/>
                <w:sz w:val="22"/>
                <w:szCs w:val="22"/>
                <w:highlight w:val="none"/>
              </w:rPr>
            </w:pPr>
          </w:p>
        </w:tc>
        <w:tc>
          <w:tcPr>
            <w:tcW w:w="10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小计</w:t>
            </w:r>
          </w:p>
        </w:tc>
        <w:tc>
          <w:tcPr>
            <w:tcW w:w="1380"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035"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default" w:ascii="宋体" w:hAnsi="宋体" w:eastAsia="宋体" w:cs="宋体"/>
                <w:color w:val="auto"/>
                <w:sz w:val="22"/>
                <w:szCs w:val="22"/>
                <w:highlight w:val="none"/>
              </w:rPr>
            </w:pPr>
          </w:p>
        </w:tc>
        <w:tc>
          <w:tcPr>
            <w:tcW w:w="99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default" w:ascii="宋体" w:hAnsi="宋体" w:eastAsia="宋体" w:cs="宋体"/>
                <w:color w:val="auto"/>
                <w:sz w:val="22"/>
                <w:szCs w:val="22"/>
                <w:highlight w:val="none"/>
              </w:rPr>
            </w:pPr>
          </w:p>
        </w:tc>
        <w:tc>
          <w:tcPr>
            <w:tcW w:w="102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default" w:ascii="宋体" w:hAnsi="宋体" w:eastAsia="宋体" w:cs="宋体"/>
                <w:color w:val="auto"/>
                <w:sz w:val="22"/>
                <w:szCs w:val="22"/>
                <w:highlight w:val="none"/>
              </w:rPr>
            </w:pPr>
          </w:p>
        </w:tc>
        <w:tc>
          <w:tcPr>
            <w:tcW w:w="10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小计</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335"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175"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959"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121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10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c>
          <w:tcPr>
            <w:tcW w:w="1380"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4</w:t>
            </w: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5</w:t>
            </w:r>
          </w:p>
        </w:tc>
        <w:tc>
          <w:tcPr>
            <w:tcW w:w="10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6</w:t>
            </w:r>
          </w:p>
        </w:tc>
        <w:tc>
          <w:tcPr>
            <w:tcW w:w="99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7</w:t>
            </w:r>
          </w:p>
        </w:tc>
        <w:tc>
          <w:tcPr>
            <w:tcW w:w="102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8</w:t>
            </w:r>
          </w:p>
        </w:tc>
        <w:tc>
          <w:tcPr>
            <w:tcW w:w="10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9</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10</w:t>
            </w:r>
          </w:p>
        </w:tc>
        <w:tc>
          <w:tcPr>
            <w:tcW w:w="1335"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11</w:t>
            </w:r>
          </w:p>
        </w:tc>
        <w:tc>
          <w:tcPr>
            <w:tcW w:w="117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12</w:t>
            </w:r>
          </w:p>
        </w:tc>
      </w:tr>
      <w:tr>
        <w:tblPrEx>
          <w:tblCellMar>
            <w:top w:w="0" w:type="dxa"/>
            <w:left w:w="108" w:type="dxa"/>
            <w:bottom w:w="0" w:type="dxa"/>
            <w:right w:w="108" w:type="dxa"/>
          </w:tblCellMar>
        </w:tblPrEx>
        <w:trPr>
          <w:trHeight w:val="642" w:hRule="atLeast"/>
        </w:trPr>
        <w:tc>
          <w:tcPr>
            <w:tcW w:w="67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sz w:val="22"/>
                <w:szCs w:val="22"/>
                <w:highlight w:val="none"/>
              </w:rPr>
            </w:pP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sz w:val="22"/>
                <w:szCs w:val="22"/>
                <w:highlight w:val="none"/>
              </w:rPr>
            </w:pPr>
          </w:p>
        </w:tc>
        <w:tc>
          <w:tcPr>
            <w:tcW w:w="1380" w:type="dxa"/>
            <w:gridSpan w:val="3"/>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sz w:val="22"/>
                <w:szCs w:val="22"/>
                <w:highlight w:val="none"/>
              </w:rPr>
            </w:pP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sz w:val="22"/>
                <w:szCs w:val="22"/>
                <w:highlight w:val="none"/>
              </w:rPr>
            </w:pP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kern w:val="0"/>
                <w:sz w:val="22"/>
                <w:szCs w:val="22"/>
                <w:highlight w:val="none"/>
                <w:lang w:bidi="ar"/>
              </w:rPr>
            </w:pP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sz w:val="22"/>
                <w:szCs w:val="22"/>
                <w:highlight w:val="none"/>
              </w:rPr>
            </w:pP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sz w:val="22"/>
                <w:szCs w:val="22"/>
                <w:highlight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40" w:firstLineChars="200"/>
              <w:jc w:val="right"/>
              <w:rPr>
                <w:rFonts w:hint="default" w:ascii="宋体" w:hAnsi="宋体" w:eastAsia="宋体" w:cs="宋体"/>
                <w:color w:val="auto"/>
                <w:sz w:val="22"/>
                <w:szCs w:val="22"/>
                <w:highlight w:val="none"/>
              </w:rPr>
            </w:pPr>
          </w:p>
        </w:tc>
        <w:tc>
          <w:tcPr>
            <w:tcW w:w="1335"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20" w:firstLineChars="200"/>
              <w:jc w:val="right"/>
              <w:rPr>
                <w:rFonts w:hint="default"/>
                <w:color w:val="auto"/>
                <w:highlight w:val="none"/>
              </w:rPr>
            </w:pPr>
          </w:p>
        </w:tc>
        <w:tc>
          <w:tcPr>
            <w:tcW w:w="11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ind w:left="0" w:right="0" w:firstLine="420" w:firstLineChars="200"/>
              <w:jc w:val="right"/>
              <w:rPr>
                <w:rFonts w:hint="default"/>
                <w:color w:val="auto"/>
                <w:highlight w:val="none"/>
              </w:rPr>
            </w:pPr>
          </w:p>
        </w:tc>
      </w:tr>
      <w:tr>
        <w:tblPrEx>
          <w:tblCellMar>
            <w:top w:w="0" w:type="dxa"/>
            <w:left w:w="108" w:type="dxa"/>
            <w:bottom w:w="0" w:type="dxa"/>
            <w:right w:w="108" w:type="dxa"/>
          </w:tblCellMar>
        </w:tblPrEx>
        <w:trPr>
          <w:trHeight w:val="642" w:hRule="atLeast"/>
        </w:trPr>
        <w:tc>
          <w:tcPr>
            <w:tcW w:w="13595" w:type="dxa"/>
            <w:gridSpan w:val="1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bidi w:val="0"/>
              <w:snapToGrid/>
              <w:spacing w:before="0" w:beforeAutospacing="0" w:after="0" w:afterAutospacing="0"/>
              <w:ind w:left="0" w:right="0" w:firstLine="440" w:firstLineChars="20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keepNext w:val="0"/>
        <w:keepLines w:val="0"/>
        <w:pageBreakBefore w:val="0"/>
        <w:kinsoku/>
        <w:wordWrap/>
        <w:overflowPunct/>
        <w:topLinePunct w:val="0"/>
        <w:bidi w:val="0"/>
        <w:snapToGrid/>
        <w:ind w:firstLine="480" w:firstLineChars="200"/>
        <w:jc w:val="left"/>
        <w:rPr>
          <w:rFonts w:ascii="仿宋" w:hAnsi="仿宋" w:eastAsia="仿宋" w:cs="仿宋"/>
          <w:color w:val="auto"/>
          <w:sz w:val="24"/>
          <w:highlight w:val="none"/>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kinsoku/>
        <w:wordWrap/>
        <w:overflowPunct/>
        <w:topLinePunct w:val="0"/>
        <w:bidi w:val="0"/>
        <w:snapToGrid/>
        <w:ind w:firstLine="480" w:firstLineChars="200"/>
        <w:jc w:val="left"/>
        <w:rPr>
          <w:rFonts w:ascii="仿宋" w:hAnsi="仿宋" w:eastAsia="仿宋" w:cs="仿宋"/>
          <w:color w:val="auto"/>
          <w:sz w:val="24"/>
          <w:highlight w:val="none"/>
        </w:rPr>
      </w:pPr>
    </w:p>
    <w:p>
      <w:pPr>
        <w:keepNext w:val="0"/>
        <w:keepLines w:val="0"/>
        <w:pageBreakBefore w:val="0"/>
        <w:kinsoku/>
        <w:wordWrap/>
        <w:overflowPunct/>
        <w:topLinePunct w:val="0"/>
        <w:bidi w:val="0"/>
        <w:snapToGrid/>
        <w:ind w:firstLine="640" w:firstLineChars="200"/>
        <w:jc w:val="center"/>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第三部分：</w:t>
      </w:r>
      <w:r>
        <w:rPr>
          <w:rFonts w:ascii="黑体" w:hAnsi="黑体" w:eastAsia="黑体" w:cs="黑体"/>
          <w:color w:val="auto"/>
          <w:sz w:val="32"/>
          <w:u w:color="auto"/>
        </w:rPr>
        <w:t>中国共产党环江毛南族自治县委员会党史研究室</w:t>
      </w:r>
      <w:r>
        <w:rPr>
          <w:rFonts w:hint="eastAsia" w:ascii="黑体" w:hAnsi="黑体" w:eastAsia="黑体" w:cs="黑体"/>
          <w:color w:val="auto"/>
          <w:sz w:val="32"/>
          <w:szCs w:val="32"/>
          <w:highlight w:val="none"/>
          <w:lang w:eastAsia="zh-CN"/>
        </w:rPr>
        <w:t>2023年</w:t>
      </w:r>
      <w:r>
        <w:rPr>
          <w:rFonts w:hint="eastAsia" w:ascii="黑体" w:hAnsi="黑体" w:eastAsia="黑体" w:cs="黑体"/>
          <w:color w:val="auto"/>
          <w:sz w:val="32"/>
          <w:szCs w:val="32"/>
          <w:highlight w:val="none"/>
        </w:rPr>
        <w:t>度部门决算情况说明</w:t>
      </w:r>
    </w:p>
    <w:p>
      <w:pPr>
        <w:keepNext w:val="0"/>
        <w:keepLines w:val="0"/>
        <w:pageBreakBefore w:val="0"/>
        <w:kinsoku/>
        <w:wordWrap/>
        <w:overflowPunct/>
        <w:topLinePunct w:val="0"/>
        <w:bidi w:val="0"/>
        <w:snapToGrid/>
        <w:ind w:firstLine="640" w:firstLineChars="200"/>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w:t>
      </w:r>
      <w:r>
        <w:rPr>
          <w:rFonts w:hint="eastAsia" w:ascii="黑体" w:hAnsi="黑体" w:eastAsia="黑体" w:cs="黑体"/>
          <w:color w:val="auto"/>
          <w:sz w:val="32"/>
          <w:szCs w:val="32"/>
          <w:highlight w:val="none"/>
          <w:lang w:eastAsia="zh-CN"/>
        </w:rPr>
        <w:t>2023年</w:t>
      </w:r>
      <w:r>
        <w:rPr>
          <w:rFonts w:hint="eastAsia" w:ascii="黑体" w:hAnsi="黑体" w:eastAsia="黑体" w:cs="黑体"/>
          <w:color w:val="auto"/>
          <w:sz w:val="32"/>
          <w:szCs w:val="32"/>
          <w:highlight w:val="none"/>
        </w:rPr>
        <w:t>度收入支出决算总体情况</w:t>
      </w: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（一）本部门</w:t>
      </w:r>
      <w:r>
        <w:rPr>
          <w:rFonts w:hint="eastAsia" w:ascii="仿宋" w:hAnsi="仿宋" w:eastAsia="仿宋" w:cs="仿宋"/>
          <w:color w:val="auto"/>
          <w:sz w:val="32"/>
          <w:szCs w:val="32"/>
          <w:highlight w:val="none"/>
          <w:lang w:eastAsia="zh-CN"/>
        </w:rPr>
        <w:t>2023年</w:t>
      </w:r>
      <w:r>
        <w:rPr>
          <w:rFonts w:hint="eastAsia" w:ascii="仿宋" w:hAnsi="仿宋" w:eastAsia="仿宋" w:cs="仿宋"/>
          <w:color w:val="auto"/>
          <w:sz w:val="32"/>
          <w:szCs w:val="32"/>
          <w:highlight w:val="none"/>
        </w:rPr>
        <w:t>度总收入</w:t>
      </w:r>
      <w:r>
        <w:rPr>
          <w:rFonts w:hint="eastAsia" w:ascii="仿宋" w:hAnsi="仿宋" w:eastAsia="仿宋" w:cs="仿宋"/>
          <w:color w:val="auto"/>
          <w:sz w:val="32"/>
          <w:u w:color="auto"/>
        </w:rPr>
        <w:t>114.86</w:t>
      </w:r>
      <w:r>
        <w:rPr>
          <w:rFonts w:hint="eastAsia" w:ascii="仿宋" w:hAnsi="仿宋" w:eastAsia="仿宋" w:cs="仿宋"/>
          <w:color w:val="auto"/>
          <w:sz w:val="32"/>
          <w:szCs w:val="32"/>
          <w:highlight w:val="none"/>
        </w:rPr>
        <w:t>万元，较</w:t>
      </w:r>
      <w:r>
        <w:rPr>
          <w:rFonts w:hint="eastAsia" w:ascii="仿宋" w:hAnsi="仿宋" w:eastAsia="仿宋" w:cs="仿宋"/>
          <w:color w:val="auto"/>
          <w:sz w:val="32"/>
          <w:szCs w:val="32"/>
          <w:highlight w:val="none"/>
          <w:lang w:eastAsia="zh-CN"/>
        </w:rPr>
        <w:t>2022年</w:t>
      </w:r>
      <w:r>
        <w:rPr>
          <w:rFonts w:hint="eastAsia" w:ascii="仿宋" w:hAnsi="仿宋" w:eastAsia="仿宋" w:cs="仿宋"/>
          <w:color w:val="auto"/>
          <w:sz w:val="32"/>
          <w:szCs w:val="32"/>
          <w:highlight w:val="none"/>
        </w:rPr>
        <w:t>度决算数</w:t>
      </w:r>
      <w:r>
        <w:rPr>
          <w:rFonts w:ascii="仿宋" w:hAnsi="仿宋" w:eastAsia="仿宋" w:cs="仿宋"/>
          <w:color w:val="auto"/>
          <w:sz w:val="32"/>
          <w:u w:color="auto"/>
        </w:rPr>
        <w:t>减少</w:t>
      </w:r>
      <w:r>
        <w:rPr>
          <w:rFonts w:hint="eastAsia" w:ascii="仿宋" w:hAnsi="仿宋" w:eastAsia="仿宋" w:cs="仿宋"/>
          <w:color w:val="auto"/>
          <w:sz w:val="32"/>
          <w:u w:color="auto"/>
          <w:lang w:val="en-US" w:eastAsia="zh-CN"/>
        </w:rPr>
        <w:t>17.42</w:t>
      </w:r>
      <w:r>
        <w:rPr>
          <w:rFonts w:hint="eastAsia" w:ascii="仿宋" w:hAnsi="仿宋" w:eastAsia="仿宋" w:cs="仿宋"/>
          <w:color w:val="auto"/>
          <w:sz w:val="32"/>
          <w:szCs w:val="32"/>
          <w:highlight w:val="none"/>
        </w:rPr>
        <w:t>万元，</w:t>
      </w:r>
      <w:r>
        <w:rPr>
          <w:rFonts w:ascii="仿宋" w:hAnsi="仿宋" w:eastAsia="仿宋" w:cs="仿宋"/>
          <w:color w:val="auto"/>
          <w:sz w:val="32"/>
          <w:u w:color="auto"/>
        </w:rPr>
        <w:t>下降</w:t>
      </w:r>
      <w:r>
        <w:rPr>
          <w:rFonts w:hint="eastAsia" w:ascii="仿宋" w:hAnsi="仿宋" w:eastAsia="仿宋" w:cs="仿宋"/>
          <w:color w:val="auto"/>
          <w:sz w:val="32"/>
          <w:u w:color="auto"/>
          <w:lang w:val="en-US" w:eastAsia="zh-CN"/>
        </w:rPr>
        <w:t>13.17</w:t>
      </w:r>
      <w:r>
        <w:rPr>
          <w:rFonts w:ascii="仿宋" w:hAnsi="仿宋" w:eastAsia="仿宋" w:cs="仿宋"/>
          <w:color w:val="auto"/>
          <w:sz w:val="32"/>
          <w:u w:color="auto"/>
        </w:rPr>
        <w:t>%</w:t>
      </w:r>
      <w:r>
        <w:rPr>
          <w:rFonts w:hint="eastAsia" w:ascii="仿宋" w:hAnsi="仿宋" w:eastAsia="仿宋" w:cs="仿宋"/>
          <w:color w:val="auto"/>
          <w:sz w:val="32"/>
          <w:szCs w:val="32"/>
          <w:highlight w:val="none"/>
        </w:rPr>
        <w:t>，其中本年收入</w:t>
      </w:r>
      <w:r>
        <w:rPr>
          <w:rFonts w:hint="eastAsia" w:ascii="仿宋" w:hAnsi="仿宋" w:eastAsia="仿宋" w:cs="仿宋"/>
          <w:color w:val="auto"/>
          <w:sz w:val="32"/>
          <w:u w:color="auto"/>
        </w:rPr>
        <w:t>114.86</w:t>
      </w:r>
      <w:r>
        <w:rPr>
          <w:rFonts w:hint="eastAsia" w:ascii="仿宋" w:hAnsi="仿宋" w:eastAsia="仿宋" w:cs="仿宋"/>
          <w:color w:val="auto"/>
          <w:sz w:val="32"/>
          <w:szCs w:val="32"/>
          <w:highlight w:val="none"/>
        </w:rPr>
        <w:t>万元。收入具体情况如下。</w:t>
      </w:r>
    </w:p>
    <w:p>
      <w:pPr>
        <w:keepNext w:val="0"/>
        <w:keepLines w:val="0"/>
        <w:pageBreakBefore w:val="0"/>
        <w:widowControl w:val="0"/>
        <w:suppressLineNumbers w:val="0"/>
        <w:kinsoku/>
        <w:wordWrap/>
        <w:overflowPunct/>
        <w:topLinePunct w:val="0"/>
        <w:bidi w:val="0"/>
        <w:snapToGrid/>
        <w:spacing w:before="0" w:beforeAutospacing="0" w:after="0" w:afterAutospacing="0"/>
        <w:ind w:left="0" w:right="0" w:firstLine="640" w:firstLineChars="200"/>
        <w:jc w:val="left"/>
        <w:rPr>
          <w:rFonts w:hint="eastAsia" w:ascii="仿宋" w:hAnsi="仿宋" w:eastAsia="仿宋" w:cs="Times New Roman"/>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1.一般公共预算财政拨款收入</w:t>
      </w:r>
      <w:r>
        <w:rPr>
          <w:rFonts w:hint="eastAsia" w:ascii="仿宋" w:hAnsi="仿宋" w:eastAsia="仿宋" w:cs="仿宋"/>
          <w:color w:val="auto"/>
          <w:sz w:val="32"/>
          <w:u w:color="auto"/>
        </w:rPr>
        <w:t>114.86</w:t>
      </w:r>
      <w:r>
        <w:rPr>
          <w:rFonts w:hint="eastAsia" w:ascii="仿宋" w:hAnsi="仿宋" w:eastAsia="仿宋" w:cs="仿宋"/>
          <w:color w:val="auto"/>
          <w:kern w:val="2"/>
          <w:sz w:val="32"/>
          <w:szCs w:val="32"/>
          <w:highlight w:val="none"/>
          <w:lang w:val="en-US" w:eastAsia="zh-CN" w:bidi="ar"/>
        </w:rPr>
        <w:t>万元，为</w:t>
      </w:r>
      <w:r>
        <w:rPr>
          <w:rFonts w:hint="eastAsia" w:ascii="仿宋" w:hAnsi="仿宋" w:eastAsia="仿宋" w:cs="仿宋"/>
          <w:color w:val="auto"/>
          <w:sz w:val="32"/>
          <w:szCs w:val="32"/>
          <w:highlight w:val="none"/>
        </w:rPr>
        <w:t>环江毛南族自治县</w:t>
      </w:r>
      <w:r>
        <w:rPr>
          <w:rFonts w:hint="eastAsia" w:ascii="仿宋" w:hAnsi="仿宋" w:eastAsia="仿宋" w:cs="仿宋"/>
          <w:color w:val="auto"/>
          <w:kern w:val="2"/>
          <w:sz w:val="32"/>
          <w:szCs w:val="32"/>
          <w:highlight w:val="none"/>
          <w:lang w:val="en-US" w:eastAsia="zh-CN" w:bidi="ar"/>
        </w:rPr>
        <w:t>本级财政当年拨付的资金。较2022年度决算数</w:t>
      </w:r>
      <w:r>
        <w:rPr>
          <w:rFonts w:ascii="仿宋" w:hAnsi="仿宋" w:eastAsia="仿宋" w:cs="仿宋"/>
          <w:color w:val="auto"/>
          <w:sz w:val="32"/>
          <w:u w:color="auto"/>
        </w:rPr>
        <w:t>减少</w:t>
      </w:r>
      <w:r>
        <w:rPr>
          <w:rFonts w:hint="eastAsia" w:ascii="仿宋" w:hAnsi="仿宋" w:eastAsia="仿宋" w:cs="仿宋"/>
          <w:color w:val="auto"/>
          <w:sz w:val="32"/>
          <w:u w:color="auto"/>
          <w:lang w:val="en-US" w:eastAsia="zh-CN"/>
        </w:rPr>
        <w:t>17.42</w:t>
      </w:r>
      <w:r>
        <w:rPr>
          <w:rFonts w:hint="eastAsia" w:ascii="仿宋" w:hAnsi="仿宋" w:eastAsia="仿宋" w:cs="仿宋"/>
          <w:color w:val="auto"/>
          <w:kern w:val="2"/>
          <w:sz w:val="32"/>
          <w:szCs w:val="32"/>
          <w:highlight w:val="none"/>
          <w:lang w:val="en-US" w:eastAsia="zh-CN" w:bidi="ar"/>
        </w:rPr>
        <w:t>元，</w:t>
      </w:r>
      <w:r>
        <w:rPr>
          <w:rFonts w:ascii="仿宋" w:hAnsi="仿宋" w:eastAsia="仿宋" w:cs="仿宋"/>
          <w:color w:val="auto"/>
          <w:sz w:val="32"/>
          <w:u w:color="auto"/>
        </w:rPr>
        <w:t>下降</w:t>
      </w:r>
      <w:r>
        <w:rPr>
          <w:rFonts w:hint="eastAsia" w:ascii="仿宋" w:hAnsi="仿宋" w:eastAsia="仿宋" w:cs="仿宋"/>
          <w:color w:val="auto"/>
          <w:sz w:val="32"/>
          <w:u w:color="auto"/>
          <w:lang w:val="en-US" w:eastAsia="zh-CN"/>
        </w:rPr>
        <w:t>13.17</w:t>
      </w:r>
      <w:r>
        <w:rPr>
          <w:rFonts w:ascii="仿宋" w:hAnsi="仿宋" w:eastAsia="仿宋" w:cs="仿宋"/>
          <w:color w:val="auto"/>
          <w:sz w:val="32"/>
          <w:u w:color="auto"/>
        </w:rPr>
        <w:t>%</w:t>
      </w:r>
      <w:r>
        <w:rPr>
          <w:rFonts w:hint="eastAsia" w:ascii="仿宋" w:hAnsi="仿宋" w:eastAsia="仿宋" w:cs="仿宋"/>
          <w:color w:val="auto"/>
          <w:kern w:val="2"/>
          <w:sz w:val="32"/>
          <w:szCs w:val="32"/>
          <w:highlight w:val="none"/>
          <w:lang w:val="en-US" w:eastAsia="zh-CN" w:bidi="ar"/>
        </w:rPr>
        <w:t>，主要原因：减少项目经费。</w:t>
      </w:r>
    </w:p>
    <w:p>
      <w:pPr>
        <w:keepNext w:val="0"/>
        <w:keepLines w:val="0"/>
        <w:pageBreakBefore w:val="0"/>
        <w:widowControl w:val="0"/>
        <w:suppressLineNumbers w:val="0"/>
        <w:kinsoku/>
        <w:wordWrap/>
        <w:overflowPunct/>
        <w:topLinePunct w:val="0"/>
        <w:bidi w:val="0"/>
        <w:snapToGrid/>
        <w:spacing w:before="0" w:beforeAutospacing="0" w:after="0" w:afterAutospacing="0"/>
        <w:ind w:left="0" w:right="0" w:firstLine="640" w:firstLineChars="200"/>
        <w:jc w:val="left"/>
        <w:rPr>
          <w:rFonts w:hint="eastAsia" w:ascii="仿宋" w:hAnsi="仿宋" w:eastAsia="仿宋" w:cs="Times New Roman"/>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2.政府性基金预算财政拨款收入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w:t>
      </w:r>
      <w:r>
        <w:rPr>
          <w:rFonts w:hint="eastAsia" w:ascii="仿宋" w:hAnsi="仿宋" w:eastAsia="仿宋" w:cs="仿宋"/>
          <w:color w:val="auto"/>
          <w:sz w:val="32"/>
          <w:szCs w:val="32"/>
          <w:highlight w:val="none"/>
        </w:rPr>
        <w:t>环江毛南族自治县</w:t>
      </w:r>
      <w:r>
        <w:rPr>
          <w:rFonts w:hint="eastAsia" w:ascii="仿宋" w:hAnsi="仿宋" w:eastAsia="仿宋" w:cs="仿宋"/>
          <w:color w:val="auto"/>
          <w:kern w:val="2"/>
          <w:sz w:val="32"/>
          <w:szCs w:val="32"/>
          <w:highlight w:val="none"/>
          <w:lang w:val="en-US" w:eastAsia="zh-CN" w:bidi="ar"/>
        </w:rPr>
        <w:t>本级财政当年拨付的资金。</w:t>
      </w:r>
    </w:p>
    <w:p>
      <w:pPr>
        <w:keepNext w:val="0"/>
        <w:keepLines w:val="0"/>
        <w:pageBreakBefore w:val="0"/>
        <w:widowControl w:val="0"/>
        <w:suppressLineNumbers w:val="0"/>
        <w:kinsoku/>
        <w:wordWrap/>
        <w:overflowPunct/>
        <w:topLinePunct w:val="0"/>
        <w:bidi w:val="0"/>
        <w:snapToGrid/>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3.国有资本经营预算财政拨款收入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w:t>
      </w:r>
      <w:r>
        <w:rPr>
          <w:rFonts w:hint="eastAsia" w:ascii="仿宋" w:hAnsi="仿宋" w:eastAsia="仿宋" w:cs="仿宋"/>
          <w:color w:val="auto"/>
          <w:sz w:val="32"/>
          <w:szCs w:val="32"/>
          <w:highlight w:val="none"/>
        </w:rPr>
        <w:t>环江毛南族自治县</w:t>
      </w:r>
      <w:r>
        <w:rPr>
          <w:rFonts w:hint="eastAsia" w:ascii="仿宋" w:hAnsi="仿宋" w:eastAsia="仿宋" w:cs="仿宋"/>
          <w:color w:val="auto"/>
          <w:kern w:val="2"/>
          <w:sz w:val="32"/>
          <w:szCs w:val="32"/>
          <w:highlight w:val="none"/>
          <w:lang w:val="en-US" w:eastAsia="zh-CN" w:bidi="ar"/>
        </w:rPr>
        <w:t>本级财政当年拨付的资金。</w:t>
      </w:r>
    </w:p>
    <w:p>
      <w:pPr>
        <w:keepNext w:val="0"/>
        <w:keepLines w:val="0"/>
        <w:pageBreakBefore w:val="0"/>
        <w:widowControl w:val="0"/>
        <w:suppressLineNumbers w:val="0"/>
        <w:kinsoku/>
        <w:wordWrap/>
        <w:overflowPunct/>
        <w:topLinePunct w:val="0"/>
        <w:bidi w:val="0"/>
        <w:snapToGrid/>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4.事业收入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万元，为事业单位开展业务活动取得的收入。较2022年度决算数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，主要原因是：本单位没有事业收入。</w:t>
      </w:r>
    </w:p>
    <w:p>
      <w:pPr>
        <w:keepNext w:val="0"/>
        <w:keepLines w:val="0"/>
        <w:pageBreakBefore w:val="0"/>
        <w:widowControl w:val="0"/>
        <w:suppressLineNumbers w:val="0"/>
        <w:kinsoku/>
        <w:wordWrap/>
        <w:overflowPunct/>
        <w:topLinePunct w:val="0"/>
        <w:bidi w:val="0"/>
        <w:snapToGrid/>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5.经营收入0.00万,为事业单位在业务活动之外开展非独立核算经营活动取得的收入。较2022年度决算数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，主要原因是：本单位没有经营性收入。</w:t>
      </w:r>
    </w:p>
    <w:p>
      <w:pPr>
        <w:keepNext w:val="0"/>
        <w:keepLines w:val="0"/>
        <w:pageBreakBefore w:val="0"/>
        <w:widowControl w:val="0"/>
        <w:suppressLineNumbers w:val="0"/>
        <w:kinsoku/>
        <w:wordWrap/>
        <w:overflowPunct/>
        <w:topLinePunct w:val="0"/>
        <w:bidi w:val="0"/>
        <w:snapToGrid/>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6.其他收入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万元,为预算单位在“财政拨款收入”“事业收入”“经营收入”之外取得的收入。较2022年度决算数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，主要原因是：本单位没有其他收入。</w:t>
      </w:r>
    </w:p>
    <w:p>
      <w:pPr>
        <w:keepNext w:val="0"/>
        <w:keepLines w:val="0"/>
        <w:pageBreakBefore w:val="0"/>
        <w:widowControl w:val="0"/>
        <w:suppressLineNumbers w:val="0"/>
        <w:kinsoku/>
        <w:wordWrap/>
        <w:overflowPunct/>
        <w:topLinePunct w:val="0"/>
        <w:bidi w:val="0"/>
        <w:snapToGrid/>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7.使用非财政拨款结余</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，主要原因是：本单位没有非财政拨款结余。</w:t>
      </w:r>
    </w:p>
    <w:p>
      <w:pPr>
        <w:keepNext w:val="0"/>
        <w:keepLines w:val="0"/>
        <w:pageBreakBefore w:val="0"/>
        <w:widowControl w:val="0"/>
        <w:suppressLineNumbers w:val="0"/>
        <w:kinsoku/>
        <w:wordWrap/>
        <w:overflowPunct/>
        <w:topLinePunct w:val="0"/>
        <w:bidi w:val="0"/>
        <w:snapToGrid/>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8.上年结转和结余</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万元，为以前年度支出预算因客观条件变化未执行完毕、结转到本年度按有关规定继续使用的资金。较2022年度决算数持平。</w:t>
      </w:r>
    </w:p>
    <w:p>
      <w:pPr>
        <w:keepNext w:val="0"/>
        <w:keepLines w:val="0"/>
        <w:pageBreakBefore w:val="0"/>
        <w:widowControl w:val="0"/>
        <w:suppressLineNumbers w:val="0"/>
        <w:kinsoku/>
        <w:wordWrap/>
        <w:overflowPunct/>
        <w:topLinePunct w:val="0"/>
        <w:bidi w:val="0"/>
        <w:snapToGrid/>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drawing>
          <wp:inline distT="0" distB="0" distL="114300" distR="114300">
            <wp:extent cx="5080000" cy="3810000"/>
            <wp:effectExtent l="4445" t="4445" r="20955" b="1460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suppressLineNumbers w:val="0"/>
        <w:kinsoku/>
        <w:wordWrap/>
        <w:overflowPunct/>
        <w:topLinePunct w:val="0"/>
        <w:bidi w:val="0"/>
        <w:snapToGrid/>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p>
    <w:p>
      <w:pPr>
        <w:keepNext w:val="0"/>
        <w:keepLines w:val="0"/>
        <w:pageBreakBefore w:val="0"/>
        <w:widowControl w:val="0"/>
        <w:suppressLineNumbers w:val="0"/>
        <w:kinsoku/>
        <w:wordWrap/>
        <w:overflowPunct/>
        <w:topLinePunct w:val="0"/>
        <w:bidi w:val="0"/>
        <w:snapToGrid/>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（二）本部门</w:t>
      </w:r>
      <w:r>
        <w:rPr>
          <w:rFonts w:hint="eastAsia" w:ascii="仿宋" w:hAnsi="仿宋" w:eastAsia="仿宋" w:cs="仿宋"/>
          <w:color w:val="auto"/>
          <w:sz w:val="32"/>
          <w:szCs w:val="32"/>
          <w:highlight w:val="none"/>
          <w:lang w:eastAsia="zh-CN"/>
        </w:rPr>
        <w:t>2023年</w:t>
      </w:r>
      <w:r>
        <w:rPr>
          <w:rFonts w:hint="eastAsia" w:ascii="仿宋" w:hAnsi="仿宋" w:eastAsia="仿宋" w:cs="仿宋"/>
          <w:color w:val="auto"/>
          <w:sz w:val="32"/>
          <w:szCs w:val="32"/>
          <w:highlight w:val="none"/>
        </w:rPr>
        <w:t>度总支出</w:t>
      </w:r>
      <w:r>
        <w:rPr>
          <w:rFonts w:hint="eastAsia" w:ascii="仿宋" w:hAnsi="仿宋" w:eastAsia="仿宋" w:cs="仿宋"/>
          <w:color w:val="auto"/>
          <w:sz w:val="32"/>
          <w:u w:color="auto"/>
        </w:rPr>
        <w:t>114.86</w:t>
      </w:r>
      <w:r>
        <w:rPr>
          <w:rFonts w:hint="eastAsia" w:ascii="仿宋" w:hAnsi="仿宋" w:eastAsia="仿宋" w:cs="仿宋"/>
          <w:color w:val="auto"/>
          <w:sz w:val="32"/>
          <w:szCs w:val="32"/>
          <w:highlight w:val="none"/>
        </w:rPr>
        <w:t>万元，其中本年支出</w:t>
      </w:r>
      <w:r>
        <w:rPr>
          <w:rFonts w:hint="eastAsia" w:ascii="仿宋" w:hAnsi="仿宋" w:eastAsia="仿宋" w:cs="仿宋"/>
          <w:color w:val="auto"/>
          <w:sz w:val="32"/>
          <w:u w:color="auto"/>
        </w:rPr>
        <w:t>114.86</w:t>
      </w:r>
      <w:r>
        <w:rPr>
          <w:rFonts w:hint="eastAsia" w:ascii="仿宋" w:hAnsi="仿宋" w:eastAsia="仿宋" w:cs="仿宋"/>
          <w:color w:val="auto"/>
          <w:sz w:val="32"/>
          <w:szCs w:val="32"/>
          <w:highlight w:val="none"/>
        </w:rPr>
        <w:t>万元，较</w:t>
      </w:r>
      <w:r>
        <w:rPr>
          <w:rFonts w:hint="eastAsia" w:ascii="仿宋" w:hAnsi="仿宋" w:eastAsia="仿宋" w:cs="仿宋"/>
          <w:color w:val="auto"/>
          <w:sz w:val="32"/>
          <w:szCs w:val="32"/>
          <w:highlight w:val="none"/>
          <w:lang w:eastAsia="zh-CN"/>
        </w:rPr>
        <w:t>2022年</w:t>
      </w:r>
      <w:r>
        <w:rPr>
          <w:rFonts w:hint="eastAsia" w:ascii="仿宋" w:hAnsi="仿宋" w:eastAsia="仿宋" w:cs="仿宋"/>
          <w:color w:val="auto"/>
          <w:sz w:val="32"/>
          <w:szCs w:val="32"/>
          <w:highlight w:val="none"/>
        </w:rPr>
        <w:t>度决算数</w:t>
      </w:r>
      <w:r>
        <w:rPr>
          <w:rFonts w:ascii="仿宋" w:hAnsi="仿宋" w:eastAsia="仿宋" w:cs="仿宋"/>
          <w:color w:val="auto"/>
          <w:sz w:val="32"/>
          <w:u w:color="auto"/>
        </w:rPr>
        <w:t>减少1</w:t>
      </w:r>
      <w:r>
        <w:rPr>
          <w:rFonts w:hint="eastAsia" w:ascii="仿宋" w:hAnsi="仿宋" w:eastAsia="仿宋" w:cs="仿宋"/>
          <w:color w:val="auto"/>
          <w:sz w:val="32"/>
          <w:u w:color="auto"/>
          <w:lang w:val="en-US" w:eastAsia="zh-CN"/>
        </w:rPr>
        <w:t>7</w:t>
      </w:r>
      <w:r>
        <w:rPr>
          <w:rFonts w:ascii="仿宋" w:hAnsi="仿宋" w:eastAsia="仿宋" w:cs="仿宋"/>
          <w:color w:val="auto"/>
          <w:sz w:val="32"/>
          <w:u w:color="auto"/>
        </w:rPr>
        <w:t>.42</w:t>
      </w:r>
      <w:r>
        <w:rPr>
          <w:rFonts w:hint="eastAsia" w:ascii="仿宋" w:hAnsi="仿宋" w:eastAsia="仿宋" w:cs="仿宋"/>
          <w:color w:val="auto"/>
          <w:sz w:val="32"/>
          <w:szCs w:val="32"/>
          <w:highlight w:val="none"/>
        </w:rPr>
        <w:t>万元，</w:t>
      </w:r>
      <w:r>
        <w:rPr>
          <w:rFonts w:ascii="仿宋" w:hAnsi="仿宋" w:eastAsia="仿宋" w:cs="仿宋"/>
          <w:color w:val="auto"/>
          <w:sz w:val="32"/>
          <w:u w:color="auto"/>
        </w:rPr>
        <w:t>下降</w:t>
      </w:r>
      <w:r>
        <w:rPr>
          <w:rFonts w:hint="eastAsia" w:ascii="仿宋" w:hAnsi="仿宋" w:eastAsia="仿宋" w:cs="仿宋"/>
          <w:color w:val="auto"/>
          <w:sz w:val="32"/>
          <w:u w:color="auto"/>
          <w:lang w:val="en-US" w:eastAsia="zh-CN"/>
        </w:rPr>
        <w:t>13.17</w:t>
      </w:r>
      <w:r>
        <w:rPr>
          <w:rFonts w:ascii="仿宋" w:hAnsi="仿宋" w:eastAsia="仿宋" w:cs="仿宋"/>
          <w:color w:val="auto"/>
          <w:sz w:val="32"/>
          <w:u w:color="auto"/>
        </w:rPr>
        <w:t>%</w:t>
      </w:r>
      <w:r>
        <w:rPr>
          <w:rFonts w:hint="eastAsia" w:ascii="仿宋" w:hAnsi="仿宋" w:eastAsia="仿宋" w:cs="仿宋"/>
          <w:color w:val="auto"/>
          <w:sz w:val="32"/>
          <w:szCs w:val="32"/>
          <w:highlight w:val="none"/>
        </w:rPr>
        <w:t>。支出具体情况如下：</w:t>
      </w:r>
    </w:p>
    <w:p>
      <w:pPr>
        <w:keepNext w:val="0"/>
        <w:keepLines w:val="0"/>
        <w:pageBreakBefore w:val="0"/>
        <w:widowControl w:val="0"/>
        <w:suppressLineNumbers w:val="0"/>
        <w:kinsoku/>
        <w:wordWrap/>
        <w:overflowPunct/>
        <w:topLinePunct w:val="0"/>
        <w:bidi w:val="0"/>
        <w:snapToGrid/>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sz w:val="32"/>
          <w:szCs w:val="32"/>
          <w:highlight w:val="none"/>
        </w:rPr>
        <w:t>1</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一般公共服务支出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201</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bidi="ar"/>
        </w:rPr>
        <w:t>83.33</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本部门为保证日常运转发生的基本支出，如根据国家及自治区规定的基本工资和津补贴标准等安排的人员经费支出和日常公用经费支出以及项目经费支出</w:t>
      </w:r>
      <w:r>
        <w:rPr>
          <w:rFonts w:hint="eastAsia" w:ascii="仿宋" w:hAnsi="仿宋" w:eastAsia="仿宋" w:cs="仿宋"/>
          <w:color w:val="auto"/>
          <w:sz w:val="32"/>
          <w:szCs w:val="32"/>
          <w:highlight w:val="none"/>
        </w:rPr>
        <w:t>。较</w:t>
      </w:r>
      <w:r>
        <w:rPr>
          <w:rFonts w:hint="eastAsia" w:ascii="仿宋" w:hAnsi="仿宋" w:eastAsia="仿宋" w:cs="仿宋"/>
          <w:color w:val="auto"/>
          <w:sz w:val="32"/>
          <w:szCs w:val="32"/>
          <w:highlight w:val="none"/>
          <w:lang w:eastAsia="zh-CN"/>
        </w:rPr>
        <w:t>2022年</w:t>
      </w:r>
      <w:r>
        <w:rPr>
          <w:rFonts w:hint="eastAsia" w:ascii="仿宋" w:hAnsi="仿宋" w:eastAsia="仿宋" w:cs="仿宋"/>
          <w:color w:val="auto"/>
          <w:sz w:val="32"/>
          <w:szCs w:val="32"/>
          <w:highlight w:val="none"/>
        </w:rPr>
        <w:t>度决算数</w:t>
      </w:r>
      <w:r>
        <w:rPr>
          <w:rFonts w:hint="eastAsia" w:ascii="仿宋" w:hAnsi="仿宋" w:eastAsia="仿宋" w:cs="仿宋"/>
          <w:color w:val="auto"/>
          <w:sz w:val="32"/>
          <w:szCs w:val="32"/>
          <w:highlight w:val="none"/>
          <w:lang w:bidi="ar"/>
        </w:rPr>
        <w:t>减少</w:t>
      </w:r>
      <w:r>
        <w:rPr>
          <w:rFonts w:hint="eastAsia" w:ascii="仿宋" w:hAnsi="仿宋" w:eastAsia="仿宋" w:cs="仿宋"/>
          <w:color w:val="auto"/>
          <w:sz w:val="32"/>
          <w:szCs w:val="32"/>
          <w:highlight w:val="none"/>
          <w:lang w:val="en-US" w:eastAsia="zh-CN" w:bidi="ar"/>
        </w:rPr>
        <w:t>20.87</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下降</w:t>
      </w:r>
      <w:r>
        <w:rPr>
          <w:rFonts w:hint="eastAsia" w:ascii="仿宋" w:hAnsi="仿宋" w:eastAsia="仿宋" w:cs="仿宋"/>
          <w:color w:val="auto"/>
          <w:sz w:val="32"/>
          <w:szCs w:val="32"/>
          <w:highlight w:val="none"/>
          <w:lang w:val="en-US" w:eastAsia="zh-CN" w:bidi="ar"/>
        </w:rPr>
        <w:t>20.03</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主要原因是：项目工作经费支出减少。</w:t>
      </w:r>
    </w:p>
    <w:p>
      <w:pPr>
        <w:keepNext w:val="0"/>
        <w:keepLines w:val="0"/>
        <w:pageBreakBefore w:val="0"/>
        <w:widowControl w:val="0"/>
        <w:suppressLineNumbers w:val="0"/>
        <w:kinsoku/>
        <w:wordWrap/>
        <w:overflowPunct/>
        <w:topLinePunct w:val="0"/>
        <w:bidi w:val="0"/>
        <w:snapToGrid/>
        <w:spacing w:before="0" w:beforeAutospacing="0" w:after="0" w:afterAutospacing="0"/>
        <w:ind w:left="0" w:right="0" w:firstLine="640" w:firstLineChars="200"/>
        <w:jc w:val="left"/>
        <w:rPr>
          <w:rFonts w:hint="default" w:ascii="仿宋" w:hAnsi="仿宋" w:eastAsia="仿宋" w:cs="仿宋"/>
          <w:color w:val="auto"/>
          <w:kern w:val="2"/>
          <w:sz w:val="32"/>
          <w:szCs w:val="32"/>
          <w:highlight w:val="yellow"/>
          <w:lang w:val="en-US" w:eastAsia="zh-CN" w:bidi="ar"/>
        </w:rPr>
      </w:pPr>
      <w:r>
        <w:rPr>
          <w:rFonts w:hint="eastAsia" w:ascii="仿宋" w:hAnsi="仿宋" w:eastAsia="仿宋" w:cs="仿宋"/>
          <w:color w:val="auto"/>
          <w:kern w:val="2"/>
          <w:sz w:val="32"/>
          <w:szCs w:val="32"/>
          <w:highlight w:val="none"/>
          <w:lang w:val="en-US" w:eastAsia="zh-CN" w:bidi="ar"/>
        </w:rPr>
        <w:t>2.科学技术支出3.59万元，</w:t>
      </w:r>
      <w:r>
        <w:rPr>
          <w:rFonts w:hint="eastAsia" w:ascii="仿宋" w:hAnsi="仿宋" w:eastAsia="仿宋" w:cs="仿宋"/>
          <w:color w:val="auto"/>
          <w:sz w:val="32"/>
          <w:szCs w:val="32"/>
          <w:highlight w:val="none"/>
        </w:rPr>
        <w:t>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非实名实聘人员经费补助支出</w:t>
      </w:r>
      <w:r>
        <w:rPr>
          <w:rFonts w:hint="eastAsia" w:ascii="仿宋" w:hAnsi="仿宋" w:eastAsia="仿宋" w:cs="仿宋"/>
          <w:color w:val="auto"/>
          <w:sz w:val="32"/>
          <w:szCs w:val="32"/>
          <w:highlight w:val="none"/>
        </w:rPr>
        <w:t>。较</w:t>
      </w:r>
      <w:r>
        <w:rPr>
          <w:rFonts w:hint="eastAsia" w:ascii="仿宋" w:hAnsi="仿宋" w:eastAsia="仿宋" w:cs="仿宋"/>
          <w:color w:val="auto"/>
          <w:sz w:val="32"/>
          <w:szCs w:val="32"/>
          <w:highlight w:val="none"/>
          <w:lang w:eastAsia="zh-CN"/>
        </w:rPr>
        <w:t>2022年</w:t>
      </w:r>
      <w:r>
        <w:rPr>
          <w:rFonts w:hint="eastAsia" w:ascii="仿宋" w:hAnsi="仿宋" w:eastAsia="仿宋" w:cs="仿宋"/>
          <w:color w:val="auto"/>
          <w:sz w:val="32"/>
          <w:szCs w:val="32"/>
          <w:highlight w:val="none"/>
        </w:rPr>
        <w:t>度决算数</w:t>
      </w:r>
      <w:r>
        <w:rPr>
          <w:rFonts w:hint="eastAsia" w:ascii="仿宋" w:hAnsi="仿宋" w:eastAsia="仿宋" w:cs="仿宋"/>
          <w:color w:val="auto"/>
          <w:sz w:val="32"/>
          <w:szCs w:val="32"/>
          <w:highlight w:val="none"/>
          <w:lang w:val="en-US" w:eastAsia="zh-CN" w:bidi="ar"/>
        </w:rPr>
        <w:t>增加3.59</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bidi="ar"/>
        </w:rPr>
        <w:t>增长100</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主要原因是：本年度用于调整支出功能分类科目。</w:t>
      </w:r>
    </w:p>
    <w:p>
      <w:pPr>
        <w:keepNext w:val="0"/>
        <w:keepLines w:val="0"/>
        <w:pageBreakBefore w:val="0"/>
        <w:widowControl w:val="0"/>
        <w:suppressLineNumbers w:val="0"/>
        <w:kinsoku/>
        <w:wordWrap/>
        <w:overflowPunct/>
        <w:topLinePunct w:val="0"/>
        <w:bidi w:val="0"/>
        <w:snapToGrid/>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lang w:val="en-US" w:eastAsia="zh-CN"/>
        </w:rPr>
        <w:t>3</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社会保障和就业支出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208</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bidi="ar"/>
        </w:rPr>
        <w:t>9.79</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机关事业单位基本养老保险缴费支出</w:t>
      </w:r>
      <w:r>
        <w:rPr>
          <w:rFonts w:hint="eastAsia" w:ascii="仿宋" w:hAnsi="仿宋" w:eastAsia="仿宋" w:cs="仿宋"/>
          <w:color w:val="auto"/>
          <w:sz w:val="32"/>
          <w:szCs w:val="32"/>
          <w:highlight w:val="none"/>
        </w:rPr>
        <w:t>。较</w:t>
      </w:r>
      <w:r>
        <w:rPr>
          <w:rFonts w:hint="eastAsia" w:ascii="仿宋" w:hAnsi="仿宋" w:eastAsia="仿宋" w:cs="仿宋"/>
          <w:color w:val="auto"/>
          <w:sz w:val="32"/>
          <w:szCs w:val="32"/>
          <w:highlight w:val="none"/>
          <w:lang w:eastAsia="zh-CN"/>
        </w:rPr>
        <w:t>2022年</w:t>
      </w:r>
      <w:r>
        <w:rPr>
          <w:rFonts w:hint="eastAsia" w:ascii="仿宋" w:hAnsi="仿宋" w:eastAsia="仿宋" w:cs="仿宋"/>
          <w:color w:val="auto"/>
          <w:sz w:val="32"/>
          <w:szCs w:val="32"/>
          <w:highlight w:val="none"/>
        </w:rPr>
        <w:t>度决算数</w:t>
      </w:r>
      <w:r>
        <w:rPr>
          <w:rFonts w:hint="eastAsia" w:ascii="仿宋" w:hAnsi="仿宋" w:eastAsia="仿宋" w:cs="仿宋"/>
          <w:color w:val="auto"/>
          <w:sz w:val="32"/>
          <w:szCs w:val="32"/>
          <w:highlight w:val="none"/>
          <w:lang w:val="en-US" w:eastAsia="zh-CN" w:bidi="ar"/>
        </w:rPr>
        <w:t>增加1.92</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bidi="ar"/>
        </w:rPr>
        <w:t>增长24.4</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主要原因是：养老保险缴费基数提高。</w:t>
      </w:r>
    </w:p>
    <w:p>
      <w:pPr>
        <w:keepNext w:val="0"/>
        <w:keepLines w:val="0"/>
        <w:pageBreakBefore w:val="0"/>
        <w:widowControl w:val="0"/>
        <w:suppressLineNumbers w:val="0"/>
        <w:kinsoku/>
        <w:wordWrap/>
        <w:overflowPunct/>
        <w:topLinePunct w:val="0"/>
        <w:bidi w:val="0"/>
        <w:snapToGrid/>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lang w:val="en-US" w:eastAsia="zh-CN"/>
        </w:rPr>
        <w:t>4</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住房保障支出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221</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bidi="ar"/>
        </w:rPr>
        <w:t>7.35</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单位按规定的比例计缴的在职在编人员住房公积金</w:t>
      </w:r>
      <w:r>
        <w:rPr>
          <w:rFonts w:hint="eastAsia" w:ascii="仿宋" w:hAnsi="仿宋" w:eastAsia="仿宋" w:cs="仿宋"/>
          <w:color w:val="auto"/>
          <w:sz w:val="32"/>
          <w:szCs w:val="32"/>
          <w:highlight w:val="none"/>
        </w:rPr>
        <w:t>。较</w:t>
      </w:r>
      <w:r>
        <w:rPr>
          <w:rFonts w:hint="eastAsia" w:ascii="仿宋" w:hAnsi="仿宋" w:eastAsia="仿宋" w:cs="仿宋"/>
          <w:color w:val="auto"/>
          <w:sz w:val="32"/>
          <w:szCs w:val="32"/>
          <w:highlight w:val="none"/>
          <w:lang w:eastAsia="zh-CN"/>
        </w:rPr>
        <w:t>2022年</w:t>
      </w:r>
      <w:r>
        <w:rPr>
          <w:rFonts w:hint="eastAsia" w:ascii="仿宋" w:hAnsi="仿宋" w:eastAsia="仿宋" w:cs="仿宋"/>
          <w:color w:val="auto"/>
          <w:sz w:val="32"/>
          <w:szCs w:val="32"/>
          <w:highlight w:val="none"/>
        </w:rPr>
        <w:t>度决算数</w:t>
      </w:r>
      <w:r>
        <w:rPr>
          <w:rFonts w:hint="eastAsia" w:ascii="仿宋" w:hAnsi="仿宋" w:eastAsia="仿宋" w:cs="仿宋"/>
          <w:color w:val="auto"/>
          <w:sz w:val="32"/>
          <w:szCs w:val="32"/>
          <w:highlight w:val="none"/>
          <w:lang w:bidi="ar"/>
        </w:rPr>
        <w:t>增加0.</w:t>
      </w:r>
      <w:r>
        <w:rPr>
          <w:rFonts w:hint="eastAsia" w:ascii="仿宋" w:hAnsi="仿宋" w:eastAsia="仿宋" w:cs="仿宋"/>
          <w:color w:val="auto"/>
          <w:sz w:val="32"/>
          <w:szCs w:val="32"/>
          <w:highlight w:val="none"/>
          <w:lang w:val="en-US" w:eastAsia="zh-CN" w:bidi="ar"/>
        </w:rPr>
        <w:t>92</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增长</w:t>
      </w:r>
      <w:r>
        <w:rPr>
          <w:rFonts w:hint="eastAsia" w:ascii="仿宋" w:hAnsi="仿宋" w:eastAsia="仿宋" w:cs="仿宋"/>
          <w:color w:val="auto"/>
          <w:sz w:val="32"/>
          <w:szCs w:val="32"/>
          <w:highlight w:val="none"/>
          <w:lang w:val="en-US" w:eastAsia="zh-CN" w:bidi="ar"/>
        </w:rPr>
        <w:t>14.31</w:t>
      </w:r>
      <w:r>
        <w:rPr>
          <w:rFonts w:hint="eastAsia" w:ascii="仿宋" w:hAnsi="仿宋" w:eastAsia="仿宋" w:cs="仿宋"/>
          <w:color w:val="auto"/>
          <w:sz w:val="32"/>
          <w:szCs w:val="32"/>
          <w:highlight w:val="none"/>
          <w:lang w:bidi="ar"/>
        </w:rPr>
        <w:t>%</w:t>
      </w:r>
      <w:r>
        <w:rPr>
          <w:rFonts w:hint="eastAsia" w:ascii="仿宋" w:hAnsi="仿宋" w:eastAsia="仿宋" w:cs="仿宋"/>
          <w:color w:val="auto"/>
          <w:kern w:val="2"/>
          <w:sz w:val="32"/>
          <w:szCs w:val="32"/>
          <w:highlight w:val="none"/>
          <w:lang w:val="en-US" w:eastAsia="zh-CN" w:bidi="ar"/>
        </w:rPr>
        <w:t>。</w:t>
      </w:r>
    </w:p>
    <w:p>
      <w:pPr>
        <w:keepNext w:val="0"/>
        <w:keepLines w:val="0"/>
        <w:pageBreakBefore w:val="0"/>
        <w:widowControl w:val="0"/>
        <w:suppressLineNumbers w:val="0"/>
        <w:kinsoku/>
        <w:wordWrap/>
        <w:overflowPunct/>
        <w:topLinePunct w:val="0"/>
        <w:bidi w:val="0"/>
        <w:snapToGrid/>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lang w:val="en-US" w:eastAsia="zh-CN"/>
        </w:rPr>
        <w:t>5</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其他支出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229</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bidi="ar"/>
        </w:rPr>
        <w:t>10</w:t>
      </w:r>
      <w:r>
        <w:rPr>
          <w:rFonts w:hint="eastAsia" w:ascii="仿宋" w:hAnsi="仿宋" w:eastAsia="仿宋" w:cs="仿宋"/>
          <w:color w:val="auto"/>
          <w:sz w:val="32"/>
          <w:szCs w:val="32"/>
          <w:highlight w:val="none"/>
          <w:lang w:bidi="ar"/>
        </w:rPr>
        <w:t>.79</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在职在编人员奖励性绩效补贴支出</w:t>
      </w:r>
      <w:r>
        <w:rPr>
          <w:rFonts w:hint="eastAsia" w:ascii="仿宋" w:hAnsi="仿宋" w:eastAsia="仿宋" w:cs="仿宋"/>
          <w:color w:val="auto"/>
          <w:sz w:val="32"/>
          <w:szCs w:val="32"/>
          <w:highlight w:val="none"/>
        </w:rPr>
        <w:t>。较</w:t>
      </w:r>
      <w:r>
        <w:rPr>
          <w:rFonts w:hint="eastAsia" w:ascii="仿宋" w:hAnsi="仿宋" w:eastAsia="仿宋" w:cs="仿宋"/>
          <w:color w:val="auto"/>
          <w:sz w:val="32"/>
          <w:szCs w:val="32"/>
          <w:highlight w:val="none"/>
          <w:lang w:eastAsia="zh-CN"/>
        </w:rPr>
        <w:t>2022年</w:t>
      </w:r>
      <w:r>
        <w:rPr>
          <w:rFonts w:hint="eastAsia" w:ascii="仿宋" w:hAnsi="仿宋" w:eastAsia="仿宋" w:cs="仿宋"/>
          <w:color w:val="auto"/>
          <w:sz w:val="32"/>
          <w:szCs w:val="32"/>
          <w:highlight w:val="none"/>
        </w:rPr>
        <w:t>度决算数</w:t>
      </w:r>
      <w:r>
        <w:rPr>
          <w:rFonts w:hint="eastAsia" w:ascii="仿宋" w:hAnsi="仿宋" w:eastAsia="仿宋" w:cs="仿宋"/>
          <w:color w:val="auto"/>
          <w:sz w:val="32"/>
          <w:szCs w:val="32"/>
          <w:highlight w:val="none"/>
          <w:lang w:bidi="ar"/>
        </w:rPr>
        <w:t>减少3</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下降</w:t>
      </w:r>
      <w:r>
        <w:rPr>
          <w:rFonts w:hint="eastAsia" w:ascii="仿宋" w:hAnsi="仿宋" w:eastAsia="仿宋" w:cs="仿宋"/>
          <w:color w:val="auto"/>
          <w:sz w:val="32"/>
          <w:szCs w:val="32"/>
          <w:highlight w:val="none"/>
          <w:lang w:val="en-US" w:eastAsia="zh-CN" w:bidi="ar"/>
        </w:rPr>
        <w:t>21.75</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主要原因是：奖励性绩效补贴总额减少。</w:t>
      </w:r>
    </w:p>
    <w:p>
      <w:pPr>
        <w:keepNext w:val="0"/>
        <w:keepLines w:val="0"/>
        <w:pageBreakBefore w:val="0"/>
        <w:widowControl w:val="0"/>
        <w:suppressLineNumbers w:val="0"/>
        <w:kinsoku/>
        <w:wordWrap/>
        <w:overflowPunct/>
        <w:topLinePunct w:val="0"/>
        <w:bidi w:val="0"/>
        <w:snapToGrid/>
        <w:spacing w:before="0" w:beforeAutospacing="0" w:after="0" w:afterAutospacing="0"/>
        <w:ind w:left="0" w:right="0" w:firstLine="620" w:firstLineChars="200"/>
        <w:jc w:val="left"/>
        <w:rPr>
          <w:rFonts w:hint="eastAsia" w:ascii="仿宋" w:hAnsi="仿宋" w:eastAsia="仿宋_GB2312" w:cs="仿宋"/>
          <w:color w:val="auto"/>
          <w:sz w:val="32"/>
          <w:szCs w:val="32"/>
          <w:highlight w:val="none"/>
          <w:lang w:eastAsia="zh-CN" w:bidi="ar"/>
        </w:rPr>
      </w:pPr>
      <w:r>
        <w:rPr>
          <w:rFonts w:hint="default" w:ascii="仿宋_GB2312" w:hAnsi="微软雅黑" w:eastAsia="仿宋_GB2312" w:cs="仿宋_GB2312"/>
          <w:i w:val="0"/>
          <w:iCs w:val="0"/>
          <w:caps w:val="0"/>
          <w:color w:val="auto"/>
          <w:spacing w:val="0"/>
          <w:sz w:val="31"/>
          <w:szCs w:val="31"/>
          <w:highlight w:val="none"/>
          <w:shd w:val="clear" w:color="auto" w:fill="FFFFFF"/>
        </w:rPr>
        <w:t>结余分配</w:t>
      </w:r>
      <w:r>
        <w:rPr>
          <w:rFonts w:hint="eastAsia" w:ascii="仿宋_GB2312" w:hAnsi="微软雅黑" w:eastAsia="仿宋_GB2312" w:cs="仿宋_GB2312"/>
          <w:color w:val="auto"/>
          <w:sz w:val="31"/>
          <w:szCs w:val="31"/>
          <w:highlight w:val="none"/>
          <w:shd w:val="clear" w:color="auto" w:fill="FFFFFF"/>
        </w:rPr>
        <w:t>0.00</w:t>
      </w:r>
      <w:r>
        <w:rPr>
          <w:rFonts w:hint="default" w:ascii="仿宋_GB2312" w:hAnsi="微软雅黑" w:eastAsia="仿宋_GB2312" w:cs="仿宋_GB2312"/>
          <w:i w:val="0"/>
          <w:iCs w:val="0"/>
          <w:caps w:val="0"/>
          <w:color w:val="auto"/>
          <w:spacing w:val="0"/>
          <w:sz w:val="31"/>
          <w:szCs w:val="31"/>
          <w:highlight w:val="none"/>
          <w:shd w:val="clear" w:color="auto" w:fill="FFFFFF"/>
        </w:rPr>
        <w:t>万元，为事业单位按规定提取的专用结余、缴纳所得税和转入非财政拨款结余等。较</w:t>
      </w:r>
      <w:r>
        <w:rPr>
          <w:rFonts w:hint="eastAsia" w:ascii="仿宋_GB2312" w:hAnsi="微软雅黑" w:eastAsia="仿宋_GB2312" w:cs="仿宋_GB2312"/>
          <w:i w:val="0"/>
          <w:iCs w:val="0"/>
          <w:caps w:val="0"/>
          <w:color w:val="auto"/>
          <w:spacing w:val="0"/>
          <w:sz w:val="31"/>
          <w:szCs w:val="31"/>
          <w:highlight w:val="none"/>
          <w:shd w:val="clear" w:color="auto" w:fill="FFFFFF"/>
          <w:lang w:eastAsia="zh-CN"/>
        </w:rPr>
        <w:t>2022年</w:t>
      </w:r>
      <w:r>
        <w:rPr>
          <w:rFonts w:hint="default" w:ascii="仿宋_GB2312" w:hAnsi="微软雅黑" w:eastAsia="仿宋_GB2312" w:cs="仿宋_GB2312"/>
          <w:i w:val="0"/>
          <w:iCs w:val="0"/>
          <w:caps w:val="0"/>
          <w:color w:val="auto"/>
          <w:spacing w:val="0"/>
          <w:sz w:val="31"/>
          <w:szCs w:val="31"/>
          <w:highlight w:val="none"/>
          <w:shd w:val="clear" w:color="auto" w:fill="FFFFFF"/>
        </w:rPr>
        <w:t>决算</w:t>
      </w:r>
      <w:r>
        <w:rPr>
          <w:rFonts w:hint="eastAsia" w:ascii="仿宋_GB2312" w:hAnsi="微软雅黑" w:eastAsia="仿宋_GB2312" w:cs="仿宋_GB2312"/>
          <w:color w:val="auto"/>
          <w:sz w:val="31"/>
          <w:szCs w:val="31"/>
          <w:highlight w:val="none"/>
          <w:shd w:val="clear" w:color="auto" w:fill="FFFFFF"/>
        </w:rPr>
        <w:t>0.00</w:t>
      </w:r>
      <w:r>
        <w:rPr>
          <w:rFonts w:hint="default" w:ascii="仿宋_GB2312" w:hAnsi="微软雅黑" w:eastAsia="仿宋_GB2312" w:cs="仿宋_GB2312"/>
          <w:i w:val="0"/>
          <w:iCs w:val="0"/>
          <w:caps w:val="0"/>
          <w:color w:val="auto"/>
          <w:spacing w:val="0"/>
          <w:sz w:val="31"/>
          <w:szCs w:val="31"/>
          <w:highlight w:val="none"/>
          <w:shd w:val="clear" w:color="auto" w:fill="FFFFFF"/>
        </w:rPr>
        <w:t>万元</w:t>
      </w:r>
      <w:r>
        <w:rPr>
          <w:rFonts w:hint="eastAsia" w:ascii="仿宋_GB2312" w:hAnsi="微软雅黑" w:eastAsia="仿宋_GB2312" w:cs="仿宋_GB2312"/>
          <w:i w:val="0"/>
          <w:iCs w:val="0"/>
          <w:caps w:val="0"/>
          <w:color w:val="auto"/>
          <w:spacing w:val="0"/>
          <w:sz w:val="31"/>
          <w:szCs w:val="31"/>
          <w:highlight w:val="none"/>
          <w:shd w:val="clear" w:color="auto" w:fill="FFFFFF"/>
          <w:lang w:val="en-US" w:eastAsia="zh-CN"/>
        </w:rPr>
        <w:t>,</w:t>
      </w:r>
      <w:r>
        <w:rPr>
          <w:rFonts w:hint="eastAsia" w:ascii="仿宋_GB2312" w:hAnsi="微软雅黑" w:eastAsia="仿宋_GB2312" w:cs="仿宋_GB2312"/>
          <w:color w:val="auto"/>
          <w:sz w:val="31"/>
          <w:szCs w:val="31"/>
          <w:highlight w:val="none"/>
          <w:shd w:val="clear" w:color="auto" w:fill="FFFFFF"/>
        </w:rPr>
        <w:t>增加0.00</w:t>
      </w:r>
      <w:r>
        <w:rPr>
          <w:rFonts w:hint="default" w:ascii="仿宋_GB2312" w:hAnsi="微软雅黑" w:eastAsia="仿宋_GB2312" w:cs="仿宋_GB2312"/>
          <w:i w:val="0"/>
          <w:iCs w:val="0"/>
          <w:caps w:val="0"/>
          <w:color w:val="auto"/>
          <w:spacing w:val="0"/>
          <w:sz w:val="31"/>
          <w:szCs w:val="31"/>
          <w:highlight w:val="none"/>
          <w:shd w:val="clear" w:color="auto" w:fill="FFFFFF"/>
        </w:rPr>
        <w:t>万元，</w:t>
      </w:r>
      <w:r>
        <w:rPr>
          <w:rFonts w:hint="eastAsia" w:ascii="仿宋_GB2312" w:hAnsi="微软雅黑" w:eastAsia="仿宋_GB2312" w:cs="仿宋_GB2312"/>
          <w:color w:val="auto"/>
          <w:sz w:val="31"/>
          <w:szCs w:val="31"/>
          <w:highlight w:val="none"/>
          <w:shd w:val="clear" w:color="auto" w:fill="FFFFFF"/>
        </w:rPr>
        <w:t>增长0%</w:t>
      </w:r>
      <w:r>
        <w:rPr>
          <w:rFonts w:hint="eastAsia" w:ascii="仿宋" w:hAnsi="仿宋" w:eastAsia="仿宋" w:cs="仿宋"/>
          <w:color w:val="auto"/>
          <w:kern w:val="2"/>
          <w:sz w:val="32"/>
          <w:szCs w:val="32"/>
          <w:highlight w:val="none"/>
          <w:lang w:val="en-US" w:eastAsia="zh-CN" w:bidi="ar"/>
        </w:rPr>
        <w:t>。</w:t>
      </w:r>
    </w:p>
    <w:p>
      <w:pPr>
        <w:keepNext w:val="0"/>
        <w:keepLines w:val="0"/>
        <w:pageBreakBefore w:val="0"/>
        <w:widowControl w:val="0"/>
        <w:suppressLineNumbers w:val="0"/>
        <w:kinsoku/>
        <w:wordWrap/>
        <w:overflowPunct/>
        <w:topLinePunct w:val="0"/>
        <w:bidi w:val="0"/>
        <w:snapToGrid/>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sz w:val="32"/>
          <w:szCs w:val="32"/>
          <w:highlight w:val="none"/>
        </w:rPr>
        <w:t>年末结转和结余</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万元，为本年度或以前年度预算安排、因客观条件发生变化无法按原计划实施，需要延迟到以后年度按有关规定继续使用的资金。较</w:t>
      </w:r>
      <w:r>
        <w:rPr>
          <w:rFonts w:hint="eastAsia" w:ascii="仿宋" w:hAnsi="仿宋" w:eastAsia="仿宋" w:cs="仿宋"/>
          <w:color w:val="auto"/>
          <w:sz w:val="32"/>
          <w:szCs w:val="32"/>
          <w:highlight w:val="none"/>
          <w:lang w:eastAsia="zh-CN"/>
        </w:rPr>
        <w:t>2022年</w:t>
      </w:r>
      <w:r>
        <w:rPr>
          <w:rFonts w:hint="eastAsia" w:ascii="仿宋" w:hAnsi="仿宋" w:eastAsia="仿宋" w:cs="仿宋"/>
          <w:color w:val="auto"/>
          <w:sz w:val="32"/>
          <w:szCs w:val="32"/>
          <w:highlight w:val="none"/>
        </w:rPr>
        <w:t>度决算数</w:t>
      </w:r>
      <w:r>
        <w:rPr>
          <w:rFonts w:ascii="仿宋" w:hAnsi="仿宋" w:eastAsia="仿宋" w:cs="仿宋"/>
          <w:color w:val="auto"/>
          <w:sz w:val="32"/>
          <w:u w:color="auto"/>
        </w:rPr>
        <w:t>增加0.00</w:t>
      </w:r>
      <w:r>
        <w:rPr>
          <w:rFonts w:hint="eastAsia" w:ascii="仿宋" w:hAnsi="仿宋" w:eastAsia="仿宋" w:cs="仿宋"/>
          <w:color w:val="auto"/>
          <w:sz w:val="32"/>
          <w:szCs w:val="32"/>
          <w:highlight w:val="none"/>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w:t>
      </w:r>
    </w:p>
    <w:p>
      <w:pPr>
        <w:keepNext w:val="0"/>
        <w:keepLines w:val="0"/>
        <w:pageBreakBefore w:val="0"/>
        <w:widowControl w:val="0"/>
        <w:suppressLineNumbers w:val="0"/>
        <w:kinsoku/>
        <w:wordWrap/>
        <w:overflowPunct/>
        <w:topLinePunct w:val="0"/>
        <w:bidi w:val="0"/>
        <w:snapToGrid/>
        <w:spacing w:before="0" w:beforeAutospacing="0" w:after="0" w:afterAutospacing="0"/>
        <w:ind w:right="0"/>
        <w:jc w:val="left"/>
        <w:rPr>
          <w:rFonts w:hint="eastAsia" w:ascii="仿宋" w:hAnsi="仿宋" w:eastAsia="仿宋" w:cs="仿宋"/>
          <w:color w:val="auto"/>
          <w:kern w:val="2"/>
          <w:sz w:val="32"/>
          <w:szCs w:val="32"/>
          <w:highlight w:val="none"/>
          <w:lang w:val="en-US" w:eastAsia="zh-CN" w:bidi="ar"/>
        </w:rPr>
      </w:pPr>
      <w:r>
        <w:drawing>
          <wp:inline distT="0" distB="0" distL="114300" distR="114300">
            <wp:extent cx="5730875" cy="2647315"/>
            <wp:effectExtent l="4445" t="4445" r="17780" b="1524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kinsoku/>
        <w:wordWrap/>
        <w:overflowPunct/>
        <w:topLinePunct w:val="0"/>
        <w:bidi w:val="0"/>
        <w:snapToGrid/>
        <w:ind w:firstLine="640" w:firstLineChars="200"/>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w:t>
      </w:r>
      <w:bookmarkStart w:id="1" w:name="OLE_LINK1"/>
      <w:r>
        <w:rPr>
          <w:rFonts w:hint="eastAsia" w:ascii="黑体" w:hAnsi="黑体" w:eastAsia="黑体" w:cs="黑体"/>
          <w:color w:val="auto"/>
          <w:sz w:val="32"/>
          <w:szCs w:val="32"/>
          <w:highlight w:val="none"/>
        </w:rPr>
        <w:t>一般公共预算财政拨款支出决算情况</w:t>
      </w:r>
      <w:bookmarkEnd w:id="1"/>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中国共产党环江毛南族自治县委员会党史研究室</w:t>
      </w:r>
      <w:r>
        <w:rPr>
          <w:rFonts w:hint="eastAsia" w:ascii="仿宋" w:hAnsi="仿宋" w:eastAsia="仿宋" w:cs="仿宋"/>
          <w:color w:val="auto"/>
          <w:sz w:val="32"/>
          <w:szCs w:val="32"/>
          <w:highlight w:val="none"/>
          <w:lang w:eastAsia="zh-CN"/>
        </w:rPr>
        <w:t>2023年</w:t>
      </w:r>
      <w:r>
        <w:rPr>
          <w:rFonts w:hint="eastAsia" w:ascii="仿宋" w:hAnsi="仿宋" w:eastAsia="仿宋" w:cs="仿宋"/>
          <w:color w:val="auto"/>
          <w:sz w:val="32"/>
          <w:szCs w:val="32"/>
          <w:highlight w:val="none"/>
        </w:rPr>
        <w:t>度一般公共预算财政拨款支出</w:t>
      </w:r>
      <w:r>
        <w:rPr>
          <w:rFonts w:hint="eastAsia" w:ascii="仿宋" w:hAnsi="仿宋" w:eastAsia="仿宋" w:cs="仿宋"/>
          <w:color w:val="auto"/>
          <w:sz w:val="32"/>
          <w:u w:color="auto"/>
        </w:rPr>
        <w:t>114.86</w:t>
      </w:r>
      <w:r>
        <w:rPr>
          <w:rFonts w:hint="eastAsia" w:ascii="仿宋" w:hAnsi="仿宋" w:eastAsia="仿宋" w:cs="仿宋"/>
          <w:color w:val="auto"/>
          <w:sz w:val="32"/>
          <w:szCs w:val="32"/>
          <w:highlight w:val="none"/>
        </w:rPr>
        <w:t>万元，较</w:t>
      </w:r>
      <w:r>
        <w:rPr>
          <w:rFonts w:hint="eastAsia" w:ascii="仿宋" w:hAnsi="仿宋" w:eastAsia="仿宋" w:cs="仿宋"/>
          <w:color w:val="auto"/>
          <w:sz w:val="32"/>
          <w:szCs w:val="32"/>
          <w:highlight w:val="none"/>
          <w:lang w:eastAsia="zh-CN"/>
        </w:rPr>
        <w:t>2022年</w:t>
      </w:r>
      <w:r>
        <w:rPr>
          <w:rFonts w:hint="eastAsia" w:ascii="仿宋" w:hAnsi="仿宋" w:eastAsia="仿宋" w:cs="仿宋"/>
          <w:color w:val="auto"/>
          <w:sz w:val="32"/>
          <w:szCs w:val="32"/>
          <w:highlight w:val="none"/>
        </w:rPr>
        <w:t>度决算数</w:t>
      </w:r>
      <w:r>
        <w:rPr>
          <w:rFonts w:ascii="仿宋" w:hAnsi="仿宋" w:eastAsia="仿宋" w:cs="仿宋"/>
          <w:color w:val="auto"/>
          <w:sz w:val="32"/>
          <w:u w:color="auto"/>
        </w:rPr>
        <w:t>减少1</w:t>
      </w:r>
      <w:r>
        <w:rPr>
          <w:rFonts w:hint="eastAsia" w:ascii="仿宋" w:hAnsi="仿宋" w:eastAsia="仿宋" w:cs="仿宋"/>
          <w:color w:val="auto"/>
          <w:sz w:val="32"/>
          <w:u w:color="auto"/>
          <w:lang w:val="en-US" w:eastAsia="zh-CN"/>
        </w:rPr>
        <w:t>7</w:t>
      </w:r>
      <w:r>
        <w:rPr>
          <w:rFonts w:ascii="仿宋" w:hAnsi="仿宋" w:eastAsia="仿宋" w:cs="仿宋"/>
          <w:color w:val="auto"/>
          <w:sz w:val="32"/>
          <w:u w:color="auto"/>
        </w:rPr>
        <w:t>.42</w:t>
      </w:r>
      <w:r>
        <w:rPr>
          <w:rFonts w:hint="eastAsia" w:ascii="仿宋" w:hAnsi="仿宋" w:eastAsia="仿宋" w:cs="仿宋"/>
          <w:color w:val="auto"/>
          <w:sz w:val="32"/>
          <w:szCs w:val="32"/>
          <w:highlight w:val="none"/>
        </w:rPr>
        <w:t>万元，</w:t>
      </w:r>
      <w:r>
        <w:rPr>
          <w:rFonts w:hint="eastAsia" w:ascii="仿宋" w:hAnsi="仿宋" w:eastAsia="仿宋" w:cs="仿宋"/>
          <w:color w:val="auto"/>
          <w:sz w:val="32"/>
          <w:u w:color="auto"/>
          <w:lang w:val="en-US" w:eastAsia="zh-CN"/>
        </w:rPr>
        <w:t>13.17</w:t>
      </w:r>
      <w:r>
        <w:rPr>
          <w:rFonts w:ascii="仿宋" w:hAnsi="仿宋" w:eastAsia="仿宋" w:cs="仿宋"/>
          <w:color w:val="auto"/>
          <w:sz w:val="32"/>
          <w:u w:color="auto"/>
        </w:rPr>
        <w:t>%</w:t>
      </w:r>
      <w:r>
        <w:rPr>
          <w:rFonts w:hint="eastAsia" w:ascii="仿宋" w:hAnsi="仿宋" w:eastAsia="仿宋" w:cs="仿宋"/>
          <w:color w:val="auto"/>
          <w:sz w:val="32"/>
          <w:szCs w:val="32"/>
          <w:highlight w:val="none"/>
        </w:rPr>
        <w:t>。其中：基本支出</w:t>
      </w:r>
      <w:r>
        <w:rPr>
          <w:rFonts w:hint="eastAsia" w:ascii="仿宋" w:hAnsi="仿宋" w:eastAsia="仿宋" w:cs="仿宋"/>
          <w:color w:val="auto"/>
          <w:sz w:val="32"/>
          <w:u w:color="auto"/>
        </w:rPr>
        <w:t>108.06</w:t>
      </w:r>
      <w:r>
        <w:rPr>
          <w:rFonts w:hint="eastAsia" w:ascii="仿宋" w:hAnsi="仿宋" w:eastAsia="仿宋" w:cs="仿宋"/>
          <w:color w:val="auto"/>
          <w:sz w:val="32"/>
          <w:szCs w:val="32"/>
          <w:highlight w:val="none"/>
        </w:rPr>
        <w:t>万元，项目支出</w:t>
      </w:r>
      <w:r>
        <w:rPr>
          <w:rFonts w:hint="eastAsia" w:ascii="仿宋" w:hAnsi="仿宋" w:eastAsia="仿宋" w:cs="仿宋"/>
          <w:color w:val="auto"/>
          <w:sz w:val="32"/>
          <w:u w:color="auto"/>
          <w:lang w:val="en-US" w:eastAsia="zh-CN"/>
        </w:rPr>
        <w:t>6.8</w:t>
      </w:r>
      <w:r>
        <w:rPr>
          <w:rFonts w:hint="eastAsia" w:ascii="仿宋" w:hAnsi="仿宋" w:eastAsia="仿宋" w:cs="仿宋"/>
          <w:color w:val="auto"/>
          <w:sz w:val="32"/>
          <w:szCs w:val="32"/>
          <w:highlight w:val="none"/>
        </w:rPr>
        <w:t>万元。</w:t>
      </w:r>
    </w:p>
    <w:p>
      <w:pPr>
        <w:keepNext w:val="0"/>
        <w:keepLines w:val="0"/>
        <w:pageBreakBefore w:val="0"/>
        <w:kinsoku/>
        <w:wordWrap/>
        <w:overflowPunct/>
        <w:topLinePunct w:val="0"/>
        <w:bidi w:val="0"/>
        <w:snapToGrid/>
        <w:ind w:firstLine="640" w:firstLineChars="200"/>
        <w:jc w:val="left"/>
        <w:rPr>
          <w:rFonts w:ascii="仿宋" w:hAnsi="仿宋" w:eastAsia="仿宋"/>
          <w:color w:val="auto"/>
          <w:sz w:val="32"/>
          <w:szCs w:val="32"/>
          <w:highlight w:val="yellow"/>
        </w:rPr>
      </w:pPr>
      <w:r>
        <w:rPr>
          <w:rFonts w:hint="eastAsia" w:ascii="仿宋" w:hAnsi="仿宋" w:eastAsia="仿宋" w:cs="仿宋"/>
          <w:color w:val="auto"/>
          <w:sz w:val="32"/>
          <w:szCs w:val="32"/>
          <w:highlight w:val="none"/>
        </w:rPr>
        <w:t>中国共产党环江毛南族自治县委员会党史研究室202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年度一般公共预算财政拨款支出年初预算为</w:t>
      </w:r>
      <w:r>
        <w:rPr>
          <w:rFonts w:ascii="仿宋" w:hAnsi="仿宋" w:eastAsia="仿宋" w:cs="仿宋"/>
          <w:color w:val="auto"/>
          <w:sz w:val="32"/>
          <w:highlight w:val="none"/>
          <w:u w:color="auto"/>
        </w:rPr>
        <w:t>8</w:t>
      </w:r>
      <w:r>
        <w:rPr>
          <w:rFonts w:hint="eastAsia" w:ascii="仿宋" w:hAnsi="仿宋" w:eastAsia="仿宋" w:cs="仿宋"/>
          <w:color w:val="auto"/>
          <w:sz w:val="32"/>
          <w:highlight w:val="none"/>
          <w:u w:color="auto"/>
          <w:lang w:val="en-US" w:eastAsia="zh-CN"/>
        </w:rPr>
        <w:t>5</w:t>
      </w:r>
      <w:r>
        <w:rPr>
          <w:rFonts w:ascii="仿宋" w:hAnsi="仿宋" w:eastAsia="仿宋" w:cs="仿宋"/>
          <w:color w:val="auto"/>
          <w:sz w:val="32"/>
          <w:highlight w:val="none"/>
          <w:u w:color="auto"/>
        </w:rPr>
        <w:t>.</w:t>
      </w:r>
      <w:r>
        <w:rPr>
          <w:rFonts w:hint="eastAsia" w:ascii="仿宋" w:hAnsi="仿宋" w:eastAsia="仿宋" w:cs="仿宋"/>
          <w:color w:val="auto"/>
          <w:sz w:val="32"/>
          <w:highlight w:val="none"/>
          <w:u w:color="auto"/>
          <w:lang w:val="en-US" w:eastAsia="zh-CN"/>
        </w:rPr>
        <w:t>58</w:t>
      </w:r>
      <w:r>
        <w:rPr>
          <w:rFonts w:hint="eastAsia" w:ascii="仿宋" w:hAnsi="仿宋" w:eastAsia="仿宋" w:cs="仿宋"/>
          <w:color w:val="auto"/>
          <w:sz w:val="32"/>
          <w:szCs w:val="32"/>
          <w:highlight w:val="none"/>
        </w:rPr>
        <w:t>万元，支出决算为</w:t>
      </w:r>
      <w:r>
        <w:rPr>
          <w:rFonts w:hint="eastAsia" w:ascii="仿宋" w:hAnsi="仿宋" w:eastAsia="仿宋" w:cs="仿宋"/>
          <w:color w:val="auto"/>
          <w:sz w:val="32"/>
          <w:highlight w:val="none"/>
          <w:u w:color="auto"/>
        </w:rPr>
        <w:t>114.86</w:t>
      </w:r>
      <w:r>
        <w:rPr>
          <w:rFonts w:hint="eastAsia" w:ascii="仿宋" w:hAnsi="仿宋" w:eastAsia="仿宋" w:cs="仿宋"/>
          <w:color w:val="auto"/>
          <w:sz w:val="32"/>
          <w:szCs w:val="32"/>
          <w:highlight w:val="none"/>
        </w:rPr>
        <w:t>万元，完成年初预算的</w:t>
      </w:r>
      <w:r>
        <w:rPr>
          <w:rFonts w:hint="eastAsia" w:ascii="仿宋" w:hAnsi="仿宋" w:eastAsia="仿宋" w:cs="仿宋"/>
          <w:color w:val="auto"/>
          <w:sz w:val="32"/>
          <w:highlight w:val="none"/>
          <w:u w:color="auto"/>
          <w:lang w:val="en-US" w:eastAsia="zh-CN"/>
        </w:rPr>
        <w:t>134.21</w:t>
      </w:r>
      <w:r>
        <w:rPr>
          <w:rFonts w:ascii="仿宋" w:hAnsi="仿宋" w:eastAsia="仿宋" w:cs="仿宋"/>
          <w:color w:val="auto"/>
          <w:sz w:val="32"/>
          <w:highlight w:val="none"/>
          <w:u w:color="auto"/>
        </w:rPr>
        <w:t>%</w:t>
      </w:r>
      <w:r>
        <w:rPr>
          <w:rFonts w:hint="eastAsia" w:ascii="仿宋" w:hAnsi="仿宋" w:eastAsia="仿宋" w:cs="仿宋"/>
          <w:color w:val="auto"/>
          <w:sz w:val="32"/>
          <w:szCs w:val="32"/>
          <w:highlight w:val="none"/>
        </w:rPr>
        <w:t>。</w:t>
      </w:r>
      <w:bookmarkStart w:id="2" w:name="OLE_LINK2"/>
      <w:bookmarkEnd w:id="2"/>
    </w:p>
    <w:p>
      <w:pPr>
        <w:keepNext w:val="0"/>
        <w:keepLines w:val="0"/>
        <w:pageBreakBefore w:val="0"/>
        <w:widowControl w:val="0"/>
        <w:numPr>
          <w:ilvl w:val="0"/>
          <w:numId w:val="1"/>
        </w:numPr>
        <w:suppressLineNumbers w:val="0"/>
        <w:kinsoku/>
        <w:wordWrap/>
        <w:overflowPunct/>
        <w:topLinePunct w:val="0"/>
        <w:bidi w:val="0"/>
        <w:snapToGrid/>
        <w:spacing w:before="0" w:beforeAutospacing="0" w:after="0" w:afterAutospacing="0"/>
        <w:ind w:left="0" w:leftChars="0" w:right="0" w:rightChars="0" w:firstLine="640" w:firstLineChars="20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一般公共服务支出</w:t>
      </w:r>
      <w:r>
        <w:rPr>
          <w:rFonts w:ascii="仿宋" w:hAnsi="仿宋" w:eastAsia="仿宋"/>
          <w:color w:val="auto"/>
          <w:sz w:val="32"/>
          <w:u w:color="auto"/>
        </w:rPr>
        <w:t>（201</w:t>
      </w:r>
      <w:r>
        <w:rPr>
          <w:rFonts w:hint="eastAsia" w:ascii="仿宋" w:hAnsi="仿宋" w:eastAsia="仿宋"/>
          <w:color w:val="auto"/>
          <w:sz w:val="32"/>
          <w:szCs w:val="32"/>
          <w:highlight w:val="none"/>
        </w:rPr>
        <w:t>类）年初预算为</w:t>
      </w:r>
      <w:r>
        <w:rPr>
          <w:rFonts w:hint="eastAsia" w:ascii="仿宋" w:hAnsi="仿宋" w:eastAsia="仿宋"/>
          <w:color w:val="auto"/>
          <w:sz w:val="32"/>
          <w:szCs w:val="32"/>
          <w:highlight w:val="none"/>
          <w:lang w:val="en-US" w:eastAsia="zh-CN"/>
        </w:rPr>
        <w:t>69.94</w:t>
      </w:r>
      <w:r>
        <w:rPr>
          <w:rFonts w:hint="eastAsia" w:ascii="仿宋" w:hAnsi="仿宋" w:eastAsia="仿宋"/>
          <w:color w:val="auto"/>
          <w:sz w:val="32"/>
          <w:szCs w:val="32"/>
          <w:highlight w:val="none"/>
        </w:rPr>
        <w:t>万元，支出决算为</w:t>
      </w:r>
      <w:r>
        <w:rPr>
          <w:rFonts w:hint="eastAsia" w:ascii="仿宋" w:hAnsi="仿宋" w:eastAsia="仿宋" w:cs="仿宋"/>
          <w:color w:val="auto"/>
          <w:sz w:val="32"/>
          <w:szCs w:val="32"/>
          <w:highlight w:val="none"/>
          <w:lang w:val="en-US" w:eastAsia="zh-CN" w:bidi="ar"/>
        </w:rPr>
        <w:t>83.33</w:t>
      </w:r>
      <w:r>
        <w:rPr>
          <w:rFonts w:hint="eastAsia" w:ascii="仿宋" w:hAnsi="仿宋" w:eastAsia="仿宋"/>
          <w:color w:val="auto"/>
          <w:sz w:val="32"/>
          <w:szCs w:val="32"/>
          <w:highlight w:val="none"/>
        </w:rPr>
        <w:t>万元，完成年初预算的</w:t>
      </w:r>
      <w:r>
        <w:rPr>
          <w:rFonts w:hint="eastAsia" w:ascii="仿宋" w:hAnsi="仿宋" w:eastAsia="仿宋"/>
          <w:color w:val="auto"/>
          <w:sz w:val="32"/>
          <w:szCs w:val="32"/>
          <w:highlight w:val="none"/>
          <w:lang w:val="en-US" w:eastAsia="zh-CN"/>
        </w:rPr>
        <w:t>119.14</w:t>
      </w:r>
      <w:r>
        <w:rPr>
          <w:rFonts w:ascii="仿宋" w:hAnsi="仿宋" w:eastAsia="仿宋"/>
          <w:color w:val="auto"/>
          <w:sz w:val="32"/>
          <w:szCs w:val="32"/>
          <w:highlight w:val="none"/>
        </w:rPr>
        <w:t>%</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w:t>
      </w:r>
      <w:r>
        <w:rPr>
          <w:rFonts w:ascii="仿宋_GB2312" w:hAnsi="宋体" w:eastAsia="仿宋_GB2312" w:cs="仿宋_GB2312"/>
          <w:i w:val="0"/>
          <w:iCs w:val="0"/>
          <w:caps w:val="0"/>
          <w:color w:val="auto"/>
          <w:spacing w:val="0"/>
          <w:sz w:val="31"/>
          <w:szCs w:val="31"/>
          <w:shd w:val="clear" w:fill="FFFFFF"/>
        </w:rPr>
        <w:t>年初预算安排是根据上年度人员工资基数编制年初预算，受人员工资的增资调资、项目控制数的影响，未能将全部项目列入年初预算按排，在项目执行过程中，只能通过追加经费、调整预算来按排，导致了预决算数差异的存在。</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9465" w:type="dxa"/>
        <w:tblInd w:w="-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6"/>
        <w:gridCol w:w="2354"/>
        <w:gridCol w:w="840"/>
        <w:gridCol w:w="780"/>
        <w:gridCol w:w="990"/>
        <w:gridCol w:w="2220"/>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1" w:hRule="atLeast"/>
        </w:trPr>
        <w:tc>
          <w:tcPr>
            <w:tcW w:w="916" w:type="dxa"/>
            <w:tcBorders>
              <w:top w:val="dotted" w:color="000000" w:sz="4" w:space="0"/>
              <w:left w:val="dotted" w:color="000000" w:sz="4" w:space="0"/>
              <w:bottom w:val="dotted" w:color="000000" w:sz="4" w:space="0"/>
              <w:right w:val="dotted"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类款项</w:t>
            </w:r>
          </w:p>
        </w:tc>
        <w:tc>
          <w:tcPr>
            <w:tcW w:w="2354" w:type="dxa"/>
            <w:tcBorders>
              <w:top w:val="dotted" w:color="000000" w:sz="4" w:space="0"/>
              <w:left w:val="nil"/>
              <w:bottom w:val="dotted" w:color="000000" w:sz="4" w:space="0"/>
              <w:right w:val="dotted"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840" w:type="dxa"/>
            <w:tcBorders>
              <w:top w:val="dotted" w:color="000000" w:sz="4" w:space="0"/>
              <w:left w:val="nil"/>
              <w:bottom w:val="dotted" w:color="000000" w:sz="4" w:space="0"/>
              <w:right w:val="dotted"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780" w:type="dxa"/>
            <w:tcBorders>
              <w:top w:val="dotted" w:color="000000" w:sz="4" w:space="0"/>
              <w:left w:val="nil"/>
              <w:bottom w:val="dotted" w:color="000000" w:sz="4" w:space="0"/>
              <w:right w:val="dotted"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w:t>
            </w:r>
          </w:p>
        </w:tc>
        <w:tc>
          <w:tcPr>
            <w:tcW w:w="990" w:type="dxa"/>
            <w:tcBorders>
              <w:top w:val="dotted" w:color="000000" w:sz="4" w:space="0"/>
              <w:left w:val="nil"/>
              <w:bottom w:val="dotted" w:color="000000" w:sz="4" w:space="0"/>
              <w:right w:val="dotted"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完成预算百分比</w:t>
            </w:r>
          </w:p>
        </w:tc>
        <w:tc>
          <w:tcPr>
            <w:tcW w:w="2220" w:type="dxa"/>
            <w:tcBorders>
              <w:top w:val="dotted" w:color="000000" w:sz="4" w:space="0"/>
              <w:left w:val="nil"/>
              <w:bottom w:val="dotted" w:color="000000" w:sz="4" w:space="0"/>
              <w:right w:val="dotted"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主要用于</w:t>
            </w:r>
          </w:p>
        </w:tc>
        <w:tc>
          <w:tcPr>
            <w:tcW w:w="1365" w:type="dxa"/>
            <w:tcBorders>
              <w:top w:val="dotted" w:color="000000" w:sz="4" w:space="0"/>
              <w:left w:val="nil"/>
              <w:bottom w:val="dotted" w:color="000000" w:sz="4" w:space="0"/>
              <w:right w:val="dotted"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916" w:type="dxa"/>
            <w:tcBorders>
              <w:top w:val="nil"/>
              <w:left w:val="dotted" w:color="000000" w:sz="4" w:space="0"/>
              <w:bottom w:val="dotted" w:color="000000" w:sz="4" w:space="0"/>
              <w:right w:val="dotted"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2010301</w:t>
            </w:r>
          </w:p>
        </w:tc>
        <w:tc>
          <w:tcPr>
            <w:tcW w:w="2354" w:type="dxa"/>
            <w:tcBorders>
              <w:top w:val="nil"/>
              <w:left w:val="nil"/>
              <w:bottom w:val="dotted" w:color="000000" w:sz="4" w:space="0"/>
              <w:right w:val="dotted"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840" w:type="dxa"/>
            <w:tcBorders>
              <w:top w:val="nil"/>
              <w:left w:val="nil"/>
              <w:bottom w:val="dotted" w:color="000000" w:sz="4" w:space="0"/>
              <w:right w:val="dotted"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68.82</w:t>
            </w:r>
          </w:p>
        </w:tc>
        <w:tc>
          <w:tcPr>
            <w:tcW w:w="780" w:type="dxa"/>
            <w:tcBorders>
              <w:top w:val="nil"/>
              <w:left w:val="nil"/>
              <w:bottom w:val="dotted" w:color="000000" w:sz="4" w:space="0"/>
              <w:right w:val="dotted"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79.88</w:t>
            </w:r>
          </w:p>
        </w:tc>
        <w:tc>
          <w:tcPr>
            <w:tcW w:w="990" w:type="dxa"/>
            <w:tcBorders>
              <w:top w:val="nil"/>
              <w:left w:val="nil"/>
              <w:bottom w:val="dotted" w:color="000000" w:sz="4" w:space="0"/>
              <w:right w:val="dotted"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116.07%</w:t>
            </w:r>
          </w:p>
        </w:tc>
        <w:tc>
          <w:tcPr>
            <w:tcW w:w="2220" w:type="dxa"/>
            <w:tcBorders>
              <w:top w:val="nil"/>
              <w:left w:val="nil"/>
              <w:bottom w:val="dotted" w:color="000000" w:sz="4" w:space="0"/>
              <w:right w:val="dotted" w:color="000000" w:sz="4" w:space="0"/>
            </w:tcBorders>
            <w:shd w:val="clear" w:color="auto" w:fill="FFFFFF"/>
            <w:noWrap/>
            <w:vAlign w:val="center"/>
          </w:tcPr>
          <w:p>
            <w:pPr>
              <w:keepNext w:val="0"/>
              <w:keepLines w:val="0"/>
              <w:widowControl/>
              <w:suppressLineNumbers w:val="0"/>
              <w:jc w:val="center"/>
              <w:textAlignment w:val="center"/>
              <w:rPr>
                <w:rFonts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人员经费及日常开支</w:t>
            </w:r>
          </w:p>
        </w:tc>
        <w:tc>
          <w:tcPr>
            <w:tcW w:w="1365" w:type="dxa"/>
            <w:tcBorders>
              <w:top w:val="nil"/>
              <w:left w:val="nil"/>
              <w:bottom w:val="dotted" w:color="000000" w:sz="4" w:space="0"/>
              <w:right w:val="dotted"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调整工资及基数调整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916" w:type="dxa"/>
            <w:tcBorders>
              <w:top w:val="nil"/>
              <w:left w:val="dotted" w:color="000000" w:sz="4" w:space="0"/>
              <w:bottom w:val="dotted" w:color="000000" w:sz="4" w:space="0"/>
              <w:right w:val="dotted"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2010399</w:t>
            </w:r>
          </w:p>
        </w:tc>
        <w:tc>
          <w:tcPr>
            <w:tcW w:w="2354" w:type="dxa"/>
            <w:tcBorders>
              <w:top w:val="nil"/>
              <w:left w:val="nil"/>
              <w:bottom w:val="dotted" w:color="000000" w:sz="4" w:space="0"/>
              <w:right w:val="dotted"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其他政府办公厅（室）</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及相关机构事务支出</w:t>
            </w:r>
          </w:p>
        </w:tc>
        <w:tc>
          <w:tcPr>
            <w:tcW w:w="840" w:type="dxa"/>
            <w:tcBorders>
              <w:top w:val="nil"/>
              <w:left w:val="nil"/>
              <w:bottom w:val="dotted" w:color="000000" w:sz="4" w:space="0"/>
              <w:right w:val="dotted"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80" w:type="dxa"/>
            <w:tcBorders>
              <w:top w:val="nil"/>
              <w:left w:val="nil"/>
              <w:bottom w:val="dotted" w:color="000000" w:sz="4" w:space="0"/>
              <w:right w:val="dotted"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990" w:type="dxa"/>
            <w:tcBorders>
              <w:top w:val="nil"/>
              <w:left w:val="nil"/>
              <w:bottom w:val="dotted" w:color="000000" w:sz="4" w:space="0"/>
              <w:right w:val="dotted"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#DIV/0!</w:t>
            </w:r>
          </w:p>
        </w:tc>
        <w:tc>
          <w:tcPr>
            <w:tcW w:w="2220" w:type="dxa"/>
            <w:tcBorders>
              <w:top w:val="nil"/>
              <w:left w:val="nil"/>
              <w:bottom w:val="dotted" w:color="000000" w:sz="4" w:space="0"/>
              <w:right w:val="dotted"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2023年新增功能科目</w:t>
            </w:r>
          </w:p>
        </w:tc>
        <w:tc>
          <w:tcPr>
            <w:tcW w:w="1365" w:type="dxa"/>
            <w:tcBorders>
              <w:top w:val="nil"/>
              <w:left w:val="nil"/>
              <w:bottom w:val="dotted" w:color="000000" w:sz="4" w:space="0"/>
              <w:right w:val="dotted"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16" w:type="dxa"/>
            <w:tcBorders>
              <w:top w:val="nil"/>
              <w:left w:val="dotted" w:color="000000" w:sz="4" w:space="0"/>
              <w:bottom w:val="dotted" w:color="000000" w:sz="4" w:space="0"/>
              <w:right w:val="dotted"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2012901</w:t>
            </w:r>
          </w:p>
        </w:tc>
        <w:tc>
          <w:tcPr>
            <w:tcW w:w="2354" w:type="dxa"/>
            <w:tcBorders>
              <w:top w:val="nil"/>
              <w:left w:val="nil"/>
              <w:bottom w:val="dotted" w:color="000000" w:sz="4" w:space="0"/>
              <w:right w:val="dotted"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840" w:type="dxa"/>
            <w:tcBorders>
              <w:top w:val="nil"/>
              <w:left w:val="nil"/>
              <w:bottom w:val="dotted" w:color="000000" w:sz="4" w:space="0"/>
              <w:right w:val="dotted"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80" w:type="dxa"/>
            <w:tcBorders>
              <w:top w:val="nil"/>
              <w:left w:val="nil"/>
              <w:bottom w:val="dotted" w:color="000000" w:sz="4" w:space="0"/>
              <w:right w:val="dotted" w:color="000000" w:sz="4" w:space="0"/>
            </w:tcBorders>
            <w:shd w:val="clear" w:color="auto" w:fill="FFFFFF"/>
            <w:noWrap/>
            <w:vAlign w:val="center"/>
          </w:tcPr>
          <w:p>
            <w:pPr>
              <w:keepNext w:val="0"/>
              <w:keepLines w:val="0"/>
              <w:widowControl/>
              <w:suppressLineNumbers w:val="0"/>
              <w:jc w:val="center"/>
              <w:textAlignment w:val="center"/>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0.3</w:t>
            </w:r>
          </w:p>
        </w:tc>
        <w:tc>
          <w:tcPr>
            <w:tcW w:w="990" w:type="dxa"/>
            <w:tcBorders>
              <w:top w:val="nil"/>
              <w:left w:val="nil"/>
              <w:bottom w:val="dotted" w:color="000000" w:sz="4" w:space="0"/>
              <w:right w:val="dotted"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#DIV/0!</w:t>
            </w:r>
          </w:p>
        </w:tc>
        <w:tc>
          <w:tcPr>
            <w:tcW w:w="2220" w:type="dxa"/>
            <w:tcBorders>
              <w:top w:val="nil"/>
              <w:left w:val="nil"/>
              <w:bottom w:val="dotted" w:color="000000" w:sz="4" w:space="0"/>
              <w:right w:val="dotted"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日常开支</w:t>
            </w:r>
          </w:p>
        </w:tc>
        <w:tc>
          <w:tcPr>
            <w:tcW w:w="1365" w:type="dxa"/>
            <w:tcBorders>
              <w:top w:val="nil"/>
              <w:left w:val="nil"/>
              <w:bottom w:val="dotted" w:color="000000" w:sz="4" w:space="0"/>
              <w:right w:val="dotted"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916" w:type="dxa"/>
            <w:tcBorders>
              <w:top w:val="nil"/>
              <w:left w:val="dotted" w:color="000000" w:sz="4" w:space="0"/>
              <w:bottom w:val="dotted" w:color="000000" w:sz="4" w:space="0"/>
              <w:right w:val="dotted"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2012999</w:t>
            </w:r>
          </w:p>
        </w:tc>
        <w:tc>
          <w:tcPr>
            <w:tcW w:w="2354" w:type="dxa"/>
            <w:tcBorders>
              <w:top w:val="nil"/>
              <w:left w:val="nil"/>
              <w:bottom w:val="dotted" w:color="000000" w:sz="4" w:space="0"/>
              <w:right w:val="dotted"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其他群众团体事务支出</w:t>
            </w:r>
          </w:p>
        </w:tc>
        <w:tc>
          <w:tcPr>
            <w:tcW w:w="840" w:type="dxa"/>
            <w:tcBorders>
              <w:top w:val="nil"/>
              <w:left w:val="nil"/>
              <w:bottom w:val="dotted" w:color="000000" w:sz="4" w:space="0"/>
              <w:right w:val="dotted"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780" w:type="dxa"/>
            <w:tcBorders>
              <w:top w:val="nil"/>
              <w:left w:val="nil"/>
              <w:bottom w:val="dotted" w:color="000000" w:sz="4" w:space="0"/>
              <w:right w:val="dotted"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990" w:type="dxa"/>
            <w:tcBorders>
              <w:top w:val="nil"/>
              <w:left w:val="nil"/>
              <w:bottom w:val="dotted" w:color="000000" w:sz="4" w:space="0"/>
              <w:right w:val="dotted"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2220" w:type="dxa"/>
            <w:tcBorders>
              <w:top w:val="nil"/>
              <w:left w:val="nil"/>
              <w:bottom w:val="dotted" w:color="000000" w:sz="4" w:space="0"/>
              <w:right w:val="dotted"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在职人员工会经费单位部分开支</w:t>
            </w:r>
          </w:p>
        </w:tc>
        <w:tc>
          <w:tcPr>
            <w:tcW w:w="1365" w:type="dxa"/>
            <w:tcBorders>
              <w:top w:val="nil"/>
              <w:left w:val="nil"/>
              <w:bottom w:val="dotted" w:color="000000" w:sz="4" w:space="0"/>
              <w:right w:val="dotted"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916" w:type="dxa"/>
            <w:tcBorders>
              <w:top w:val="nil"/>
              <w:left w:val="dotted" w:color="000000" w:sz="4" w:space="0"/>
              <w:bottom w:val="dotted" w:color="000000" w:sz="4" w:space="0"/>
              <w:right w:val="dotted"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合计数</w:t>
            </w:r>
          </w:p>
        </w:tc>
        <w:tc>
          <w:tcPr>
            <w:tcW w:w="2354" w:type="dxa"/>
            <w:tcBorders>
              <w:top w:val="nil"/>
              <w:left w:val="nil"/>
              <w:bottom w:val="dotted" w:color="000000" w:sz="4" w:space="0"/>
              <w:right w:val="dotted"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840" w:type="dxa"/>
            <w:tcBorders>
              <w:top w:val="nil"/>
              <w:left w:val="nil"/>
              <w:bottom w:val="dotted" w:color="000000" w:sz="4" w:space="0"/>
              <w:right w:val="dotted"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69.94</w:t>
            </w:r>
          </w:p>
        </w:tc>
        <w:tc>
          <w:tcPr>
            <w:tcW w:w="780" w:type="dxa"/>
            <w:tcBorders>
              <w:top w:val="nil"/>
              <w:left w:val="nil"/>
              <w:bottom w:val="dotted" w:color="000000" w:sz="4" w:space="0"/>
              <w:right w:val="dotted"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83.34</w:t>
            </w:r>
          </w:p>
        </w:tc>
        <w:tc>
          <w:tcPr>
            <w:tcW w:w="990" w:type="dxa"/>
            <w:tcBorders>
              <w:top w:val="nil"/>
              <w:left w:val="nil"/>
              <w:bottom w:val="dotted" w:color="000000" w:sz="4" w:space="0"/>
              <w:right w:val="dotted"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119.16%</w:t>
            </w:r>
          </w:p>
        </w:tc>
        <w:tc>
          <w:tcPr>
            <w:tcW w:w="2220" w:type="dxa"/>
            <w:tcBorders>
              <w:top w:val="nil"/>
              <w:left w:val="nil"/>
              <w:bottom w:val="dotted" w:color="000000" w:sz="4" w:space="0"/>
              <w:right w:val="dotted"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365" w:type="dxa"/>
            <w:tcBorders>
              <w:top w:val="nil"/>
              <w:left w:val="nil"/>
              <w:bottom w:val="dotted" w:color="000000" w:sz="4" w:space="0"/>
              <w:right w:val="dotted"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r>
    </w:tbl>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ind w:leftChars="200" w:right="0" w:rightChars="0"/>
        <w:jc w:val="left"/>
      </w:pPr>
    </w:p>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ind w:leftChars="200" w:right="0" w:rightChars="0"/>
        <w:jc w:val="left"/>
      </w:pPr>
      <w:r>
        <w:drawing>
          <wp:inline distT="0" distB="0" distL="114300" distR="114300">
            <wp:extent cx="4826000" cy="2914650"/>
            <wp:effectExtent l="4445" t="4445" r="825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ind w:leftChars="200" w:right="0" w:rightChars="0"/>
        <w:jc w:val="left"/>
        <w:rPr>
          <w:rFonts w:hint="eastAsia" w:ascii="仿宋" w:hAnsi="仿宋" w:eastAsia="仿宋"/>
          <w:color w:val="auto"/>
          <w:sz w:val="32"/>
          <w:szCs w:val="32"/>
          <w:highlight w:val="none"/>
        </w:rPr>
      </w:pPr>
    </w:p>
    <w:p>
      <w:pPr>
        <w:keepNext w:val="0"/>
        <w:keepLines w:val="0"/>
        <w:pageBreakBefore w:val="0"/>
        <w:widowControl w:val="0"/>
        <w:numPr>
          <w:ilvl w:val="0"/>
          <w:numId w:val="1"/>
        </w:numPr>
        <w:suppressLineNumbers w:val="0"/>
        <w:kinsoku/>
        <w:wordWrap/>
        <w:overflowPunct/>
        <w:topLinePunct w:val="0"/>
        <w:bidi w:val="0"/>
        <w:snapToGrid/>
        <w:spacing w:before="0" w:beforeAutospacing="0" w:after="0" w:afterAutospacing="0"/>
        <w:ind w:left="0" w:leftChars="0" w:right="0" w:rightChars="0" w:firstLine="640" w:firstLineChars="200"/>
        <w:jc w:val="left"/>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其他科学技术支出</w:t>
      </w:r>
      <w:r>
        <w:rPr>
          <w:rFonts w:hint="eastAsia" w:ascii="仿宋" w:hAnsi="仿宋" w:eastAsia="仿宋"/>
          <w:color w:val="auto"/>
          <w:sz w:val="32"/>
          <w:szCs w:val="32"/>
          <w:highlight w:val="none"/>
        </w:rPr>
        <w:t>年初预算为</w:t>
      </w:r>
      <w:r>
        <w:rPr>
          <w:rFonts w:hint="eastAsia" w:ascii="仿宋" w:hAnsi="仿宋" w:eastAsia="仿宋"/>
          <w:color w:val="auto"/>
          <w:sz w:val="32"/>
          <w:szCs w:val="32"/>
          <w:highlight w:val="none"/>
          <w:lang w:val="en-US" w:eastAsia="zh-CN"/>
        </w:rPr>
        <w:t>0万元，</w:t>
      </w:r>
      <w:r>
        <w:rPr>
          <w:rFonts w:hint="eastAsia" w:ascii="仿宋" w:hAnsi="仿宋" w:eastAsia="仿宋"/>
          <w:color w:val="auto"/>
          <w:sz w:val="32"/>
          <w:szCs w:val="32"/>
          <w:highlight w:val="none"/>
        </w:rPr>
        <w:t>支出决算为</w:t>
      </w:r>
      <w:r>
        <w:rPr>
          <w:rFonts w:hint="eastAsia" w:ascii="仿宋" w:hAnsi="仿宋" w:eastAsia="仿宋"/>
          <w:color w:val="auto"/>
          <w:sz w:val="32"/>
          <w:szCs w:val="32"/>
          <w:highlight w:val="none"/>
          <w:lang w:val="en-US" w:eastAsia="zh-CN"/>
        </w:rPr>
        <w:t>3.59万元，</w:t>
      </w:r>
      <w:r>
        <w:rPr>
          <w:rFonts w:hint="eastAsia" w:ascii="仿宋" w:hAnsi="仿宋" w:eastAsia="仿宋"/>
          <w:color w:val="auto"/>
          <w:sz w:val="32"/>
          <w:szCs w:val="32"/>
          <w:highlight w:val="none"/>
        </w:rPr>
        <w:t>完成年初预算的</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原因是：科学技术支出支出未纳入年初预算安排。</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2069999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其他科学技术支出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3.59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调整支出功能分类科目</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3.59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ind w:leftChars="200" w:right="0" w:rightChars="0"/>
        <w:jc w:val="left"/>
        <w:rPr>
          <w:rFonts w:hint="eastAsia" w:ascii="仿宋" w:hAnsi="仿宋" w:eastAsia="仿宋"/>
          <w:color w:val="auto"/>
          <w:sz w:val="32"/>
          <w:szCs w:val="32"/>
          <w:highlight w:val="none"/>
          <w:lang w:val="en-US" w:eastAsia="zh-CN"/>
        </w:rPr>
      </w:pPr>
    </w:p>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ind w:leftChars="200" w:right="0" w:rightChars="0"/>
        <w:jc w:val="left"/>
        <w:rPr>
          <w:rFonts w:hint="eastAsia" w:ascii="仿宋" w:hAnsi="仿宋" w:eastAsia="仿宋"/>
          <w:color w:val="auto"/>
          <w:sz w:val="32"/>
          <w:szCs w:val="32"/>
          <w:highlight w:val="none"/>
          <w:lang w:val="en-US" w:eastAsia="zh-CN"/>
        </w:rPr>
      </w:pPr>
      <w:r>
        <w:rPr>
          <w:rFonts w:hint="eastAsia" w:ascii="仿宋" w:hAnsi="仿宋" w:eastAsia="仿宋" w:cs="仿宋"/>
          <w:sz w:val="32"/>
          <w:szCs w:val="32"/>
          <w:highlight w:val="none"/>
        </w:rPr>
        <w:drawing>
          <wp:inline distT="0" distB="0" distL="114300" distR="114300">
            <wp:extent cx="4484370" cy="3215640"/>
            <wp:effectExtent l="4445" t="4445" r="6985" b="18415"/>
            <wp:docPr id="5"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val="0"/>
        <w:numPr>
          <w:ilvl w:val="0"/>
          <w:numId w:val="1"/>
        </w:numPr>
        <w:suppressLineNumbers w:val="0"/>
        <w:kinsoku/>
        <w:wordWrap/>
        <w:overflowPunct/>
        <w:topLinePunct w:val="0"/>
        <w:bidi w:val="0"/>
        <w:snapToGrid/>
        <w:spacing w:before="0" w:beforeAutospacing="0" w:after="0" w:afterAutospacing="0"/>
        <w:ind w:left="0" w:leftChars="0" w:right="0" w:rightChars="0" w:firstLine="640" w:firstLineChars="200"/>
        <w:jc w:val="left"/>
        <w:rPr>
          <w:rFonts w:hint="eastAsia" w:eastAsia="仿宋"/>
          <w:color w:val="auto"/>
          <w:highlight w:val="none"/>
          <w:lang w:val="en-US" w:eastAsia="zh-CN"/>
        </w:rPr>
      </w:pPr>
      <w:r>
        <w:rPr>
          <w:rFonts w:hint="eastAsia" w:ascii="仿宋" w:hAnsi="仿宋" w:eastAsia="仿宋"/>
          <w:color w:val="auto"/>
          <w:sz w:val="32"/>
          <w:szCs w:val="32"/>
          <w:highlight w:val="none"/>
        </w:rPr>
        <w:t>社会保障和就业支出</w:t>
      </w:r>
      <w:r>
        <w:rPr>
          <w:rFonts w:ascii="仿宋" w:hAnsi="仿宋" w:eastAsia="仿宋"/>
          <w:color w:val="auto"/>
          <w:sz w:val="32"/>
          <w:u w:color="auto"/>
        </w:rPr>
        <w:t>（208</w:t>
      </w:r>
      <w:r>
        <w:rPr>
          <w:rFonts w:hint="eastAsia" w:ascii="仿宋" w:hAnsi="仿宋" w:eastAsia="仿宋"/>
          <w:color w:val="auto"/>
          <w:sz w:val="32"/>
          <w:szCs w:val="32"/>
          <w:highlight w:val="none"/>
        </w:rPr>
        <w:t>类）年初预算为</w:t>
      </w:r>
      <w:r>
        <w:rPr>
          <w:rFonts w:hint="eastAsia" w:ascii="仿宋" w:hAnsi="仿宋" w:eastAsia="仿宋"/>
          <w:color w:val="auto"/>
          <w:sz w:val="32"/>
          <w:szCs w:val="32"/>
          <w:highlight w:val="none"/>
          <w:lang w:val="en-US" w:eastAsia="zh-CN"/>
        </w:rPr>
        <w:t>8.94</w:t>
      </w:r>
      <w:r>
        <w:rPr>
          <w:rFonts w:hint="eastAsia" w:ascii="仿宋" w:hAnsi="仿宋" w:eastAsia="仿宋"/>
          <w:color w:val="auto"/>
          <w:sz w:val="32"/>
          <w:szCs w:val="32"/>
          <w:highlight w:val="none"/>
        </w:rPr>
        <w:t>万元，支出决算为</w:t>
      </w:r>
      <w:r>
        <w:rPr>
          <w:rFonts w:hint="eastAsia" w:ascii="仿宋" w:hAnsi="仿宋" w:eastAsia="仿宋"/>
          <w:color w:val="auto"/>
          <w:sz w:val="32"/>
          <w:szCs w:val="32"/>
          <w:highlight w:val="none"/>
          <w:lang w:val="en-US" w:eastAsia="zh-CN"/>
        </w:rPr>
        <w:t>9.79</w:t>
      </w:r>
      <w:r>
        <w:rPr>
          <w:rFonts w:hint="eastAsia" w:ascii="仿宋" w:hAnsi="仿宋" w:eastAsia="仿宋"/>
          <w:color w:val="auto"/>
          <w:sz w:val="32"/>
          <w:szCs w:val="32"/>
          <w:highlight w:val="none"/>
        </w:rPr>
        <w:t>万元，完成年初预算的</w:t>
      </w:r>
      <w:r>
        <w:rPr>
          <w:rFonts w:hint="eastAsia" w:ascii="仿宋" w:hAnsi="仿宋" w:eastAsia="仿宋"/>
          <w:color w:val="auto"/>
          <w:sz w:val="32"/>
          <w:szCs w:val="32"/>
          <w:highlight w:val="none"/>
          <w:lang w:val="en-US" w:eastAsia="zh-CN"/>
        </w:rPr>
        <w:t>109.51</w:t>
      </w:r>
      <w:r>
        <w:rPr>
          <w:rFonts w:ascii="仿宋" w:hAnsi="仿宋" w:eastAsia="仿宋"/>
          <w:color w:val="auto"/>
          <w:sz w:val="32"/>
          <w:szCs w:val="32"/>
          <w:highlight w:val="none"/>
        </w:rPr>
        <w:t>%</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w:t>
      </w:r>
      <w:r>
        <w:rPr>
          <w:rFonts w:ascii="仿宋_GB2312" w:hAnsi="宋体" w:eastAsia="仿宋_GB2312" w:cs="仿宋_GB2312"/>
          <w:i w:val="0"/>
          <w:iCs w:val="0"/>
          <w:caps w:val="0"/>
          <w:color w:val="auto"/>
          <w:spacing w:val="0"/>
          <w:sz w:val="31"/>
          <w:szCs w:val="31"/>
          <w:shd w:val="clear" w:fill="FFFFFF"/>
        </w:rPr>
        <w:t>年初预算安排是根据上年度人员工资基数编制年初预算，受养老保险缴费基数调整的影响，导致了预决算数差异的存在。</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8.94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9.79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109.51%</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在职人员社保缴费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基数调整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8.94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9.79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109.51%</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ind w:leftChars="200" w:right="0" w:rightChars="0"/>
        <w:jc w:val="left"/>
        <w:rPr>
          <w:rFonts w:hint="eastAsia" w:eastAsia="仿宋"/>
          <w:color w:val="auto"/>
          <w:highlight w:val="none"/>
          <w:lang w:val="en-US" w:eastAsia="zh-CN"/>
        </w:rPr>
      </w:pPr>
      <w:r>
        <w:rPr>
          <w:rFonts w:hint="eastAsia" w:ascii="仿宋" w:hAnsi="仿宋" w:eastAsia="仿宋" w:cs="仿宋"/>
          <w:sz w:val="32"/>
          <w:szCs w:val="32"/>
          <w:highlight w:val="none"/>
        </w:rPr>
        <w:drawing>
          <wp:inline distT="0" distB="0" distL="114300" distR="114300">
            <wp:extent cx="4474845" cy="3215640"/>
            <wp:effectExtent l="4445" t="4445" r="16510" b="184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val="0"/>
        <w:numPr>
          <w:ilvl w:val="0"/>
          <w:numId w:val="1"/>
        </w:numPr>
        <w:suppressLineNumbers w:val="0"/>
        <w:kinsoku/>
        <w:wordWrap/>
        <w:overflowPunct/>
        <w:topLinePunct w:val="0"/>
        <w:bidi w:val="0"/>
        <w:snapToGrid/>
        <w:spacing w:before="0" w:beforeAutospacing="0" w:after="0" w:afterAutospacing="0"/>
        <w:ind w:left="0" w:leftChars="0" w:right="0" w:rightChars="0" w:firstLine="640" w:firstLineChars="200"/>
        <w:jc w:val="left"/>
        <w:rPr>
          <w:rFonts w:hint="eastAsia" w:eastAsia="仿宋"/>
          <w:color w:val="auto"/>
          <w:highlight w:val="none"/>
          <w:lang w:val="en-US" w:eastAsia="zh-CN"/>
        </w:rPr>
      </w:pPr>
      <w:r>
        <w:rPr>
          <w:rFonts w:hint="eastAsia" w:ascii="仿宋" w:hAnsi="仿宋" w:eastAsia="仿宋"/>
          <w:color w:val="auto"/>
          <w:sz w:val="32"/>
          <w:szCs w:val="32"/>
          <w:highlight w:val="none"/>
        </w:rPr>
        <w:t>住房保障支出年初预算为</w:t>
      </w:r>
      <w:r>
        <w:rPr>
          <w:rFonts w:hint="eastAsia" w:ascii="仿宋" w:hAnsi="仿宋" w:eastAsia="仿宋"/>
          <w:color w:val="auto"/>
          <w:sz w:val="32"/>
          <w:szCs w:val="32"/>
          <w:highlight w:val="none"/>
          <w:lang w:val="en-US" w:eastAsia="zh-CN"/>
        </w:rPr>
        <w:t>6.7万元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支出决算为</w:t>
      </w:r>
      <w:r>
        <w:rPr>
          <w:rFonts w:hint="eastAsia" w:ascii="仿宋" w:hAnsi="仿宋" w:eastAsia="仿宋"/>
          <w:color w:val="auto"/>
          <w:sz w:val="32"/>
          <w:szCs w:val="32"/>
          <w:highlight w:val="none"/>
          <w:lang w:val="en-US" w:eastAsia="zh-CN"/>
        </w:rPr>
        <w:t>7.35</w:t>
      </w:r>
      <w:r>
        <w:rPr>
          <w:rFonts w:hint="eastAsia" w:ascii="仿宋" w:hAnsi="仿宋" w:eastAsia="仿宋"/>
          <w:color w:val="auto"/>
          <w:sz w:val="32"/>
          <w:szCs w:val="32"/>
          <w:highlight w:val="none"/>
        </w:rPr>
        <w:t>万元，完成年初预算的</w:t>
      </w:r>
      <w:r>
        <w:rPr>
          <w:rFonts w:hint="eastAsia" w:ascii="仿宋" w:hAnsi="仿宋" w:eastAsia="仿宋"/>
          <w:color w:val="auto"/>
          <w:sz w:val="32"/>
          <w:szCs w:val="32"/>
          <w:highlight w:val="none"/>
          <w:lang w:val="en-US" w:eastAsia="zh-CN"/>
        </w:rPr>
        <w:t>109.70</w:t>
      </w:r>
      <w:r>
        <w:rPr>
          <w:rFonts w:ascii="仿宋" w:hAnsi="仿宋" w:eastAsia="仿宋"/>
          <w:color w:val="auto"/>
          <w:sz w:val="32"/>
          <w:szCs w:val="32"/>
          <w:highlight w:val="none"/>
        </w:rPr>
        <w:t>%</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w:t>
      </w:r>
      <w:r>
        <w:rPr>
          <w:rFonts w:ascii="仿宋_GB2312" w:hAnsi="宋体" w:eastAsia="仿宋_GB2312" w:cs="仿宋_GB2312"/>
          <w:i w:val="0"/>
          <w:iCs w:val="0"/>
          <w:caps w:val="0"/>
          <w:color w:val="auto"/>
          <w:spacing w:val="0"/>
          <w:sz w:val="31"/>
          <w:szCs w:val="31"/>
          <w:shd w:val="clear" w:fill="FFFFFF"/>
        </w:rPr>
        <w:t>基数调整。</w:t>
      </w:r>
    </w:p>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ind w:leftChars="200" w:right="0" w:rightChars="0"/>
        <w:jc w:val="left"/>
        <w:rPr>
          <w:rFonts w:hint="eastAsia" w:eastAsia="仿宋"/>
          <w:color w:val="auto"/>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6.70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7.35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109.70%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在职人员住房公积金缴纳</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基数调整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6.70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7.35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109.70%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ind w:leftChars="200" w:right="0" w:rightChars="0"/>
        <w:jc w:val="left"/>
        <w:rPr>
          <w:rFonts w:hint="eastAsia" w:eastAsia="仿宋"/>
          <w:color w:val="auto"/>
          <w:highlight w:val="none"/>
          <w:lang w:val="en-US" w:eastAsia="zh-CN"/>
        </w:rPr>
      </w:pPr>
      <w:r>
        <w:rPr>
          <w:rFonts w:hint="eastAsia" w:ascii="仿宋" w:hAnsi="仿宋" w:eastAsia="仿宋" w:cs="仿宋"/>
          <w:sz w:val="32"/>
          <w:szCs w:val="32"/>
          <w:highlight w:val="none"/>
        </w:rPr>
        <w:drawing>
          <wp:inline distT="0" distB="0" distL="114300" distR="114300">
            <wp:extent cx="4474845" cy="3215640"/>
            <wp:effectExtent l="4445" t="4445" r="16510" b="184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pageBreakBefore w:val="0"/>
        <w:widowControl w:val="0"/>
        <w:numPr>
          <w:ilvl w:val="0"/>
          <w:numId w:val="1"/>
        </w:numPr>
        <w:suppressLineNumbers w:val="0"/>
        <w:kinsoku/>
        <w:wordWrap/>
        <w:overflowPunct/>
        <w:topLinePunct w:val="0"/>
        <w:bidi w:val="0"/>
        <w:snapToGrid/>
        <w:spacing w:before="0" w:beforeAutospacing="0" w:after="0" w:afterAutospacing="0"/>
        <w:ind w:left="0" w:leftChars="0" w:right="0" w:rightChars="0" w:firstLine="640" w:firstLineChars="200"/>
        <w:jc w:val="left"/>
        <w:rPr>
          <w:rFonts w:hint="eastAsia" w:eastAsia="仿宋"/>
          <w:color w:val="auto"/>
          <w:highlight w:val="none"/>
          <w:lang w:val="en-US" w:eastAsia="zh-CN"/>
        </w:rPr>
      </w:pPr>
      <w:r>
        <w:rPr>
          <w:rFonts w:hint="eastAsia" w:ascii="仿宋" w:hAnsi="仿宋" w:eastAsia="仿宋"/>
          <w:color w:val="auto"/>
          <w:sz w:val="32"/>
          <w:szCs w:val="32"/>
          <w:highlight w:val="none"/>
        </w:rPr>
        <w:t>其他支出</w:t>
      </w:r>
      <w:r>
        <w:rPr>
          <w:rFonts w:ascii="仿宋" w:hAnsi="仿宋" w:eastAsia="仿宋"/>
          <w:color w:val="auto"/>
          <w:sz w:val="32"/>
          <w:highlight w:val="none"/>
          <w:u w:color="auto"/>
        </w:rPr>
        <w:t>（229</w:t>
      </w:r>
      <w:r>
        <w:rPr>
          <w:rFonts w:hint="eastAsia" w:ascii="仿宋" w:hAnsi="仿宋" w:eastAsia="仿宋"/>
          <w:color w:val="auto"/>
          <w:sz w:val="32"/>
          <w:szCs w:val="32"/>
          <w:highlight w:val="none"/>
        </w:rPr>
        <w:t>类）年初预算为</w:t>
      </w:r>
      <w:r>
        <w:rPr>
          <w:rFonts w:ascii="仿宋" w:hAnsi="仿宋" w:eastAsia="仿宋"/>
          <w:color w:val="auto"/>
          <w:sz w:val="32"/>
          <w:szCs w:val="32"/>
          <w:highlight w:val="none"/>
        </w:rPr>
        <w:t>0.00</w:t>
      </w:r>
      <w:r>
        <w:rPr>
          <w:rFonts w:hint="eastAsia" w:ascii="仿宋" w:hAnsi="仿宋" w:eastAsia="仿宋"/>
          <w:color w:val="auto"/>
          <w:sz w:val="32"/>
          <w:szCs w:val="32"/>
          <w:highlight w:val="none"/>
        </w:rPr>
        <w:t>万元，支出决算为</w:t>
      </w:r>
      <w:r>
        <w:rPr>
          <w:rFonts w:ascii="仿宋" w:hAnsi="仿宋" w:eastAsia="仿宋"/>
          <w:color w:val="auto"/>
          <w:sz w:val="32"/>
          <w:szCs w:val="32"/>
          <w:highlight w:val="none"/>
        </w:rPr>
        <w:t>1</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.79</w:t>
      </w:r>
      <w:r>
        <w:rPr>
          <w:rFonts w:hint="eastAsia" w:ascii="仿宋" w:hAnsi="仿宋" w:eastAsia="仿宋"/>
          <w:color w:val="auto"/>
          <w:sz w:val="32"/>
          <w:szCs w:val="32"/>
          <w:highlight w:val="none"/>
        </w:rPr>
        <w:t>万元，完成年初预算的</w:t>
      </w:r>
      <w:r>
        <w:rPr>
          <w:rFonts w:ascii="仿宋" w:hAnsi="仿宋" w:eastAsia="仿宋"/>
          <w:color w:val="auto"/>
          <w:sz w:val="32"/>
          <w:szCs w:val="32"/>
          <w:highlight w:val="none"/>
        </w:rPr>
        <w:t>100.00%</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w:t>
      </w:r>
      <w:r>
        <w:rPr>
          <w:rFonts w:hint="eastAsia" w:ascii="仿宋" w:hAnsi="仿宋" w:eastAsia="仿宋"/>
          <w:color w:val="auto"/>
          <w:sz w:val="32"/>
          <w:szCs w:val="32"/>
          <w:highlight w:val="none"/>
        </w:rPr>
        <w:t>其他</w:t>
      </w:r>
      <w:r>
        <w:rPr>
          <w:rFonts w:hint="eastAsia" w:ascii="仿宋" w:hAnsi="仿宋" w:eastAsia="仿宋"/>
          <w:color w:val="auto"/>
          <w:sz w:val="32"/>
          <w:szCs w:val="32"/>
          <w:highlight w:val="none"/>
          <w:lang w:val="en-US" w:eastAsia="zh-CN"/>
        </w:rPr>
        <w:t>支出未纳入部门年初预算安排。</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 xml:space="preserve"> 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10.79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在职人员的奖金，绩效工资发放</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年初无预算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10.79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ind w:leftChars="200" w:right="0" w:rightChars="0"/>
        <w:jc w:val="left"/>
        <w:rPr>
          <w:rFonts w:hint="eastAsia" w:eastAsia="仿宋"/>
          <w:color w:val="auto"/>
          <w:highlight w:val="none"/>
          <w:lang w:val="en-US" w:eastAsia="zh-CN"/>
        </w:rPr>
      </w:pPr>
      <w:r>
        <w:rPr>
          <w:rFonts w:hint="eastAsia" w:ascii="仿宋" w:hAnsi="仿宋" w:eastAsia="仿宋" w:cs="仿宋"/>
          <w:sz w:val="32"/>
          <w:szCs w:val="32"/>
          <w:highlight w:val="none"/>
        </w:rPr>
        <w:drawing>
          <wp:inline distT="0" distB="0" distL="114300" distR="114300">
            <wp:extent cx="4541520" cy="2214880"/>
            <wp:effectExtent l="4445" t="4445" r="6985" b="952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三、</w:t>
      </w:r>
      <w:r>
        <w:rPr>
          <w:rFonts w:hint="eastAsia" w:ascii="黑体" w:hAnsi="黑体" w:eastAsia="黑体" w:cs="黑体"/>
          <w:color w:val="auto"/>
          <w:sz w:val="32"/>
          <w:szCs w:val="32"/>
          <w:highlight w:val="none"/>
          <w:lang w:eastAsia="zh-CN"/>
        </w:rPr>
        <w:t>2023年</w:t>
      </w:r>
      <w:r>
        <w:rPr>
          <w:rFonts w:hint="eastAsia" w:ascii="黑体" w:hAnsi="黑体" w:eastAsia="黑体" w:cs="黑体"/>
          <w:color w:val="auto"/>
          <w:sz w:val="32"/>
          <w:szCs w:val="32"/>
          <w:highlight w:val="none"/>
        </w:rPr>
        <w:t>度一般公共预算财政拨款基本支出决算情况说明</w:t>
      </w: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中国共产党环江毛南族自治县委员会党史研究室</w:t>
      </w:r>
      <w:r>
        <w:rPr>
          <w:rFonts w:hint="eastAsia" w:ascii="仿宋" w:hAnsi="仿宋" w:eastAsia="仿宋" w:cs="仿宋"/>
          <w:color w:val="auto"/>
          <w:sz w:val="32"/>
          <w:szCs w:val="32"/>
          <w:highlight w:val="none"/>
          <w:lang w:eastAsia="zh-CN"/>
        </w:rPr>
        <w:t>2023年</w:t>
      </w:r>
      <w:r>
        <w:rPr>
          <w:rFonts w:hint="eastAsia" w:ascii="仿宋" w:hAnsi="仿宋" w:eastAsia="仿宋" w:cs="仿宋"/>
          <w:color w:val="auto"/>
          <w:sz w:val="32"/>
          <w:szCs w:val="32"/>
          <w:highlight w:val="none"/>
        </w:rPr>
        <w:t>度一般公共预算财政拨款基本支出</w:t>
      </w:r>
      <w:r>
        <w:rPr>
          <w:rFonts w:hint="eastAsia" w:ascii="仿宋" w:hAnsi="仿宋" w:eastAsia="仿宋" w:cs="仿宋"/>
          <w:color w:val="auto"/>
          <w:sz w:val="32"/>
          <w:u w:color="auto"/>
        </w:rPr>
        <w:t>108.06</w:t>
      </w:r>
      <w:r>
        <w:rPr>
          <w:rFonts w:hint="eastAsia" w:ascii="仿宋" w:hAnsi="仿宋" w:eastAsia="仿宋" w:cs="仿宋"/>
          <w:color w:val="auto"/>
          <w:sz w:val="32"/>
          <w:szCs w:val="32"/>
          <w:highlight w:val="none"/>
        </w:rPr>
        <w:t>万元，</w:t>
      </w:r>
      <w:r>
        <w:rPr>
          <w:rFonts w:hint="default" w:ascii="仿宋_GB2312" w:hAnsi="微软雅黑" w:eastAsia="仿宋_GB2312" w:cs="仿宋_GB2312"/>
          <w:i w:val="0"/>
          <w:iCs w:val="0"/>
          <w:caps w:val="0"/>
          <w:color w:val="auto"/>
          <w:spacing w:val="0"/>
          <w:sz w:val="31"/>
          <w:szCs w:val="31"/>
          <w:highlight w:val="none"/>
          <w:shd w:val="clear" w:color="auto" w:fill="FFFFFF"/>
        </w:rPr>
        <w:t>其中：人员经费支出</w:t>
      </w:r>
      <w:r>
        <w:rPr>
          <w:rFonts w:hint="eastAsia" w:ascii="仿宋" w:hAnsi="仿宋" w:eastAsia="仿宋" w:cs="仿宋"/>
          <w:color w:val="auto"/>
          <w:sz w:val="32"/>
          <w:szCs w:val="32"/>
          <w:highlight w:val="none"/>
        </w:rPr>
        <w:t>104.98</w:t>
      </w:r>
      <w:r>
        <w:rPr>
          <w:rFonts w:hint="default" w:ascii="仿宋_GB2312" w:hAnsi="微软雅黑" w:eastAsia="仿宋_GB2312" w:cs="仿宋_GB2312"/>
          <w:i w:val="0"/>
          <w:iCs w:val="0"/>
          <w:caps w:val="0"/>
          <w:color w:val="auto"/>
          <w:spacing w:val="0"/>
          <w:sz w:val="31"/>
          <w:szCs w:val="31"/>
          <w:highlight w:val="none"/>
          <w:shd w:val="clear" w:color="auto" w:fill="FFFFFF"/>
        </w:rPr>
        <w:t>万元，公用经费支出</w:t>
      </w:r>
      <w:r>
        <w:rPr>
          <w:rFonts w:hint="eastAsia" w:ascii="仿宋" w:hAnsi="仿宋" w:eastAsia="仿宋" w:cs="仿宋"/>
          <w:color w:val="auto"/>
          <w:sz w:val="32"/>
          <w:szCs w:val="32"/>
          <w:highlight w:val="none"/>
        </w:rPr>
        <w:t>3.0</w:t>
      </w:r>
      <w:r>
        <w:rPr>
          <w:rFonts w:hint="eastAsia" w:ascii="仿宋" w:hAnsi="仿宋" w:eastAsia="仿宋" w:cs="仿宋"/>
          <w:color w:val="auto"/>
          <w:sz w:val="32"/>
          <w:szCs w:val="32"/>
          <w:highlight w:val="none"/>
          <w:lang w:val="en-US" w:eastAsia="zh-CN"/>
        </w:rPr>
        <w:t>8</w:t>
      </w:r>
      <w:r>
        <w:rPr>
          <w:rFonts w:hint="default" w:ascii="仿宋_GB2312" w:hAnsi="微软雅黑" w:eastAsia="仿宋_GB2312" w:cs="仿宋_GB2312"/>
          <w:i w:val="0"/>
          <w:iCs w:val="0"/>
          <w:caps w:val="0"/>
          <w:color w:val="auto"/>
          <w:spacing w:val="0"/>
          <w:sz w:val="31"/>
          <w:szCs w:val="31"/>
          <w:highlight w:val="none"/>
          <w:shd w:val="clear" w:color="auto" w:fill="FFFFFF"/>
        </w:rPr>
        <w:t>万元，</w:t>
      </w:r>
      <w:r>
        <w:rPr>
          <w:rFonts w:hint="eastAsia" w:ascii="仿宋" w:hAnsi="仿宋" w:eastAsia="仿宋" w:cs="仿宋"/>
          <w:color w:val="auto"/>
          <w:sz w:val="32"/>
          <w:szCs w:val="32"/>
          <w:highlight w:val="none"/>
        </w:rPr>
        <w:t>支出具体情况如下：</w:t>
      </w:r>
    </w:p>
    <w:p>
      <w:pPr>
        <w:keepNext w:val="0"/>
        <w:keepLines w:val="0"/>
        <w:pageBreakBefore w:val="0"/>
        <w:widowControl w:val="0"/>
        <w:numPr>
          <w:ilvl w:val="0"/>
          <w:numId w:val="2"/>
        </w:numPr>
        <w:suppressLineNumbers w:val="0"/>
        <w:kinsoku/>
        <w:wordWrap/>
        <w:overflowPunct/>
        <w:topLinePunct w:val="0"/>
        <w:bidi w:val="0"/>
        <w:snapToGrid/>
        <w:spacing w:before="0" w:beforeAutospacing="0" w:after="0" w:afterAutospacing="0"/>
        <w:ind w:left="0" w:leftChars="0" w:right="0"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工资福利支出</w:t>
      </w:r>
      <w:r>
        <w:rPr>
          <w:rFonts w:hint="eastAsia" w:ascii="仿宋" w:hAnsi="仿宋" w:eastAsia="仿宋" w:cs="仿宋"/>
          <w:color w:val="auto"/>
          <w:sz w:val="32"/>
          <w:u w:color="auto"/>
        </w:rPr>
        <w:t>97.77</w:t>
      </w:r>
      <w:r>
        <w:rPr>
          <w:rFonts w:ascii="仿宋" w:hAnsi="仿宋" w:eastAsia="仿宋" w:cs="仿宋"/>
          <w:color w:val="auto"/>
          <w:sz w:val="32"/>
          <w:u w:color="auto"/>
        </w:rPr>
        <w:t>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lang w:val="en-US" w:eastAsia="zh-CN"/>
        </w:rPr>
        <w:t>142.7</w:t>
      </w:r>
      <w:r>
        <w:rPr>
          <w:rFonts w:hint="eastAsia" w:ascii="仿宋" w:hAnsi="仿宋" w:eastAsia="仿宋" w:cs="仿宋"/>
          <w:color w:val="auto"/>
          <w:sz w:val="32"/>
          <w:szCs w:val="32"/>
          <w:highlight w:val="none"/>
        </w:rPr>
        <w:t>%</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 w:hAnsi="仿宋" w:eastAsia="仿宋" w:cs="仿宋"/>
          <w:color w:val="auto"/>
          <w:sz w:val="32"/>
          <w:szCs w:val="32"/>
          <w:highlight w:val="none"/>
        </w:rPr>
        <w:t>预决算差异</w:t>
      </w:r>
      <w:r>
        <w:rPr>
          <w:rFonts w:hint="eastAsia" w:ascii="仿宋" w:hAnsi="仿宋" w:eastAsia="仿宋" w:cs="仿宋"/>
          <w:color w:val="auto"/>
          <w:kern w:val="2"/>
          <w:sz w:val="32"/>
          <w:szCs w:val="32"/>
          <w:highlight w:val="none"/>
          <w:lang w:val="en-US" w:eastAsia="zh-CN" w:bidi="ar"/>
        </w:rPr>
        <w:t>主要原因是：</w:t>
      </w:r>
      <w:r>
        <w:rPr>
          <w:rFonts w:ascii="仿宋_GB2312" w:hAnsi="宋体" w:eastAsia="仿宋_GB2312" w:cs="仿宋_GB2312"/>
          <w:i w:val="0"/>
          <w:iCs w:val="0"/>
          <w:caps w:val="0"/>
          <w:color w:val="auto"/>
          <w:spacing w:val="0"/>
          <w:sz w:val="31"/>
          <w:szCs w:val="31"/>
          <w:shd w:val="clear" w:fill="FFFFFF"/>
        </w:rPr>
        <w:t>人员工资的增资调资</w:t>
      </w:r>
      <w:r>
        <w:rPr>
          <w:rFonts w:hint="eastAsia" w:ascii="仿宋" w:hAnsi="仿宋" w:eastAsia="仿宋" w:cs="仿宋"/>
          <w:color w:val="auto"/>
          <w:kern w:val="2"/>
          <w:sz w:val="32"/>
          <w:szCs w:val="32"/>
          <w:highlight w:val="none"/>
          <w:lang w:val="en-US" w:eastAsia="zh-CN" w:bidi="ar"/>
        </w:rPr>
        <w:t>。</w:t>
      </w:r>
      <w:r>
        <w:rPr>
          <w:rFonts w:hint="eastAsia" w:ascii="仿宋" w:hAnsi="仿宋" w:eastAsia="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p>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ind w:right="0" w:rightChars="0"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30101基本工资27.86万元，30102津贴补贴19.06万元，30103奖金28.41万元，30108机关事业单位基本养老保险缴费9.79万元，30110职工基本医疗保险缴费3.55万元，30112其他社会保障缴费0.08万元，30113住房公积金7.35万元，30199其他工资福利支出1.67万元。</w:t>
      </w:r>
    </w:p>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ind w:right="0" w:rightChars="0"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pageBreakBefore w:val="0"/>
        <w:widowControl w:val="0"/>
        <w:numPr>
          <w:ilvl w:val="0"/>
          <w:numId w:val="2"/>
        </w:numPr>
        <w:suppressLineNumbers w:val="0"/>
        <w:kinsoku/>
        <w:wordWrap/>
        <w:overflowPunct/>
        <w:topLinePunct w:val="0"/>
        <w:bidi w:val="0"/>
        <w:snapToGrid/>
        <w:spacing w:before="0" w:beforeAutospacing="0" w:after="0" w:afterAutospacing="0"/>
        <w:ind w:left="0" w:leftChars="0" w:right="0"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商品和服务支出</w:t>
      </w:r>
      <w:r>
        <w:rPr>
          <w:rFonts w:ascii="仿宋" w:hAnsi="仿宋" w:eastAsia="仿宋" w:cs="仿宋"/>
          <w:color w:val="auto"/>
          <w:sz w:val="32"/>
          <w:u w:color="auto"/>
        </w:rPr>
        <w:t>3.0</w:t>
      </w:r>
      <w:r>
        <w:rPr>
          <w:rFonts w:hint="eastAsia" w:ascii="仿宋" w:hAnsi="仿宋" w:eastAsia="仿宋" w:cs="仿宋"/>
          <w:color w:val="auto"/>
          <w:sz w:val="32"/>
          <w:u w:color="auto"/>
          <w:lang w:val="en-US" w:eastAsia="zh-CN"/>
        </w:rPr>
        <w:t>8</w:t>
      </w:r>
      <w:r>
        <w:rPr>
          <w:rFonts w:ascii="仿宋" w:hAnsi="仿宋" w:eastAsia="仿宋" w:cs="仿宋"/>
          <w:color w:val="auto"/>
          <w:sz w:val="32"/>
          <w:u w:color="auto"/>
        </w:rPr>
        <w:t>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lang w:val="en-US" w:eastAsia="zh-CN"/>
        </w:rPr>
        <w:t>41.6</w:t>
      </w:r>
      <w:r>
        <w:rPr>
          <w:rFonts w:hint="eastAsia" w:ascii="仿宋" w:hAnsi="仿宋" w:eastAsia="仿宋" w:cs="仿宋"/>
          <w:color w:val="auto"/>
          <w:sz w:val="32"/>
          <w:szCs w:val="32"/>
          <w:highlight w:val="none"/>
        </w:rPr>
        <w:t>%</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 w:hAnsi="仿宋" w:eastAsia="仿宋" w:cs="仿宋"/>
          <w:color w:val="auto"/>
          <w:sz w:val="32"/>
          <w:szCs w:val="32"/>
          <w:highlight w:val="none"/>
        </w:rPr>
        <w:t>预决算差异</w:t>
      </w:r>
      <w:r>
        <w:rPr>
          <w:rFonts w:hint="eastAsia" w:ascii="仿宋" w:hAnsi="仿宋" w:eastAsia="仿宋" w:cs="仿宋"/>
          <w:color w:val="auto"/>
          <w:kern w:val="2"/>
          <w:sz w:val="32"/>
          <w:szCs w:val="32"/>
          <w:highlight w:val="none"/>
          <w:lang w:val="en-US" w:eastAsia="zh-CN" w:bidi="ar"/>
        </w:rPr>
        <w:t>主要原因是：公务交通补贴决算数列入工资福利支出中的津贴补贴。</w:t>
      </w:r>
      <w:r>
        <w:rPr>
          <w:rFonts w:hint="eastAsia" w:ascii="仿宋" w:hAnsi="仿宋" w:eastAsia="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p>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ind w:right="0" w:rightChars="0"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30201办公费0.6万元，30205水费0.03万元，30206电费0.31万元，30207邮电费1.03万元，30228工会经费1.12万元。</w:t>
      </w:r>
    </w:p>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ind w:right="0" w:rightChars="0"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pageBreakBefore w:val="0"/>
        <w:widowControl w:val="0"/>
        <w:numPr>
          <w:ilvl w:val="0"/>
          <w:numId w:val="2"/>
        </w:numPr>
        <w:suppressLineNumbers w:val="0"/>
        <w:kinsoku/>
        <w:wordWrap/>
        <w:overflowPunct/>
        <w:topLinePunct w:val="0"/>
        <w:bidi w:val="0"/>
        <w:snapToGrid/>
        <w:spacing w:before="0" w:beforeAutospacing="0" w:after="0" w:afterAutospacing="0"/>
        <w:ind w:left="0" w:leftChars="0" w:right="0"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对个人和家庭的补助</w:t>
      </w:r>
      <w:r>
        <w:rPr>
          <w:rFonts w:hint="eastAsia" w:ascii="仿宋" w:hAnsi="仿宋" w:eastAsia="仿宋" w:cs="仿宋"/>
          <w:color w:val="auto"/>
          <w:sz w:val="32"/>
          <w:u w:color="auto"/>
        </w:rPr>
        <w:t>7.2</w:t>
      </w:r>
      <w:r>
        <w:rPr>
          <w:rFonts w:ascii="仿宋" w:hAnsi="仿宋" w:eastAsia="仿宋" w:cs="仿宋"/>
          <w:color w:val="auto"/>
          <w:sz w:val="32"/>
          <w:u w:color="auto"/>
        </w:rPr>
        <w:t>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lang w:val="en-US" w:eastAsia="zh-CN"/>
        </w:rPr>
        <w:t>163.64</w:t>
      </w:r>
      <w:r>
        <w:rPr>
          <w:rFonts w:hint="eastAsia" w:ascii="仿宋" w:hAnsi="仿宋" w:eastAsia="仿宋" w:cs="仿宋"/>
          <w:color w:val="auto"/>
          <w:sz w:val="32"/>
          <w:szCs w:val="32"/>
          <w:highlight w:val="none"/>
        </w:rPr>
        <w:t>%</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 w:hAnsi="仿宋" w:eastAsia="仿宋" w:cs="仿宋"/>
          <w:color w:val="auto"/>
          <w:sz w:val="32"/>
          <w:szCs w:val="32"/>
          <w:highlight w:val="none"/>
        </w:rPr>
        <w:t>预决算差异</w:t>
      </w:r>
      <w:r>
        <w:rPr>
          <w:rFonts w:hint="eastAsia" w:ascii="仿宋" w:hAnsi="仿宋" w:eastAsia="仿宋" w:cs="仿宋"/>
          <w:color w:val="auto"/>
          <w:kern w:val="2"/>
          <w:sz w:val="32"/>
          <w:szCs w:val="32"/>
          <w:highlight w:val="none"/>
          <w:lang w:val="en-US" w:eastAsia="zh-CN" w:bidi="ar"/>
        </w:rPr>
        <w:t>主要原因是：退休人员生活补贴增加。</w:t>
      </w:r>
    </w:p>
    <w:p>
      <w:pPr>
        <w:keepNext w:val="0"/>
        <w:keepLines w:val="0"/>
        <w:pageBreakBefore w:val="0"/>
        <w:kinsoku/>
        <w:wordWrap/>
        <w:overflowPunct/>
        <w:topLinePunct w:val="0"/>
        <w:bidi w:val="0"/>
        <w:snapToGrid/>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30305生活补助7.20万元。</w:t>
      </w:r>
    </w:p>
    <w:p>
      <w:pPr>
        <w:keepNext w:val="0"/>
        <w:keepLines w:val="0"/>
        <w:pageBreakBefore w:val="0"/>
        <w:kinsoku/>
        <w:wordWrap/>
        <w:overflowPunct/>
        <w:topLinePunct w:val="0"/>
        <w:bidi w:val="0"/>
        <w:snapToGrid/>
        <w:ind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pageBreakBefore w:val="0"/>
        <w:widowControl w:val="0"/>
        <w:numPr>
          <w:ilvl w:val="0"/>
          <w:numId w:val="2"/>
        </w:numPr>
        <w:suppressLineNumbers w:val="0"/>
        <w:kinsoku/>
        <w:wordWrap/>
        <w:overflowPunct/>
        <w:topLinePunct w:val="0"/>
        <w:bidi w:val="0"/>
        <w:snapToGrid/>
        <w:spacing w:before="0" w:beforeAutospacing="0" w:after="0" w:afterAutospacing="0"/>
        <w:ind w:left="0" w:leftChars="0" w:right="0"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债务利息及费用支出</w:t>
      </w:r>
      <w:r>
        <w:rPr>
          <w:rFonts w:ascii="仿宋" w:hAnsi="仿宋" w:eastAsia="仿宋" w:cs="仿宋"/>
          <w:color w:val="auto"/>
          <w:sz w:val="32"/>
          <w:u w:color="auto"/>
        </w:rPr>
        <w:t>0万元，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rPr>
        <w:t>0%</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 w:hAnsi="仿宋" w:eastAsia="仿宋" w:cs="仿宋"/>
          <w:color w:val="auto"/>
          <w:kern w:val="2"/>
          <w:sz w:val="32"/>
          <w:szCs w:val="32"/>
          <w:highlight w:val="none"/>
          <w:lang w:val="en-US" w:eastAsia="zh-CN" w:bidi="ar"/>
        </w:rPr>
        <w:t>主要原因是：本单位无</w:t>
      </w:r>
      <w:r>
        <w:rPr>
          <w:rFonts w:hint="eastAsia" w:ascii="仿宋" w:hAnsi="仿宋" w:eastAsia="仿宋" w:cs="仿宋"/>
          <w:color w:val="auto"/>
          <w:sz w:val="32"/>
          <w:szCs w:val="32"/>
          <w:highlight w:val="none"/>
        </w:rPr>
        <w:t>债务利息及费用支出</w:t>
      </w:r>
      <w:r>
        <w:rPr>
          <w:rFonts w:hint="eastAsia" w:ascii="仿宋" w:hAnsi="仿宋" w:eastAsia="仿宋" w:cs="仿宋"/>
          <w:color w:val="auto"/>
          <w:kern w:val="2"/>
          <w:sz w:val="32"/>
          <w:szCs w:val="32"/>
          <w:highlight w:val="none"/>
          <w:lang w:val="en-US" w:eastAsia="zh-CN" w:bidi="ar"/>
        </w:rPr>
        <w:t>。</w:t>
      </w:r>
    </w:p>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ind w:leftChars="200" w:right="0" w:rightChars="0"/>
        <w:jc w:val="left"/>
        <w:rPr>
          <w:rFonts w:ascii="仿宋" w:hAnsi="仿宋" w:eastAsia="仿宋" w:cs="仿宋"/>
          <w:color w:val="auto"/>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keepNext w:val="0"/>
        <w:keepLines w:val="0"/>
        <w:pageBreakBefore w:val="0"/>
        <w:widowControl w:val="0"/>
        <w:numPr>
          <w:ilvl w:val="0"/>
          <w:numId w:val="2"/>
        </w:numPr>
        <w:suppressLineNumbers w:val="0"/>
        <w:kinsoku/>
        <w:wordWrap/>
        <w:overflowPunct/>
        <w:topLinePunct w:val="0"/>
        <w:bidi w:val="0"/>
        <w:snapToGrid/>
        <w:spacing w:before="0" w:beforeAutospacing="0" w:after="0" w:afterAutospacing="0"/>
        <w:ind w:left="0" w:leftChars="0" w:right="0"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资本性支出</w:t>
      </w:r>
      <w:r>
        <w:rPr>
          <w:rFonts w:ascii="仿宋" w:hAnsi="仿宋" w:eastAsia="仿宋" w:cs="仿宋"/>
          <w:color w:val="auto"/>
          <w:sz w:val="32"/>
          <w:u w:color="auto"/>
        </w:rPr>
        <w:t>0万元，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rPr>
        <w:t>0%</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 w:hAnsi="仿宋" w:eastAsia="仿宋" w:cs="仿宋"/>
          <w:color w:val="auto"/>
          <w:kern w:val="2"/>
          <w:sz w:val="32"/>
          <w:szCs w:val="32"/>
          <w:highlight w:val="none"/>
          <w:lang w:val="en-US" w:eastAsia="zh-CN" w:bidi="ar"/>
        </w:rPr>
        <w:t>主要原因是：本单位无</w:t>
      </w:r>
      <w:r>
        <w:rPr>
          <w:rFonts w:hint="eastAsia" w:ascii="仿宋" w:hAnsi="仿宋" w:eastAsia="仿宋" w:cs="仿宋"/>
          <w:color w:val="auto"/>
          <w:sz w:val="32"/>
          <w:szCs w:val="32"/>
          <w:highlight w:val="none"/>
        </w:rPr>
        <w:t>资本性支出</w:t>
      </w:r>
      <w:r>
        <w:rPr>
          <w:rFonts w:hint="eastAsia" w:ascii="仿宋" w:hAnsi="仿宋" w:eastAsia="仿宋" w:cs="仿宋"/>
          <w:color w:val="auto"/>
          <w:kern w:val="2"/>
          <w:sz w:val="32"/>
          <w:szCs w:val="32"/>
          <w:highlight w:val="none"/>
          <w:lang w:val="en-US" w:eastAsia="zh-CN" w:bidi="ar"/>
        </w:rPr>
        <w:t>。</w:t>
      </w:r>
    </w:p>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ind w:leftChars="200" w:right="0" w:rightChars="0"/>
        <w:jc w:val="left"/>
        <w:rPr>
          <w:rFonts w:ascii="仿宋" w:hAnsi="仿宋" w:eastAsia="仿宋" w:cs="仿宋"/>
          <w:color w:val="auto"/>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keepNext w:val="0"/>
        <w:keepLines w:val="0"/>
        <w:pageBreakBefore w:val="0"/>
        <w:widowControl w:val="0"/>
        <w:numPr>
          <w:ilvl w:val="0"/>
          <w:numId w:val="2"/>
        </w:numPr>
        <w:suppressLineNumbers w:val="0"/>
        <w:kinsoku/>
        <w:wordWrap/>
        <w:overflowPunct/>
        <w:topLinePunct w:val="0"/>
        <w:bidi w:val="0"/>
        <w:snapToGrid/>
        <w:spacing w:before="0" w:beforeAutospacing="0" w:after="0" w:afterAutospacing="0"/>
        <w:ind w:left="0" w:leftChars="0" w:right="0"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其他支出</w:t>
      </w:r>
      <w:r>
        <w:rPr>
          <w:rFonts w:ascii="仿宋" w:hAnsi="仿宋" w:eastAsia="仿宋" w:cs="仿宋"/>
          <w:color w:val="auto"/>
          <w:sz w:val="32"/>
          <w:u w:color="auto"/>
        </w:rPr>
        <w:t>0万元，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rPr>
        <w:t>0%</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 w:hAnsi="仿宋" w:eastAsia="仿宋" w:cs="仿宋"/>
          <w:color w:val="auto"/>
          <w:kern w:val="2"/>
          <w:sz w:val="32"/>
          <w:szCs w:val="32"/>
          <w:highlight w:val="none"/>
          <w:lang w:val="en-US" w:eastAsia="zh-CN" w:bidi="ar"/>
        </w:rPr>
        <w:t>主要原因是：本单位无</w:t>
      </w:r>
      <w:r>
        <w:rPr>
          <w:rFonts w:hint="eastAsia" w:ascii="仿宋" w:hAnsi="仿宋" w:eastAsia="仿宋" w:cs="仿宋"/>
          <w:color w:val="auto"/>
          <w:sz w:val="32"/>
          <w:szCs w:val="32"/>
          <w:highlight w:val="none"/>
        </w:rPr>
        <w:t>其他支出</w:t>
      </w:r>
      <w:r>
        <w:rPr>
          <w:rFonts w:hint="eastAsia" w:ascii="仿宋" w:hAnsi="仿宋" w:eastAsia="仿宋" w:cs="仿宋"/>
          <w:color w:val="auto"/>
          <w:kern w:val="2"/>
          <w:sz w:val="32"/>
          <w:szCs w:val="32"/>
          <w:highlight w:val="none"/>
          <w:lang w:val="en-US" w:eastAsia="zh-CN" w:bidi="ar"/>
        </w:rPr>
        <w:t>。</w:t>
      </w:r>
    </w:p>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ind w:leftChars="200" w:right="0" w:rightChars="0"/>
        <w:jc w:val="left"/>
        <w:rPr>
          <w:rFonts w:ascii="仿宋" w:hAnsi="仿宋" w:eastAsia="仿宋" w:cs="仿宋"/>
          <w:color w:val="auto"/>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keepNext w:val="0"/>
        <w:keepLines w:val="0"/>
        <w:pageBreakBefore w:val="0"/>
        <w:kinsoku/>
        <w:wordWrap/>
        <w:overflowPunct/>
        <w:topLinePunct w:val="0"/>
        <w:bidi w:val="0"/>
        <w:snapToGrid/>
        <w:ind w:firstLine="640" w:firstLineChars="200"/>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四、</w:t>
      </w:r>
      <w:r>
        <w:rPr>
          <w:rFonts w:hint="eastAsia" w:ascii="黑体" w:hAnsi="黑体" w:eastAsia="黑体" w:cs="黑体"/>
          <w:color w:val="auto"/>
          <w:sz w:val="32"/>
          <w:szCs w:val="32"/>
          <w:highlight w:val="none"/>
          <w:lang w:eastAsia="zh-CN"/>
        </w:rPr>
        <w:t>2023年</w:t>
      </w:r>
      <w:r>
        <w:rPr>
          <w:rFonts w:hint="eastAsia" w:ascii="黑体" w:hAnsi="黑体" w:eastAsia="黑体" w:cs="黑体"/>
          <w:color w:val="auto"/>
          <w:sz w:val="32"/>
          <w:szCs w:val="32"/>
          <w:highlight w:val="none"/>
        </w:rPr>
        <w:t>度政府性基金支出决算情况</w:t>
      </w: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中国共产党环江毛南族自治县委员会党史研究室</w:t>
      </w:r>
      <w:r>
        <w:rPr>
          <w:rFonts w:hint="eastAsia" w:ascii="仿宋" w:hAnsi="仿宋" w:eastAsia="仿宋" w:cs="仿宋"/>
          <w:color w:val="auto"/>
          <w:sz w:val="32"/>
          <w:szCs w:val="32"/>
          <w:highlight w:val="none"/>
          <w:lang w:eastAsia="zh-CN"/>
        </w:rPr>
        <w:t>2023年</w:t>
      </w:r>
      <w:r>
        <w:rPr>
          <w:rFonts w:hint="eastAsia" w:ascii="仿宋" w:hAnsi="仿宋" w:eastAsia="仿宋" w:cs="仿宋"/>
          <w:color w:val="auto"/>
          <w:sz w:val="32"/>
          <w:szCs w:val="32"/>
          <w:highlight w:val="none"/>
        </w:rPr>
        <w:t>度政府性基金支出</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万元，较</w:t>
      </w:r>
      <w:r>
        <w:rPr>
          <w:rFonts w:hint="eastAsia" w:ascii="仿宋" w:hAnsi="仿宋" w:eastAsia="仿宋" w:cs="仿宋"/>
          <w:color w:val="auto"/>
          <w:sz w:val="32"/>
          <w:szCs w:val="32"/>
          <w:highlight w:val="none"/>
          <w:lang w:eastAsia="zh-CN"/>
        </w:rPr>
        <w:t>2022年</w:t>
      </w:r>
      <w:r>
        <w:rPr>
          <w:rFonts w:hint="eastAsia" w:ascii="仿宋" w:hAnsi="仿宋" w:eastAsia="仿宋" w:cs="仿宋"/>
          <w:color w:val="auto"/>
          <w:sz w:val="32"/>
          <w:szCs w:val="32"/>
          <w:highlight w:val="none"/>
        </w:rPr>
        <w:t>度决算数</w:t>
      </w:r>
      <w:r>
        <w:rPr>
          <w:rFonts w:ascii="仿宋" w:hAnsi="仿宋" w:eastAsia="仿宋" w:cs="仿宋"/>
          <w:color w:val="auto"/>
          <w:sz w:val="32"/>
          <w:szCs w:val="32"/>
          <w:highlight w:val="none"/>
        </w:rPr>
        <w:t>增加0</w:t>
      </w:r>
      <w:r>
        <w:rPr>
          <w:rFonts w:hint="eastAsia" w:ascii="仿宋" w:hAnsi="仿宋" w:eastAsia="仿宋" w:cs="仿宋"/>
          <w:color w:val="auto"/>
          <w:sz w:val="32"/>
          <w:szCs w:val="32"/>
          <w:highlight w:val="none"/>
        </w:rPr>
        <w:t>万元，</w:t>
      </w:r>
      <w:r>
        <w:rPr>
          <w:rFonts w:ascii="仿宋" w:hAnsi="仿宋" w:eastAsia="仿宋" w:cs="仿宋"/>
          <w:color w:val="auto"/>
          <w:sz w:val="32"/>
          <w:szCs w:val="32"/>
          <w:highlight w:val="none"/>
        </w:rPr>
        <w:t>增长0%</w:t>
      </w:r>
      <w:r>
        <w:rPr>
          <w:rFonts w:hint="eastAsia" w:ascii="仿宋" w:hAnsi="仿宋" w:eastAsia="仿宋" w:cs="仿宋"/>
          <w:color w:val="auto"/>
          <w:sz w:val="32"/>
          <w:szCs w:val="32"/>
          <w:highlight w:val="none"/>
        </w:rPr>
        <w:t>其中：基本支出</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万元，项目支出</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万元。</w:t>
      </w:r>
    </w:p>
    <w:p>
      <w:pPr>
        <w:keepNext w:val="0"/>
        <w:keepLines w:val="0"/>
        <w:pageBreakBefore w:val="0"/>
        <w:kinsoku/>
        <w:wordWrap/>
        <w:overflowPunct/>
        <w:topLinePunct w:val="0"/>
        <w:bidi w:val="0"/>
        <w:snapToGrid/>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中国共产党环江毛南族自治县委员会党史研究室</w:t>
      </w:r>
      <w:r>
        <w:rPr>
          <w:rFonts w:hint="eastAsia" w:ascii="仿宋" w:hAnsi="仿宋" w:eastAsia="仿宋" w:cs="仿宋"/>
          <w:color w:val="auto"/>
          <w:sz w:val="32"/>
          <w:szCs w:val="32"/>
          <w:highlight w:val="none"/>
          <w:lang w:eastAsia="zh-CN"/>
        </w:rPr>
        <w:t>2023年</w:t>
      </w:r>
      <w:r>
        <w:rPr>
          <w:rFonts w:hint="eastAsia" w:ascii="仿宋" w:hAnsi="仿宋" w:eastAsia="仿宋" w:cs="仿宋"/>
          <w:color w:val="auto"/>
          <w:sz w:val="32"/>
          <w:szCs w:val="32"/>
          <w:highlight w:val="none"/>
        </w:rPr>
        <w:t>度政府性基金支出年初预算为</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万元，支出决算为</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w:t>
      </w:r>
    </w:p>
    <w:p>
      <w:pPr>
        <w:keepNext w:val="0"/>
        <w:keepLines w:val="0"/>
        <w:pageBreakBefore w:val="0"/>
        <w:kinsoku/>
        <w:wordWrap/>
        <w:overflowPunct/>
        <w:topLinePunct w:val="0"/>
        <w:bidi w:val="0"/>
        <w:snapToGrid/>
        <w:ind w:firstLine="640" w:firstLineChars="200"/>
        <w:jc w:val="left"/>
        <w:rPr>
          <w:rFonts w:hint="eastAsia" w:ascii="仿宋" w:hAnsi="仿宋" w:eastAsia="仿宋" w:cs="仿宋"/>
          <w:color w:val="auto"/>
          <w:sz w:val="32"/>
          <w:szCs w:val="32"/>
          <w:highlight w:val="none"/>
        </w:rPr>
      </w:pPr>
      <w:r>
        <w:rPr>
          <w:rFonts w:hint="eastAsia" w:ascii="仿宋_GB2312" w:hAnsi="Times New Roman" w:eastAsia="仿宋_GB2312" w:cs="Times New Roman"/>
          <w:color w:val="auto"/>
          <w:sz w:val="32"/>
          <w:szCs w:val="32"/>
        </w:rPr>
        <w:t>中国共产党环江毛南族自治县委员会党史研究室</w:t>
      </w:r>
      <w:r>
        <w:rPr>
          <w:rFonts w:ascii="仿宋_GB2312" w:hAnsi="仿宋_GB2312" w:eastAsia="仿宋_GB2312" w:cs="仿宋_GB2312"/>
          <w:color w:val="auto"/>
          <w:sz w:val="32"/>
          <w:u w:color="auto"/>
        </w:rPr>
        <w:t>没有政府性基金收入，也没有政府性基金收入安排的支出</w:t>
      </w:r>
      <w:r>
        <w:rPr>
          <w:rFonts w:hint="eastAsia" w:ascii="仿宋_GB2312" w:hAnsi="Times New Roman" w:eastAsia="仿宋_GB2312" w:cs="Times New Roman"/>
          <w:color w:val="auto"/>
          <w:sz w:val="32"/>
          <w:szCs w:val="32"/>
          <w:lang w:eastAsia="zh-CN"/>
        </w:rPr>
        <w:t>。</w:t>
      </w: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五、</w:t>
      </w:r>
      <w:r>
        <w:rPr>
          <w:rFonts w:hint="eastAsia" w:ascii="黑体" w:hAnsi="黑体" w:eastAsia="黑体" w:cs="黑体"/>
          <w:color w:val="auto"/>
          <w:sz w:val="32"/>
          <w:szCs w:val="32"/>
          <w:highlight w:val="none"/>
          <w:lang w:eastAsia="zh-CN"/>
        </w:rPr>
        <w:t>2023年</w:t>
      </w:r>
      <w:r>
        <w:rPr>
          <w:rFonts w:hint="eastAsia" w:ascii="黑体" w:hAnsi="黑体" w:eastAsia="黑体" w:cs="黑体"/>
          <w:color w:val="auto"/>
          <w:sz w:val="32"/>
          <w:szCs w:val="32"/>
          <w:highlight w:val="none"/>
        </w:rPr>
        <w:t>度国有资本经营预算支出决算情况</w:t>
      </w: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中国共产党环江毛南族自治县委员会党史研究室</w:t>
      </w:r>
      <w:r>
        <w:rPr>
          <w:rFonts w:hint="eastAsia" w:ascii="仿宋" w:hAnsi="仿宋" w:eastAsia="仿宋" w:cs="仿宋"/>
          <w:color w:val="auto"/>
          <w:sz w:val="32"/>
          <w:szCs w:val="32"/>
          <w:highlight w:val="none"/>
          <w:lang w:eastAsia="zh-CN"/>
        </w:rPr>
        <w:t>2023年</w:t>
      </w:r>
      <w:r>
        <w:rPr>
          <w:rFonts w:hint="eastAsia" w:ascii="仿宋" w:hAnsi="仿宋" w:eastAsia="仿宋" w:cs="仿宋"/>
          <w:color w:val="auto"/>
          <w:sz w:val="32"/>
          <w:szCs w:val="32"/>
          <w:highlight w:val="none"/>
        </w:rPr>
        <w:t>度国有资本经营预算支出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万元。其中：基本支出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万元，项目支出</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万元。</w:t>
      </w:r>
    </w:p>
    <w:p>
      <w:pPr>
        <w:keepNext w:val="0"/>
        <w:keepLines w:val="0"/>
        <w:pageBreakBefore w:val="0"/>
        <w:kinsoku/>
        <w:wordWrap/>
        <w:overflowPunct/>
        <w:topLinePunct w:val="0"/>
        <w:bidi w:val="0"/>
        <w:snapToGrid/>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中国共产党环江毛南族自治县委员会党史研究室2022 年度国有资本经营预算支出年初预算为</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万元，支出决算为</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w:t>
      </w:r>
    </w:p>
    <w:p>
      <w:pPr>
        <w:keepNext w:val="0"/>
        <w:keepLines w:val="0"/>
        <w:pageBreakBefore w:val="0"/>
        <w:kinsoku/>
        <w:wordWrap/>
        <w:overflowPunct/>
        <w:topLinePunct w:val="0"/>
        <w:bidi w:val="0"/>
        <w:snapToGrid/>
        <w:ind w:firstLine="640" w:firstLineChars="200"/>
        <w:jc w:val="left"/>
        <w:rPr>
          <w:rFonts w:hint="eastAsia" w:ascii="仿宋" w:hAnsi="仿宋" w:eastAsia="仿宋" w:cs="仿宋"/>
          <w:color w:val="auto"/>
          <w:sz w:val="32"/>
          <w:szCs w:val="32"/>
          <w:highlight w:val="none"/>
        </w:rPr>
      </w:pPr>
      <w:bookmarkStart w:id="3" w:name="PO_part3A5B1C1DiffReason1"/>
      <w:r>
        <w:rPr>
          <w:rFonts w:hint="eastAsia" w:ascii="仿宋_GB2312" w:hAnsi="Times New Roman" w:eastAsia="仿宋_GB2312" w:cs="Times New Roman"/>
          <w:color w:val="auto"/>
          <w:sz w:val="32"/>
          <w:szCs w:val="32"/>
        </w:rPr>
        <w:t>中国共产党环江毛南族自治县委员会党史研究室</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rPr>
        <w:t>安排的支出。</w:t>
      </w:r>
      <w:bookmarkEnd w:id="3"/>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六、财政拨款“三公”经费支出决算情况说明</w:t>
      </w:r>
    </w:p>
    <w:p>
      <w:pPr>
        <w:keepNext w:val="0"/>
        <w:keepLines w:val="0"/>
        <w:pageBreakBefore w:val="0"/>
        <w:widowControl w:val="0"/>
        <w:suppressLineNumbers w:val="0"/>
        <w:kinsoku/>
        <w:wordWrap/>
        <w:overflowPunct/>
        <w:topLinePunct w:val="0"/>
        <w:bidi w:val="0"/>
        <w:snapToGrid/>
        <w:spacing w:before="0" w:beforeAutospacing="0" w:after="0" w:afterAutospacing="0"/>
        <w:ind w:left="0" w:right="0"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2023年</w:t>
      </w:r>
      <w:r>
        <w:rPr>
          <w:rFonts w:hint="eastAsia" w:ascii="仿宋" w:hAnsi="仿宋" w:eastAsia="仿宋" w:cs="仿宋"/>
          <w:color w:val="auto"/>
          <w:sz w:val="32"/>
          <w:szCs w:val="32"/>
          <w:highlight w:val="none"/>
        </w:rPr>
        <w:t>预算财政拨款安排的“三公”经费支出</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万元</w:t>
      </w:r>
      <w:r>
        <w:rPr>
          <w:rFonts w:hint="eastAsia" w:ascii="仿宋" w:hAnsi="仿宋" w:eastAsia="仿宋" w:cs="仿宋"/>
          <w:color w:val="auto"/>
          <w:kern w:val="2"/>
          <w:sz w:val="32"/>
          <w:szCs w:val="32"/>
          <w:highlight w:val="none"/>
          <w:lang w:val="en-US" w:eastAsia="zh-CN" w:bidi="ar"/>
        </w:rPr>
        <w:t>。</w:t>
      </w:r>
      <w:r>
        <w:rPr>
          <w:rFonts w:hint="eastAsia" w:ascii="仿宋" w:hAnsi="仿宋" w:eastAsia="仿宋" w:cs="仿宋"/>
          <w:color w:val="auto"/>
          <w:sz w:val="32"/>
          <w:szCs w:val="32"/>
          <w:highlight w:val="none"/>
        </w:rPr>
        <w:t>其中：因公出国（境）费支出决算</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万元，公务用车购置及运行费支出决算</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万元，公务接待费支出决算</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万元。</w:t>
      </w: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具体情况如下：</w:t>
      </w: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（一）因公出国（境）费支出</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万元</w:t>
      </w:r>
      <w:r>
        <w:rPr>
          <w:rFonts w:hint="eastAsia" w:ascii="仿宋" w:hAnsi="仿宋" w:eastAsia="仿宋" w:cs="仿宋"/>
          <w:sz w:val="32"/>
          <w:szCs w:val="32"/>
          <w:highlight w:val="none"/>
        </w:rPr>
        <w:t>。</w:t>
      </w: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（二）公务用车购置及运行维护费</w:t>
      </w:r>
      <w:r>
        <w:rPr>
          <w:rFonts w:ascii="仿宋" w:hAnsi="仿宋" w:eastAsia="仿宋" w:cs="仿宋"/>
          <w:color w:val="auto"/>
          <w:sz w:val="32"/>
          <w:u w:color="auto"/>
        </w:rPr>
        <w:t>0</w:t>
      </w:r>
      <w:r>
        <w:rPr>
          <w:rFonts w:hint="eastAsia" w:ascii="仿宋" w:hAnsi="仿宋" w:eastAsia="仿宋" w:cs="仿宋"/>
          <w:color w:val="auto"/>
          <w:sz w:val="32"/>
          <w:szCs w:val="32"/>
          <w:highlight w:val="none"/>
        </w:rPr>
        <w:t>万元。</w:t>
      </w:r>
    </w:p>
    <w:p>
      <w:pPr>
        <w:keepNext w:val="0"/>
        <w:keepLines w:val="0"/>
        <w:pageBreakBefore w:val="0"/>
        <w:widowControl w:val="0"/>
        <w:suppressLineNumbers w:val="0"/>
        <w:kinsoku/>
        <w:wordWrap/>
        <w:overflowPunct/>
        <w:topLinePunct w:val="0"/>
        <w:bidi w:val="0"/>
        <w:snapToGrid/>
        <w:spacing w:before="0" w:beforeAutospacing="0" w:after="0" w:afterAutospacing="0"/>
        <w:ind w:left="0" w:right="0"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（三）公务接待费支出</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万元</w:t>
      </w:r>
      <w:r>
        <w:rPr>
          <w:rFonts w:hint="eastAsia" w:ascii="仿宋" w:hAnsi="仿宋" w:eastAsia="仿宋" w:cs="仿宋"/>
          <w:color w:val="auto"/>
          <w:kern w:val="2"/>
          <w:sz w:val="32"/>
          <w:szCs w:val="32"/>
          <w:highlight w:val="none"/>
          <w:lang w:val="en-US" w:eastAsia="zh-CN" w:bidi="ar"/>
        </w:rPr>
        <w:t>。</w:t>
      </w: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七、其他重要事项情况说明</w:t>
      </w:r>
    </w:p>
    <w:p>
      <w:pPr>
        <w:keepNext w:val="0"/>
        <w:keepLines w:val="0"/>
        <w:pageBreakBefore w:val="0"/>
        <w:kinsoku/>
        <w:wordWrap/>
        <w:overflowPunct/>
        <w:topLinePunct w:val="0"/>
        <w:bidi w:val="0"/>
        <w:snapToGrid/>
        <w:ind w:firstLine="640" w:firstLineChars="200"/>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 机关运行经费支出情况说明</w:t>
      </w:r>
    </w:p>
    <w:p>
      <w:pPr>
        <w:keepNext w:val="0"/>
        <w:keepLines w:val="0"/>
        <w:pageBreakBefore w:val="0"/>
        <w:kinsoku/>
        <w:wordWrap/>
        <w:overflowPunct/>
        <w:topLinePunct w:val="0"/>
        <w:bidi w:val="0"/>
        <w:snapToGrid/>
        <w:ind w:firstLine="640" w:firstLineChars="200"/>
        <w:jc w:val="left"/>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rPr>
        <w:t>本部门</w:t>
      </w:r>
      <w:r>
        <w:rPr>
          <w:rFonts w:hint="eastAsia" w:ascii="仿宋" w:hAnsi="仿宋" w:eastAsia="仿宋" w:cs="仿宋"/>
          <w:color w:val="auto"/>
          <w:sz w:val="32"/>
          <w:szCs w:val="32"/>
          <w:highlight w:val="none"/>
          <w:lang w:eastAsia="zh-CN"/>
        </w:rPr>
        <w:t>2023年</w:t>
      </w:r>
      <w:r>
        <w:rPr>
          <w:rFonts w:hint="eastAsia" w:ascii="仿宋" w:hAnsi="仿宋" w:eastAsia="仿宋" w:cs="仿宋"/>
          <w:color w:val="auto"/>
          <w:sz w:val="32"/>
          <w:szCs w:val="32"/>
          <w:highlight w:val="none"/>
        </w:rPr>
        <w:t>度机关运行经费支出</w:t>
      </w:r>
      <w:r>
        <w:rPr>
          <w:rFonts w:ascii="仿宋" w:hAnsi="仿宋" w:eastAsia="仿宋" w:cs="仿宋"/>
          <w:color w:val="auto"/>
          <w:sz w:val="32"/>
          <w:szCs w:val="32"/>
          <w:highlight w:val="none"/>
        </w:rPr>
        <w:t>3.0</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万元，比年初预算数</w:t>
      </w:r>
      <w:r>
        <w:rPr>
          <w:rFonts w:ascii="仿宋" w:hAnsi="仿宋" w:eastAsia="仿宋" w:cs="仿宋"/>
          <w:color w:val="auto"/>
          <w:sz w:val="32"/>
          <w:szCs w:val="32"/>
          <w:highlight w:val="none"/>
        </w:rPr>
        <w:t>减少4.33</w:t>
      </w:r>
      <w:r>
        <w:rPr>
          <w:rFonts w:hint="eastAsia" w:ascii="仿宋" w:hAnsi="仿宋" w:eastAsia="仿宋" w:cs="仿宋"/>
          <w:color w:val="auto"/>
          <w:sz w:val="32"/>
          <w:szCs w:val="32"/>
          <w:highlight w:val="none"/>
        </w:rPr>
        <w:t>万元，</w:t>
      </w:r>
      <w:r>
        <w:rPr>
          <w:rFonts w:ascii="仿宋" w:hAnsi="仿宋" w:eastAsia="仿宋" w:cs="仿宋"/>
          <w:color w:val="auto"/>
          <w:sz w:val="32"/>
          <w:szCs w:val="32"/>
          <w:highlight w:val="none"/>
        </w:rPr>
        <w:t>下降58.</w:t>
      </w:r>
      <w:r>
        <w:rPr>
          <w:rFonts w:hint="eastAsia" w:ascii="仿宋" w:hAnsi="仿宋" w:eastAsia="仿宋" w:cs="仿宋"/>
          <w:color w:val="auto"/>
          <w:sz w:val="32"/>
          <w:szCs w:val="32"/>
          <w:highlight w:val="none"/>
          <w:lang w:val="en-US" w:eastAsia="zh-CN"/>
        </w:rPr>
        <w:t>43</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，比上年决算数</w:t>
      </w:r>
      <w:r>
        <w:rPr>
          <w:rFonts w:ascii="仿宋" w:hAnsi="仿宋" w:eastAsia="仿宋" w:cs="仿宋"/>
          <w:color w:val="auto"/>
          <w:sz w:val="32"/>
          <w:szCs w:val="32"/>
          <w:highlight w:val="none"/>
        </w:rPr>
        <w:t>增加</w:t>
      </w:r>
      <w:r>
        <w:rPr>
          <w:rFonts w:hint="eastAsia" w:ascii="仿宋" w:hAnsi="仿宋" w:eastAsia="仿宋" w:cs="仿宋"/>
          <w:color w:val="auto"/>
          <w:sz w:val="32"/>
          <w:szCs w:val="32"/>
          <w:highlight w:val="none"/>
          <w:lang w:val="en-US" w:eastAsia="zh-CN"/>
        </w:rPr>
        <w:t>0.05</w:t>
      </w:r>
      <w:r>
        <w:rPr>
          <w:rFonts w:hint="eastAsia" w:ascii="仿宋" w:hAnsi="仿宋" w:eastAsia="仿宋" w:cs="仿宋"/>
          <w:color w:val="auto"/>
          <w:sz w:val="32"/>
          <w:szCs w:val="32"/>
          <w:highlight w:val="none"/>
        </w:rPr>
        <w:t>万元，</w:t>
      </w:r>
      <w:r>
        <w:rPr>
          <w:rFonts w:ascii="仿宋" w:hAnsi="仿宋" w:eastAsia="仿宋" w:cs="仿宋"/>
          <w:color w:val="auto"/>
          <w:sz w:val="32"/>
          <w:szCs w:val="32"/>
          <w:highlight w:val="none"/>
        </w:rPr>
        <w:t>增长1</w:t>
      </w:r>
      <w:r>
        <w:rPr>
          <w:rFonts w:hint="eastAsia" w:ascii="仿宋" w:hAnsi="仿宋" w:eastAsia="仿宋" w:cs="仿宋"/>
          <w:color w:val="auto"/>
          <w:sz w:val="32"/>
          <w:szCs w:val="32"/>
          <w:highlight w:val="none"/>
          <w:lang w:val="en-US" w:eastAsia="zh-CN"/>
        </w:rPr>
        <w:t>.65</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增长主要</w:t>
      </w:r>
      <w:r>
        <w:rPr>
          <w:rFonts w:hint="eastAsia" w:ascii="仿宋" w:hAnsi="仿宋" w:eastAsia="仿宋" w:cs="仿宋"/>
          <w:color w:val="auto"/>
          <w:sz w:val="32"/>
          <w:szCs w:val="32"/>
          <w:highlight w:val="none"/>
        </w:rPr>
        <w:t>原因是：随着业务量的增加，导致办公耗材等相关经费支出的增加。</w:t>
      </w:r>
    </w:p>
    <w:p>
      <w:pPr>
        <w:keepNext w:val="0"/>
        <w:keepLines w:val="0"/>
        <w:pageBreakBefore w:val="0"/>
        <w:kinsoku/>
        <w:wordWrap/>
        <w:overflowPunct/>
        <w:topLinePunct w:val="0"/>
        <w:bidi w:val="0"/>
        <w:snapToGrid/>
        <w:ind w:firstLine="640" w:firstLineChars="200"/>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（二）政府采购支出情况说明</w:t>
      </w: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本部门</w:t>
      </w:r>
      <w:r>
        <w:rPr>
          <w:rFonts w:hint="eastAsia" w:ascii="仿宋" w:hAnsi="仿宋" w:eastAsia="仿宋" w:cs="仿宋"/>
          <w:color w:val="auto"/>
          <w:sz w:val="32"/>
          <w:szCs w:val="32"/>
          <w:highlight w:val="none"/>
          <w:lang w:eastAsia="zh-CN"/>
        </w:rPr>
        <w:t>2023年</w:t>
      </w:r>
      <w:r>
        <w:rPr>
          <w:rFonts w:hint="eastAsia" w:ascii="仿宋" w:hAnsi="仿宋" w:eastAsia="仿宋" w:cs="仿宋"/>
          <w:color w:val="auto"/>
          <w:sz w:val="32"/>
          <w:szCs w:val="32"/>
          <w:highlight w:val="none"/>
        </w:rPr>
        <w:t>度政府采购支出总额</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万元，其中：政府采购货物支出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万元、政府采购工程支出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万元、政府采购服务支出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万元。授予中小企业合同金额</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万元，占政府采购支出总额的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，其中：授予小微企业合同金额</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万元，占授予中小企业合同金额的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w:t>
      </w: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（三）国有资产占用情况说明</w:t>
      </w: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截至</w:t>
      </w:r>
      <w:r>
        <w:rPr>
          <w:rFonts w:hint="eastAsia" w:ascii="仿宋" w:hAnsi="仿宋" w:eastAsia="仿宋" w:cs="仿宋"/>
          <w:color w:val="auto"/>
          <w:sz w:val="32"/>
          <w:szCs w:val="32"/>
          <w:highlight w:val="none"/>
          <w:lang w:eastAsia="zh-CN"/>
        </w:rPr>
        <w:t>2023年</w:t>
      </w:r>
      <w:r>
        <w:rPr>
          <w:rFonts w:hint="eastAsia" w:ascii="仿宋" w:hAnsi="仿宋" w:eastAsia="仿宋" w:cs="仿宋"/>
          <w:color w:val="auto"/>
          <w:sz w:val="32"/>
          <w:szCs w:val="32"/>
          <w:highlight w:val="none"/>
        </w:rPr>
        <w:t>12月31日，本部门共有车辆</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辆，其中：副部（省）级领导干部用车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辆、机要通信用车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辆、应急保障用车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辆、执法执勤用车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辆、特种专业技术用车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辆、其他用车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辆；单位价值50万元以上通用设备</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台（套）；单位价值</w:t>
      </w:r>
      <w:r>
        <w:rPr>
          <w:rFonts w:hint="eastAsia" w:ascii="仿宋" w:hAnsi="仿宋" w:eastAsia="仿宋" w:cs="仿宋"/>
          <w:color w:val="auto"/>
          <w:sz w:val="32"/>
          <w:szCs w:val="32"/>
          <w:highlight w:val="none"/>
          <w:lang w:val="en-US" w:eastAsia="zh-CN"/>
        </w:rPr>
        <w:t>100万</w:t>
      </w:r>
      <w:r>
        <w:rPr>
          <w:rFonts w:hint="eastAsia" w:ascii="仿宋" w:hAnsi="仿宋" w:eastAsia="仿宋" w:cs="仿宋"/>
          <w:color w:val="auto"/>
          <w:sz w:val="32"/>
          <w:szCs w:val="32"/>
          <w:highlight w:val="none"/>
        </w:rPr>
        <w:t>元以上专用设备台（套）。</w:t>
      </w: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（四）预算绩效管理工作开展情况</w:t>
      </w:r>
    </w:p>
    <w:p>
      <w:pPr>
        <w:keepNext w:val="0"/>
        <w:keepLines w:val="0"/>
        <w:pageBreakBefore w:val="0"/>
        <w:kinsoku/>
        <w:wordWrap/>
        <w:overflowPunct/>
        <w:topLinePunct w:val="0"/>
        <w:bidi w:val="0"/>
        <w:snapToGrid/>
        <w:ind w:firstLine="643"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1.整体支出绩效自评结果。</w:t>
      </w:r>
    </w:p>
    <w:p>
      <w:pPr>
        <w:keepNext w:val="0"/>
        <w:keepLines w:val="0"/>
        <w:pageBreakBefore w:val="0"/>
        <w:kinsoku/>
        <w:wordWrap/>
        <w:overflowPunct/>
        <w:topLinePunct w:val="0"/>
        <w:bidi w:val="0"/>
        <w:snapToGrid/>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我部门2023年度部门预算数</w:t>
      </w:r>
      <w:r>
        <w:rPr>
          <w:rFonts w:hint="eastAsia" w:ascii="仿宋" w:hAnsi="仿宋" w:eastAsia="仿宋" w:cs="仿宋"/>
          <w:color w:val="auto"/>
          <w:sz w:val="32"/>
          <w:szCs w:val="32"/>
          <w:lang w:val="en-US" w:eastAsia="zh-CN"/>
        </w:rPr>
        <w:t>85.58</w:t>
      </w:r>
      <w:r>
        <w:rPr>
          <w:rFonts w:hint="eastAsia" w:ascii="仿宋" w:hAnsi="仿宋" w:eastAsia="仿宋" w:cs="仿宋"/>
          <w:color w:val="auto"/>
          <w:sz w:val="32"/>
          <w:szCs w:val="32"/>
        </w:rPr>
        <w:t>万元，执行数</w:t>
      </w:r>
      <w:r>
        <w:rPr>
          <w:rFonts w:hint="eastAsia" w:ascii="仿宋" w:hAnsi="仿宋" w:eastAsia="仿宋" w:cs="仿宋"/>
          <w:color w:val="auto"/>
          <w:sz w:val="32"/>
          <w:szCs w:val="32"/>
          <w:lang w:val="en-US" w:eastAsia="zh-CN"/>
        </w:rPr>
        <w:t>114.86</w:t>
      </w:r>
      <w:r>
        <w:rPr>
          <w:rFonts w:hint="eastAsia" w:ascii="仿宋" w:hAnsi="仿宋" w:eastAsia="仿宋" w:cs="仿宋"/>
          <w:color w:val="auto"/>
          <w:sz w:val="32"/>
          <w:szCs w:val="32"/>
        </w:rPr>
        <w:t>万元，整体支出绩效自评结果为一等。从评价情况来看，年初部门预算编制细化程度不够，导致在执行绩效目标是部分存在偏差，致使项目预算存在年中、年末追加追减的现象，指标完成情况中的数量指标、质量指标、成本指标很难确定，经济效益、社会效益、生态效益等难以量化，绩效目标的设定和执行之间难免出现偏差。</w:t>
      </w:r>
    </w:p>
    <w:p>
      <w:pPr>
        <w:keepNext w:val="0"/>
        <w:keepLines w:val="0"/>
        <w:pageBreakBefore w:val="0"/>
        <w:kinsoku/>
        <w:wordWrap/>
        <w:overflowPunct/>
        <w:topLinePunct w:val="0"/>
        <w:bidi w:val="0"/>
        <w:snapToGrid/>
        <w:ind w:firstLine="643"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2.项目支出绩效自评结果。</w:t>
      </w:r>
    </w:p>
    <w:p>
      <w:pPr>
        <w:keepNext w:val="0"/>
        <w:keepLines w:val="0"/>
        <w:pageBreakBefore w:val="0"/>
        <w:kinsoku/>
        <w:wordWrap/>
        <w:overflowPunct/>
        <w:topLinePunct w:val="0"/>
        <w:bidi w:val="0"/>
        <w:snapToGrid/>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(1)项目绩效自评总体情况：我部门2023年度项目</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个，项目支出总额</w:t>
      </w:r>
      <w:r>
        <w:rPr>
          <w:rFonts w:hint="eastAsia" w:ascii="仿宋" w:hAnsi="仿宋" w:eastAsia="仿宋" w:cs="仿宋"/>
          <w:color w:val="auto"/>
          <w:sz w:val="32"/>
          <w:szCs w:val="32"/>
          <w:lang w:val="en-US" w:eastAsia="zh-CN"/>
        </w:rPr>
        <w:t>305.3</w:t>
      </w:r>
      <w:r>
        <w:rPr>
          <w:rFonts w:hint="eastAsia" w:ascii="仿宋" w:hAnsi="仿宋" w:eastAsia="仿宋" w:cs="仿宋"/>
          <w:color w:val="auto"/>
          <w:sz w:val="32"/>
          <w:szCs w:val="32"/>
        </w:rPr>
        <w:t>万元。其中，本级项目</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个，本级项目支出</w:t>
      </w:r>
      <w:r>
        <w:rPr>
          <w:rFonts w:hint="eastAsia" w:ascii="仿宋" w:hAnsi="仿宋" w:eastAsia="仿宋" w:cs="仿宋"/>
          <w:color w:val="auto"/>
          <w:sz w:val="32"/>
          <w:szCs w:val="32"/>
          <w:lang w:val="en-US" w:eastAsia="zh-CN"/>
        </w:rPr>
        <w:t>6.8</w:t>
      </w:r>
      <w:r>
        <w:rPr>
          <w:rFonts w:hint="eastAsia" w:ascii="仿宋" w:hAnsi="仿宋" w:eastAsia="仿宋" w:cs="仿宋"/>
          <w:color w:val="auto"/>
          <w:sz w:val="32"/>
          <w:szCs w:val="32"/>
        </w:rPr>
        <w:t>万元。项目中，敏感涉密项目</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个，涉及资金</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p>
    <w:p>
      <w:pPr>
        <w:keepNext w:val="0"/>
        <w:keepLines w:val="0"/>
        <w:pageBreakBefore w:val="0"/>
        <w:kinsoku/>
        <w:wordWrap/>
        <w:overflowPunct/>
        <w:topLinePunct w:val="0"/>
        <w:bidi w:val="0"/>
        <w:snapToGrid/>
        <w:ind w:firstLine="640" w:firstLineChars="200"/>
        <w:jc w:val="left"/>
        <w:rPr>
          <w:rFonts w:hint="eastAsia" w:ascii="仿宋" w:hAnsi="仿宋" w:eastAsia="仿宋" w:cs="仿宋"/>
          <w:b/>
          <w:bCs/>
          <w:color w:val="auto"/>
          <w:sz w:val="32"/>
          <w:szCs w:val="32"/>
          <w:highlight w:val="yellow"/>
        </w:rPr>
      </w:pPr>
      <w:r>
        <w:rPr>
          <w:rFonts w:hint="eastAsia" w:ascii="仿宋" w:hAnsi="仿宋" w:eastAsia="仿宋" w:cs="仿宋"/>
          <w:color w:val="auto"/>
          <w:sz w:val="32"/>
          <w:szCs w:val="32"/>
        </w:rPr>
        <w:t>所有项目均开展了绩效自评，其中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非敏感涉密项目绩效自评结果为：</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个项目评为一等，涉及资金</w:t>
      </w:r>
      <w:r>
        <w:rPr>
          <w:rFonts w:hint="eastAsia" w:ascii="仿宋" w:hAnsi="仿宋" w:eastAsia="仿宋" w:cs="仿宋"/>
          <w:color w:val="auto"/>
          <w:sz w:val="32"/>
          <w:szCs w:val="32"/>
          <w:lang w:val="en-US" w:eastAsia="zh-CN"/>
        </w:rPr>
        <w:t>21.3</w:t>
      </w:r>
      <w:r>
        <w:rPr>
          <w:rFonts w:hint="eastAsia" w:ascii="仿宋" w:hAnsi="仿宋" w:eastAsia="仿宋" w:cs="仿宋"/>
          <w:color w:val="auto"/>
          <w:sz w:val="32"/>
          <w:szCs w:val="32"/>
        </w:rPr>
        <w:t>万元，占项目总数比例</w:t>
      </w:r>
      <w:r>
        <w:rPr>
          <w:rFonts w:hint="eastAsia" w:ascii="仿宋" w:hAnsi="仿宋" w:eastAsia="仿宋" w:cs="仿宋"/>
          <w:color w:val="auto"/>
          <w:sz w:val="32"/>
          <w:szCs w:val="32"/>
          <w:lang w:val="en-US" w:eastAsia="zh-CN"/>
        </w:rPr>
        <w:t>6.9</w:t>
      </w:r>
      <w:r>
        <w:rPr>
          <w:rFonts w:hint="eastAsia" w:ascii="仿宋" w:hAnsi="仿宋" w:eastAsia="仿宋" w:cs="仿宋"/>
          <w:color w:val="auto"/>
          <w:sz w:val="32"/>
          <w:szCs w:val="32"/>
        </w:rPr>
        <w:t>%，占项目支出总额比例</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个项目评为二等，涉及资金</w:t>
      </w:r>
      <w:r>
        <w:rPr>
          <w:rFonts w:hint="eastAsia" w:ascii="仿宋" w:hAnsi="仿宋" w:eastAsia="仿宋" w:cs="仿宋"/>
          <w:color w:val="auto"/>
          <w:sz w:val="32"/>
          <w:szCs w:val="32"/>
          <w:lang w:val="en-US" w:eastAsia="zh-CN"/>
        </w:rPr>
        <w:t>240</w:t>
      </w:r>
      <w:r>
        <w:rPr>
          <w:rFonts w:hint="eastAsia" w:ascii="仿宋" w:hAnsi="仿宋" w:eastAsia="仿宋" w:cs="仿宋"/>
          <w:color w:val="auto"/>
          <w:sz w:val="32"/>
          <w:szCs w:val="32"/>
        </w:rPr>
        <w:t>万元，占项目总数比例</w:t>
      </w:r>
      <w:r>
        <w:rPr>
          <w:rFonts w:hint="eastAsia" w:ascii="仿宋" w:hAnsi="仿宋" w:eastAsia="仿宋" w:cs="仿宋"/>
          <w:color w:val="auto"/>
          <w:sz w:val="32"/>
          <w:szCs w:val="32"/>
          <w:lang w:val="en-US" w:eastAsia="zh-CN"/>
        </w:rPr>
        <w:t>78.61</w:t>
      </w:r>
      <w:r>
        <w:rPr>
          <w:rFonts w:hint="eastAsia" w:ascii="仿宋" w:hAnsi="仿宋" w:eastAsia="仿宋" w:cs="仿宋"/>
          <w:color w:val="auto"/>
          <w:sz w:val="32"/>
          <w:szCs w:val="32"/>
        </w:rPr>
        <w:t xml:space="preserve"> %，占项目支出总额比例</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 xml:space="preserve"> %。</w:t>
      </w:r>
      <w:r>
        <w:rPr>
          <w:rFonts w:hint="eastAsia" w:ascii="仿宋" w:hAnsi="仿宋" w:eastAsia="仿宋" w:cs="仿宋"/>
          <w:b/>
          <w:bCs/>
          <w:color w:val="auto"/>
          <w:sz w:val="32"/>
          <w:szCs w:val="32"/>
        </w:rPr>
        <w:t>自评发现的主要问题及原因：</w:t>
      </w:r>
    </w:p>
    <w:p>
      <w:pPr>
        <w:keepNext w:val="0"/>
        <w:keepLines w:val="0"/>
        <w:pageBreakBefore w:val="0"/>
        <w:kinsoku/>
        <w:wordWrap/>
        <w:overflowPunct/>
        <w:topLinePunct w:val="0"/>
        <w:bidi w:val="0"/>
        <w:snapToGrid/>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是年初部门预算编制细化程度不够，导致在执行总体绩效目标是部分存在偏差，致使项目预算存在年中、年末追加追减的现象。二是个别项目实施进度较慢，惯性思维严重，报账不及时，造成年底因未及时报账造成绩效目标偏差。三是指标完成情况中的数量指标、质量指标、成本指标很难确定，经济效益、社会效益、生态效益等难以量化，绩效目标的设定和执行之间难免出现偏差。</w:t>
      </w:r>
    </w:p>
    <w:p>
      <w:pPr>
        <w:keepNext w:val="0"/>
        <w:keepLines w:val="0"/>
        <w:pageBreakBefore w:val="0"/>
        <w:kinsoku/>
        <w:wordWrap/>
        <w:overflowPunct/>
        <w:topLinePunct w:val="0"/>
        <w:bidi w:val="0"/>
        <w:snapToGrid/>
        <w:ind w:firstLine="643" w:firstLineChars="200"/>
        <w:jc w:val="left"/>
        <w:rPr>
          <w:rFonts w:hint="eastAsia" w:ascii="仿宋" w:hAnsi="仿宋" w:eastAsia="仿宋" w:cs="仿宋"/>
          <w:color w:val="auto"/>
          <w:sz w:val="32"/>
          <w:szCs w:val="32"/>
        </w:rPr>
      </w:pPr>
      <w:r>
        <w:rPr>
          <w:rFonts w:hint="eastAsia" w:ascii="仿宋" w:hAnsi="仿宋" w:eastAsia="仿宋" w:cs="仿宋"/>
          <w:b/>
          <w:bCs/>
          <w:color w:val="auto"/>
          <w:sz w:val="32"/>
          <w:szCs w:val="32"/>
        </w:rPr>
        <w:t>主要改进措施：</w:t>
      </w:r>
      <w:r>
        <w:rPr>
          <w:rFonts w:hint="eastAsia" w:ascii="仿宋" w:hAnsi="仿宋" w:eastAsia="仿宋" w:cs="仿宋"/>
          <w:color w:val="auto"/>
          <w:sz w:val="32"/>
          <w:szCs w:val="32"/>
        </w:rPr>
        <w:t>一是加强预算编制的合理性。预算的合理性是行政事业单位内部控制的精髓，在今后的工作中，我单位进一步重视部门预算严格执行《中华人民共和国预算法》，增强预算业务控制，充分发挥预算控制在内部控制中的重要作用。严格按县本级部门预算编报程序进行编制，基本支出预算按照单位的基础信息和核定的标准编制，保证单位的正常运转，项目支出预算根据单位发展规划和年度计划，结合财政部门预算安排情况，科学细化项目。二是积极开展预算绩效管理工作。在今后的工作中，我单位将在预算编制环节通过事前评价的方式，发现并去除评价不高的项目，避免财政资金的浪费。在财政支出过程中，及时根据资金使用进度，考核阶段性目标的完成进度，提高资金使用效率。并在每个项目结束后进行严格自查，根据事前设定的绩效目标科学评判支出的效率效果，并将评价结果合理运用于来年的预算编制中。做到预算财务分析常态化，定期做好预算支出财务分析，做好部门整体支出预算评价工作。</w:t>
      </w:r>
    </w:p>
    <w:p>
      <w:pPr>
        <w:keepNext w:val="0"/>
        <w:keepLines w:val="0"/>
        <w:pageBreakBefore w:val="0"/>
        <w:kinsoku/>
        <w:wordWrap/>
        <w:overflowPunct/>
        <w:topLinePunct w:val="0"/>
        <w:bidi w:val="0"/>
        <w:snapToGrid/>
        <w:ind w:firstLine="640" w:firstLineChars="200"/>
        <w:jc w:val="left"/>
        <w:rPr>
          <w:rFonts w:hint="eastAsia" w:ascii="仿宋" w:hAnsi="仿宋" w:eastAsia="仿宋" w:cs="仿宋"/>
          <w:color w:val="auto"/>
          <w:sz w:val="32"/>
          <w:szCs w:val="32"/>
        </w:rPr>
      </w:pPr>
    </w:p>
    <w:p>
      <w:pPr>
        <w:keepNext w:val="0"/>
        <w:keepLines w:val="0"/>
        <w:pageBreakBefore w:val="0"/>
        <w:kinsoku/>
        <w:wordWrap/>
        <w:overflowPunct/>
        <w:topLinePunct w:val="0"/>
        <w:bidi w:val="0"/>
        <w:snapToGrid/>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object>
          <v:shape id="_x0000_i1025" o:spt="75" type="#_x0000_t75" style="height:40.25pt;width:103.75pt;" o:ole="t" filled="f" o:preferrelative="t" stroked="f" coordsize="21600,21600">
            <v:fill on="f" focussize="0,0"/>
            <v:stroke on="f"/>
            <v:imagedata r:id="rId22" o:title=""/>
            <o:lock v:ext="edit" aspectratio="t"/>
            <w10:wrap type="none"/>
            <w10:anchorlock/>
          </v:shape>
          <o:OLEObject Type="Embed" ProgID="Package" ShapeID="_x0000_i1025" DrawAspect="Content" ObjectID="_1468075725" r:id="rId21">
            <o:LockedField>false</o:LockedField>
          </o:OLEObject>
        </w:object>
      </w:r>
      <w:bookmarkStart w:id="4" w:name="_GoBack"/>
      <w:bookmarkEnd w:id="4"/>
    </w:p>
    <w:p>
      <w:pPr>
        <w:keepNext w:val="0"/>
        <w:keepLines w:val="0"/>
        <w:pageBreakBefore w:val="0"/>
        <w:kinsoku/>
        <w:wordWrap/>
        <w:overflowPunct/>
        <w:topLinePunct w:val="0"/>
        <w:bidi w:val="0"/>
        <w:snapToGrid/>
        <w:ind w:firstLine="640" w:firstLineChars="200"/>
        <w:jc w:val="left"/>
        <w:rPr>
          <w:rFonts w:hint="eastAsia" w:ascii="仿宋" w:hAnsi="仿宋" w:eastAsia="仿宋" w:cs="仿宋"/>
          <w:color w:val="auto"/>
          <w:sz w:val="32"/>
          <w:szCs w:val="32"/>
        </w:rPr>
      </w:pPr>
    </w:p>
    <w:p>
      <w:pPr>
        <w:keepNext w:val="0"/>
        <w:keepLines w:val="0"/>
        <w:pageBreakBefore w:val="0"/>
        <w:kinsoku/>
        <w:wordWrap/>
        <w:overflowPunct/>
        <w:topLinePunct w:val="0"/>
        <w:bidi w:val="0"/>
        <w:snapToGrid/>
        <w:jc w:val="left"/>
        <w:rPr>
          <w:rFonts w:hint="eastAsia" w:ascii="仿宋" w:hAnsi="仿宋" w:eastAsia="仿宋" w:cs="仿宋"/>
          <w:color w:val="auto"/>
          <w:sz w:val="32"/>
          <w:szCs w:val="32"/>
        </w:rPr>
      </w:pPr>
    </w:p>
    <w:p>
      <w:pPr>
        <w:keepNext w:val="0"/>
        <w:keepLines w:val="0"/>
        <w:pageBreakBefore w:val="0"/>
        <w:kinsoku/>
        <w:wordWrap/>
        <w:overflowPunct/>
        <w:topLinePunct w:val="0"/>
        <w:bidi w:val="0"/>
        <w:snapToGrid/>
        <w:ind w:firstLine="640" w:firstLineChars="200"/>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第四部分  名词解释</w:t>
      </w: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一、财政拨款收入：指</w:t>
      </w:r>
      <w:r>
        <w:rPr>
          <w:rFonts w:ascii="仿宋" w:hAnsi="仿宋" w:eastAsia="仿宋" w:cs="仿宋"/>
          <w:color w:val="auto"/>
          <w:sz w:val="32"/>
          <w:u w:color="auto"/>
        </w:rPr>
        <w:t>环江毛南族自治县财政部门当年拨付的资金。</w:t>
      </w: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二、事业收入：指事业单位开展专业业务活动及辅助活动所取得的收入。</w:t>
      </w: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三、经营收入：指事业单位在专业业务活动及其辅助活动之外开展非独立核算经营活动取得的收入。</w:t>
      </w: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四、其他收入：指除上述“财政拨款收入”“事业收入”“经营收入”等以外的收入。</w:t>
      </w: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keepNext w:val="0"/>
        <w:keepLines w:val="0"/>
        <w:pageBreakBefore w:val="0"/>
        <w:kinsoku/>
        <w:wordWrap/>
        <w:overflowPunct/>
        <w:topLinePunct w:val="0"/>
        <w:bidi w:val="0"/>
        <w:snapToGrid/>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六、年初结转和结余：指以前年度尚未完成、结转到本年 按有关规定继续使用的资金</w:t>
      </w:r>
      <w:r>
        <w:rPr>
          <w:rFonts w:hint="eastAsia" w:ascii="仿宋" w:hAnsi="仿宋" w:eastAsia="仿宋" w:cs="仿宋"/>
          <w:color w:val="auto"/>
          <w:sz w:val="32"/>
          <w:szCs w:val="32"/>
          <w:highlight w:val="none"/>
          <w:lang w:eastAsia="zh-CN"/>
        </w:rPr>
        <w:t>。</w:t>
      </w: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七、结余分配：指事业单位按规定提取的职工福利基金、事业基金和缴纳的所得税，以及建设单位按规定应交回的基本建设竣工项目结余资金。 </w:t>
      </w: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八、年末结转和结余：指本年度或以前年度预算安排、因客观条件发生变化无法按原计划实施，需要延迟到以后年度按有关规定继续使用的资金。 </w:t>
      </w: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九、基本支出：指为保障机构正常运转、完成日常工作任务而发生的人员支出和公用支出。 </w:t>
      </w: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十、项目支出：指在基本支出之外为完成特定行政任务和事业发展目标所发生的支出。 </w:t>
      </w: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十一、经营支出：指事业单位在专业业务活动及其辅助活动之外开展非独立核算经营活动发生的支出。</w:t>
      </w:r>
    </w:p>
    <w:p>
      <w:pPr>
        <w:keepNext w:val="0"/>
        <w:keepLines w:val="0"/>
        <w:pageBreakBefore w:val="0"/>
        <w:kinsoku/>
        <w:wordWrap/>
        <w:overflowPunct/>
        <w:topLinePunct w:val="0"/>
        <w:bidi w:val="0"/>
        <w:snapToGrid/>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十二、“三公”经费：纳入</w:t>
      </w:r>
      <w:r>
        <w:rPr>
          <w:rFonts w:ascii="仿宋" w:hAnsi="仿宋" w:eastAsia="仿宋" w:cs="仿宋"/>
          <w:color w:val="auto"/>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keepNext w:val="0"/>
        <w:keepLines w:val="0"/>
        <w:pageBreakBefore w:val="0"/>
        <w:kinsoku/>
        <w:wordWrap/>
        <w:overflowPunct/>
        <w:topLinePunct w:val="0"/>
        <w:bidi w:val="0"/>
        <w:snapToGrid/>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bidi w:val="0"/>
        <w:snapToGrid/>
        <w:ind w:firstLine="640" w:firstLineChars="200"/>
        <w:jc w:val="left"/>
        <w:rPr>
          <w:rFonts w:hint="eastAsia" w:ascii="仿宋" w:hAnsi="仿宋" w:eastAsia="仿宋" w:cs="仿宋"/>
          <w:color w:val="auto"/>
          <w:sz w:val="32"/>
          <w:szCs w:val="32"/>
          <w:highlight w:val="none"/>
          <w:lang w:val="en-US" w:eastAsia="zh-CN"/>
        </w:rPr>
      </w:pPr>
    </w:p>
    <w:p>
      <w:pPr>
        <w:keepNext w:val="0"/>
        <w:keepLines w:val="0"/>
        <w:pageBreakBefore w:val="0"/>
        <w:kinsoku/>
        <w:wordWrap/>
        <w:overflowPunct/>
        <w:topLinePunct w:val="0"/>
        <w:bidi w:val="0"/>
        <w:snapToGrid/>
        <w:ind w:firstLine="640" w:firstLineChars="200"/>
        <w:jc w:val="left"/>
        <w:rPr>
          <w:rFonts w:hint="eastAsia" w:ascii="仿宋" w:hAnsi="仿宋" w:eastAsia="仿宋" w:cs="仿宋"/>
          <w:color w:val="auto"/>
          <w:sz w:val="32"/>
          <w:szCs w:val="32"/>
          <w:highlight w:val="none"/>
          <w:lang w:val="en-US" w:eastAsia="zh-CN"/>
        </w:rPr>
      </w:pP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637D7558"/>
    <w:rsid w:val="00002C84"/>
    <w:rsid w:val="00022149"/>
    <w:rsid w:val="00047F6C"/>
    <w:rsid w:val="00093C26"/>
    <w:rsid w:val="00094B91"/>
    <w:rsid w:val="000B06D8"/>
    <w:rsid w:val="000E5855"/>
    <w:rsid w:val="001418A5"/>
    <w:rsid w:val="00147D40"/>
    <w:rsid w:val="00156EF2"/>
    <w:rsid w:val="001C0C3C"/>
    <w:rsid w:val="001D7B97"/>
    <w:rsid w:val="00210E20"/>
    <w:rsid w:val="00223F38"/>
    <w:rsid w:val="00233613"/>
    <w:rsid w:val="00254DBE"/>
    <w:rsid w:val="00275CAB"/>
    <w:rsid w:val="0028709C"/>
    <w:rsid w:val="0029328F"/>
    <w:rsid w:val="002B2731"/>
    <w:rsid w:val="00382867"/>
    <w:rsid w:val="003A4973"/>
    <w:rsid w:val="003C1C96"/>
    <w:rsid w:val="003C36EF"/>
    <w:rsid w:val="003C69F8"/>
    <w:rsid w:val="003E40BA"/>
    <w:rsid w:val="003E7165"/>
    <w:rsid w:val="0041579D"/>
    <w:rsid w:val="00427074"/>
    <w:rsid w:val="00434D04"/>
    <w:rsid w:val="004A0487"/>
    <w:rsid w:val="004C4D73"/>
    <w:rsid w:val="004D7D0E"/>
    <w:rsid w:val="004E4C8E"/>
    <w:rsid w:val="005234F5"/>
    <w:rsid w:val="00531745"/>
    <w:rsid w:val="00574196"/>
    <w:rsid w:val="006123AD"/>
    <w:rsid w:val="00645B83"/>
    <w:rsid w:val="0066173C"/>
    <w:rsid w:val="00691939"/>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20B4"/>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02AA"/>
    <w:rsid w:val="00FC438B"/>
    <w:rsid w:val="01234E98"/>
    <w:rsid w:val="01395B91"/>
    <w:rsid w:val="01467425"/>
    <w:rsid w:val="015F1951"/>
    <w:rsid w:val="016C1863"/>
    <w:rsid w:val="01AA76F3"/>
    <w:rsid w:val="01F65F44"/>
    <w:rsid w:val="020C171D"/>
    <w:rsid w:val="0216715F"/>
    <w:rsid w:val="026033F5"/>
    <w:rsid w:val="02E0291A"/>
    <w:rsid w:val="03573CC2"/>
    <w:rsid w:val="03D85456"/>
    <w:rsid w:val="04192BC4"/>
    <w:rsid w:val="04485493"/>
    <w:rsid w:val="04B24EC3"/>
    <w:rsid w:val="04E54546"/>
    <w:rsid w:val="050F1B96"/>
    <w:rsid w:val="05663FD6"/>
    <w:rsid w:val="05992762"/>
    <w:rsid w:val="06F772FB"/>
    <w:rsid w:val="070672E7"/>
    <w:rsid w:val="07B0770E"/>
    <w:rsid w:val="07D06FDE"/>
    <w:rsid w:val="08487F22"/>
    <w:rsid w:val="084C1188"/>
    <w:rsid w:val="08B17951"/>
    <w:rsid w:val="0937562C"/>
    <w:rsid w:val="0942143F"/>
    <w:rsid w:val="09D77734"/>
    <w:rsid w:val="09DE12BD"/>
    <w:rsid w:val="0A1F7389"/>
    <w:rsid w:val="0B212BCE"/>
    <w:rsid w:val="0B5C2DB3"/>
    <w:rsid w:val="0B7C073E"/>
    <w:rsid w:val="0C3E7B22"/>
    <w:rsid w:val="0C6E60F3"/>
    <w:rsid w:val="0C90792D"/>
    <w:rsid w:val="0D100297"/>
    <w:rsid w:val="0D202B45"/>
    <w:rsid w:val="0DF97DF8"/>
    <w:rsid w:val="0EB175A7"/>
    <w:rsid w:val="0ED158DD"/>
    <w:rsid w:val="0F68281D"/>
    <w:rsid w:val="0F8D4C87"/>
    <w:rsid w:val="0FBE7AE4"/>
    <w:rsid w:val="10505FAA"/>
    <w:rsid w:val="105F3DEA"/>
    <w:rsid w:val="105F7E7E"/>
    <w:rsid w:val="10B5519D"/>
    <w:rsid w:val="11314143"/>
    <w:rsid w:val="116C0AA4"/>
    <w:rsid w:val="11E56B5B"/>
    <w:rsid w:val="11F66DAA"/>
    <w:rsid w:val="122946DB"/>
    <w:rsid w:val="125C77AB"/>
    <w:rsid w:val="133451EC"/>
    <w:rsid w:val="13452433"/>
    <w:rsid w:val="13F46820"/>
    <w:rsid w:val="140B63F8"/>
    <w:rsid w:val="144F625E"/>
    <w:rsid w:val="14CB726E"/>
    <w:rsid w:val="15BC4236"/>
    <w:rsid w:val="16992920"/>
    <w:rsid w:val="17253615"/>
    <w:rsid w:val="17E92249"/>
    <w:rsid w:val="188F7EF2"/>
    <w:rsid w:val="18D304F1"/>
    <w:rsid w:val="19827DE5"/>
    <w:rsid w:val="19F32577"/>
    <w:rsid w:val="19F45B80"/>
    <w:rsid w:val="1A34568A"/>
    <w:rsid w:val="1A5C0DCD"/>
    <w:rsid w:val="1B0C078D"/>
    <w:rsid w:val="1B2B31E2"/>
    <w:rsid w:val="1B4C295A"/>
    <w:rsid w:val="1B973C63"/>
    <w:rsid w:val="1B996256"/>
    <w:rsid w:val="1BA1001E"/>
    <w:rsid w:val="1BB42683"/>
    <w:rsid w:val="1BEE7603"/>
    <w:rsid w:val="1C6020AC"/>
    <w:rsid w:val="1CB82E2A"/>
    <w:rsid w:val="1D317259"/>
    <w:rsid w:val="1DF041AC"/>
    <w:rsid w:val="1E314C15"/>
    <w:rsid w:val="1E664F5B"/>
    <w:rsid w:val="1E830E19"/>
    <w:rsid w:val="1EB34BE1"/>
    <w:rsid w:val="1EE324BA"/>
    <w:rsid w:val="2006711A"/>
    <w:rsid w:val="215E639F"/>
    <w:rsid w:val="21EC3183"/>
    <w:rsid w:val="21FA1399"/>
    <w:rsid w:val="220558A0"/>
    <w:rsid w:val="225E72CD"/>
    <w:rsid w:val="23680A25"/>
    <w:rsid w:val="23D07150"/>
    <w:rsid w:val="241678C4"/>
    <w:rsid w:val="246E2F77"/>
    <w:rsid w:val="248249F5"/>
    <w:rsid w:val="24A521A7"/>
    <w:rsid w:val="24CD15F1"/>
    <w:rsid w:val="254B4E2B"/>
    <w:rsid w:val="262B372C"/>
    <w:rsid w:val="26AE18AE"/>
    <w:rsid w:val="2701248A"/>
    <w:rsid w:val="273477E1"/>
    <w:rsid w:val="27486482"/>
    <w:rsid w:val="28156139"/>
    <w:rsid w:val="28164551"/>
    <w:rsid w:val="283D7C94"/>
    <w:rsid w:val="292C1B1A"/>
    <w:rsid w:val="29480E03"/>
    <w:rsid w:val="2983634D"/>
    <w:rsid w:val="29CB291D"/>
    <w:rsid w:val="29FC6970"/>
    <w:rsid w:val="2A932366"/>
    <w:rsid w:val="2B5F65B7"/>
    <w:rsid w:val="2BB02055"/>
    <w:rsid w:val="2C3A2459"/>
    <w:rsid w:val="2C575A56"/>
    <w:rsid w:val="2C9021AC"/>
    <w:rsid w:val="2D0C3CF4"/>
    <w:rsid w:val="2E331558"/>
    <w:rsid w:val="2E3A0EE3"/>
    <w:rsid w:val="2E6A74B4"/>
    <w:rsid w:val="2EA66014"/>
    <w:rsid w:val="2ED15F5E"/>
    <w:rsid w:val="2ED44965"/>
    <w:rsid w:val="2F257714"/>
    <w:rsid w:val="2F3275E5"/>
    <w:rsid w:val="2F4B45A3"/>
    <w:rsid w:val="2F7136E2"/>
    <w:rsid w:val="2F881E8A"/>
    <w:rsid w:val="2FA60B3F"/>
    <w:rsid w:val="300D5966"/>
    <w:rsid w:val="301729F2"/>
    <w:rsid w:val="301E5C00"/>
    <w:rsid w:val="3021505A"/>
    <w:rsid w:val="303B192D"/>
    <w:rsid w:val="30AA08EF"/>
    <w:rsid w:val="30B476A7"/>
    <w:rsid w:val="30D23D1C"/>
    <w:rsid w:val="3118389A"/>
    <w:rsid w:val="31221CF5"/>
    <w:rsid w:val="313727F0"/>
    <w:rsid w:val="31400178"/>
    <w:rsid w:val="31611710"/>
    <w:rsid w:val="31A15D7C"/>
    <w:rsid w:val="31DB16A7"/>
    <w:rsid w:val="321E3342"/>
    <w:rsid w:val="327759C8"/>
    <w:rsid w:val="33185FE3"/>
    <w:rsid w:val="33A03224"/>
    <w:rsid w:val="33AC3853"/>
    <w:rsid w:val="34EE2E36"/>
    <w:rsid w:val="36777241"/>
    <w:rsid w:val="371E78D5"/>
    <w:rsid w:val="377B7EDC"/>
    <w:rsid w:val="37A30ED5"/>
    <w:rsid w:val="38A547BD"/>
    <w:rsid w:val="38A951DB"/>
    <w:rsid w:val="38AA67FD"/>
    <w:rsid w:val="38B31605"/>
    <w:rsid w:val="39003F4F"/>
    <w:rsid w:val="39635633"/>
    <w:rsid w:val="39BF5D4C"/>
    <w:rsid w:val="39DE3928"/>
    <w:rsid w:val="3A027D5E"/>
    <w:rsid w:val="3A2B507B"/>
    <w:rsid w:val="3A810009"/>
    <w:rsid w:val="3BC26416"/>
    <w:rsid w:val="3C07002B"/>
    <w:rsid w:val="3C8729C9"/>
    <w:rsid w:val="3D0D152A"/>
    <w:rsid w:val="3DF62756"/>
    <w:rsid w:val="3F1B7587"/>
    <w:rsid w:val="4031025F"/>
    <w:rsid w:val="40EB768D"/>
    <w:rsid w:val="41E57B4F"/>
    <w:rsid w:val="426339F7"/>
    <w:rsid w:val="42B8734B"/>
    <w:rsid w:val="432F26F6"/>
    <w:rsid w:val="43880F63"/>
    <w:rsid w:val="43BB012E"/>
    <w:rsid w:val="441C5A6F"/>
    <w:rsid w:val="44273C36"/>
    <w:rsid w:val="44C44FCC"/>
    <w:rsid w:val="44CC7369"/>
    <w:rsid w:val="457F5108"/>
    <w:rsid w:val="463446BC"/>
    <w:rsid w:val="46547FBA"/>
    <w:rsid w:val="46951B6B"/>
    <w:rsid w:val="46C3268A"/>
    <w:rsid w:val="47AD64A7"/>
    <w:rsid w:val="48CE2202"/>
    <w:rsid w:val="49023556"/>
    <w:rsid w:val="49A34401"/>
    <w:rsid w:val="4A1106F9"/>
    <w:rsid w:val="4A272033"/>
    <w:rsid w:val="4A3E30AB"/>
    <w:rsid w:val="4AC14DAC"/>
    <w:rsid w:val="4AE820F1"/>
    <w:rsid w:val="4C5600CA"/>
    <w:rsid w:val="4C8F1529"/>
    <w:rsid w:val="4D154C85"/>
    <w:rsid w:val="4EB35ECE"/>
    <w:rsid w:val="4EBE5040"/>
    <w:rsid w:val="4EC35C45"/>
    <w:rsid w:val="4F2E0B78"/>
    <w:rsid w:val="4F416513"/>
    <w:rsid w:val="4F714AE4"/>
    <w:rsid w:val="500C1EE2"/>
    <w:rsid w:val="50190775"/>
    <w:rsid w:val="508F4E24"/>
    <w:rsid w:val="50D40EA8"/>
    <w:rsid w:val="51461E90"/>
    <w:rsid w:val="51463753"/>
    <w:rsid w:val="51EE06FB"/>
    <w:rsid w:val="52553A93"/>
    <w:rsid w:val="52CE1F68"/>
    <w:rsid w:val="53521F8B"/>
    <w:rsid w:val="53AE15D6"/>
    <w:rsid w:val="53CA4473"/>
    <w:rsid w:val="53E22F47"/>
    <w:rsid w:val="544611AD"/>
    <w:rsid w:val="54522FF8"/>
    <w:rsid w:val="54943E52"/>
    <w:rsid w:val="554064E9"/>
    <w:rsid w:val="55450629"/>
    <w:rsid w:val="56261B79"/>
    <w:rsid w:val="56692963"/>
    <w:rsid w:val="568B0F48"/>
    <w:rsid w:val="56A62938"/>
    <w:rsid w:val="5786217B"/>
    <w:rsid w:val="57F11C90"/>
    <w:rsid w:val="5800606D"/>
    <w:rsid w:val="58657096"/>
    <w:rsid w:val="58C17A25"/>
    <w:rsid w:val="591E42C6"/>
    <w:rsid w:val="59337A15"/>
    <w:rsid w:val="593A4AEF"/>
    <w:rsid w:val="59810274"/>
    <w:rsid w:val="59F1681C"/>
    <w:rsid w:val="5A0F185C"/>
    <w:rsid w:val="5A217302"/>
    <w:rsid w:val="5B4930DF"/>
    <w:rsid w:val="5B992623"/>
    <w:rsid w:val="5C327B4C"/>
    <w:rsid w:val="5C983278"/>
    <w:rsid w:val="5CA96A00"/>
    <w:rsid w:val="5CF730BC"/>
    <w:rsid w:val="5D142BC1"/>
    <w:rsid w:val="5D3C0667"/>
    <w:rsid w:val="5D820C77"/>
    <w:rsid w:val="5E5F0DCE"/>
    <w:rsid w:val="5E747306"/>
    <w:rsid w:val="5F082FAE"/>
    <w:rsid w:val="5F4750E0"/>
    <w:rsid w:val="5FA40A7B"/>
    <w:rsid w:val="5FD56D29"/>
    <w:rsid w:val="5FEC7F3F"/>
    <w:rsid w:val="60191BB5"/>
    <w:rsid w:val="60E72E0D"/>
    <w:rsid w:val="60F74BC3"/>
    <w:rsid w:val="61366B09"/>
    <w:rsid w:val="613F1997"/>
    <w:rsid w:val="615D47CA"/>
    <w:rsid w:val="61651BD7"/>
    <w:rsid w:val="617D3BF8"/>
    <w:rsid w:val="61841F6A"/>
    <w:rsid w:val="620F3203"/>
    <w:rsid w:val="621464F7"/>
    <w:rsid w:val="623007A9"/>
    <w:rsid w:val="62A37A6C"/>
    <w:rsid w:val="631F442B"/>
    <w:rsid w:val="637D7558"/>
    <w:rsid w:val="63DE7B8D"/>
    <w:rsid w:val="640B2DAF"/>
    <w:rsid w:val="644F19AC"/>
    <w:rsid w:val="649A719B"/>
    <w:rsid w:val="64EB5CA0"/>
    <w:rsid w:val="65121B64"/>
    <w:rsid w:val="651F73F4"/>
    <w:rsid w:val="658C5F92"/>
    <w:rsid w:val="65AA4920"/>
    <w:rsid w:val="65E31D0B"/>
    <w:rsid w:val="65FD1D14"/>
    <w:rsid w:val="661F4D98"/>
    <w:rsid w:val="672777C9"/>
    <w:rsid w:val="67694F1E"/>
    <w:rsid w:val="67730CDC"/>
    <w:rsid w:val="67CA27D4"/>
    <w:rsid w:val="67DC6A29"/>
    <w:rsid w:val="68FE73CF"/>
    <w:rsid w:val="690D4166"/>
    <w:rsid w:val="69597934"/>
    <w:rsid w:val="69A10B77"/>
    <w:rsid w:val="6A1519C5"/>
    <w:rsid w:val="6A5D4D8D"/>
    <w:rsid w:val="6A6F632C"/>
    <w:rsid w:val="6A705025"/>
    <w:rsid w:val="6A804048"/>
    <w:rsid w:val="6B126E3A"/>
    <w:rsid w:val="6B6C0DA2"/>
    <w:rsid w:val="6B7B2FE6"/>
    <w:rsid w:val="6B964DDC"/>
    <w:rsid w:val="6C783074"/>
    <w:rsid w:val="6D521DF4"/>
    <w:rsid w:val="6D9E65C6"/>
    <w:rsid w:val="6DA81947"/>
    <w:rsid w:val="6DD775C2"/>
    <w:rsid w:val="6E4057A2"/>
    <w:rsid w:val="6EB45CAC"/>
    <w:rsid w:val="6EB66DE2"/>
    <w:rsid w:val="6ECF7B5A"/>
    <w:rsid w:val="6ED3075F"/>
    <w:rsid w:val="6F2A2D4B"/>
    <w:rsid w:val="6F3C270D"/>
    <w:rsid w:val="6F480BED"/>
    <w:rsid w:val="6F6C545A"/>
    <w:rsid w:val="6F8A0C1E"/>
    <w:rsid w:val="6FF23135"/>
    <w:rsid w:val="6FF66C78"/>
    <w:rsid w:val="703F45D4"/>
    <w:rsid w:val="714E772A"/>
    <w:rsid w:val="715D6546"/>
    <w:rsid w:val="719F7978"/>
    <w:rsid w:val="71BE069E"/>
    <w:rsid w:val="73645BAF"/>
    <w:rsid w:val="73730B78"/>
    <w:rsid w:val="73953409"/>
    <w:rsid w:val="73997733"/>
    <w:rsid w:val="739D6139"/>
    <w:rsid w:val="73E069A3"/>
    <w:rsid w:val="73FA3E03"/>
    <w:rsid w:val="74603ED7"/>
    <w:rsid w:val="752062B5"/>
    <w:rsid w:val="755323E5"/>
    <w:rsid w:val="760B1736"/>
    <w:rsid w:val="76276E68"/>
    <w:rsid w:val="768A5887"/>
    <w:rsid w:val="76C80BEF"/>
    <w:rsid w:val="76D101FA"/>
    <w:rsid w:val="770045CD"/>
    <w:rsid w:val="78104AA8"/>
    <w:rsid w:val="78E257C5"/>
    <w:rsid w:val="792A173C"/>
    <w:rsid w:val="794B35BE"/>
    <w:rsid w:val="79AB41AB"/>
    <w:rsid w:val="79D85F74"/>
    <w:rsid w:val="79E5586D"/>
    <w:rsid w:val="79F80A27"/>
    <w:rsid w:val="7A397292"/>
    <w:rsid w:val="7AD83918"/>
    <w:rsid w:val="7B0A3A31"/>
    <w:rsid w:val="7B203D0C"/>
    <w:rsid w:val="7B3360ED"/>
    <w:rsid w:val="7B4606F2"/>
    <w:rsid w:val="7BDF037E"/>
    <w:rsid w:val="7BF50948"/>
    <w:rsid w:val="7BF75F6E"/>
    <w:rsid w:val="7CE66A78"/>
    <w:rsid w:val="7D23564C"/>
    <w:rsid w:val="7D5E062D"/>
    <w:rsid w:val="7DD70A02"/>
    <w:rsid w:val="7DF76CD8"/>
    <w:rsid w:val="7E535DCD"/>
    <w:rsid w:val="7F695C26"/>
    <w:rsid w:val="7FC1610C"/>
    <w:rsid w:val="7FCA46B5"/>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emf"/><Relationship Id="rId21" Type="http://schemas.openxmlformats.org/officeDocument/2006/relationships/oleObject" Target="embeddings/oleObject1.bin"/><Relationship Id="rId20" Type="http://schemas.openxmlformats.org/officeDocument/2006/relationships/chart" Target="charts/chart13.xml"/><Relationship Id="rId2" Type="http://schemas.openxmlformats.org/officeDocument/2006/relationships/settings" Target="settings.xml"/><Relationship Id="rId19" Type="http://schemas.openxmlformats.org/officeDocument/2006/relationships/chart" Target="charts/chart12.xml"/><Relationship Id="rId18" Type="http://schemas.openxmlformats.org/officeDocument/2006/relationships/chart" Target="charts/chart11.xml"/><Relationship Id="rId17" Type="http://schemas.openxmlformats.org/officeDocument/2006/relationships/chart" Target="charts/chart10.xml"/><Relationship Id="rId16" Type="http://schemas.openxmlformats.org/officeDocument/2006/relationships/chart" Target="charts/chart9.xml"/><Relationship Id="rId15" Type="http://schemas.openxmlformats.org/officeDocument/2006/relationships/chart" Target="charts/chart8.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K\AppData\Local\Temp\360zip$Temp\360$0\&#20013;&#22269;&#20849;&#20135;&#20826;&#29615;&#27743;&#27611;&#21335;&#26063;&#33258;&#27835;&#21439;&#22996;&#21592;&#20250;&#20826;&#21490;&#30740;&#31350;&#2346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K\AppData\Local\Temp\360zip$Temp\360$0\&#20013;&#22269;&#20849;&#20135;&#20826;&#29615;&#27743;&#27611;&#21335;&#26063;&#33258;&#27835;&#21439;&#22996;&#21592;&#20250;&#20826;&#21490;&#30740;&#31350;&#23460;.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1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一般公共预算财政拨款收入</c:v>
                </c:pt>
                <c:pt idx="1">
                  <c:v>其他收入</c:v>
                </c:pt>
              </c:strCache>
            </c:strRef>
          </c:cat>
          <c:val>
            <c:numRef>
              <c:f>Sheet1!$B$2:$B$3</c:f>
              <c:numCache>
                <c:formatCode>General</c:formatCode>
                <c:ptCount val="2"/>
                <c:pt idx="0">
                  <c:v>67.34</c:v>
                </c:pt>
                <c:pt idx="1">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c:v>
                </c:pt>
                <c:pt idx="4">
                  <c:v>7.2</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altLang="en-US"/>
              <a:t>支出决算图表</a:t>
            </a:r>
            <a:endParaRPr lang="en-US" altLang="zh-CN"/>
          </a:p>
        </c:rich>
      </c:tx>
      <c:layout/>
      <c:overlay val="0"/>
      <c:spPr>
        <a:noFill/>
        <a:ln>
          <a:noFill/>
        </a:ln>
        <a:effectLst/>
      </c:spPr>
    </c:title>
    <c:autoTitleDeleted val="0"/>
    <c:plotArea>
      <c:layout/>
      <c:barChart>
        <c:barDir val="col"/>
        <c:grouping val="clustered"/>
        <c:varyColors val="0"/>
        <c:ser>
          <c:idx val="0"/>
          <c:order val="0"/>
          <c:tx>
            <c:strRef>
              <c:f>'[中国共产党环江毛南族自治县委员会党史研究室.xlsx]支出决算表 公开03表'!$E$20</c:f>
              <c:strCache>
                <c:ptCount val="1"/>
                <c:pt idx="0">
                  <c:v>2023年</c:v>
                </c:pt>
              </c:strCache>
            </c:strRef>
          </c:tx>
          <c:spPr>
            <a:solidFill>
              <a:schemeClr val="accent1"/>
            </a:solidFill>
            <a:ln>
              <a:noFill/>
            </a:ln>
            <a:effectLst/>
          </c:spPr>
          <c:invertIfNegative val="0"/>
          <c:dLbls>
            <c:delete val="1"/>
          </c:dLbls>
          <c:cat>
            <c:strRef>
              <c:f>'[中国共产党环江毛南族自治县委员会党史研究室.xlsx]支出决算表 公开03表'!$D$21:$D$25</c:f>
              <c:strCache>
                <c:ptCount val="5"/>
                <c:pt idx="0">
                  <c:v>一般公共服务支出</c:v>
                </c:pt>
                <c:pt idx="1">
                  <c:v>科学技术支出</c:v>
                </c:pt>
                <c:pt idx="2">
                  <c:v>社会保障和就业支出</c:v>
                </c:pt>
                <c:pt idx="3">
                  <c:v>住房保障支出</c:v>
                </c:pt>
                <c:pt idx="4">
                  <c:v>其他支出</c:v>
                </c:pt>
              </c:strCache>
            </c:strRef>
          </c:cat>
          <c:val>
            <c:numRef>
              <c:f>'[中国共产党环江毛南族自治县委员会党史研究室.xlsx]支出决算表 公开03表'!$E$21:$E$25</c:f>
              <c:numCache>
                <c:formatCode>General</c:formatCode>
                <c:ptCount val="5"/>
                <c:pt idx="0">
                  <c:v>83.34</c:v>
                </c:pt>
                <c:pt idx="1">
                  <c:v>3.59</c:v>
                </c:pt>
                <c:pt idx="2">
                  <c:v>9.79</c:v>
                </c:pt>
                <c:pt idx="3">
                  <c:v>7.35</c:v>
                </c:pt>
                <c:pt idx="4">
                  <c:v>10.79</c:v>
                </c:pt>
              </c:numCache>
            </c:numRef>
          </c:val>
        </c:ser>
        <c:ser>
          <c:idx val="1"/>
          <c:order val="1"/>
          <c:tx>
            <c:strRef>
              <c:f>'[中国共产党环江毛南族自治县委员会党史研究室.xlsx]支出决算表 公开03表'!$F$20</c:f>
              <c:strCache>
                <c:ptCount val="1"/>
                <c:pt idx="0">
                  <c:v>2022年</c:v>
                </c:pt>
              </c:strCache>
            </c:strRef>
          </c:tx>
          <c:spPr>
            <a:solidFill>
              <a:schemeClr val="accent2"/>
            </a:solidFill>
            <a:ln>
              <a:noFill/>
            </a:ln>
            <a:effectLst/>
          </c:spPr>
          <c:invertIfNegative val="0"/>
          <c:dLbls>
            <c:delete val="1"/>
          </c:dLbls>
          <c:cat>
            <c:strRef>
              <c:f>'[中国共产党环江毛南族自治县委员会党史研究室.xlsx]支出决算表 公开03表'!$D$21:$D$25</c:f>
              <c:strCache>
                <c:ptCount val="5"/>
                <c:pt idx="0">
                  <c:v>一般公共服务支出</c:v>
                </c:pt>
                <c:pt idx="1">
                  <c:v>科学技术支出</c:v>
                </c:pt>
                <c:pt idx="2">
                  <c:v>社会保障和就业支出</c:v>
                </c:pt>
                <c:pt idx="3">
                  <c:v>住房保障支出</c:v>
                </c:pt>
                <c:pt idx="4">
                  <c:v>其他支出</c:v>
                </c:pt>
              </c:strCache>
            </c:strRef>
          </c:cat>
          <c:val>
            <c:numRef>
              <c:f>'[中国共产党环江毛南族自治县委员会党史研究室.xlsx]支出决算表 公开03表'!$F$21:$F$25</c:f>
              <c:numCache>
                <c:formatCode>General</c:formatCode>
                <c:ptCount val="5"/>
                <c:pt idx="0">
                  <c:v>104.2</c:v>
                </c:pt>
                <c:pt idx="2">
                  <c:v>7.87</c:v>
                </c:pt>
                <c:pt idx="3">
                  <c:v>6.43</c:v>
                </c:pt>
                <c:pt idx="4">
                  <c:v>13.79</c:v>
                </c:pt>
              </c:numCache>
            </c:numRef>
          </c:val>
        </c:ser>
        <c:dLbls>
          <c:showLegendKey val="0"/>
          <c:showVal val="0"/>
          <c:showCatName val="0"/>
          <c:showSerName val="0"/>
          <c:showPercent val="0"/>
          <c:showBubbleSize val="0"/>
        </c:dLbls>
        <c:gapWidth val="246"/>
        <c:overlap val="-28"/>
        <c:axId val="963006822"/>
        <c:axId val="685501457"/>
      </c:barChart>
      <c:catAx>
        <c:axId val="96300682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5501457"/>
        <c:crosses val="autoZero"/>
        <c:auto val="1"/>
        <c:lblAlgn val="ctr"/>
        <c:lblOffset val="100"/>
        <c:noMultiLvlLbl val="0"/>
      </c:catAx>
      <c:valAx>
        <c:axId val="685501457"/>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300682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一般公共支出</a:t>
            </a:r>
          </a:p>
        </c:rich>
      </c:tx>
      <c:layout/>
      <c:overlay val="0"/>
      <c:spPr>
        <a:noFill/>
        <a:ln>
          <a:noFill/>
        </a:ln>
        <a:effectLst/>
      </c:spPr>
    </c:title>
    <c:autoTitleDeleted val="0"/>
    <c:plotArea>
      <c:layout/>
      <c:barChart>
        <c:barDir val="col"/>
        <c:grouping val="clustered"/>
        <c:varyColors val="0"/>
        <c:ser>
          <c:idx val="0"/>
          <c:order val="0"/>
          <c:tx>
            <c:strRef>
              <c:f>'[中国共产党环江毛南族自治县委员会党史研究室.xlsx]支出决算表 公开03表'!$F$35</c:f>
              <c:strCache>
                <c:ptCount val="1"/>
                <c:pt idx="0">
                  <c:v>科目代码</c:v>
                </c:pt>
              </c:strCache>
            </c:strRef>
          </c:tx>
          <c:spPr>
            <a:solidFill>
              <a:schemeClr val="accent1"/>
            </a:solidFill>
            <a:ln>
              <a:noFill/>
            </a:ln>
            <a:effectLst/>
          </c:spPr>
          <c:invertIfNegative val="0"/>
          <c:dLbls>
            <c:delete val="1"/>
          </c:dLbls>
          <c:cat>
            <c:numRef>
              <c:f>'[中国共产党环江毛南族自治县委员会党史研究室.xlsx]支出决算表 公开03表'!$E$36:$E$39</c:f>
              <c:numCache>
                <c:formatCode>General</c:formatCode>
                <c:ptCount val="4"/>
                <c:pt idx="0">
                  <c:v>2010301</c:v>
                </c:pt>
                <c:pt idx="1">
                  <c:v>2010399</c:v>
                </c:pt>
                <c:pt idx="2">
                  <c:v>2012901</c:v>
                </c:pt>
                <c:pt idx="3">
                  <c:v>2069999</c:v>
                </c:pt>
              </c:numCache>
            </c:numRef>
          </c:cat>
          <c:val>
            <c:numRef>
              <c:f>'[中国共产党环江毛南族自治县委员会党史研究室.xlsx]支出决算表 公开03表'!$F$36:$F$39</c:f>
              <c:numCache>
                <c:formatCode>General</c:formatCode>
                <c:ptCount val="4"/>
                <c:pt idx="0">
                  <c:v>79.88</c:v>
                </c:pt>
                <c:pt idx="1">
                  <c:v>2.04</c:v>
                </c:pt>
                <c:pt idx="2">
                  <c:v>0.3</c:v>
                </c:pt>
                <c:pt idx="3">
                  <c:v>1.12</c:v>
                </c:pt>
              </c:numCache>
            </c:numRef>
          </c:val>
        </c:ser>
        <c:dLbls>
          <c:showLegendKey val="0"/>
          <c:showVal val="0"/>
          <c:showCatName val="0"/>
          <c:showSerName val="0"/>
          <c:showPercent val="0"/>
          <c:showBubbleSize val="0"/>
        </c:dLbls>
        <c:gapWidth val="246"/>
        <c:overlap val="-28"/>
        <c:axId val="789312970"/>
        <c:axId val="159883744"/>
      </c:barChart>
      <c:catAx>
        <c:axId val="78931297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9883744"/>
        <c:crosses val="autoZero"/>
        <c:auto val="1"/>
        <c:lblAlgn val="ctr"/>
        <c:lblOffset val="100"/>
        <c:noMultiLvlLbl val="0"/>
      </c:catAx>
      <c:valAx>
        <c:axId val="15988374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931297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其他科学技术支出</a:t>
            </a:r>
            <a:endParaRPr lang="en-US" sz="1100"/>
          </a:p>
        </c:rich>
      </c:tx>
      <c:layout>
        <c:manualLayout>
          <c:xMode val="edge"/>
          <c:yMode val="edge"/>
          <c:x val="0.259274992919853"/>
          <c:y val="0.023696682464455"/>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c:f>
              <c:numCache>
                <c:formatCode>General</c:formatCode>
                <c:ptCount val="1"/>
                <c:pt idx="0">
                  <c:v>2069999</c:v>
                </c:pt>
              </c:numCache>
            </c:numRef>
          </c:cat>
          <c:val>
            <c:numRef>
              <c:f>Sheet1!$B$2</c:f>
              <c:numCache>
                <c:formatCode>General</c:formatCode>
                <c:ptCount val="1"/>
                <c:pt idx="0">
                  <c:v>3.59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manualLayout>
          <c:layoutTarget val="inner"/>
          <c:xMode val="edge"/>
          <c:yMode val="edge"/>
          <c:x val="0.0463459628210586"/>
          <c:y val="0.181279620853081"/>
          <c:w val="0.918177948063005"/>
          <c:h val="0.645616113744076"/>
        </c:manualLayout>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c:f>
              <c:numCache>
                <c:formatCode>General</c:formatCode>
                <c:ptCount val="1"/>
                <c:pt idx="0">
                  <c:v>2080505</c:v>
                </c:pt>
              </c:numCache>
            </c:numRef>
          </c:cat>
          <c:val>
            <c:numRef>
              <c:f>Sheet1!$B$2</c:f>
              <c:numCache>
                <c:formatCode>General</c:formatCode>
                <c:ptCount val="1"/>
                <c:pt idx="0">
                  <c:v>9.79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c:f>
              <c:numCache>
                <c:formatCode>General</c:formatCode>
                <c:ptCount val="1"/>
                <c:pt idx="0">
                  <c:v>2210201</c:v>
                </c:pt>
              </c:numCache>
            </c:numRef>
          </c:cat>
          <c:val>
            <c:numRef>
              <c:f>Sheet1!$B$2</c:f>
              <c:numCache>
                <c:formatCode>General</c:formatCode>
                <c:ptCount val="1"/>
                <c:pt idx="0">
                  <c:v>7.35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其他支</a:t>
            </a:r>
            <a:r>
              <a:rPr lang="en-US"/>
              <a:t>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c:f>
              <c:numCache>
                <c:formatCode>General</c:formatCode>
                <c:ptCount val="1"/>
                <c:pt idx="0">
                  <c:v>2299999</c:v>
                </c:pt>
              </c:numCache>
            </c:numRef>
          </c:cat>
          <c:val>
            <c:numRef>
              <c:f>Sheet1!$B$2</c:f>
              <c:numCache>
                <c:formatCode>General</c:formatCode>
                <c:ptCount val="1"/>
                <c:pt idx="0">
                  <c:v>10.79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Sheet1!$A$2:$A$12</c:f>
              <c:numCache>
                <c:formatCode>General</c:formatCode>
                <c:ptCount val="11"/>
                <c:pt idx="0">
                  <c:v>30101</c:v>
                </c:pt>
                <c:pt idx="1">
                  <c:v>30102</c:v>
                </c:pt>
                <c:pt idx="2">
                  <c:v>30103</c:v>
                </c:pt>
                <c:pt idx="3">
                  <c:v>30106</c:v>
                </c:pt>
                <c:pt idx="4">
                  <c:v>30107</c:v>
                </c:pt>
                <c:pt idx="5">
                  <c:v>30108</c:v>
                </c:pt>
                <c:pt idx="6">
                  <c:v>30110</c:v>
                </c:pt>
                <c:pt idx="7">
                  <c:v>30111</c:v>
                </c:pt>
                <c:pt idx="8">
                  <c:v>30112</c:v>
                </c:pt>
                <c:pt idx="9">
                  <c:v>30113</c:v>
                </c:pt>
                <c:pt idx="10">
                  <c:v>30199</c:v>
                </c:pt>
              </c:numCache>
            </c:numRef>
          </c:cat>
          <c:val>
            <c:numRef>
              <c:f>Sheet1!$B$2:$B$12</c:f>
              <c:numCache>
                <c:formatCode>General</c:formatCode>
                <c:ptCount val="11"/>
                <c:pt idx="0">
                  <c:v>27.86</c:v>
                </c:pt>
                <c:pt idx="1">
                  <c:v>19.06</c:v>
                </c:pt>
                <c:pt idx="2">
                  <c:v>28.41</c:v>
                </c:pt>
                <c:pt idx="3">
                  <c:v>0</c:v>
                </c:pt>
                <c:pt idx="4">
                  <c:v>0</c:v>
                </c:pt>
                <c:pt idx="5">
                  <c:v>9.79</c:v>
                </c:pt>
                <c:pt idx="6">
                  <c:v>3.55</c:v>
                </c:pt>
                <c:pt idx="7">
                  <c:v>0</c:v>
                </c:pt>
                <c:pt idx="8">
                  <c:v>0.08</c:v>
                </c:pt>
                <c:pt idx="9">
                  <c:v>7.35</c:v>
                </c:pt>
                <c:pt idx="10">
                  <c:v>1.67</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Sheet1!$A$2:$A$21</c:f>
              <c:numCache>
                <c:formatCode>General</c:formatCode>
                <c:ptCount val="20"/>
                <c:pt idx="0">
                  <c:v>30201</c:v>
                </c:pt>
                <c:pt idx="1">
                  <c:v>30202</c:v>
                </c:pt>
                <c:pt idx="2">
                  <c:v>30203</c:v>
                </c:pt>
                <c:pt idx="3">
                  <c:v>30204</c:v>
                </c:pt>
                <c:pt idx="4">
                  <c:v>30205</c:v>
                </c:pt>
                <c:pt idx="5">
                  <c:v>30206</c:v>
                </c:pt>
                <c:pt idx="6">
                  <c:v>30207</c:v>
                </c:pt>
                <c:pt idx="7">
                  <c:v>30208</c:v>
                </c:pt>
                <c:pt idx="8">
                  <c:v>30209</c:v>
                </c:pt>
                <c:pt idx="9">
                  <c:v>30211</c:v>
                </c:pt>
                <c:pt idx="10">
                  <c:v>30215</c:v>
                </c:pt>
                <c:pt idx="11">
                  <c:v>30216</c:v>
                </c:pt>
                <c:pt idx="12">
                  <c:v>30218</c:v>
                </c:pt>
                <c:pt idx="13">
                  <c:v>30224</c:v>
                </c:pt>
                <c:pt idx="14">
                  <c:v>30225</c:v>
                </c:pt>
                <c:pt idx="15">
                  <c:v>30226</c:v>
                </c:pt>
                <c:pt idx="16">
                  <c:v>30228</c:v>
                </c:pt>
                <c:pt idx="17">
                  <c:v>30231</c:v>
                </c:pt>
                <c:pt idx="18">
                  <c:v>30239</c:v>
                </c:pt>
                <c:pt idx="19">
                  <c:v>30299</c:v>
                </c:pt>
              </c:numCache>
            </c:numRef>
          </c:cat>
          <c:val>
            <c:numRef>
              <c:f>Sheet1!$B$2:$B$21</c:f>
              <c:numCache>
                <c:formatCode>General</c:formatCode>
                <c:ptCount val="20"/>
                <c:pt idx="0">
                  <c:v>0.6</c:v>
                </c:pt>
                <c:pt idx="1">
                  <c:v>0</c:v>
                </c:pt>
                <c:pt idx="2">
                  <c:v>0</c:v>
                </c:pt>
                <c:pt idx="3">
                  <c:v>0</c:v>
                </c:pt>
                <c:pt idx="4">
                  <c:v>0.03</c:v>
                </c:pt>
                <c:pt idx="5">
                  <c:v>0.31</c:v>
                </c:pt>
                <c:pt idx="6">
                  <c:v>1.03</c:v>
                </c:pt>
                <c:pt idx="7">
                  <c:v>0</c:v>
                </c:pt>
                <c:pt idx="8">
                  <c:v>0</c:v>
                </c:pt>
                <c:pt idx="9">
                  <c:v>0</c:v>
                </c:pt>
                <c:pt idx="10">
                  <c:v>0</c:v>
                </c:pt>
                <c:pt idx="11">
                  <c:v>0</c:v>
                </c:pt>
                <c:pt idx="12">
                  <c:v>0</c:v>
                </c:pt>
                <c:pt idx="13">
                  <c:v>0</c:v>
                </c:pt>
                <c:pt idx="14">
                  <c:v>0</c:v>
                </c:pt>
                <c:pt idx="15">
                  <c:v>0</c:v>
                </c:pt>
                <c:pt idx="16">
                  <c:v>1.12</c:v>
                </c:pt>
                <c:pt idx="17">
                  <c:v>0</c:v>
                </c:pt>
                <c:pt idx="18">
                  <c:v>0</c:v>
                </c:pt>
                <c:pt idx="19">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62</Words>
  <Characters>69</Characters>
  <Lines>90</Lines>
  <Paragraphs>25</Paragraphs>
  <TotalTime>1</TotalTime>
  <ScaleCrop>false</ScaleCrop>
  <LinksUpToDate>false</LinksUpToDate>
  <CharactersWithSpaces>72</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snakeQ</cp:lastModifiedBy>
  <dcterms:modified xsi:type="dcterms:W3CDTF">2024-12-30T09:21:44Z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D94D1467C6BE4408A9BD621FD7FF7BE2_13</vt:lpwstr>
  </property>
  <property fmtid="{D5CDD505-2E9C-101B-9397-08002B2CF9AE}" pid="4" name="KSOTemplateDocerSaveRecord">
    <vt:lpwstr>eyJoZGlkIjoiNWNjNTJmODE5YjE2NzI2MjUzZmE4YmYyOTgyMjFmZWMifQ==</vt:lpwstr>
  </property>
</Properties>
</file>