
<file path=[Content_Types].xml><?xml version="1.0" encoding="utf-8"?>
<Types xmlns="http://schemas.openxmlformats.org/package/2006/content-types">
  <Default Extension="xml" ContentType="application/xml"/>
  <Default Extension="xlsx" ContentType="application/vnd.openxmlformats-officedocument.spreadsheetml.sheet"/>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3D2C0B">
      <w:pPr>
        <w:jc w:val="left"/>
        <w:rPr>
          <w:rFonts w:ascii="仿宋" w:hAnsi="仿宋" w:eastAsia="仿宋" w:cs="仿宋"/>
          <w:sz w:val="32"/>
          <w:szCs w:val="32"/>
          <w:highlight w:val="none"/>
        </w:rPr>
      </w:pPr>
    </w:p>
    <w:p w14:paraId="1D05C8BA">
      <w:pPr>
        <w:jc w:val="left"/>
        <w:rPr>
          <w:rFonts w:ascii="仿宋" w:hAnsi="仿宋" w:eastAsia="仿宋" w:cs="仿宋"/>
          <w:sz w:val="32"/>
          <w:szCs w:val="32"/>
          <w:highlight w:val="none"/>
        </w:rPr>
      </w:pPr>
    </w:p>
    <w:p w14:paraId="65A1CF9B">
      <w:pPr>
        <w:jc w:val="left"/>
        <w:rPr>
          <w:rFonts w:ascii="仿宋" w:hAnsi="仿宋" w:eastAsia="仿宋" w:cs="仿宋"/>
          <w:sz w:val="32"/>
          <w:szCs w:val="32"/>
          <w:highlight w:val="none"/>
        </w:rPr>
      </w:pPr>
    </w:p>
    <w:p w14:paraId="45A0BA27">
      <w:pPr>
        <w:jc w:val="center"/>
        <w:rPr>
          <w:rFonts w:hint="eastAsia" w:ascii="黑体" w:hAnsi="黑体" w:eastAsia="黑体" w:cs="黑体"/>
          <w:b/>
          <w:bCs/>
          <w:sz w:val="52"/>
          <w:szCs w:val="52"/>
          <w:highlight w:val="none"/>
        </w:rPr>
      </w:pPr>
      <w:r>
        <w:rPr>
          <w:rFonts w:hint="eastAsia" w:ascii="黑体" w:hAnsi="黑体" w:eastAsia="黑体" w:cs="黑体"/>
          <w:b/>
          <w:bCs/>
          <w:sz w:val="52"/>
          <w:szCs w:val="52"/>
          <w:highlight w:val="none"/>
        </w:rPr>
        <w:t>中国共产党环江毛南族自治县纪律检查委员会/</w:t>
      </w:r>
    </w:p>
    <w:p w14:paraId="3A6147AF">
      <w:pPr>
        <w:jc w:val="center"/>
        <w:rPr>
          <w:rFonts w:hint="eastAsia" w:ascii="黑体" w:hAnsi="黑体" w:eastAsia="黑体" w:cs="黑体"/>
          <w:b/>
          <w:bCs/>
          <w:sz w:val="52"/>
          <w:szCs w:val="52"/>
          <w:highlight w:val="none"/>
        </w:rPr>
      </w:pPr>
      <w:r>
        <w:rPr>
          <w:rFonts w:hint="eastAsia" w:ascii="黑体" w:hAnsi="黑体" w:eastAsia="黑体" w:cs="黑体"/>
          <w:b/>
          <w:bCs/>
          <w:sz w:val="52"/>
          <w:szCs w:val="52"/>
          <w:highlight w:val="none"/>
        </w:rPr>
        <w:t>环江毛南族自治县监察委员会</w:t>
      </w:r>
    </w:p>
    <w:p w14:paraId="20136237">
      <w:pPr>
        <w:jc w:val="center"/>
        <w:rPr>
          <w:rFonts w:ascii="黑体" w:hAnsi="黑体" w:eastAsia="黑体" w:cs="黑体"/>
          <w:b/>
          <w:bCs/>
          <w:sz w:val="52"/>
          <w:szCs w:val="52"/>
          <w:highlight w:val="none"/>
        </w:rPr>
      </w:pPr>
      <w:r>
        <w:rPr>
          <w:rFonts w:hint="eastAsia" w:ascii="黑体" w:hAnsi="黑体" w:eastAsia="黑体" w:cs="黑体"/>
          <w:b/>
          <w:bCs/>
          <w:sz w:val="52"/>
          <w:szCs w:val="52"/>
          <w:highlight w:val="none"/>
        </w:rPr>
        <w:t>202</w:t>
      </w:r>
      <w:r>
        <w:rPr>
          <w:rFonts w:hint="eastAsia" w:ascii="黑体" w:hAnsi="黑体" w:eastAsia="黑体" w:cs="黑体"/>
          <w:b/>
          <w:bCs/>
          <w:sz w:val="52"/>
          <w:szCs w:val="52"/>
          <w:highlight w:val="none"/>
          <w:lang w:val="en-US" w:eastAsia="zh-CN"/>
        </w:rPr>
        <w:t>3</w:t>
      </w:r>
      <w:r>
        <w:rPr>
          <w:rFonts w:hint="eastAsia" w:ascii="黑体" w:hAnsi="黑体" w:eastAsia="黑体" w:cs="黑体"/>
          <w:b/>
          <w:bCs/>
          <w:sz w:val="52"/>
          <w:szCs w:val="52"/>
          <w:highlight w:val="none"/>
        </w:rPr>
        <w:t>年度部门决算</w:t>
      </w:r>
    </w:p>
    <w:p w14:paraId="6D3791EB">
      <w:pPr>
        <w:jc w:val="center"/>
        <w:rPr>
          <w:rFonts w:ascii="仿宋" w:hAnsi="仿宋" w:eastAsia="仿宋" w:cs="仿宋"/>
          <w:sz w:val="32"/>
          <w:szCs w:val="32"/>
          <w:highlight w:val="none"/>
        </w:rPr>
      </w:pPr>
    </w:p>
    <w:p w14:paraId="1C5BE28B">
      <w:pPr>
        <w:jc w:val="left"/>
        <w:rPr>
          <w:rFonts w:ascii="仿宋" w:hAnsi="仿宋" w:eastAsia="仿宋" w:cs="仿宋"/>
          <w:sz w:val="32"/>
          <w:szCs w:val="32"/>
          <w:highlight w:val="none"/>
        </w:rPr>
      </w:pPr>
      <w:bookmarkStart w:id="6" w:name="_GoBack"/>
      <w:bookmarkEnd w:id="6"/>
    </w:p>
    <w:p w14:paraId="08929907">
      <w:pPr>
        <w:jc w:val="left"/>
        <w:rPr>
          <w:rFonts w:ascii="仿宋" w:hAnsi="仿宋" w:eastAsia="仿宋" w:cs="仿宋"/>
          <w:sz w:val="32"/>
          <w:szCs w:val="32"/>
          <w:highlight w:val="none"/>
        </w:rPr>
      </w:pPr>
    </w:p>
    <w:p w14:paraId="2376F116">
      <w:pPr>
        <w:jc w:val="left"/>
        <w:rPr>
          <w:rFonts w:ascii="仿宋" w:hAnsi="仿宋" w:eastAsia="仿宋" w:cs="仿宋"/>
          <w:sz w:val="32"/>
          <w:szCs w:val="32"/>
          <w:highlight w:val="none"/>
        </w:rPr>
      </w:pPr>
    </w:p>
    <w:p w14:paraId="29A1469D">
      <w:pPr>
        <w:jc w:val="left"/>
        <w:rPr>
          <w:rFonts w:ascii="仿宋" w:hAnsi="仿宋" w:eastAsia="仿宋" w:cs="仿宋"/>
          <w:sz w:val="32"/>
          <w:szCs w:val="32"/>
          <w:highlight w:val="none"/>
        </w:rPr>
      </w:pPr>
    </w:p>
    <w:p w14:paraId="73125E36">
      <w:pPr>
        <w:jc w:val="left"/>
        <w:rPr>
          <w:rFonts w:ascii="仿宋" w:hAnsi="仿宋" w:eastAsia="仿宋" w:cs="仿宋"/>
          <w:sz w:val="32"/>
          <w:szCs w:val="32"/>
          <w:highlight w:val="none"/>
        </w:rPr>
      </w:pPr>
    </w:p>
    <w:p w14:paraId="2D014C88">
      <w:pPr>
        <w:jc w:val="left"/>
        <w:rPr>
          <w:rFonts w:ascii="仿宋" w:hAnsi="仿宋" w:eastAsia="仿宋" w:cs="仿宋"/>
          <w:sz w:val="32"/>
          <w:szCs w:val="32"/>
          <w:highlight w:val="none"/>
        </w:rPr>
      </w:pPr>
    </w:p>
    <w:p w14:paraId="79D99A0E">
      <w:pPr>
        <w:jc w:val="left"/>
        <w:rPr>
          <w:rFonts w:ascii="仿宋" w:hAnsi="仿宋" w:eastAsia="仿宋" w:cs="仿宋"/>
          <w:sz w:val="32"/>
          <w:szCs w:val="32"/>
          <w:highlight w:val="none"/>
        </w:rPr>
      </w:pPr>
    </w:p>
    <w:p w14:paraId="47B6A816">
      <w:pPr>
        <w:jc w:val="left"/>
        <w:rPr>
          <w:rFonts w:ascii="仿宋" w:hAnsi="仿宋" w:eastAsia="仿宋" w:cs="仿宋"/>
          <w:sz w:val="32"/>
          <w:szCs w:val="32"/>
          <w:highlight w:val="none"/>
        </w:rPr>
      </w:pPr>
    </w:p>
    <w:p w14:paraId="61948259">
      <w:pPr>
        <w:jc w:val="center"/>
        <w:rPr>
          <w:rFonts w:ascii="黑体" w:hAnsi="黑体" w:eastAsia="黑体" w:cs="黑体"/>
          <w:b/>
          <w:bCs/>
          <w:sz w:val="36"/>
          <w:szCs w:val="36"/>
          <w:highlight w:val="none"/>
        </w:rPr>
      </w:pPr>
      <w:r>
        <w:rPr>
          <w:rFonts w:hint="eastAsia" w:ascii="黑体" w:hAnsi="黑体" w:eastAsia="黑体" w:cs="黑体"/>
          <w:b/>
          <w:bCs/>
          <w:sz w:val="36"/>
          <w:szCs w:val="36"/>
          <w:highlight w:val="none"/>
        </w:rPr>
        <w:t>2023年</w:t>
      </w:r>
      <w:r>
        <w:rPr>
          <w:rFonts w:hint="eastAsia" w:ascii="黑体" w:hAnsi="黑体" w:eastAsia="黑体" w:cs="黑体"/>
          <w:b/>
          <w:bCs/>
          <w:sz w:val="36"/>
          <w:szCs w:val="36"/>
          <w:highlight w:val="none"/>
          <w:lang w:val="en-US" w:eastAsia="zh-CN"/>
        </w:rPr>
        <w:t>10</w:t>
      </w:r>
      <w:r>
        <w:rPr>
          <w:rFonts w:hint="eastAsia" w:ascii="黑体" w:hAnsi="黑体" w:eastAsia="黑体" w:cs="黑体"/>
          <w:b/>
          <w:bCs/>
          <w:sz w:val="36"/>
          <w:szCs w:val="36"/>
          <w:highlight w:val="none"/>
        </w:rPr>
        <w:t>月</w:t>
      </w:r>
    </w:p>
    <w:p w14:paraId="50231C4D">
      <w:pPr>
        <w:rPr>
          <w:rFonts w:ascii="仿宋" w:hAnsi="仿宋" w:eastAsia="仿宋" w:cs="仿宋"/>
          <w:sz w:val="32"/>
          <w:szCs w:val="32"/>
          <w:highlight w:val="none"/>
        </w:rPr>
      </w:pPr>
      <w:r>
        <w:rPr>
          <w:rFonts w:ascii="仿宋" w:hAnsi="仿宋" w:eastAsia="仿宋" w:cs="仿宋"/>
          <w:sz w:val="32"/>
          <w:szCs w:val="32"/>
          <w:highlight w:val="none"/>
        </w:rPr>
        <w:br w:type="page"/>
      </w:r>
    </w:p>
    <w:p w14:paraId="08B44DE2">
      <w:pPr>
        <w:jc w:val="center"/>
        <w:rPr>
          <w:rFonts w:ascii="黑体" w:hAnsi="黑体" w:eastAsia="黑体" w:cs="黑体"/>
          <w:b/>
          <w:bCs/>
          <w:sz w:val="36"/>
          <w:szCs w:val="36"/>
          <w:highlight w:val="none"/>
        </w:rPr>
      </w:pPr>
      <w:r>
        <w:rPr>
          <w:rFonts w:hint="eastAsia" w:ascii="黑体" w:hAnsi="黑体" w:eastAsia="黑体" w:cs="黑体"/>
          <w:b/>
          <w:bCs/>
          <w:sz w:val="36"/>
          <w:szCs w:val="36"/>
          <w:highlight w:val="none"/>
        </w:rPr>
        <w:t>目</w:t>
      </w:r>
      <w:r>
        <w:rPr>
          <w:rFonts w:hint="eastAsia" w:ascii="黑体" w:hAnsi="黑体" w:eastAsia="黑体" w:cs="黑体"/>
          <w:b/>
          <w:bCs/>
          <w:sz w:val="36"/>
          <w:szCs w:val="36"/>
          <w:highlight w:val="none"/>
          <w:lang w:val="en-US" w:eastAsia="zh-CN"/>
        </w:rPr>
        <w:t xml:space="preserve">  </w:t>
      </w:r>
      <w:r>
        <w:rPr>
          <w:rFonts w:hint="eastAsia" w:ascii="黑体" w:hAnsi="黑体" w:eastAsia="黑体" w:cs="黑体"/>
          <w:b/>
          <w:bCs/>
          <w:sz w:val="36"/>
          <w:szCs w:val="36"/>
          <w:highlight w:val="none"/>
        </w:rPr>
        <w:t xml:space="preserve"> 录</w:t>
      </w:r>
    </w:p>
    <w:p w14:paraId="26C7281A">
      <w:pPr>
        <w:keepNext w:val="0"/>
        <w:keepLines w:val="0"/>
        <w:pageBreakBefore w:val="0"/>
        <w:widowControl w:val="0"/>
        <w:kinsoku/>
        <w:wordWrap/>
        <w:overflowPunct/>
        <w:topLinePunct w:val="0"/>
        <w:bidi w:val="0"/>
        <w:snapToGrid/>
        <w:spacing w:line="520" w:lineRule="exact"/>
        <w:jc w:val="left"/>
        <w:textAlignment w:val="auto"/>
        <w:rPr>
          <w:rFonts w:ascii="仿宋" w:hAnsi="仿宋" w:eastAsia="仿宋" w:cs="仿宋"/>
          <w:sz w:val="32"/>
          <w:szCs w:val="32"/>
          <w:highlight w:val="none"/>
        </w:rPr>
      </w:pPr>
      <w:r>
        <w:rPr>
          <w:rFonts w:hint="eastAsia" w:ascii="黑体" w:hAnsi="黑体" w:eastAsia="黑体" w:cs="黑体"/>
          <w:sz w:val="32"/>
          <w:szCs w:val="32"/>
          <w:highlight w:val="none"/>
        </w:rPr>
        <w:t>第一部分：</w:t>
      </w:r>
      <w:r>
        <w:rPr>
          <w:rFonts w:hint="eastAsia" w:ascii="黑体" w:hAnsi="黑体" w:eastAsia="黑体" w:cs="黑体"/>
          <w:sz w:val="32"/>
          <w:u w:color="auto"/>
          <w:lang w:eastAsia="zh-CN"/>
        </w:rPr>
        <w:t>单位</w:t>
      </w:r>
      <w:r>
        <w:rPr>
          <w:rFonts w:hint="eastAsia" w:ascii="黑体" w:hAnsi="黑体" w:eastAsia="黑体" w:cs="黑体"/>
          <w:sz w:val="32"/>
          <w:szCs w:val="32"/>
          <w:highlight w:val="none"/>
        </w:rPr>
        <w:t>概况</w:t>
      </w:r>
    </w:p>
    <w:p w14:paraId="54BE687E">
      <w:pPr>
        <w:keepNext w:val="0"/>
        <w:keepLines w:val="0"/>
        <w:pageBreakBefore w:val="0"/>
        <w:widowControl w:val="0"/>
        <w:numPr>
          <w:ilvl w:val="0"/>
          <w:numId w:val="1"/>
        </w:numPr>
        <w:kinsoku/>
        <w:wordWrap/>
        <w:overflowPunct/>
        <w:topLinePunct w:val="0"/>
        <w:bidi w:val="0"/>
        <w:snapToGrid/>
        <w:spacing w:line="520" w:lineRule="exact"/>
        <w:jc w:val="left"/>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主要职能</w:t>
      </w:r>
    </w:p>
    <w:p w14:paraId="71B09BBC">
      <w:pPr>
        <w:keepNext w:val="0"/>
        <w:keepLines w:val="0"/>
        <w:pageBreakBefore w:val="0"/>
        <w:widowControl w:val="0"/>
        <w:numPr>
          <w:ilvl w:val="0"/>
          <w:numId w:val="1"/>
        </w:numPr>
        <w:kinsoku/>
        <w:wordWrap/>
        <w:overflowPunct/>
        <w:topLinePunct w:val="0"/>
        <w:bidi w:val="0"/>
        <w:snapToGrid/>
        <w:spacing w:line="520" w:lineRule="exact"/>
        <w:jc w:val="left"/>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部门决算单位构成</w:t>
      </w:r>
    </w:p>
    <w:p w14:paraId="3976ACC2">
      <w:pPr>
        <w:keepNext w:val="0"/>
        <w:keepLines w:val="0"/>
        <w:pageBreakBefore w:val="0"/>
        <w:widowControl w:val="0"/>
        <w:kinsoku/>
        <w:wordWrap/>
        <w:overflowPunct/>
        <w:topLinePunct w:val="0"/>
        <w:bidi w:val="0"/>
        <w:snapToGrid/>
        <w:spacing w:line="520" w:lineRule="exact"/>
        <w:jc w:val="left"/>
        <w:textAlignment w:val="auto"/>
        <w:rPr>
          <w:rFonts w:ascii="黑体" w:hAnsi="黑体" w:eastAsia="黑体" w:cs="黑体"/>
          <w:sz w:val="32"/>
          <w:szCs w:val="32"/>
          <w:highlight w:val="none"/>
        </w:rPr>
      </w:pPr>
      <w:r>
        <w:rPr>
          <w:rFonts w:hint="eastAsia" w:ascii="黑体" w:hAnsi="黑体" w:eastAsia="黑体" w:cs="黑体"/>
          <w:sz w:val="32"/>
          <w:szCs w:val="32"/>
          <w:highlight w:val="none"/>
        </w:rPr>
        <w:t>第二部分：2022年度部门决算报表</w:t>
      </w:r>
    </w:p>
    <w:p w14:paraId="09C14767">
      <w:pPr>
        <w:keepNext w:val="0"/>
        <w:keepLines w:val="0"/>
        <w:pageBreakBefore w:val="0"/>
        <w:widowControl w:val="0"/>
        <w:kinsoku/>
        <w:wordWrap/>
        <w:overflowPunct/>
        <w:topLinePunct w:val="0"/>
        <w:bidi w:val="0"/>
        <w:snapToGrid/>
        <w:spacing w:line="520" w:lineRule="exact"/>
        <w:textAlignment w:val="auto"/>
        <w:rPr>
          <w:rFonts w:hint="eastAsia" w:ascii="仿宋_GB2312" w:eastAsia="仿宋_GB2312"/>
          <w:sz w:val="32"/>
          <w:szCs w:val="32"/>
          <w:highlight w:val="none"/>
        </w:rPr>
      </w:pPr>
      <w:r>
        <w:rPr>
          <w:rFonts w:hint="eastAsia" w:ascii="仿宋_GB2312" w:eastAsia="仿宋_GB2312"/>
          <w:sz w:val="32"/>
          <w:szCs w:val="32"/>
          <w:highlight w:val="none"/>
        </w:rPr>
        <w:t>表一：收入支出决算总表</w:t>
      </w:r>
    </w:p>
    <w:p w14:paraId="6D494843">
      <w:pPr>
        <w:keepNext w:val="0"/>
        <w:keepLines w:val="0"/>
        <w:pageBreakBefore w:val="0"/>
        <w:widowControl w:val="0"/>
        <w:kinsoku/>
        <w:wordWrap/>
        <w:overflowPunct/>
        <w:topLinePunct w:val="0"/>
        <w:bidi w:val="0"/>
        <w:snapToGrid/>
        <w:spacing w:line="520" w:lineRule="exact"/>
        <w:textAlignment w:val="auto"/>
        <w:rPr>
          <w:rFonts w:hint="eastAsia" w:ascii="仿宋_GB2312" w:eastAsia="仿宋_GB2312"/>
          <w:sz w:val="32"/>
          <w:szCs w:val="32"/>
          <w:highlight w:val="none"/>
        </w:rPr>
      </w:pPr>
      <w:r>
        <w:rPr>
          <w:rFonts w:hint="eastAsia" w:ascii="仿宋_GB2312" w:eastAsia="仿宋_GB2312"/>
          <w:sz w:val="32"/>
          <w:szCs w:val="32"/>
          <w:highlight w:val="none"/>
        </w:rPr>
        <w:t>表二：收入决算表</w:t>
      </w:r>
    </w:p>
    <w:p w14:paraId="7A40CDC8">
      <w:pPr>
        <w:keepNext w:val="0"/>
        <w:keepLines w:val="0"/>
        <w:pageBreakBefore w:val="0"/>
        <w:widowControl w:val="0"/>
        <w:kinsoku/>
        <w:wordWrap/>
        <w:overflowPunct/>
        <w:topLinePunct w:val="0"/>
        <w:bidi w:val="0"/>
        <w:snapToGrid/>
        <w:spacing w:line="520" w:lineRule="exact"/>
        <w:textAlignment w:val="auto"/>
        <w:rPr>
          <w:rFonts w:hint="eastAsia" w:ascii="仿宋_GB2312" w:eastAsia="仿宋_GB2312"/>
          <w:sz w:val="32"/>
          <w:szCs w:val="32"/>
          <w:highlight w:val="none"/>
        </w:rPr>
      </w:pPr>
      <w:r>
        <w:rPr>
          <w:rFonts w:hint="eastAsia" w:ascii="仿宋_GB2312" w:eastAsia="仿宋_GB2312"/>
          <w:sz w:val="32"/>
          <w:szCs w:val="32"/>
          <w:highlight w:val="none"/>
        </w:rPr>
        <w:t>表三：支出决算表</w:t>
      </w:r>
    </w:p>
    <w:p w14:paraId="02D4280B">
      <w:pPr>
        <w:keepNext w:val="0"/>
        <w:keepLines w:val="0"/>
        <w:pageBreakBefore w:val="0"/>
        <w:widowControl w:val="0"/>
        <w:kinsoku/>
        <w:wordWrap/>
        <w:overflowPunct/>
        <w:topLinePunct w:val="0"/>
        <w:bidi w:val="0"/>
        <w:snapToGrid/>
        <w:spacing w:line="520" w:lineRule="exact"/>
        <w:textAlignment w:val="auto"/>
        <w:rPr>
          <w:rFonts w:hint="eastAsia" w:ascii="仿宋_GB2312" w:eastAsia="仿宋_GB2312"/>
          <w:sz w:val="32"/>
          <w:szCs w:val="32"/>
          <w:highlight w:val="none"/>
        </w:rPr>
      </w:pPr>
      <w:r>
        <w:rPr>
          <w:rFonts w:hint="eastAsia" w:ascii="仿宋_GB2312" w:eastAsia="仿宋_GB2312"/>
          <w:sz w:val="32"/>
          <w:szCs w:val="32"/>
          <w:highlight w:val="none"/>
        </w:rPr>
        <w:t>表四：财政拨款收入支出决算总表</w:t>
      </w:r>
    </w:p>
    <w:p w14:paraId="215FA13B">
      <w:pPr>
        <w:keepNext w:val="0"/>
        <w:keepLines w:val="0"/>
        <w:pageBreakBefore w:val="0"/>
        <w:widowControl w:val="0"/>
        <w:kinsoku/>
        <w:wordWrap/>
        <w:overflowPunct/>
        <w:topLinePunct w:val="0"/>
        <w:bidi w:val="0"/>
        <w:snapToGrid/>
        <w:spacing w:line="520" w:lineRule="exact"/>
        <w:textAlignment w:val="auto"/>
        <w:rPr>
          <w:rFonts w:hint="eastAsia" w:ascii="仿宋_GB2312" w:eastAsia="仿宋_GB2312"/>
          <w:sz w:val="32"/>
          <w:szCs w:val="32"/>
          <w:highlight w:val="none"/>
        </w:rPr>
      </w:pPr>
      <w:r>
        <w:rPr>
          <w:rFonts w:hint="eastAsia" w:ascii="仿宋_GB2312" w:eastAsia="仿宋_GB2312"/>
          <w:sz w:val="32"/>
          <w:szCs w:val="32"/>
          <w:highlight w:val="none"/>
        </w:rPr>
        <w:t>表五：一般公共预算财政拨款支出决算表</w:t>
      </w:r>
    </w:p>
    <w:p w14:paraId="1D39CD37">
      <w:pPr>
        <w:keepNext w:val="0"/>
        <w:keepLines w:val="0"/>
        <w:pageBreakBefore w:val="0"/>
        <w:widowControl w:val="0"/>
        <w:kinsoku/>
        <w:wordWrap/>
        <w:overflowPunct/>
        <w:topLinePunct w:val="0"/>
        <w:bidi w:val="0"/>
        <w:snapToGrid/>
        <w:spacing w:line="520" w:lineRule="exact"/>
        <w:textAlignment w:val="auto"/>
        <w:rPr>
          <w:rFonts w:hint="eastAsia" w:ascii="仿宋_GB2312" w:eastAsia="仿宋_GB2312"/>
          <w:sz w:val="32"/>
          <w:szCs w:val="32"/>
          <w:highlight w:val="none"/>
        </w:rPr>
      </w:pPr>
      <w:r>
        <w:rPr>
          <w:rFonts w:hint="eastAsia" w:ascii="仿宋_GB2312" w:eastAsia="仿宋_GB2312"/>
          <w:sz w:val="32"/>
          <w:szCs w:val="32"/>
          <w:highlight w:val="none"/>
        </w:rPr>
        <w:t>表六：一般公共预算财政拨款基本支出决算明细表</w:t>
      </w:r>
    </w:p>
    <w:p w14:paraId="5221FD06">
      <w:pPr>
        <w:keepNext w:val="0"/>
        <w:keepLines w:val="0"/>
        <w:pageBreakBefore w:val="0"/>
        <w:widowControl w:val="0"/>
        <w:kinsoku/>
        <w:wordWrap/>
        <w:overflowPunct/>
        <w:topLinePunct w:val="0"/>
        <w:bidi w:val="0"/>
        <w:snapToGrid/>
        <w:spacing w:line="520" w:lineRule="exact"/>
        <w:textAlignment w:val="auto"/>
        <w:rPr>
          <w:rFonts w:hint="eastAsia" w:ascii="仿宋_GB2312" w:eastAsia="仿宋_GB2312"/>
          <w:sz w:val="32"/>
          <w:szCs w:val="32"/>
          <w:highlight w:val="none"/>
        </w:rPr>
      </w:pPr>
      <w:r>
        <w:rPr>
          <w:rFonts w:hint="eastAsia" w:ascii="仿宋_GB2312" w:eastAsia="仿宋_GB2312"/>
          <w:sz w:val="32"/>
          <w:szCs w:val="32"/>
          <w:highlight w:val="none"/>
        </w:rPr>
        <w:t>表七：政府性基金</w:t>
      </w:r>
      <w:r>
        <w:rPr>
          <w:rFonts w:hint="eastAsia" w:ascii="仿宋_GB2312" w:hAnsi="黑体" w:eastAsia="仿宋_GB2312"/>
          <w:sz w:val="32"/>
          <w:szCs w:val="32"/>
          <w:highlight w:val="none"/>
        </w:rPr>
        <w:t>预算财政拨款</w:t>
      </w:r>
      <w:r>
        <w:rPr>
          <w:rFonts w:hint="eastAsia" w:ascii="仿宋_GB2312" w:eastAsia="仿宋_GB2312"/>
          <w:sz w:val="32"/>
          <w:szCs w:val="32"/>
          <w:highlight w:val="none"/>
        </w:rPr>
        <w:t>收入支出决算表</w:t>
      </w:r>
    </w:p>
    <w:p w14:paraId="0671F9D4">
      <w:pPr>
        <w:keepNext w:val="0"/>
        <w:keepLines w:val="0"/>
        <w:pageBreakBefore w:val="0"/>
        <w:widowControl w:val="0"/>
        <w:kinsoku/>
        <w:wordWrap/>
        <w:overflowPunct/>
        <w:topLinePunct w:val="0"/>
        <w:bidi w:val="0"/>
        <w:snapToGrid/>
        <w:spacing w:line="520" w:lineRule="exact"/>
        <w:textAlignment w:val="auto"/>
        <w:rPr>
          <w:rFonts w:hint="eastAsia" w:ascii="仿宋_GB2312" w:eastAsia="仿宋_GB2312"/>
          <w:sz w:val="32"/>
          <w:szCs w:val="32"/>
          <w:highlight w:val="none"/>
        </w:rPr>
      </w:pPr>
      <w:r>
        <w:rPr>
          <w:rFonts w:hint="eastAsia" w:ascii="仿宋_GB2312" w:eastAsia="仿宋_GB2312"/>
          <w:sz w:val="32"/>
          <w:szCs w:val="32"/>
          <w:highlight w:val="none"/>
        </w:rPr>
        <w:t>表八：国有资本经营预算</w:t>
      </w:r>
      <w:r>
        <w:rPr>
          <w:rFonts w:hint="eastAsia" w:ascii="仿宋_GB2312" w:hAnsi="黑体" w:eastAsia="仿宋_GB2312"/>
          <w:sz w:val="32"/>
          <w:szCs w:val="32"/>
          <w:highlight w:val="none"/>
        </w:rPr>
        <w:t>财政拨款</w:t>
      </w:r>
      <w:r>
        <w:rPr>
          <w:rFonts w:hint="eastAsia" w:ascii="仿宋_GB2312" w:eastAsia="仿宋_GB2312"/>
          <w:sz w:val="32"/>
          <w:szCs w:val="32"/>
          <w:highlight w:val="none"/>
        </w:rPr>
        <w:t>支出决算表</w:t>
      </w:r>
    </w:p>
    <w:p w14:paraId="0863366D">
      <w:pPr>
        <w:keepNext w:val="0"/>
        <w:keepLines w:val="0"/>
        <w:pageBreakBefore w:val="0"/>
        <w:widowControl w:val="0"/>
        <w:kinsoku/>
        <w:wordWrap/>
        <w:overflowPunct/>
        <w:topLinePunct w:val="0"/>
        <w:bidi w:val="0"/>
        <w:snapToGrid/>
        <w:spacing w:line="520" w:lineRule="exact"/>
        <w:textAlignment w:val="auto"/>
        <w:rPr>
          <w:rFonts w:hint="eastAsia" w:ascii="仿宋_GB2312" w:eastAsia="仿宋_GB2312"/>
          <w:sz w:val="32"/>
          <w:szCs w:val="32"/>
          <w:highlight w:val="none"/>
        </w:rPr>
      </w:pPr>
      <w:r>
        <w:rPr>
          <w:rFonts w:hint="eastAsia" w:ascii="仿宋_GB2312" w:eastAsia="仿宋_GB2312"/>
          <w:sz w:val="32"/>
          <w:szCs w:val="32"/>
          <w:highlight w:val="none"/>
        </w:rPr>
        <w:t>表九：一般公共预算财政拨款安排的“三公”经费支出决算表</w:t>
      </w:r>
    </w:p>
    <w:p w14:paraId="2DE32DB5">
      <w:pPr>
        <w:keepNext w:val="0"/>
        <w:keepLines w:val="0"/>
        <w:pageBreakBefore w:val="0"/>
        <w:widowControl w:val="0"/>
        <w:kinsoku/>
        <w:wordWrap/>
        <w:overflowPunct/>
        <w:topLinePunct w:val="0"/>
        <w:bidi w:val="0"/>
        <w:snapToGrid/>
        <w:spacing w:line="520" w:lineRule="exact"/>
        <w:jc w:val="left"/>
        <w:textAlignment w:val="auto"/>
        <w:rPr>
          <w:rFonts w:ascii="仿宋" w:hAnsi="仿宋" w:eastAsia="仿宋" w:cs="仿宋"/>
          <w:sz w:val="32"/>
          <w:szCs w:val="32"/>
          <w:highlight w:val="none"/>
        </w:rPr>
      </w:pPr>
      <w:r>
        <w:rPr>
          <w:rFonts w:hint="eastAsia" w:ascii="黑体" w:hAnsi="黑体" w:eastAsia="黑体" w:cs="黑体"/>
          <w:sz w:val="32"/>
          <w:szCs w:val="32"/>
          <w:highlight w:val="none"/>
        </w:rPr>
        <w:t>第三部分：2022年度部门决算情况说明</w:t>
      </w:r>
    </w:p>
    <w:p w14:paraId="570F9648">
      <w:pPr>
        <w:keepNext w:val="0"/>
        <w:keepLines w:val="0"/>
        <w:pageBreakBefore w:val="0"/>
        <w:widowControl w:val="0"/>
        <w:kinsoku/>
        <w:wordWrap/>
        <w:overflowPunct/>
        <w:topLinePunct w:val="0"/>
        <w:autoSpaceDE w:val="0"/>
        <w:autoSpaceDN w:val="0"/>
        <w:bidi w:val="0"/>
        <w:adjustRightInd w:val="0"/>
        <w:snapToGrid/>
        <w:spacing w:line="520" w:lineRule="exact"/>
        <w:jc w:val="left"/>
        <w:textAlignment w:val="auto"/>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一、</w:t>
      </w:r>
      <w:r>
        <w:rPr>
          <w:rFonts w:hint="eastAsia" w:ascii="仿宋_GB2312" w:eastAsia="仿宋_GB2312"/>
          <w:kern w:val="0"/>
          <w:sz w:val="32"/>
          <w:szCs w:val="32"/>
          <w:highlight w:val="none"/>
        </w:rPr>
        <w:t>202</w:t>
      </w:r>
      <w:r>
        <w:rPr>
          <w:rFonts w:hint="eastAsia" w:ascii="仿宋_GB2312" w:eastAsia="仿宋_GB2312"/>
          <w:kern w:val="0"/>
          <w:sz w:val="32"/>
          <w:szCs w:val="32"/>
          <w:highlight w:val="none"/>
          <w:lang w:val="en-US" w:eastAsia="zh-CN"/>
        </w:rPr>
        <w:t>2</w:t>
      </w:r>
      <w:r>
        <w:rPr>
          <w:rFonts w:hint="eastAsia" w:ascii="仿宋_GB2312" w:eastAsia="仿宋_GB2312" w:cs="仿宋_GB2312"/>
          <w:kern w:val="0"/>
          <w:sz w:val="32"/>
          <w:szCs w:val="32"/>
          <w:highlight w:val="none"/>
        </w:rPr>
        <w:t>年度收入支出决算总体情况。</w:t>
      </w:r>
    </w:p>
    <w:p w14:paraId="7695DB06">
      <w:pPr>
        <w:keepNext w:val="0"/>
        <w:keepLines w:val="0"/>
        <w:pageBreakBefore w:val="0"/>
        <w:widowControl w:val="0"/>
        <w:kinsoku/>
        <w:wordWrap/>
        <w:overflowPunct/>
        <w:topLinePunct w:val="0"/>
        <w:autoSpaceDE w:val="0"/>
        <w:autoSpaceDN w:val="0"/>
        <w:bidi w:val="0"/>
        <w:adjustRightInd w:val="0"/>
        <w:snapToGrid/>
        <w:spacing w:line="520" w:lineRule="exact"/>
        <w:jc w:val="left"/>
        <w:textAlignment w:val="auto"/>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二、</w:t>
      </w:r>
      <w:r>
        <w:rPr>
          <w:rFonts w:hint="eastAsia" w:ascii="仿宋_GB2312" w:eastAsia="仿宋_GB2312"/>
          <w:kern w:val="0"/>
          <w:sz w:val="32"/>
          <w:szCs w:val="32"/>
          <w:highlight w:val="none"/>
        </w:rPr>
        <w:t>20</w:t>
      </w:r>
      <w:r>
        <w:rPr>
          <w:rFonts w:hint="eastAsia" w:ascii="仿宋_GB2312" w:eastAsia="仿宋_GB2312"/>
          <w:kern w:val="0"/>
          <w:sz w:val="32"/>
          <w:szCs w:val="32"/>
          <w:highlight w:val="none"/>
          <w:lang w:val="en-US" w:eastAsia="zh-CN"/>
        </w:rPr>
        <w:t>22</w:t>
      </w:r>
      <w:r>
        <w:rPr>
          <w:rFonts w:hint="eastAsia" w:ascii="仿宋_GB2312" w:eastAsia="仿宋_GB2312" w:cs="仿宋_GB2312"/>
          <w:kern w:val="0"/>
          <w:sz w:val="32"/>
          <w:szCs w:val="32"/>
          <w:highlight w:val="none"/>
        </w:rPr>
        <w:t>年度</w:t>
      </w:r>
      <w:r>
        <w:rPr>
          <w:rFonts w:hint="eastAsia" w:ascii="仿宋_GB2312" w:eastAsia="仿宋_GB2312"/>
          <w:sz w:val="32"/>
          <w:szCs w:val="32"/>
          <w:highlight w:val="none"/>
        </w:rPr>
        <w:t>一般</w:t>
      </w:r>
      <w:r>
        <w:rPr>
          <w:rFonts w:hint="eastAsia" w:ascii="仿宋_GB2312" w:eastAsia="仿宋_GB2312" w:cs="仿宋_GB2312"/>
          <w:kern w:val="0"/>
          <w:sz w:val="32"/>
          <w:szCs w:val="32"/>
          <w:highlight w:val="none"/>
        </w:rPr>
        <w:t>公共预算财政拨款支出决算情况。</w:t>
      </w:r>
    </w:p>
    <w:p w14:paraId="52751361">
      <w:pPr>
        <w:keepNext w:val="0"/>
        <w:keepLines w:val="0"/>
        <w:pageBreakBefore w:val="0"/>
        <w:widowControl w:val="0"/>
        <w:kinsoku/>
        <w:wordWrap/>
        <w:overflowPunct/>
        <w:topLinePunct w:val="0"/>
        <w:autoSpaceDE w:val="0"/>
        <w:autoSpaceDN w:val="0"/>
        <w:bidi w:val="0"/>
        <w:adjustRightInd w:val="0"/>
        <w:snapToGrid/>
        <w:spacing w:line="520" w:lineRule="exact"/>
        <w:jc w:val="left"/>
        <w:textAlignment w:val="auto"/>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三、20</w:t>
      </w:r>
      <w:r>
        <w:rPr>
          <w:rFonts w:hint="eastAsia" w:ascii="仿宋_GB2312" w:eastAsia="仿宋_GB2312" w:cs="仿宋_GB2312"/>
          <w:kern w:val="0"/>
          <w:sz w:val="32"/>
          <w:szCs w:val="32"/>
          <w:highlight w:val="none"/>
          <w:lang w:val="en-US" w:eastAsia="zh-CN"/>
        </w:rPr>
        <w:t>22</w:t>
      </w:r>
      <w:r>
        <w:rPr>
          <w:rFonts w:hint="eastAsia" w:ascii="仿宋_GB2312" w:eastAsia="仿宋_GB2312" w:cs="仿宋_GB2312"/>
          <w:kern w:val="0"/>
          <w:sz w:val="32"/>
          <w:szCs w:val="32"/>
          <w:highlight w:val="none"/>
        </w:rPr>
        <w:t>年度一般公共预算财政拨款基本支出决算情况说明。</w:t>
      </w:r>
    </w:p>
    <w:p w14:paraId="1769861E">
      <w:pPr>
        <w:keepNext w:val="0"/>
        <w:keepLines w:val="0"/>
        <w:pageBreakBefore w:val="0"/>
        <w:widowControl w:val="0"/>
        <w:kinsoku/>
        <w:wordWrap/>
        <w:overflowPunct/>
        <w:topLinePunct w:val="0"/>
        <w:autoSpaceDE w:val="0"/>
        <w:autoSpaceDN w:val="0"/>
        <w:bidi w:val="0"/>
        <w:adjustRightInd w:val="0"/>
        <w:snapToGrid/>
        <w:spacing w:line="520" w:lineRule="exact"/>
        <w:jc w:val="left"/>
        <w:textAlignment w:val="auto"/>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四、</w:t>
      </w:r>
      <w:r>
        <w:rPr>
          <w:rFonts w:hint="eastAsia" w:ascii="仿宋_GB2312" w:eastAsia="仿宋_GB2312"/>
          <w:kern w:val="0"/>
          <w:sz w:val="32"/>
          <w:szCs w:val="32"/>
          <w:highlight w:val="none"/>
        </w:rPr>
        <w:t>20</w:t>
      </w:r>
      <w:r>
        <w:rPr>
          <w:rFonts w:hint="eastAsia" w:ascii="仿宋_GB2312" w:eastAsia="仿宋_GB2312"/>
          <w:kern w:val="0"/>
          <w:sz w:val="32"/>
          <w:szCs w:val="32"/>
          <w:highlight w:val="none"/>
          <w:lang w:val="en-US" w:eastAsia="zh-CN"/>
        </w:rPr>
        <w:t>22</w:t>
      </w:r>
      <w:r>
        <w:rPr>
          <w:rFonts w:hint="eastAsia" w:ascii="仿宋_GB2312" w:eastAsia="仿宋_GB2312" w:cs="仿宋_GB2312"/>
          <w:kern w:val="0"/>
          <w:sz w:val="32"/>
          <w:szCs w:val="32"/>
          <w:highlight w:val="none"/>
        </w:rPr>
        <w:t>年度政府性基金支出决算情况。</w:t>
      </w:r>
    </w:p>
    <w:p w14:paraId="70051BF9">
      <w:pPr>
        <w:keepNext w:val="0"/>
        <w:keepLines w:val="0"/>
        <w:pageBreakBefore w:val="0"/>
        <w:widowControl w:val="0"/>
        <w:kinsoku/>
        <w:wordWrap/>
        <w:overflowPunct/>
        <w:topLinePunct w:val="0"/>
        <w:autoSpaceDE w:val="0"/>
        <w:autoSpaceDN w:val="0"/>
        <w:bidi w:val="0"/>
        <w:adjustRightInd w:val="0"/>
        <w:snapToGrid/>
        <w:spacing w:line="520" w:lineRule="exact"/>
        <w:jc w:val="left"/>
        <w:textAlignment w:val="auto"/>
        <w:rPr>
          <w:rFonts w:hint="eastAsia" w:ascii="仿宋_GB2312" w:eastAsia="仿宋_GB2312" w:cs="仿宋_GB2312"/>
          <w:kern w:val="0"/>
          <w:sz w:val="32"/>
          <w:szCs w:val="32"/>
          <w:highlight w:val="none"/>
          <w:lang w:eastAsia="zh-CN"/>
        </w:rPr>
      </w:pPr>
      <w:r>
        <w:rPr>
          <w:rFonts w:hint="eastAsia" w:ascii="仿宋_GB2312" w:eastAsia="仿宋_GB2312" w:cs="仿宋_GB2312"/>
          <w:kern w:val="0"/>
          <w:sz w:val="32"/>
          <w:szCs w:val="32"/>
          <w:highlight w:val="none"/>
        </w:rPr>
        <w:t>五、20</w:t>
      </w:r>
      <w:r>
        <w:rPr>
          <w:rFonts w:hint="eastAsia" w:ascii="仿宋_GB2312" w:eastAsia="仿宋_GB2312" w:cs="仿宋_GB2312"/>
          <w:kern w:val="0"/>
          <w:sz w:val="32"/>
          <w:szCs w:val="32"/>
          <w:highlight w:val="none"/>
          <w:lang w:val="en-US" w:eastAsia="zh-CN"/>
        </w:rPr>
        <w:t>22</w:t>
      </w:r>
      <w:r>
        <w:rPr>
          <w:rFonts w:hint="eastAsia" w:ascii="仿宋_GB2312" w:eastAsia="仿宋_GB2312" w:cs="仿宋_GB2312"/>
          <w:kern w:val="0"/>
          <w:sz w:val="32"/>
          <w:szCs w:val="32"/>
          <w:highlight w:val="none"/>
        </w:rPr>
        <w:t>年度国有资本经营预算支出决算情况</w:t>
      </w:r>
      <w:r>
        <w:rPr>
          <w:rFonts w:hint="eastAsia" w:ascii="仿宋_GB2312" w:eastAsia="仿宋_GB2312" w:cs="仿宋_GB2312"/>
          <w:kern w:val="0"/>
          <w:sz w:val="32"/>
          <w:szCs w:val="32"/>
          <w:highlight w:val="none"/>
          <w:lang w:eastAsia="zh-CN"/>
        </w:rPr>
        <w:t>。</w:t>
      </w:r>
    </w:p>
    <w:p w14:paraId="2A28CCDB">
      <w:pPr>
        <w:keepNext w:val="0"/>
        <w:keepLines w:val="0"/>
        <w:pageBreakBefore w:val="0"/>
        <w:widowControl w:val="0"/>
        <w:kinsoku/>
        <w:wordWrap/>
        <w:overflowPunct/>
        <w:topLinePunct w:val="0"/>
        <w:autoSpaceDE w:val="0"/>
        <w:autoSpaceDN w:val="0"/>
        <w:bidi w:val="0"/>
        <w:adjustRightInd w:val="0"/>
        <w:snapToGrid/>
        <w:spacing w:line="520" w:lineRule="exact"/>
        <w:jc w:val="left"/>
        <w:textAlignment w:val="auto"/>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六、</w:t>
      </w:r>
      <w:r>
        <w:rPr>
          <w:rFonts w:hint="eastAsia" w:ascii="仿宋_GB2312" w:eastAsia="仿宋_GB2312"/>
          <w:sz w:val="32"/>
          <w:szCs w:val="32"/>
          <w:highlight w:val="none"/>
        </w:rPr>
        <w:t>一般</w:t>
      </w:r>
      <w:r>
        <w:rPr>
          <w:rFonts w:hint="eastAsia" w:ascii="仿宋_GB2312" w:eastAsia="仿宋_GB2312" w:cs="仿宋_GB2312"/>
          <w:kern w:val="0"/>
          <w:sz w:val="32"/>
          <w:szCs w:val="32"/>
          <w:highlight w:val="none"/>
        </w:rPr>
        <w:t>公共预算财政拨款安排的“三公”经费支出决算情况说明。</w:t>
      </w:r>
    </w:p>
    <w:p w14:paraId="112B1872">
      <w:pPr>
        <w:keepNext w:val="0"/>
        <w:keepLines w:val="0"/>
        <w:pageBreakBefore w:val="0"/>
        <w:widowControl w:val="0"/>
        <w:kinsoku/>
        <w:wordWrap/>
        <w:overflowPunct/>
        <w:topLinePunct w:val="0"/>
        <w:autoSpaceDE w:val="0"/>
        <w:autoSpaceDN w:val="0"/>
        <w:bidi w:val="0"/>
        <w:adjustRightInd w:val="0"/>
        <w:snapToGrid/>
        <w:spacing w:line="520" w:lineRule="exact"/>
        <w:jc w:val="left"/>
        <w:textAlignment w:val="auto"/>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七、其他重要事项情况说明。</w:t>
      </w:r>
    </w:p>
    <w:p w14:paraId="1170EE42">
      <w:pPr>
        <w:keepNext w:val="0"/>
        <w:keepLines w:val="0"/>
        <w:pageBreakBefore w:val="0"/>
        <w:widowControl w:val="0"/>
        <w:kinsoku/>
        <w:wordWrap/>
        <w:overflowPunct/>
        <w:topLinePunct w:val="0"/>
        <w:bidi w:val="0"/>
        <w:snapToGrid/>
        <w:spacing w:line="520" w:lineRule="exact"/>
        <w:jc w:val="left"/>
        <w:textAlignment w:val="auto"/>
        <w:rPr>
          <w:rFonts w:hint="eastAsia" w:ascii="仿宋_GB2312" w:eastAsia="仿宋_GB2312" w:cs="仿宋_GB2312"/>
          <w:kern w:val="0"/>
          <w:sz w:val="32"/>
          <w:szCs w:val="32"/>
          <w:highlight w:val="none"/>
          <w:lang w:eastAsia="zh-CN"/>
        </w:rPr>
      </w:pPr>
      <w:r>
        <w:rPr>
          <w:rFonts w:hint="default" w:ascii="仿宋_GB2312" w:eastAsia="仿宋_GB2312" w:cs="仿宋_GB2312"/>
          <w:kern w:val="0"/>
          <w:sz w:val="32"/>
          <w:szCs w:val="32"/>
          <w:highlight w:val="none"/>
        </w:rPr>
        <w:t>八、预算绩效管理工作开展情况</w:t>
      </w:r>
      <w:r>
        <w:rPr>
          <w:rFonts w:hint="eastAsia" w:ascii="仿宋_GB2312" w:eastAsia="仿宋_GB2312" w:cs="仿宋_GB2312"/>
          <w:kern w:val="0"/>
          <w:sz w:val="32"/>
          <w:szCs w:val="32"/>
          <w:highlight w:val="none"/>
          <w:lang w:eastAsia="zh-CN"/>
        </w:rPr>
        <w:t>。</w:t>
      </w:r>
    </w:p>
    <w:p w14:paraId="2526ABB7">
      <w:pPr>
        <w:keepNext w:val="0"/>
        <w:keepLines w:val="0"/>
        <w:pageBreakBefore w:val="0"/>
        <w:widowControl w:val="0"/>
        <w:kinsoku/>
        <w:wordWrap/>
        <w:overflowPunct/>
        <w:topLinePunct w:val="0"/>
        <w:bidi w:val="0"/>
        <w:snapToGrid/>
        <w:spacing w:line="520" w:lineRule="exact"/>
        <w:jc w:val="left"/>
        <w:textAlignment w:val="auto"/>
        <w:rPr>
          <w:rFonts w:ascii="黑体" w:hAnsi="黑体" w:eastAsia="黑体" w:cs="黑体"/>
          <w:sz w:val="32"/>
          <w:szCs w:val="32"/>
          <w:highlight w:val="none"/>
        </w:rPr>
      </w:pPr>
      <w:r>
        <w:rPr>
          <w:rFonts w:hint="eastAsia" w:ascii="黑体" w:hAnsi="黑体" w:eastAsia="黑体" w:cs="黑体"/>
          <w:sz w:val="32"/>
          <w:szCs w:val="32"/>
          <w:highlight w:val="none"/>
        </w:rPr>
        <w:t>第四部分：名词解释</w:t>
      </w:r>
    </w:p>
    <w:p w14:paraId="5F83DEC7">
      <w:pPr>
        <w:keepNext w:val="0"/>
        <w:keepLines w:val="0"/>
        <w:pageBreakBefore w:val="0"/>
        <w:widowControl w:val="0"/>
        <w:kinsoku/>
        <w:wordWrap/>
        <w:overflowPunct/>
        <w:topLinePunct w:val="0"/>
        <w:bidi w:val="0"/>
        <w:snapToGrid/>
        <w:spacing w:line="520" w:lineRule="exact"/>
        <w:jc w:val="left"/>
        <w:textAlignment w:val="auto"/>
        <w:rPr>
          <w:rFonts w:ascii="黑体" w:hAnsi="黑体" w:eastAsia="黑体" w:cs="黑体"/>
          <w:sz w:val="32"/>
          <w:szCs w:val="32"/>
          <w:highlight w:val="none"/>
        </w:rPr>
      </w:pPr>
      <w:r>
        <w:rPr>
          <w:rFonts w:hint="eastAsia" w:ascii="黑体" w:hAnsi="黑体" w:eastAsia="黑体" w:cs="黑体"/>
          <w:sz w:val="32"/>
          <w:szCs w:val="32"/>
          <w:highlight w:val="none"/>
        </w:rPr>
        <w:br w:type="page"/>
      </w:r>
    </w:p>
    <w:p w14:paraId="01B6D50B">
      <w:pPr>
        <w:jc w:val="center"/>
        <w:rPr>
          <w:rFonts w:ascii="仿宋" w:hAnsi="仿宋" w:eastAsia="仿宋" w:cs="仿宋"/>
          <w:sz w:val="32"/>
          <w:szCs w:val="32"/>
          <w:highlight w:val="none"/>
        </w:rPr>
      </w:pPr>
      <w:r>
        <w:rPr>
          <w:rFonts w:hint="eastAsia" w:ascii="黑体" w:hAnsi="黑体" w:eastAsia="黑体" w:cs="黑体"/>
          <w:b/>
          <w:bCs/>
          <w:sz w:val="32"/>
          <w:szCs w:val="32"/>
          <w:highlight w:val="none"/>
        </w:rPr>
        <w:t>第一部分：</w:t>
      </w:r>
      <w:r>
        <w:rPr>
          <w:rFonts w:hint="eastAsia" w:ascii="黑体" w:hAnsi="黑体" w:eastAsia="黑体" w:cs="黑体"/>
          <w:b/>
          <w:sz w:val="32"/>
          <w:u w:color="auto"/>
          <w:lang w:eastAsia="zh-CN"/>
        </w:rPr>
        <w:t>单位</w:t>
      </w:r>
      <w:r>
        <w:rPr>
          <w:rFonts w:hint="eastAsia" w:ascii="黑体" w:hAnsi="黑体" w:eastAsia="黑体" w:cs="黑体"/>
          <w:b/>
          <w:bCs/>
          <w:sz w:val="32"/>
          <w:szCs w:val="32"/>
          <w:highlight w:val="none"/>
        </w:rPr>
        <w:t>概况</w:t>
      </w:r>
    </w:p>
    <w:p w14:paraId="7895C5E9">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ascii="仿宋" w:hAnsi="仿宋" w:eastAsia="仿宋" w:cs="仿宋"/>
          <w:sz w:val="32"/>
          <w:szCs w:val="32"/>
          <w:highlight w:val="none"/>
        </w:rPr>
      </w:pPr>
      <w:r>
        <w:rPr>
          <w:rFonts w:hint="eastAsia" w:ascii="黑体" w:hAnsi="黑体" w:eastAsia="黑体" w:cs="黑体"/>
          <w:sz w:val="32"/>
          <w:szCs w:val="32"/>
          <w:highlight w:val="none"/>
        </w:rPr>
        <w:t>一、主要职能</w:t>
      </w:r>
    </w:p>
    <w:p w14:paraId="4FEB9E89">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720"/>
        <w:textAlignment w:val="auto"/>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中共环江毛南族自治县纪律检查委员会与环江毛南族自治县监察委员会合署办公，实行一套工作机构、两个机关名称，履行党的纪律检查和国家监察两项职责。自治县纪委监委接受自治县党委和河池市纪委监委的双重领导，由自治县纪委监委对自治县党委和河池市纪委监委负责。主要职责是：</w:t>
      </w:r>
    </w:p>
    <w:p w14:paraId="5A363B88">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72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（一）主管全县的纪律检查工作。</w:t>
      </w:r>
    </w:p>
    <w:p w14:paraId="21B7922E">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72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（二）依照党的章程和其他党内法规履行监督、执纪、问责职责。</w:t>
      </w:r>
    </w:p>
    <w:p w14:paraId="3149C266">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72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（三）在自治县党委领导下，配合自治县党委巡察工作领导小组组织开展巡察工作。</w:t>
      </w:r>
    </w:p>
    <w:p w14:paraId="23DD22AB">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72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（四）负责全县监察工作。</w:t>
      </w:r>
    </w:p>
    <w:p w14:paraId="31EE462D">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72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（五）依照法律规定履行监督、调查、处置职责。</w:t>
      </w:r>
    </w:p>
    <w:p w14:paraId="6BDD0970">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72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（六）负责组织协调全面从严治党、党风廉政建设和反腐败宣传教育工作。</w:t>
      </w:r>
    </w:p>
    <w:p w14:paraId="0EFCFC51">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72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（七）负责综合分析全面从严治党、党风廉政建设和反腐败工作情况等。</w:t>
      </w:r>
    </w:p>
    <w:p w14:paraId="46D9EE0F">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72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（八）做好纪检监察干部的管理工作；组织和指导全县纪检、监察系统干部的培训工作。</w:t>
      </w:r>
    </w:p>
    <w:p w14:paraId="354C610A">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720"/>
        <w:textAlignment w:val="auto"/>
        <w:rPr>
          <w:rFonts w:hint="eastAsia" w:ascii="仿宋" w:hAnsi="仿宋" w:eastAsia="仿宋" w:cs="仿宋"/>
          <w:sz w:val="32"/>
          <w:szCs w:val="32"/>
          <w:highlight w:val="none"/>
          <w:lang w:eastAsia="zh-CN"/>
        </w:rPr>
      </w:pPr>
      <w:r>
        <w:rPr>
          <w:rFonts w:hint="eastAsia" w:ascii="仿宋_GB2312" w:hAnsi="仿宋_GB2312" w:eastAsia="仿宋_GB2312" w:cs="仿宋_GB2312"/>
          <w:kern w:val="2"/>
          <w:sz w:val="32"/>
          <w:szCs w:val="32"/>
        </w:rPr>
        <w:t>（九）完成自治县党委和自治区、市纪委监委交办的其他事项。</w:t>
      </w:r>
    </w:p>
    <w:p w14:paraId="6A344037">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ascii="仿宋" w:hAnsi="仿宋" w:eastAsia="仿宋" w:cs="仿宋"/>
          <w:sz w:val="32"/>
          <w:szCs w:val="32"/>
          <w:highlight w:val="none"/>
        </w:rPr>
      </w:pPr>
      <w:r>
        <w:rPr>
          <w:rFonts w:hint="eastAsia" w:ascii="黑体" w:hAnsi="黑体" w:eastAsia="黑体" w:cs="黑体"/>
          <w:sz w:val="32"/>
          <w:szCs w:val="32"/>
          <w:highlight w:val="none"/>
        </w:rPr>
        <w:t>二、部门决算单位构成</w:t>
      </w:r>
    </w:p>
    <w:p w14:paraId="44F54F1D">
      <w:pPr>
        <w:pStyle w:val="6"/>
        <w:keepNext w:val="0"/>
        <w:keepLines w:val="0"/>
        <w:pageBreakBefore w:val="0"/>
        <w:widowControl w:val="0"/>
        <w:shd w:val="clear" w:color="auto" w:fill="FFFFFF"/>
        <w:kinsoku/>
        <w:wordWrap/>
        <w:overflowPunct/>
        <w:topLinePunct w:val="0"/>
        <w:autoSpaceDE/>
        <w:autoSpaceDN/>
        <w:bidi w:val="0"/>
        <w:adjustRightInd/>
        <w:snapToGrid/>
        <w:spacing w:before="156" w:beforeLines="50" w:beforeAutospacing="0" w:after="0" w:afterAutospacing="0" w:line="600" w:lineRule="exact"/>
        <w:ind w:firstLine="720"/>
        <w:textAlignment w:val="auto"/>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1、单位构成情况</w:t>
      </w:r>
    </w:p>
    <w:p w14:paraId="21A940A4">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72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（一）办公室</w:t>
      </w:r>
    </w:p>
    <w:p w14:paraId="68D78ED0">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72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（二）预防宣教室</w:t>
      </w:r>
    </w:p>
    <w:p w14:paraId="634AE545">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72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（三）党风政风监督室</w:t>
      </w:r>
    </w:p>
    <w:p w14:paraId="3D856D8D">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72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（四）案件审理室</w:t>
      </w:r>
    </w:p>
    <w:p w14:paraId="0E540785">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72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（五）信访室（举报中心）</w:t>
      </w:r>
    </w:p>
    <w:p w14:paraId="59D49B47">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72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（六）案管室</w:t>
      </w:r>
    </w:p>
    <w:p w14:paraId="777F1DCF">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72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（七）第一纪检监察室</w:t>
      </w:r>
    </w:p>
    <w:p w14:paraId="62CA1423">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72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（八）第二纪检监察室</w:t>
      </w:r>
    </w:p>
    <w:p w14:paraId="317A375D">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72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（九）第三纪检监察室</w:t>
      </w:r>
    </w:p>
    <w:p w14:paraId="1AF67673">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72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（十）第四纪检监察室</w:t>
      </w:r>
    </w:p>
    <w:p w14:paraId="26013854">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72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（十一）第五纪检监察室</w:t>
      </w:r>
    </w:p>
    <w:p w14:paraId="0BDBCEEE">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720"/>
        <w:textAlignment w:val="auto"/>
        <w:rPr>
          <w:rFonts w:hint="default"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十二</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各派驻组</w:t>
      </w:r>
    </w:p>
    <w:p w14:paraId="5AC4E537">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72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2、人员构成情况。</w:t>
      </w:r>
    </w:p>
    <w:p w14:paraId="1B687145">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720"/>
        <w:textAlignment w:val="auto"/>
        <w:rPr>
          <w:rFonts w:ascii="仿宋" w:hAnsi="仿宋" w:eastAsia="仿宋" w:cs="仿宋"/>
          <w:sz w:val="32"/>
          <w:szCs w:val="32"/>
          <w:highlight w:val="none"/>
        </w:rPr>
      </w:pPr>
      <w:r>
        <w:rPr>
          <w:rFonts w:hint="eastAsia" w:ascii="仿宋_GB2312" w:hAnsi="仿宋_GB2312" w:eastAsia="仿宋_GB2312" w:cs="仿宋_GB2312"/>
          <w:kern w:val="2"/>
          <w:sz w:val="32"/>
          <w:szCs w:val="32"/>
        </w:rPr>
        <w:t>环江县纪委监委人员编制总数为</w:t>
      </w:r>
      <w:r>
        <w:rPr>
          <w:rFonts w:hint="eastAsia" w:ascii="仿宋_GB2312" w:hAnsi="仿宋_GB2312" w:eastAsia="仿宋_GB2312" w:cs="仿宋_GB2312"/>
          <w:kern w:val="2"/>
          <w:sz w:val="32"/>
          <w:szCs w:val="32"/>
          <w:lang w:val="en-US" w:eastAsia="zh-CN"/>
        </w:rPr>
        <w:t>97</w:t>
      </w:r>
      <w:r>
        <w:rPr>
          <w:rFonts w:hint="eastAsia" w:ascii="仿宋_GB2312" w:hAnsi="仿宋_GB2312" w:eastAsia="仿宋_GB2312" w:cs="仿宋_GB2312"/>
          <w:kern w:val="2"/>
          <w:sz w:val="32"/>
          <w:szCs w:val="32"/>
        </w:rPr>
        <w:t>人，其中行政编制8</w:t>
      </w:r>
      <w:r>
        <w:rPr>
          <w:rFonts w:hint="eastAsia" w:ascii="仿宋_GB2312" w:hAnsi="仿宋_GB2312" w:eastAsia="仿宋_GB2312" w:cs="仿宋_GB2312"/>
          <w:kern w:val="2"/>
          <w:sz w:val="32"/>
          <w:szCs w:val="32"/>
          <w:lang w:val="en-US" w:eastAsia="zh-CN"/>
        </w:rPr>
        <w:t>8</w:t>
      </w:r>
      <w:r>
        <w:rPr>
          <w:rFonts w:hint="eastAsia" w:ascii="仿宋_GB2312" w:hAnsi="仿宋_GB2312" w:eastAsia="仿宋_GB2312" w:cs="仿宋_GB2312"/>
          <w:kern w:val="2"/>
          <w:sz w:val="32"/>
          <w:szCs w:val="32"/>
        </w:rPr>
        <w:t>人，事业编制</w:t>
      </w:r>
      <w:r>
        <w:rPr>
          <w:rFonts w:hint="eastAsia" w:ascii="仿宋_GB2312" w:hAnsi="仿宋_GB2312" w:eastAsia="仿宋_GB2312" w:cs="仿宋_GB2312"/>
          <w:kern w:val="2"/>
          <w:sz w:val="32"/>
          <w:szCs w:val="32"/>
          <w:lang w:val="en-US" w:eastAsia="zh-CN"/>
        </w:rPr>
        <w:t>8</w:t>
      </w:r>
      <w:r>
        <w:rPr>
          <w:rFonts w:hint="eastAsia" w:ascii="仿宋_GB2312" w:hAnsi="仿宋_GB2312" w:eastAsia="仿宋_GB2312" w:cs="仿宋_GB2312"/>
          <w:kern w:val="2"/>
          <w:sz w:val="32"/>
          <w:szCs w:val="32"/>
        </w:rPr>
        <w:t>人，机关后勤服务中心聘用人员控制数1人。编外在职实有人数1人，202</w:t>
      </w:r>
      <w:r>
        <w:rPr>
          <w:rFonts w:hint="eastAsia" w:ascii="仿宋_GB2312" w:hAnsi="仿宋_GB2312" w:eastAsia="仿宋_GB2312" w:cs="仿宋_GB2312"/>
          <w:kern w:val="2"/>
          <w:sz w:val="32"/>
          <w:szCs w:val="32"/>
          <w:lang w:val="en-US" w:eastAsia="zh-CN"/>
        </w:rPr>
        <w:t>2</w:t>
      </w:r>
      <w:r>
        <w:rPr>
          <w:rFonts w:hint="eastAsia" w:ascii="仿宋_GB2312" w:hAnsi="仿宋_GB2312" w:eastAsia="仿宋_GB2312" w:cs="仿宋_GB2312"/>
          <w:kern w:val="2"/>
          <w:sz w:val="32"/>
          <w:szCs w:val="32"/>
        </w:rPr>
        <w:t>底，实有在职在编人数8</w:t>
      </w:r>
      <w:r>
        <w:rPr>
          <w:rFonts w:hint="eastAsia" w:ascii="仿宋_GB2312" w:hAnsi="仿宋_GB2312" w:eastAsia="仿宋_GB2312" w:cs="仿宋_GB2312"/>
          <w:kern w:val="2"/>
          <w:sz w:val="32"/>
          <w:szCs w:val="32"/>
          <w:lang w:val="en-US" w:eastAsia="zh-CN"/>
        </w:rPr>
        <w:t>5</w:t>
      </w:r>
      <w:r>
        <w:rPr>
          <w:rFonts w:hint="eastAsia" w:ascii="仿宋_GB2312" w:hAnsi="仿宋_GB2312" w:eastAsia="仿宋_GB2312" w:cs="仿宋_GB2312"/>
          <w:kern w:val="2"/>
          <w:sz w:val="32"/>
          <w:szCs w:val="32"/>
        </w:rPr>
        <w:t>人，其中行政编制人员</w:t>
      </w:r>
      <w:r>
        <w:rPr>
          <w:rFonts w:hint="eastAsia" w:ascii="仿宋_GB2312" w:hAnsi="仿宋_GB2312" w:eastAsia="仿宋_GB2312" w:cs="仿宋_GB2312"/>
          <w:kern w:val="2"/>
          <w:sz w:val="32"/>
          <w:szCs w:val="32"/>
          <w:lang w:val="en-US" w:eastAsia="zh-CN"/>
        </w:rPr>
        <w:t>82</w:t>
      </w:r>
      <w:r>
        <w:rPr>
          <w:rFonts w:hint="eastAsia" w:ascii="仿宋_GB2312" w:hAnsi="仿宋_GB2312" w:eastAsia="仿宋_GB2312" w:cs="仿宋_GB2312"/>
          <w:kern w:val="2"/>
          <w:sz w:val="32"/>
          <w:szCs w:val="32"/>
        </w:rPr>
        <w:t>人，机关后勤人员1人，事业编2人，遗属人员</w:t>
      </w:r>
      <w:r>
        <w:rPr>
          <w:rFonts w:hint="eastAsia" w:ascii="仿宋_GB2312" w:hAnsi="仿宋_GB2312" w:eastAsia="仿宋_GB2312" w:cs="仿宋_GB2312"/>
          <w:kern w:val="2"/>
          <w:sz w:val="32"/>
          <w:szCs w:val="32"/>
          <w:lang w:val="en-US" w:eastAsia="zh-CN"/>
        </w:rPr>
        <w:t>3</w:t>
      </w:r>
      <w:r>
        <w:rPr>
          <w:rFonts w:hint="eastAsia" w:ascii="仿宋_GB2312" w:hAnsi="仿宋_GB2312" w:eastAsia="仿宋_GB2312" w:cs="仿宋_GB2312"/>
          <w:kern w:val="2"/>
          <w:sz w:val="32"/>
          <w:szCs w:val="32"/>
        </w:rPr>
        <w:t>人，独生子女人数</w:t>
      </w:r>
      <w:r>
        <w:rPr>
          <w:rFonts w:hint="eastAsia" w:ascii="仿宋_GB2312" w:hAnsi="仿宋_GB2312" w:eastAsia="仿宋_GB2312" w:cs="仿宋_GB2312"/>
          <w:kern w:val="2"/>
          <w:sz w:val="32"/>
          <w:szCs w:val="32"/>
          <w:lang w:val="en-US" w:eastAsia="zh-CN"/>
        </w:rPr>
        <w:t>3</w:t>
      </w:r>
      <w:r>
        <w:rPr>
          <w:rFonts w:hint="eastAsia" w:ascii="仿宋_GB2312" w:hAnsi="仿宋_GB2312" w:eastAsia="仿宋_GB2312" w:cs="仿宋_GB2312"/>
          <w:kern w:val="2"/>
          <w:sz w:val="32"/>
          <w:szCs w:val="32"/>
        </w:rPr>
        <w:t>人。</w:t>
      </w:r>
    </w:p>
    <w:p w14:paraId="3C4B88A8">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sz w:val="32"/>
          <w:szCs w:val="32"/>
          <w:highlight w:val="none"/>
          <w:lang w:val="en-US" w:eastAsia="zh-CN"/>
        </w:rPr>
        <w:sectPr>
          <w:footerReference r:id="rId5" w:type="default"/>
          <w:pgSz w:w="11906" w:h="16838"/>
          <w:pgMar w:top="1984" w:right="1417" w:bottom="1417" w:left="1417" w:header="851" w:footer="992" w:gutter="0"/>
          <w:cols w:space="0" w:num="1"/>
          <w:rtlGutter w:val="0"/>
          <w:docGrid w:type="lines" w:linePitch="312" w:charSpace="0"/>
        </w:sectPr>
      </w:pPr>
    </w:p>
    <w:p w14:paraId="20234FE1">
      <w:pPr>
        <w:jc w:val="center"/>
        <w:rPr>
          <w:rFonts w:ascii="黑体" w:hAnsi="黑体" w:eastAsia="黑体" w:cs="黑体"/>
          <w:sz w:val="32"/>
          <w:szCs w:val="32"/>
          <w:highlight w:val="none"/>
        </w:rPr>
      </w:pPr>
      <w:r>
        <w:rPr>
          <w:rFonts w:hint="eastAsia" w:ascii="黑体" w:hAnsi="黑体" w:eastAsia="黑体" w:cs="黑体"/>
          <w:sz w:val="32"/>
          <w:szCs w:val="32"/>
          <w:highlight w:val="none"/>
        </w:rPr>
        <w:t>第二部分：2022年度部门决算报表</w:t>
      </w:r>
    </w:p>
    <w:tbl>
      <w:tblPr>
        <w:tblStyle w:val="7"/>
        <w:tblW w:w="13940" w:type="dxa"/>
        <w:tblInd w:w="96" w:type="dxa"/>
        <w:tblLayout w:type="fixed"/>
        <w:tblCellMar>
          <w:top w:w="0" w:type="dxa"/>
          <w:left w:w="108" w:type="dxa"/>
          <w:bottom w:w="0" w:type="dxa"/>
          <w:right w:w="108" w:type="dxa"/>
        </w:tblCellMar>
      </w:tblPr>
      <w:tblGrid>
        <w:gridCol w:w="3129"/>
        <w:gridCol w:w="1807"/>
        <w:gridCol w:w="2231"/>
        <w:gridCol w:w="3327"/>
        <w:gridCol w:w="1544"/>
        <w:gridCol w:w="1902"/>
      </w:tblGrid>
      <w:tr w14:paraId="7EB7B81C">
        <w:tblPrEx>
          <w:tblCellMar>
            <w:top w:w="0" w:type="dxa"/>
            <w:left w:w="108" w:type="dxa"/>
            <w:bottom w:w="0" w:type="dxa"/>
            <w:right w:w="108" w:type="dxa"/>
          </w:tblCellMar>
        </w:tblPrEx>
        <w:trPr>
          <w:trHeight w:val="621" w:hRule="atLeast"/>
        </w:trPr>
        <w:tc>
          <w:tcPr>
            <w:tcW w:w="13940" w:type="dxa"/>
            <w:gridSpan w:val="6"/>
            <w:tcBorders>
              <w:top w:val="nil"/>
              <w:left w:val="nil"/>
              <w:bottom w:val="nil"/>
              <w:right w:val="nil"/>
            </w:tcBorders>
            <w:shd w:val="clear" w:color="auto" w:fill="auto"/>
            <w:noWrap/>
            <w:vAlign w:val="bottom"/>
          </w:tcPr>
          <w:p w14:paraId="31446EAF">
            <w:pPr>
              <w:keepNext w:val="0"/>
              <w:keepLines w:val="0"/>
              <w:suppressLineNumbers w:val="0"/>
              <w:spacing w:before="0" w:beforeAutospacing="0" w:after="0" w:afterAutospacing="0"/>
              <w:ind w:left="0" w:right="0"/>
              <w:jc w:val="left"/>
              <w:rPr>
                <w:rFonts w:hint="eastAsia" w:ascii="仿宋" w:hAnsi="仿宋" w:eastAsia="仿宋" w:cs="仿宋"/>
                <w:sz w:val="24"/>
                <w:highlight w:val="none"/>
              </w:rPr>
            </w:pPr>
            <w:r>
              <w:rPr>
                <w:rFonts w:hint="eastAsia" w:ascii="仿宋" w:hAnsi="仿宋" w:eastAsia="仿宋" w:cs="仿宋"/>
                <w:sz w:val="24"/>
                <w:highlight w:val="none"/>
              </w:rPr>
              <w:t>表一：收入支出决算总表</w:t>
            </w:r>
          </w:p>
          <w:p w14:paraId="14A27472">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收入支出决算总表</w:t>
            </w:r>
          </w:p>
        </w:tc>
      </w:tr>
      <w:tr w14:paraId="716F9CD4">
        <w:tblPrEx>
          <w:tblCellMar>
            <w:top w:w="0" w:type="dxa"/>
            <w:left w:w="108" w:type="dxa"/>
            <w:bottom w:w="0" w:type="dxa"/>
            <w:right w:w="108" w:type="dxa"/>
          </w:tblCellMar>
        </w:tblPrEx>
        <w:trPr>
          <w:trHeight w:val="301" w:hRule="atLeast"/>
        </w:trPr>
        <w:tc>
          <w:tcPr>
            <w:tcW w:w="3129" w:type="dxa"/>
            <w:tcBorders>
              <w:top w:val="nil"/>
              <w:left w:val="nil"/>
              <w:bottom w:val="nil"/>
              <w:right w:val="nil"/>
            </w:tcBorders>
            <w:shd w:val="clear" w:color="auto" w:fill="auto"/>
            <w:noWrap/>
            <w:vAlign w:val="bottom"/>
          </w:tcPr>
          <w:p w14:paraId="74D96211">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807" w:type="dxa"/>
            <w:tcBorders>
              <w:top w:val="nil"/>
              <w:left w:val="nil"/>
              <w:bottom w:val="nil"/>
              <w:right w:val="nil"/>
            </w:tcBorders>
            <w:shd w:val="clear" w:color="auto" w:fill="auto"/>
            <w:noWrap/>
            <w:vAlign w:val="bottom"/>
          </w:tcPr>
          <w:p w14:paraId="58601041">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231" w:type="dxa"/>
            <w:tcBorders>
              <w:top w:val="nil"/>
              <w:left w:val="nil"/>
              <w:bottom w:val="nil"/>
              <w:right w:val="nil"/>
            </w:tcBorders>
            <w:shd w:val="clear" w:color="auto" w:fill="auto"/>
            <w:noWrap/>
            <w:vAlign w:val="bottom"/>
          </w:tcPr>
          <w:p w14:paraId="5175D69C">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327" w:type="dxa"/>
            <w:tcBorders>
              <w:top w:val="nil"/>
              <w:left w:val="nil"/>
              <w:bottom w:val="nil"/>
              <w:right w:val="nil"/>
            </w:tcBorders>
            <w:shd w:val="clear" w:color="auto" w:fill="auto"/>
            <w:noWrap/>
            <w:vAlign w:val="bottom"/>
          </w:tcPr>
          <w:p w14:paraId="5648C3DD">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544" w:type="dxa"/>
            <w:tcBorders>
              <w:top w:val="nil"/>
              <w:left w:val="nil"/>
              <w:bottom w:val="nil"/>
              <w:right w:val="nil"/>
            </w:tcBorders>
            <w:shd w:val="clear" w:color="auto" w:fill="auto"/>
            <w:noWrap/>
            <w:vAlign w:val="bottom"/>
          </w:tcPr>
          <w:p w14:paraId="68E33CFE">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02" w:type="dxa"/>
            <w:tcBorders>
              <w:top w:val="nil"/>
              <w:left w:val="nil"/>
              <w:bottom w:val="nil"/>
              <w:right w:val="nil"/>
            </w:tcBorders>
            <w:shd w:val="clear" w:color="auto" w:fill="auto"/>
            <w:noWrap/>
            <w:vAlign w:val="bottom"/>
          </w:tcPr>
          <w:p w14:paraId="51F89AC4">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公开01表</w:t>
            </w:r>
          </w:p>
        </w:tc>
      </w:tr>
      <w:tr w14:paraId="5FEDE11C">
        <w:tblPrEx>
          <w:tblCellMar>
            <w:top w:w="0" w:type="dxa"/>
            <w:left w:w="108" w:type="dxa"/>
            <w:bottom w:w="0" w:type="dxa"/>
            <w:right w:w="108" w:type="dxa"/>
          </w:tblCellMar>
        </w:tblPrEx>
        <w:trPr>
          <w:trHeight w:val="301" w:hRule="atLeast"/>
        </w:trPr>
        <w:tc>
          <w:tcPr>
            <w:tcW w:w="7167" w:type="dxa"/>
            <w:gridSpan w:val="3"/>
            <w:tcBorders>
              <w:top w:val="nil"/>
              <w:left w:val="nil"/>
              <w:bottom w:val="single" w:color="auto" w:sz="4" w:space="0"/>
              <w:right w:val="nil"/>
            </w:tcBorders>
            <w:shd w:val="clear" w:color="auto" w:fill="auto"/>
            <w:noWrap/>
            <w:vAlign w:val="bottom"/>
          </w:tcPr>
          <w:p w14:paraId="037FFCB8">
            <w:pPr>
              <w:keepNext w:val="0"/>
              <w:keepLines w:val="0"/>
              <w:suppressLineNumbers w:val="0"/>
              <w:spacing w:before="0" w:beforeAutospacing="0" w:after="0" w:afterAutospacing="0"/>
              <w:ind w:left="0" w:right="0"/>
              <w:rPr>
                <w:rFonts w:hint="eastAsia" w:ascii="Arial" w:hAnsi="Arial" w:eastAsia="宋体" w:cs="Arial"/>
                <w:color w:val="000000"/>
                <w:sz w:val="20"/>
                <w:szCs w:val="20"/>
                <w:highlight w:val="none"/>
                <w:lang w:eastAsia="zh-CN"/>
              </w:rPr>
            </w:pPr>
            <w:r>
              <w:rPr>
                <w:rFonts w:hint="eastAsia" w:ascii="宋体" w:hAnsi="宋体" w:eastAsia="宋体" w:cs="宋体"/>
                <w:color w:val="000000"/>
                <w:kern w:val="0"/>
                <w:sz w:val="20"/>
                <w:szCs w:val="20"/>
                <w:highlight w:val="none"/>
                <w:lang w:bidi="ar"/>
              </w:rPr>
              <w:t>部门：</w:t>
            </w:r>
            <w:r>
              <w:rPr>
                <w:rFonts w:hint="eastAsia" w:ascii="宋体" w:hAnsi="宋体" w:eastAsia="宋体" w:cs="宋体"/>
                <w:color w:val="000000"/>
                <w:sz w:val="20"/>
                <w:u w:color="auto"/>
                <w:lang w:eastAsia="zh-CN"/>
              </w:rPr>
              <w:t>广西河池市中国共产党环江毛南族自治县纪律检查委员会</w:t>
            </w:r>
          </w:p>
        </w:tc>
        <w:tc>
          <w:tcPr>
            <w:tcW w:w="3327" w:type="dxa"/>
            <w:tcBorders>
              <w:top w:val="nil"/>
              <w:left w:val="nil"/>
              <w:bottom w:val="single" w:color="auto" w:sz="4" w:space="0"/>
              <w:right w:val="nil"/>
            </w:tcBorders>
            <w:shd w:val="clear" w:color="auto" w:fill="auto"/>
            <w:noWrap/>
            <w:vAlign w:val="bottom"/>
          </w:tcPr>
          <w:p w14:paraId="695615F2">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544" w:type="dxa"/>
            <w:tcBorders>
              <w:top w:val="nil"/>
              <w:left w:val="nil"/>
              <w:bottom w:val="single" w:color="auto" w:sz="4" w:space="0"/>
              <w:right w:val="nil"/>
            </w:tcBorders>
            <w:shd w:val="clear" w:color="auto" w:fill="auto"/>
            <w:noWrap/>
            <w:vAlign w:val="bottom"/>
          </w:tcPr>
          <w:p w14:paraId="4728171B">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02" w:type="dxa"/>
            <w:tcBorders>
              <w:top w:val="nil"/>
              <w:left w:val="nil"/>
              <w:bottom w:val="single" w:color="auto" w:sz="4" w:space="0"/>
              <w:right w:val="nil"/>
            </w:tcBorders>
            <w:shd w:val="clear" w:color="auto" w:fill="auto"/>
            <w:noWrap/>
            <w:vAlign w:val="bottom"/>
          </w:tcPr>
          <w:p w14:paraId="1BDD8856">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14:paraId="0322F18C">
        <w:tblPrEx>
          <w:tblCellMar>
            <w:top w:w="0" w:type="dxa"/>
            <w:left w:w="108" w:type="dxa"/>
            <w:bottom w:w="0" w:type="dxa"/>
            <w:right w:w="108" w:type="dxa"/>
          </w:tblCellMar>
        </w:tblPrEx>
        <w:trPr>
          <w:trHeight w:val="315" w:hRule="atLeast"/>
        </w:trPr>
        <w:tc>
          <w:tcPr>
            <w:tcW w:w="7167"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02C0CEE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收入</w:t>
            </w:r>
          </w:p>
        </w:tc>
        <w:tc>
          <w:tcPr>
            <w:tcW w:w="6773"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775B6F6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支出</w:t>
            </w:r>
          </w:p>
        </w:tc>
      </w:tr>
      <w:tr w14:paraId="3085AA04">
        <w:tblPrEx>
          <w:tblCellMar>
            <w:top w:w="0" w:type="dxa"/>
            <w:left w:w="108" w:type="dxa"/>
            <w:bottom w:w="0" w:type="dxa"/>
            <w:right w:w="108" w:type="dxa"/>
          </w:tblCellMar>
        </w:tblPrEx>
        <w:trPr>
          <w:trHeight w:val="315" w:hRule="atLeast"/>
        </w:trPr>
        <w:tc>
          <w:tcPr>
            <w:tcW w:w="312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23A46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18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4375D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行次</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ED1A4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金额</w:t>
            </w:r>
          </w:p>
        </w:tc>
        <w:tc>
          <w:tcPr>
            <w:tcW w:w="33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272DE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15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EAE39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行次</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6E624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金额</w:t>
            </w:r>
          </w:p>
        </w:tc>
      </w:tr>
      <w:tr w14:paraId="4F428524">
        <w:tblPrEx>
          <w:tblCellMar>
            <w:top w:w="0" w:type="dxa"/>
            <w:left w:w="108" w:type="dxa"/>
            <w:bottom w:w="0" w:type="dxa"/>
            <w:right w:w="108" w:type="dxa"/>
          </w:tblCellMar>
        </w:tblPrEx>
        <w:trPr>
          <w:trHeight w:val="315" w:hRule="atLeast"/>
        </w:trPr>
        <w:tc>
          <w:tcPr>
            <w:tcW w:w="312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EFC89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18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DC8058">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79B0B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33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02582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15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ECDA28">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6C05E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r>
      <w:tr w14:paraId="5DCA0912">
        <w:tblPrEx>
          <w:tblCellMar>
            <w:top w:w="0" w:type="dxa"/>
            <w:left w:w="108" w:type="dxa"/>
            <w:bottom w:w="0" w:type="dxa"/>
            <w:right w:w="108" w:type="dxa"/>
          </w:tblCellMar>
        </w:tblPrEx>
        <w:trPr>
          <w:trHeight w:val="334" w:hRule="atLeast"/>
        </w:trPr>
        <w:tc>
          <w:tcPr>
            <w:tcW w:w="312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0BC71E">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一、一般公共预算财政拨款收入</w:t>
            </w:r>
          </w:p>
        </w:tc>
        <w:tc>
          <w:tcPr>
            <w:tcW w:w="18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4F54C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99DF5D">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1730.07</w:t>
            </w:r>
          </w:p>
        </w:tc>
        <w:tc>
          <w:tcPr>
            <w:tcW w:w="33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55B49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一、一般公共服务支出</w:t>
            </w:r>
          </w:p>
        </w:tc>
        <w:tc>
          <w:tcPr>
            <w:tcW w:w="15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20EDD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32</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36C9F3">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1254.93</w:t>
            </w:r>
          </w:p>
        </w:tc>
      </w:tr>
      <w:tr w14:paraId="3E53E23D">
        <w:tblPrEx>
          <w:tblCellMar>
            <w:top w:w="0" w:type="dxa"/>
            <w:left w:w="108" w:type="dxa"/>
            <w:bottom w:w="0" w:type="dxa"/>
            <w:right w:w="108" w:type="dxa"/>
          </w:tblCellMar>
        </w:tblPrEx>
        <w:trPr>
          <w:trHeight w:val="334" w:hRule="atLeast"/>
        </w:trPr>
        <w:tc>
          <w:tcPr>
            <w:tcW w:w="312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EBA40E">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二、政府性基金预算财政拨款收入</w:t>
            </w:r>
          </w:p>
        </w:tc>
        <w:tc>
          <w:tcPr>
            <w:tcW w:w="18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28015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3740DB">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33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B87C4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二、外交支出</w:t>
            </w:r>
          </w:p>
        </w:tc>
        <w:tc>
          <w:tcPr>
            <w:tcW w:w="15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88B0F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33</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898686">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38B6F9F1">
        <w:tblPrEx>
          <w:tblCellMar>
            <w:top w:w="0" w:type="dxa"/>
            <w:left w:w="108" w:type="dxa"/>
            <w:bottom w:w="0" w:type="dxa"/>
            <w:right w:w="108" w:type="dxa"/>
          </w:tblCellMar>
        </w:tblPrEx>
        <w:trPr>
          <w:trHeight w:val="334" w:hRule="atLeast"/>
        </w:trPr>
        <w:tc>
          <w:tcPr>
            <w:tcW w:w="312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C5CC43">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三、国有资本经营预算财政拨款收入</w:t>
            </w:r>
          </w:p>
        </w:tc>
        <w:tc>
          <w:tcPr>
            <w:tcW w:w="18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6B034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3</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FB7E96">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33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D4A0E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三、国防支出</w:t>
            </w:r>
          </w:p>
        </w:tc>
        <w:tc>
          <w:tcPr>
            <w:tcW w:w="15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BEA9D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34</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3AD881">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666F7FB2">
        <w:tblPrEx>
          <w:tblCellMar>
            <w:top w:w="0" w:type="dxa"/>
            <w:left w:w="108" w:type="dxa"/>
            <w:bottom w:w="0" w:type="dxa"/>
            <w:right w:w="108" w:type="dxa"/>
          </w:tblCellMar>
        </w:tblPrEx>
        <w:trPr>
          <w:trHeight w:val="334" w:hRule="atLeast"/>
        </w:trPr>
        <w:tc>
          <w:tcPr>
            <w:tcW w:w="312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709114">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四、上级补助收入</w:t>
            </w:r>
          </w:p>
        </w:tc>
        <w:tc>
          <w:tcPr>
            <w:tcW w:w="18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65B8A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4</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AD18DD">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0.00</w:t>
            </w:r>
          </w:p>
        </w:tc>
        <w:tc>
          <w:tcPr>
            <w:tcW w:w="33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2E694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四、公共安全支出</w:t>
            </w:r>
          </w:p>
        </w:tc>
        <w:tc>
          <w:tcPr>
            <w:tcW w:w="15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C3E62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35</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B987A8">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52A25D9F">
        <w:tblPrEx>
          <w:tblCellMar>
            <w:top w:w="0" w:type="dxa"/>
            <w:left w:w="108" w:type="dxa"/>
            <w:bottom w:w="0" w:type="dxa"/>
            <w:right w:w="108" w:type="dxa"/>
          </w:tblCellMar>
        </w:tblPrEx>
        <w:trPr>
          <w:trHeight w:val="334" w:hRule="atLeast"/>
        </w:trPr>
        <w:tc>
          <w:tcPr>
            <w:tcW w:w="312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D0B425">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五、事业收入</w:t>
            </w:r>
          </w:p>
        </w:tc>
        <w:tc>
          <w:tcPr>
            <w:tcW w:w="18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3E141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5</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69952B">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33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21C61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五、教育支出</w:t>
            </w:r>
          </w:p>
        </w:tc>
        <w:tc>
          <w:tcPr>
            <w:tcW w:w="15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BAEBD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36</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C9945E">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0.00</w:t>
            </w:r>
          </w:p>
        </w:tc>
      </w:tr>
      <w:tr w14:paraId="34F5C480">
        <w:tblPrEx>
          <w:tblCellMar>
            <w:top w:w="0" w:type="dxa"/>
            <w:left w:w="108" w:type="dxa"/>
            <w:bottom w:w="0" w:type="dxa"/>
            <w:right w:w="108" w:type="dxa"/>
          </w:tblCellMar>
        </w:tblPrEx>
        <w:trPr>
          <w:trHeight w:val="90" w:hRule="atLeast"/>
        </w:trPr>
        <w:tc>
          <w:tcPr>
            <w:tcW w:w="312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D0AB5F">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六、经营收入</w:t>
            </w:r>
          </w:p>
        </w:tc>
        <w:tc>
          <w:tcPr>
            <w:tcW w:w="18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B991B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6</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1D74DA">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33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91B74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六、科学技术支出</w:t>
            </w:r>
          </w:p>
        </w:tc>
        <w:tc>
          <w:tcPr>
            <w:tcW w:w="15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ECBFC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37</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697FC9">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5CA506AA">
        <w:tblPrEx>
          <w:tblCellMar>
            <w:top w:w="0" w:type="dxa"/>
            <w:left w:w="108" w:type="dxa"/>
            <w:bottom w:w="0" w:type="dxa"/>
            <w:right w:w="108" w:type="dxa"/>
          </w:tblCellMar>
        </w:tblPrEx>
        <w:trPr>
          <w:trHeight w:val="334" w:hRule="atLeast"/>
        </w:trPr>
        <w:tc>
          <w:tcPr>
            <w:tcW w:w="312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351933">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七、附属单位上缴收入</w:t>
            </w:r>
          </w:p>
        </w:tc>
        <w:tc>
          <w:tcPr>
            <w:tcW w:w="18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00852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7</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CC7B1A">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33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BA4B5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七、文化旅游体育与传媒支出</w:t>
            </w:r>
          </w:p>
        </w:tc>
        <w:tc>
          <w:tcPr>
            <w:tcW w:w="15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94660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38</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8E50F0">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40BDA345">
        <w:tblPrEx>
          <w:tblCellMar>
            <w:top w:w="0" w:type="dxa"/>
            <w:left w:w="108" w:type="dxa"/>
            <w:bottom w:w="0" w:type="dxa"/>
            <w:right w:w="108" w:type="dxa"/>
          </w:tblCellMar>
        </w:tblPrEx>
        <w:trPr>
          <w:trHeight w:val="334" w:hRule="atLeast"/>
        </w:trPr>
        <w:tc>
          <w:tcPr>
            <w:tcW w:w="312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E3521E">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八、其他收入</w:t>
            </w:r>
          </w:p>
        </w:tc>
        <w:tc>
          <w:tcPr>
            <w:tcW w:w="18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BD26C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8</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1763C9">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0.00</w:t>
            </w:r>
          </w:p>
        </w:tc>
        <w:tc>
          <w:tcPr>
            <w:tcW w:w="33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C602A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八、社会保障和就业支出</w:t>
            </w:r>
          </w:p>
        </w:tc>
        <w:tc>
          <w:tcPr>
            <w:tcW w:w="15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01605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39</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5D1710">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132.32</w:t>
            </w:r>
          </w:p>
        </w:tc>
      </w:tr>
      <w:tr w14:paraId="11C30E71">
        <w:tblPrEx>
          <w:tblCellMar>
            <w:top w:w="0" w:type="dxa"/>
            <w:left w:w="108" w:type="dxa"/>
            <w:bottom w:w="0" w:type="dxa"/>
            <w:right w:w="108" w:type="dxa"/>
          </w:tblCellMar>
        </w:tblPrEx>
        <w:trPr>
          <w:trHeight w:val="334" w:hRule="atLeast"/>
        </w:trPr>
        <w:tc>
          <w:tcPr>
            <w:tcW w:w="312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3C229E">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18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B2D82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9</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87CFEB">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33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03F73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九、卫生健康支出</w:t>
            </w:r>
          </w:p>
        </w:tc>
        <w:tc>
          <w:tcPr>
            <w:tcW w:w="15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1E125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40</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1A83FE">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0.00</w:t>
            </w:r>
          </w:p>
        </w:tc>
      </w:tr>
      <w:tr w14:paraId="2E6FA22D">
        <w:tblPrEx>
          <w:tblCellMar>
            <w:top w:w="0" w:type="dxa"/>
            <w:left w:w="108" w:type="dxa"/>
            <w:bottom w:w="0" w:type="dxa"/>
            <w:right w:w="108" w:type="dxa"/>
          </w:tblCellMar>
        </w:tblPrEx>
        <w:trPr>
          <w:trHeight w:val="334" w:hRule="atLeast"/>
        </w:trPr>
        <w:tc>
          <w:tcPr>
            <w:tcW w:w="312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C6031C">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18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B0243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10</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D6224E">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33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612C7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十、节能环保支出</w:t>
            </w:r>
          </w:p>
        </w:tc>
        <w:tc>
          <w:tcPr>
            <w:tcW w:w="15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F5799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41</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6E5C5E">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19645C70">
        <w:tblPrEx>
          <w:tblCellMar>
            <w:top w:w="0" w:type="dxa"/>
            <w:left w:w="108" w:type="dxa"/>
            <w:bottom w:w="0" w:type="dxa"/>
            <w:right w:w="108" w:type="dxa"/>
          </w:tblCellMar>
        </w:tblPrEx>
        <w:trPr>
          <w:trHeight w:val="90" w:hRule="atLeast"/>
        </w:trPr>
        <w:tc>
          <w:tcPr>
            <w:tcW w:w="312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64A54F">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18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5E392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11</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AB5203">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33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643DE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十一、城乡社区支出</w:t>
            </w:r>
          </w:p>
        </w:tc>
        <w:tc>
          <w:tcPr>
            <w:tcW w:w="15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65205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42</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FBD19E">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724BDA7E">
        <w:tblPrEx>
          <w:tblCellMar>
            <w:top w:w="0" w:type="dxa"/>
            <w:left w:w="108" w:type="dxa"/>
            <w:bottom w:w="0" w:type="dxa"/>
            <w:right w:w="108" w:type="dxa"/>
          </w:tblCellMar>
        </w:tblPrEx>
        <w:trPr>
          <w:trHeight w:val="334" w:hRule="atLeast"/>
        </w:trPr>
        <w:tc>
          <w:tcPr>
            <w:tcW w:w="312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84E57A">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18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64A64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12</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E22CFF">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33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85C34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十二、农林水支出</w:t>
            </w:r>
          </w:p>
        </w:tc>
        <w:tc>
          <w:tcPr>
            <w:tcW w:w="15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5C560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43</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D8464E">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0.00</w:t>
            </w:r>
          </w:p>
        </w:tc>
      </w:tr>
      <w:tr w14:paraId="132BA244">
        <w:tblPrEx>
          <w:tblCellMar>
            <w:top w:w="0" w:type="dxa"/>
            <w:left w:w="108" w:type="dxa"/>
            <w:bottom w:w="0" w:type="dxa"/>
            <w:right w:w="108" w:type="dxa"/>
          </w:tblCellMar>
        </w:tblPrEx>
        <w:trPr>
          <w:trHeight w:val="334" w:hRule="atLeast"/>
        </w:trPr>
        <w:tc>
          <w:tcPr>
            <w:tcW w:w="312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E7B463">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18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D7B82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13</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5D8EFB">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33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73687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十三、交通运输支出</w:t>
            </w:r>
          </w:p>
        </w:tc>
        <w:tc>
          <w:tcPr>
            <w:tcW w:w="15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7F508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44</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362531">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55B80CE3">
        <w:tblPrEx>
          <w:tblCellMar>
            <w:top w:w="0" w:type="dxa"/>
            <w:left w:w="108" w:type="dxa"/>
            <w:bottom w:w="0" w:type="dxa"/>
            <w:right w:w="108" w:type="dxa"/>
          </w:tblCellMar>
        </w:tblPrEx>
        <w:trPr>
          <w:trHeight w:val="334" w:hRule="atLeast"/>
        </w:trPr>
        <w:tc>
          <w:tcPr>
            <w:tcW w:w="312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F0712D">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18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57D7A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14</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D5F68B">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33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8A14C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十四、资源勘探工业信息等支出</w:t>
            </w:r>
          </w:p>
        </w:tc>
        <w:tc>
          <w:tcPr>
            <w:tcW w:w="15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C2507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45</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126288">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33B1772A">
        <w:tblPrEx>
          <w:tblCellMar>
            <w:top w:w="0" w:type="dxa"/>
            <w:left w:w="108" w:type="dxa"/>
            <w:bottom w:w="0" w:type="dxa"/>
            <w:right w:w="108" w:type="dxa"/>
          </w:tblCellMar>
        </w:tblPrEx>
        <w:trPr>
          <w:trHeight w:val="334" w:hRule="atLeast"/>
        </w:trPr>
        <w:tc>
          <w:tcPr>
            <w:tcW w:w="312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52D4EC">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18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35417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15</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1A0101">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33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12C03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十五、商业服务业等支出</w:t>
            </w:r>
          </w:p>
        </w:tc>
        <w:tc>
          <w:tcPr>
            <w:tcW w:w="15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384F1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46</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D7F2F4">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29FB1556">
        <w:tblPrEx>
          <w:tblCellMar>
            <w:top w:w="0" w:type="dxa"/>
            <w:left w:w="108" w:type="dxa"/>
            <w:bottom w:w="0" w:type="dxa"/>
            <w:right w:w="108" w:type="dxa"/>
          </w:tblCellMar>
        </w:tblPrEx>
        <w:trPr>
          <w:trHeight w:val="334" w:hRule="atLeast"/>
        </w:trPr>
        <w:tc>
          <w:tcPr>
            <w:tcW w:w="312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1D4715">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18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ABA14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16</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8EEC66">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33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63702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十六、金融支出</w:t>
            </w:r>
          </w:p>
        </w:tc>
        <w:tc>
          <w:tcPr>
            <w:tcW w:w="15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3D9DC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47</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9BA8FD">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4D3AEF42">
        <w:tblPrEx>
          <w:tblCellMar>
            <w:top w:w="0" w:type="dxa"/>
            <w:left w:w="108" w:type="dxa"/>
            <w:bottom w:w="0" w:type="dxa"/>
            <w:right w:w="108" w:type="dxa"/>
          </w:tblCellMar>
        </w:tblPrEx>
        <w:trPr>
          <w:trHeight w:val="334" w:hRule="atLeast"/>
        </w:trPr>
        <w:tc>
          <w:tcPr>
            <w:tcW w:w="312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E25E48">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18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43BAD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17</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785C7A">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33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A993B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十七、援助其他地区支出</w:t>
            </w:r>
          </w:p>
        </w:tc>
        <w:tc>
          <w:tcPr>
            <w:tcW w:w="15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2D651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48</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70DB1A">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3622FAF2">
        <w:tblPrEx>
          <w:tblCellMar>
            <w:top w:w="0" w:type="dxa"/>
            <w:left w:w="108" w:type="dxa"/>
            <w:bottom w:w="0" w:type="dxa"/>
            <w:right w:w="108" w:type="dxa"/>
          </w:tblCellMar>
        </w:tblPrEx>
        <w:trPr>
          <w:trHeight w:val="334" w:hRule="atLeast"/>
        </w:trPr>
        <w:tc>
          <w:tcPr>
            <w:tcW w:w="312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B51E0F">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18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170A9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18</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BD4C04">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33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9E09A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十八、自然资源海洋气象等支出</w:t>
            </w:r>
          </w:p>
        </w:tc>
        <w:tc>
          <w:tcPr>
            <w:tcW w:w="15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FE6F1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49</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906072">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6CF88FA9">
        <w:tblPrEx>
          <w:tblCellMar>
            <w:top w:w="0" w:type="dxa"/>
            <w:left w:w="108" w:type="dxa"/>
            <w:bottom w:w="0" w:type="dxa"/>
            <w:right w:w="108" w:type="dxa"/>
          </w:tblCellMar>
        </w:tblPrEx>
        <w:trPr>
          <w:trHeight w:val="334" w:hRule="atLeast"/>
        </w:trPr>
        <w:tc>
          <w:tcPr>
            <w:tcW w:w="312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CA1BAC">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18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23994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19</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DB4F1D">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33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2C136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十九、住房保障支出</w:t>
            </w:r>
          </w:p>
        </w:tc>
        <w:tc>
          <w:tcPr>
            <w:tcW w:w="15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F8296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50</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8F2CF3">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100.25</w:t>
            </w:r>
          </w:p>
        </w:tc>
      </w:tr>
      <w:tr w14:paraId="44D9743A">
        <w:tblPrEx>
          <w:tblCellMar>
            <w:top w:w="0" w:type="dxa"/>
            <w:left w:w="108" w:type="dxa"/>
            <w:bottom w:w="0" w:type="dxa"/>
            <w:right w:w="108" w:type="dxa"/>
          </w:tblCellMar>
        </w:tblPrEx>
        <w:trPr>
          <w:trHeight w:val="334" w:hRule="atLeast"/>
        </w:trPr>
        <w:tc>
          <w:tcPr>
            <w:tcW w:w="312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A8EF49">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18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F8F6F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20</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13CB8D">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33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BB004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二十、粮油物资储备支出</w:t>
            </w:r>
          </w:p>
        </w:tc>
        <w:tc>
          <w:tcPr>
            <w:tcW w:w="15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A1C28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51</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74AA6E">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511FD1C0">
        <w:tblPrEx>
          <w:tblCellMar>
            <w:top w:w="0" w:type="dxa"/>
            <w:left w:w="108" w:type="dxa"/>
            <w:bottom w:w="0" w:type="dxa"/>
            <w:right w:w="108" w:type="dxa"/>
          </w:tblCellMar>
        </w:tblPrEx>
        <w:trPr>
          <w:trHeight w:val="334" w:hRule="atLeast"/>
        </w:trPr>
        <w:tc>
          <w:tcPr>
            <w:tcW w:w="312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C33BF7">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18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92B5E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21</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A5F95E">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33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69699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二十一、国有资本经营预算支出</w:t>
            </w:r>
          </w:p>
        </w:tc>
        <w:tc>
          <w:tcPr>
            <w:tcW w:w="15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F127E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52</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1CA5D8">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101B90AE">
        <w:tblPrEx>
          <w:tblCellMar>
            <w:top w:w="0" w:type="dxa"/>
            <w:left w:w="108" w:type="dxa"/>
            <w:bottom w:w="0" w:type="dxa"/>
            <w:right w:w="108" w:type="dxa"/>
          </w:tblCellMar>
        </w:tblPrEx>
        <w:trPr>
          <w:trHeight w:val="334" w:hRule="atLeast"/>
        </w:trPr>
        <w:tc>
          <w:tcPr>
            <w:tcW w:w="312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98FCC2">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18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0D4D7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22</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ED03DD">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33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0DC53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二十二、灾害防治及应急管理支出</w:t>
            </w:r>
          </w:p>
        </w:tc>
        <w:tc>
          <w:tcPr>
            <w:tcW w:w="15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E99F2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53</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C976CF">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1888B3A5">
        <w:tblPrEx>
          <w:tblCellMar>
            <w:top w:w="0" w:type="dxa"/>
            <w:left w:w="108" w:type="dxa"/>
            <w:bottom w:w="0" w:type="dxa"/>
            <w:right w:w="108" w:type="dxa"/>
          </w:tblCellMar>
        </w:tblPrEx>
        <w:trPr>
          <w:trHeight w:val="334" w:hRule="atLeast"/>
        </w:trPr>
        <w:tc>
          <w:tcPr>
            <w:tcW w:w="312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7087EF">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18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7D755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23</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C9A119">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33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A9EC2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二十三、其他支出</w:t>
            </w:r>
          </w:p>
        </w:tc>
        <w:tc>
          <w:tcPr>
            <w:tcW w:w="15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55104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54</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848CFA">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242.57</w:t>
            </w:r>
          </w:p>
        </w:tc>
      </w:tr>
      <w:tr w14:paraId="2790E04B">
        <w:tblPrEx>
          <w:tblCellMar>
            <w:top w:w="0" w:type="dxa"/>
            <w:left w:w="108" w:type="dxa"/>
            <w:bottom w:w="0" w:type="dxa"/>
            <w:right w:w="108" w:type="dxa"/>
          </w:tblCellMar>
        </w:tblPrEx>
        <w:trPr>
          <w:trHeight w:val="334" w:hRule="atLeast"/>
        </w:trPr>
        <w:tc>
          <w:tcPr>
            <w:tcW w:w="312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11673F">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18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C94ED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24</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F79CB6">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33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52206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二十四、债务还本支出</w:t>
            </w:r>
          </w:p>
        </w:tc>
        <w:tc>
          <w:tcPr>
            <w:tcW w:w="15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E68E4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55</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7D5827">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0F13FAFB">
        <w:tblPrEx>
          <w:tblCellMar>
            <w:top w:w="0" w:type="dxa"/>
            <w:left w:w="108" w:type="dxa"/>
            <w:bottom w:w="0" w:type="dxa"/>
            <w:right w:w="108" w:type="dxa"/>
          </w:tblCellMar>
        </w:tblPrEx>
        <w:trPr>
          <w:trHeight w:val="334" w:hRule="atLeast"/>
        </w:trPr>
        <w:tc>
          <w:tcPr>
            <w:tcW w:w="312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C24543">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18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B778D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25</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672509">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33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299E7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二十五、债务付息支出</w:t>
            </w:r>
          </w:p>
        </w:tc>
        <w:tc>
          <w:tcPr>
            <w:tcW w:w="15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BAB65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56</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F347A0">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50B08ED9">
        <w:tblPrEx>
          <w:tblCellMar>
            <w:top w:w="0" w:type="dxa"/>
            <w:left w:w="108" w:type="dxa"/>
            <w:bottom w:w="0" w:type="dxa"/>
            <w:right w:w="108" w:type="dxa"/>
          </w:tblCellMar>
        </w:tblPrEx>
        <w:trPr>
          <w:trHeight w:val="334" w:hRule="atLeast"/>
        </w:trPr>
        <w:tc>
          <w:tcPr>
            <w:tcW w:w="312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64753A">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18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FF8AD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26</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8273CB">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33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18461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二十六、抗疫特别国债安排的支出</w:t>
            </w:r>
          </w:p>
        </w:tc>
        <w:tc>
          <w:tcPr>
            <w:tcW w:w="15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1302F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57</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BA116C">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43A52191">
        <w:tblPrEx>
          <w:tblCellMar>
            <w:top w:w="0" w:type="dxa"/>
            <w:left w:w="108" w:type="dxa"/>
            <w:bottom w:w="0" w:type="dxa"/>
            <w:right w:w="108" w:type="dxa"/>
          </w:tblCellMar>
        </w:tblPrEx>
        <w:trPr>
          <w:trHeight w:val="334" w:hRule="atLeast"/>
        </w:trPr>
        <w:tc>
          <w:tcPr>
            <w:tcW w:w="312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759D23">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本年收入合计</w:t>
            </w:r>
          </w:p>
        </w:tc>
        <w:tc>
          <w:tcPr>
            <w:tcW w:w="18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0B8B5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27</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5801EB">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val="en-US" w:eastAsia="zh-CN" w:bidi="ar"/>
              </w:rPr>
              <w:t>1730.07</w:t>
            </w:r>
          </w:p>
        </w:tc>
        <w:tc>
          <w:tcPr>
            <w:tcW w:w="33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03D2D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本年支出合计</w:t>
            </w:r>
          </w:p>
        </w:tc>
        <w:tc>
          <w:tcPr>
            <w:tcW w:w="15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84BBF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58</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892BA5">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1730.07</w:t>
            </w:r>
          </w:p>
        </w:tc>
      </w:tr>
      <w:tr w14:paraId="451B0D38">
        <w:tblPrEx>
          <w:tblCellMar>
            <w:top w:w="0" w:type="dxa"/>
            <w:left w:w="108" w:type="dxa"/>
            <w:bottom w:w="0" w:type="dxa"/>
            <w:right w:w="108" w:type="dxa"/>
          </w:tblCellMar>
        </w:tblPrEx>
        <w:trPr>
          <w:trHeight w:val="334" w:hRule="atLeast"/>
        </w:trPr>
        <w:tc>
          <w:tcPr>
            <w:tcW w:w="312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0D831D">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使用非财政拨款结余</w:t>
            </w:r>
          </w:p>
        </w:tc>
        <w:tc>
          <w:tcPr>
            <w:tcW w:w="18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53E7A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28</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C2041D">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33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02EDB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结余分配</w:t>
            </w:r>
          </w:p>
        </w:tc>
        <w:tc>
          <w:tcPr>
            <w:tcW w:w="15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4E559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59</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055CA3">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701DD5DA">
        <w:tblPrEx>
          <w:tblCellMar>
            <w:top w:w="0" w:type="dxa"/>
            <w:left w:w="108" w:type="dxa"/>
            <w:bottom w:w="0" w:type="dxa"/>
            <w:right w:w="108" w:type="dxa"/>
          </w:tblCellMar>
        </w:tblPrEx>
        <w:trPr>
          <w:trHeight w:val="334" w:hRule="atLeast"/>
        </w:trPr>
        <w:tc>
          <w:tcPr>
            <w:tcW w:w="312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F18E22">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年初结转和结余</w:t>
            </w:r>
          </w:p>
        </w:tc>
        <w:tc>
          <w:tcPr>
            <w:tcW w:w="18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3D736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29</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A6F515">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0.00</w:t>
            </w:r>
          </w:p>
        </w:tc>
        <w:tc>
          <w:tcPr>
            <w:tcW w:w="33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36CED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年末结转和结余</w:t>
            </w:r>
          </w:p>
        </w:tc>
        <w:tc>
          <w:tcPr>
            <w:tcW w:w="15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9AD89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60</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609F5E">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0.00</w:t>
            </w:r>
          </w:p>
        </w:tc>
      </w:tr>
      <w:tr w14:paraId="65D85A5C">
        <w:tblPrEx>
          <w:tblCellMar>
            <w:top w:w="0" w:type="dxa"/>
            <w:left w:w="108" w:type="dxa"/>
            <w:bottom w:w="0" w:type="dxa"/>
            <w:right w:w="108" w:type="dxa"/>
          </w:tblCellMar>
        </w:tblPrEx>
        <w:trPr>
          <w:trHeight w:val="334" w:hRule="atLeast"/>
        </w:trPr>
        <w:tc>
          <w:tcPr>
            <w:tcW w:w="312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297529">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18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94E14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30</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747355">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33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5FF69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15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0B211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61</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552BAE">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30C95A83">
        <w:tblPrEx>
          <w:tblCellMar>
            <w:top w:w="0" w:type="dxa"/>
            <w:left w:w="108" w:type="dxa"/>
            <w:bottom w:w="0" w:type="dxa"/>
            <w:right w:w="108" w:type="dxa"/>
          </w:tblCellMar>
        </w:tblPrEx>
        <w:trPr>
          <w:trHeight w:val="334" w:hRule="atLeast"/>
        </w:trPr>
        <w:tc>
          <w:tcPr>
            <w:tcW w:w="312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292347">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总计</w:t>
            </w:r>
          </w:p>
        </w:tc>
        <w:tc>
          <w:tcPr>
            <w:tcW w:w="18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872A2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31</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0904E2">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val="en-US" w:eastAsia="zh-CN" w:bidi="ar"/>
              </w:rPr>
              <w:t>1730.07</w:t>
            </w:r>
          </w:p>
        </w:tc>
        <w:tc>
          <w:tcPr>
            <w:tcW w:w="33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99704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总计</w:t>
            </w:r>
          </w:p>
        </w:tc>
        <w:tc>
          <w:tcPr>
            <w:tcW w:w="15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22B2A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62</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FB2709">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val="en-US" w:eastAsia="zh-CN" w:bidi="ar"/>
              </w:rPr>
              <w:t>1730.07</w:t>
            </w:r>
          </w:p>
        </w:tc>
      </w:tr>
    </w:tbl>
    <w:p w14:paraId="22854834">
      <w:pPr>
        <w:rPr>
          <w:rFonts w:ascii="宋体" w:hAnsi="宋体" w:eastAsia="宋体" w:cs="宋体"/>
          <w:color w:val="000000"/>
          <w:kern w:val="0"/>
          <w:sz w:val="30"/>
          <w:szCs w:val="30"/>
          <w:highlight w:val="none"/>
          <w:lang w:bidi="ar"/>
        </w:rPr>
      </w:pPr>
      <w:r>
        <w:rPr>
          <w:rFonts w:hint="eastAsia" w:ascii="宋体" w:hAnsi="宋体" w:eastAsia="宋体" w:cs="宋体"/>
          <w:color w:val="000000"/>
          <w:kern w:val="0"/>
          <w:sz w:val="30"/>
          <w:szCs w:val="30"/>
          <w:highlight w:val="none"/>
          <w:lang w:bidi="ar"/>
        </w:rPr>
        <w:br w:type="page"/>
      </w:r>
    </w:p>
    <w:tbl>
      <w:tblPr>
        <w:tblStyle w:val="7"/>
        <w:tblW w:w="14341" w:type="dxa"/>
        <w:tblInd w:w="-285" w:type="dxa"/>
        <w:tblLayout w:type="fixed"/>
        <w:tblCellMar>
          <w:top w:w="0" w:type="dxa"/>
          <w:left w:w="108" w:type="dxa"/>
          <w:bottom w:w="0" w:type="dxa"/>
          <w:right w:w="108" w:type="dxa"/>
        </w:tblCellMar>
      </w:tblPr>
      <w:tblGrid>
        <w:gridCol w:w="1410"/>
        <w:gridCol w:w="1933"/>
        <w:gridCol w:w="236"/>
        <w:gridCol w:w="236"/>
        <w:gridCol w:w="325"/>
        <w:gridCol w:w="1719"/>
        <w:gridCol w:w="1836"/>
        <w:gridCol w:w="990"/>
        <w:gridCol w:w="1467"/>
        <w:gridCol w:w="1480"/>
        <w:gridCol w:w="1440"/>
        <w:gridCol w:w="1269"/>
      </w:tblGrid>
      <w:tr w14:paraId="4DFF55AA">
        <w:trPr>
          <w:trHeight w:val="471" w:hRule="atLeast"/>
        </w:trPr>
        <w:tc>
          <w:tcPr>
            <w:tcW w:w="14341" w:type="dxa"/>
            <w:gridSpan w:val="12"/>
            <w:tcBorders>
              <w:top w:val="nil"/>
              <w:left w:val="nil"/>
              <w:bottom w:val="nil"/>
              <w:right w:val="nil"/>
            </w:tcBorders>
            <w:shd w:val="clear" w:color="auto" w:fill="auto"/>
            <w:noWrap/>
            <w:vAlign w:val="bottom"/>
          </w:tcPr>
          <w:p w14:paraId="47F09D06">
            <w:pPr>
              <w:keepNext w:val="0"/>
              <w:keepLines w:val="0"/>
              <w:suppressLineNumbers w:val="0"/>
              <w:spacing w:before="0" w:beforeAutospacing="0" w:after="0" w:afterAutospacing="0"/>
              <w:ind w:left="0" w:right="0"/>
              <w:jc w:val="left"/>
              <w:rPr>
                <w:rFonts w:hint="eastAsia" w:ascii="仿宋" w:hAnsi="仿宋" w:eastAsia="仿宋" w:cs="仿宋"/>
                <w:sz w:val="24"/>
                <w:highlight w:val="none"/>
              </w:rPr>
            </w:pPr>
            <w:r>
              <w:rPr>
                <w:rFonts w:hint="eastAsia" w:ascii="仿宋" w:hAnsi="仿宋" w:eastAsia="仿宋" w:cs="仿宋"/>
                <w:sz w:val="24"/>
                <w:highlight w:val="none"/>
              </w:rPr>
              <w:t>表二：收入决算表</w:t>
            </w:r>
          </w:p>
          <w:p w14:paraId="348F6E89">
            <w:pPr>
              <w:keepNext w:val="0"/>
              <w:keepLines w:val="0"/>
              <w:suppressLineNumbers w:val="0"/>
              <w:spacing w:before="0" w:beforeAutospacing="0" w:after="0" w:afterAutospacing="0"/>
              <w:ind w:left="0" w:right="0"/>
              <w:jc w:val="center"/>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收入决算表</w:t>
            </w:r>
          </w:p>
        </w:tc>
      </w:tr>
      <w:tr w14:paraId="058E6279">
        <w:tblPrEx>
          <w:tblCellMar>
            <w:top w:w="0" w:type="dxa"/>
            <w:left w:w="108" w:type="dxa"/>
            <w:bottom w:w="0" w:type="dxa"/>
            <w:right w:w="108" w:type="dxa"/>
          </w:tblCellMar>
        </w:tblPrEx>
        <w:trPr>
          <w:trHeight w:val="317" w:hRule="atLeast"/>
        </w:trPr>
        <w:tc>
          <w:tcPr>
            <w:tcW w:w="3343" w:type="dxa"/>
            <w:gridSpan w:val="2"/>
            <w:tcBorders>
              <w:top w:val="nil"/>
              <w:left w:val="nil"/>
              <w:bottom w:val="nil"/>
              <w:right w:val="nil"/>
            </w:tcBorders>
            <w:shd w:val="clear" w:color="auto" w:fill="auto"/>
            <w:noWrap/>
            <w:vAlign w:val="bottom"/>
          </w:tcPr>
          <w:p w14:paraId="239FC7D2">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6" w:type="dxa"/>
            <w:tcBorders>
              <w:top w:val="nil"/>
              <w:left w:val="nil"/>
              <w:bottom w:val="nil"/>
              <w:right w:val="nil"/>
            </w:tcBorders>
            <w:shd w:val="clear" w:color="auto" w:fill="auto"/>
            <w:noWrap/>
            <w:vAlign w:val="bottom"/>
          </w:tcPr>
          <w:p w14:paraId="5D552A79">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6" w:type="dxa"/>
            <w:tcBorders>
              <w:top w:val="nil"/>
              <w:left w:val="nil"/>
              <w:bottom w:val="nil"/>
              <w:right w:val="nil"/>
            </w:tcBorders>
            <w:shd w:val="clear" w:color="auto" w:fill="auto"/>
            <w:noWrap/>
            <w:vAlign w:val="bottom"/>
          </w:tcPr>
          <w:p w14:paraId="7402EA17">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25" w:type="dxa"/>
            <w:tcBorders>
              <w:top w:val="nil"/>
              <w:left w:val="nil"/>
              <w:bottom w:val="nil"/>
              <w:right w:val="nil"/>
            </w:tcBorders>
            <w:shd w:val="clear" w:color="auto" w:fill="auto"/>
            <w:noWrap/>
            <w:vAlign w:val="bottom"/>
          </w:tcPr>
          <w:p w14:paraId="4FE1743D">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19" w:type="dxa"/>
            <w:tcBorders>
              <w:top w:val="nil"/>
              <w:left w:val="nil"/>
              <w:bottom w:val="nil"/>
              <w:right w:val="nil"/>
            </w:tcBorders>
            <w:shd w:val="clear" w:color="auto" w:fill="auto"/>
            <w:noWrap/>
            <w:vAlign w:val="bottom"/>
          </w:tcPr>
          <w:p w14:paraId="19B9B59B">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836" w:type="dxa"/>
            <w:tcBorders>
              <w:top w:val="nil"/>
              <w:left w:val="nil"/>
              <w:bottom w:val="nil"/>
              <w:right w:val="nil"/>
            </w:tcBorders>
            <w:shd w:val="clear" w:color="auto" w:fill="auto"/>
            <w:noWrap/>
            <w:vAlign w:val="bottom"/>
          </w:tcPr>
          <w:p w14:paraId="37B7D4E5">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990" w:type="dxa"/>
            <w:tcBorders>
              <w:top w:val="nil"/>
              <w:left w:val="nil"/>
              <w:bottom w:val="nil"/>
              <w:right w:val="nil"/>
            </w:tcBorders>
            <w:shd w:val="clear" w:color="auto" w:fill="auto"/>
            <w:noWrap/>
            <w:vAlign w:val="bottom"/>
          </w:tcPr>
          <w:p w14:paraId="3C2F0C77">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67" w:type="dxa"/>
            <w:tcBorders>
              <w:top w:val="nil"/>
              <w:left w:val="nil"/>
              <w:bottom w:val="nil"/>
              <w:right w:val="nil"/>
            </w:tcBorders>
            <w:shd w:val="clear" w:color="auto" w:fill="auto"/>
            <w:noWrap/>
            <w:vAlign w:val="bottom"/>
          </w:tcPr>
          <w:p w14:paraId="1A0607D5">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80" w:type="dxa"/>
            <w:tcBorders>
              <w:top w:val="nil"/>
              <w:left w:val="nil"/>
              <w:bottom w:val="nil"/>
              <w:right w:val="nil"/>
            </w:tcBorders>
            <w:shd w:val="clear" w:color="auto" w:fill="auto"/>
            <w:noWrap/>
            <w:vAlign w:val="bottom"/>
          </w:tcPr>
          <w:p w14:paraId="20969047">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709" w:type="dxa"/>
            <w:gridSpan w:val="2"/>
            <w:tcBorders>
              <w:top w:val="nil"/>
              <w:left w:val="nil"/>
              <w:bottom w:val="nil"/>
              <w:right w:val="nil"/>
            </w:tcBorders>
            <w:shd w:val="clear" w:color="auto" w:fill="auto"/>
            <w:noWrap/>
            <w:vAlign w:val="bottom"/>
          </w:tcPr>
          <w:p w14:paraId="6D25746A">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公开02表</w:t>
            </w:r>
          </w:p>
        </w:tc>
      </w:tr>
      <w:tr w14:paraId="404631CC">
        <w:tblPrEx>
          <w:tblCellMar>
            <w:top w:w="0" w:type="dxa"/>
            <w:left w:w="108" w:type="dxa"/>
            <w:bottom w:w="0" w:type="dxa"/>
            <w:right w:w="108" w:type="dxa"/>
          </w:tblCellMar>
        </w:tblPrEx>
        <w:trPr>
          <w:trHeight w:val="317" w:hRule="atLeast"/>
        </w:trPr>
        <w:tc>
          <w:tcPr>
            <w:tcW w:w="7695" w:type="dxa"/>
            <w:gridSpan w:val="7"/>
            <w:tcBorders>
              <w:top w:val="nil"/>
              <w:left w:val="nil"/>
              <w:bottom w:val="single" w:color="auto" w:sz="4" w:space="0"/>
              <w:right w:val="nil"/>
            </w:tcBorders>
            <w:shd w:val="clear" w:color="auto" w:fill="auto"/>
            <w:noWrap/>
            <w:vAlign w:val="bottom"/>
          </w:tcPr>
          <w:p w14:paraId="2B09BE3B">
            <w:pPr>
              <w:keepNext w:val="0"/>
              <w:keepLines w:val="0"/>
              <w:suppressLineNumbers w:val="0"/>
              <w:spacing w:before="0" w:beforeAutospacing="0" w:after="0" w:afterAutospacing="0"/>
              <w:ind w:left="0" w:right="0"/>
              <w:rPr>
                <w:rFonts w:hint="eastAsia" w:ascii="Arial" w:hAnsi="Arial" w:eastAsia="宋体" w:cs="Arial"/>
                <w:color w:val="000000"/>
                <w:sz w:val="20"/>
                <w:szCs w:val="20"/>
                <w:highlight w:val="none"/>
                <w:lang w:eastAsia="zh-CN"/>
              </w:rPr>
            </w:pPr>
            <w:r>
              <w:rPr>
                <w:rFonts w:hint="eastAsia" w:ascii="宋体" w:hAnsi="宋体" w:eastAsia="宋体" w:cs="宋体"/>
                <w:color w:val="000000"/>
                <w:kern w:val="0"/>
                <w:sz w:val="20"/>
                <w:szCs w:val="20"/>
                <w:highlight w:val="none"/>
                <w:lang w:bidi="ar"/>
              </w:rPr>
              <w:t>部门：</w:t>
            </w:r>
            <w:r>
              <w:rPr>
                <w:rFonts w:hint="eastAsia" w:ascii="宋体" w:hAnsi="宋体" w:eastAsia="宋体" w:cs="宋体"/>
                <w:color w:val="000000"/>
                <w:sz w:val="20"/>
                <w:u w:color="auto"/>
                <w:lang w:eastAsia="zh-CN"/>
              </w:rPr>
              <w:t>广西河池市中国共产党环江毛南族自治县纪律检查委员会</w:t>
            </w:r>
          </w:p>
        </w:tc>
        <w:tc>
          <w:tcPr>
            <w:tcW w:w="990" w:type="dxa"/>
            <w:tcBorders>
              <w:top w:val="nil"/>
              <w:left w:val="nil"/>
              <w:bottom w:val="single" w:color="auto" w:sz="4" w:space="0"/>
              <w:right w:val="nil"/>
            </w:tcBorders>
            <w:shd w:val="clear" w:color="auto" w:fill="auto"/>
            <w:noWrap/>
            <w:vAlign w:val="bottom"/>
          </w:tcPr>
          <w:p w14:paraId="21E4ED7A">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67" w:type="dxa"/>
            <w:tcBorders>
              <w:top w:val="nil"/>
              <w:left w:val="nil"/>
              <w:bottom w:val="single" w:color="auto" w:sz="4" w:space="0"/>
              <w:right w:val="nil"/>
            </w:tcBorders>
            <w:shd w:val="clear" w:color="auto" w:fill="auto"/>
            <w:noWrap/>
            <w:vAlign w:val="bottom"/>
          </w:tcPr>
          <w:p w14:paraId="4C995E55">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80" w:type="dxa"/>
            <w:tcBorders>
              <w:top w:val="nil"/>
              <w:left w:val="nil"/>
              <w:bottom w:val="single" w:color="auto" w:sz="4" w:space="0"/>
              <w:right w:val="nil"/>
            </w:tcBorders>
            <w:shd w:val="clear" w:color="auto" w:fill="auto"/>
            <w:noWrap/>
            <w:vAlign w:val="bottom"/>
          </w:tcPr>
          <w:p w14:paraId="56CA34D2">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709" w:type="dxa"/>
            <w:gridSpan w:val="2"/>
            <w:tcBorders>
              <w:top w:val="nil"/>
              <w:left w:val="nil"/>
              <w:bottom w:val="single" w:color="auto" w:sz="4" w:space="0"/>
            </w:tcBorders>
            <w:shd w:val="clear" w:color="auto" w:fill="auto"/>
            <w:noWrap/>
            <w:vAlign w:val="bottom"/>
          </w:tcPr>
          <w:p w14:paraId="0835FB41">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14:paraId="117853DD">
        <w:tblPrEx>
          <w:tblCellMar>
            <w:top w:w="0" w:type="dxa"/>
            <w:left w:w="108" w:type="dxa"/>
            <w:bottom w:w="0" w:type="dxa"/>
            <w:right w:w="108" w:type="dxa"/>
          </w:tblCellMar>
        </w:tblPrEx>
        <w:trPr>
          <w:trHeight w:val="327" w:hRule="atLeast"/>
        </w:trPr>
        <w:tc>
          <w:tcPr>
            <w:tcW w:w="4140"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4633A12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171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D6E75F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本年收入合计</w:t>
            </w:r>
          </w:p>
        </w:tc>
        <w:tc>
          <w:tcPr>
            <w:tcW w:w="183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C2947D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财政拨款收入</w:t>
            </w:r>
          </w:p>
        </w:tc>
        <w:tc>
          <w:tcPr>
            <w:tcW w:w="99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56889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上级补助收入</w:t>
            </w:r>
          </w:p>
        </w:tc>
        <w:tc>
          <w:tcPr>
            <w:tcW w:w="146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AC8127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事业收入</w:t>
            </w:r>
          </w:p>
        </w:tc>
        <w:tc>
          <w:tcPr>
            <w:tcW w:w="14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6A4452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经营收入</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449D06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附属单位上缴收入</w:t>
            </w:r>
          </w:p>
        </w:tc>
        <w:tc>
          <w:tcPr>
            <w:tcW w:w="126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3C6F02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其他收入</w:t>
            </w:r>
          </w:p>
        </w:tc>
      </w:tr>
      <w:tr w14:paraId="6CE7958D">
        <w:tblPrEx>
          <w:tblCellMar>
            <w:top w:w="0" w:type="dxa"/>
            <w:left w:w="108" w:type="dxa"/>
            <w:bottom w:w="0" w:type="dxa"/>
            <w:right w:w="108" w:type="dxa"/>
          </w:tblCellMar>
        </w:tblPrEx>
        <w:trPr>
          <w:trHeight w:val="327" w:hRule="atLeast"/>
        </w:trPr>
        <w:tc>
          <w:tcPr>
            <w:tcW w:w="14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017849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功能分类科目编码</w:t>
            </w:r>
          </w:p>
        </w:tc>
        <w:tc>
          <w:tcPr>
            <w:tcW w:w="2730" w:type="dxa"/>
            <w:gridSpan w:val="4"/>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650D76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71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738F17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default" w:ascii="宋体" w:hAnsi="宋体" w:eastAsia="宋体" w:cs="宋体"/>
                <w:color w:val="000000"/>
                <w:sz w:val="22"/>
                <w:szCs w:val="22"/>
                <w:highlight w:val="none"/>
              </w:rPr>
            </w:pPr>
          </w:p>
        </w:tc>
        <w:tc>
          <w:tcPr>
            <w:tcW w:w="183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F31511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default" w:ascii="宋体" w:hAnsi="宋体" w:eastAsia="宋体" w:cs="宋体"/>
                <w:color w:val="000000"/>
                <w:sz w:val="22"/>
                <w:szCs w:val="22"/>
                <w:highlight w:val="none"/>
              </w:rPr>
            </w:pPr>
          </w:p>
        </w:tc>
        <w:tc>
          <w:tcPr>
            <w:tcW w:w="9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3ABEF3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default" w:ascii="宋体" w:hAnsi="宋体" w:eastAsia="宋体" w:cs="宋体"/>
                <w:color w:val="000000"/>
                <w:sz w:val="22"/>
                <w:szCs w:val="22"/>
                <w:highlight w:val="none"/>
              </w:rPr>
            </w:pPr>
          </w:p>
        </w:tc>
        <w:tc>
          <w:tcPr>
            <w:tcW w:w="14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FF217C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default" w:ascii="宋体" w:hAnsi="宋体" w:eastAsia="宋体" w:cs="宋体"/>
                <w:color w:val="000000"/>
                <w:sz w:val="22"/>
                <w:szCs w:val="22"/>
                <w:highlight w:val="none"/>
              </w:rPr>
            </w:pPr>
          </w:p>
        </w:tc>
        <w:tc>
          <w:tcPr>
            <w:tcW w:w="1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2FF92E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default" w:ascii="宋体" w:hAnsi="宋体" w:eastAsia="宋体" w:cs="宋体"/>
                <w:color w:val="000000"/>
                <w:sz w:val="22"/>
                <w:szCs w:val="22"/>
                <w:highlight w:val="none"/>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0DEF3F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default" w:ascii="宋体" w:hAnsi="宋体" w:eastAsia="宋体" w:cs="宋体"/>
                <w:color w:val="000000"/>
                <w:sz w:val="22"/>
                <w:szCs w:val="22"/>
                <w:highlight w:val="none"/>
              </w:rPr>
            </w:pPr>
          </w:p>
        </w:tc>
        <w:tc>
          <w:tcPr>
            <w:tcW w:w="12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85C3C5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default" w:ascii="宋体" w:hAnsi="宋体" w:eastAsia="宋体" w:cs="宋体"/>
                <w:color w:val="000000"/>
                <w:sz w:val="22"/>
                <w:szCs w:val="22"/>
                <w:highlight w:val="none"/>
              </w:rPr>
            </w:pPr>
          </w:p>
        </w:tc>
      </w:tr>
      <w:tr w14:paraId="601FC50A">
        <w:tblPrEx>
          <w:tblCellMar>
            <w:top w:w="0" w:type="dxa"/>
            <w:left w:w="108" w:type="dxa"/>
            <w:bottom w:w="0" w:type="dxa"/>
            <w:right w:w="108" w:type="dxa"/>
          </w:tblCellMar>
        </w:tblPrEx>
        <w:trPr>
          <w:trHeight w:val="327" w:hRule="atLeast"/>
        </w:trPr>
        <w:tc>
          <w:tcPr>
            <w:tcW w:w="14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E5384C9">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730" w:type="dxa"/>
            <w:gridSpan w:val="4"/>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BB95F8E">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1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4055439">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83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0FE324B">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9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A4AEE98">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74400C2">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1C56E36">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722B685">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2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1146FE7">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14:paraId="7870608D">
        <w:tblPrEx>
          <w:tblCellMar>
            <w:top w:w="0" w:type="dxa"/>
            <w:left w:w="108" w:type="dxa"/>
            <w:bottom w:w="0" w:type="dxa"/>
            <w:right w:w="108" w:type="dxa"/>
          </w:tblCellMar>
        </w:tblPrEx>
        <w:trPr>
          <w:trHeight w:val="312" w:hRule="atLeast"/>
        </w:trPr>
        <w:tc>
          <w:tcPr>
            <w:tcW w:w="14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80B5245">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730" w:type="dxa"/>
            <w:gridSpan w:val="4"/>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F53DD44">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1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3F0CBB9">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83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F99A725">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9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246454F">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E2A641D">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AADCB57">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2C25CF8">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2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493C8CE">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14:paraId="364F0BE2">
        <w:tblPrEx>
          <w:tblCellMar>
            <w:top w:w="0" w:type="dxa"/>
            <w:left w:w="108" w:type="dxa"/>
            <w:bottom w:w="0" w:type="dxa"/>
            <w:right w:w="108" w:type="dxa"/>
          </w:tblCellMar>
        </w:tblPrEx>
        <w:trPr>
          <w:trHeight w:val="327" w:hRule="atLeast"/>
        </w:trPr>
        <w:tc>
          <w:tcPr>
            <w:tcW w:w="4140"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6C5DE4A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1719" w:type="dxa"/>
            <w:tcBorders>
              <w:top w:val="single" w:color="auto" w:sz="4" w:space="0"/>
              <w:left w:val="single" w:color="auto" w:sz="4" w:space="0"/>
              <w:bottom w:val="single" w:color="auto" w:sz="4" w:space="0"/>
              <w:right w:val="single" w:color="auto" w:sz="4" w:space="0"/>
            </w:tcBorders>
            <w:shd w:val="clear" w:color="auto" w:fill="auto"/>
            <w:vAlign w:val="center"/>
          </w:tcPr>
          <w:p w14:paraId="7DCAE72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1836" w:type="dxa"/>
            <w:tcBorders>
              <w:top w:val="single" w:color="auto" w:sz="4" w:space="0"/>
              <w:left w:val="single" w:color="auto" w:sz="4" w:space="0"/>
              <w:bottom w:val="single" w:color="auto" w:sz="4" w:space="0"/>
              <w:right w:val="single" w:color="auto" w:sz="4" w:space="0"/>
            </w:tcBorders>
            <w:shd w:val="clear" w:color="auto" w:fill="auto"/>
            <w:vAlign w:val="center"/>
          </w:tcPr>
          <w:p w14:paraId="06F2783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14:paraId="5663FA1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14:paraId="2E00209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4</w:t>
            </w:r>
          </w:p>
        </w:tc>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14:paraId="23CA558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5</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14:paraId="213AE49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6</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14:paraId="7621459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7</w:t>
            </w:r>
          </w:p>
        </w:tc>
      </w:tr>
      <w:tr w14:paraId="67A9BC94">
        <w:tblPrEx>
          <w:tblCellMar>
            <w:top w:w="0" w:type="dxa"/>
            <w:left w:w="108" w:type="dxa"/>
            <w:bottom w:w="0" w:type="dxa"/>
            <w:right w:w="108" w:type="dxa"/>
          </w:tblCellMar>
        </w:tblPrEx>
        <w:trPr>
          <w:trHeight w:val="401" w:hRule="atLeast"/>
        </w:trPr>
        <w:tc>
          <w:tcPr>
            <w:tcW w:w="4140"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730C98A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17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42FF18">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1730.07</w:t>
            </w:r>
          </w:p>
        </w:tc>
        <w:tc>
          <w:tcPr>
            <w:tcW w:w="18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6402AF">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1730.07</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B65097">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lang w:val="en-US" w:eastAsia="zh-CN"/>
              </w:rPr>
            </w:pPr>
            <w:r>
              <w:rPr>
                <w:rFonts w:hint="eastAsia" w:ascii="宋体" w:hAnsi="宋体" w:eastAsia="宋体" w:cs="宋体"/>
                <w:b/>
                <w:bCs/>
                <w:color w:val="000000"/>
                <w:sz w:val="22"/>
                <w:szCs w:val="22"/>
                <w:highlight w:val="none"/>
                <w:lang w:val="en-US" w:eastAsia="zh-CN"/>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78FD0A">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6043E8">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DE2006">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A43096">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lang w:val="en-US" w:eastAsia="zh-CN"/>
              </w:rPr>
            </w:pPr>
            <w:r>
              <w:rPr>
                <w:rFonts w:hint="eastAsia" w:ascii="宋体" w:hAnsi="宋体" w:eastAsia="宋体" w:cs="宋体"/>
                <w:b/>
                <w:bCs/>
                <w:color w:val="000000"/>
                <w:sz w:val="22"/>
                <w:szCs w:val="22"/>
                <w:highlight w:val="none"/>
                <w:lang w:val="en-US" w:eastAsia="zh-CN"/>
              </w:rPr>
              <w:t>0.00</w:t>
            </w:r>
          </w:p>
        </w:tc>
      </w:tr>
      <w:tr w14:paraId="26E2D51C">
        <w:tblPrEx>
          <w:tblCellMar>
            <w:top w:w="0" w:type="dxa"/>
            <w:left w:w="108" w:type="dxa"/>
            <w:bottom w:w="0" w:type="dxa"/>
            <w:right w:w="108" w:type="dxa"/>
          </w:tblCellMar>
        </w:tblPrEx>
        <w:trPr>
          <w:trHeight w:val="327" w:hRule="atLeast"/>
        </w:trPr>
        <w:tc>
          <w:tcPr>
            <w:tcW w:w="14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A3436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2011101</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14FA8EA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7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06415F">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bidi="ar"/>
              </w:rPr>
            </w:pPr>
            <w:r>
              <w:rPr>
                <w:rFonts w:hint="eastAsia" w:ascii="宋体" w:hAnsi="宋体" w:eastAsia="宋体" w:cs="宋体"/>
                <w:i w:val="0"/>
                <w:iCs w:val="0"/>
                <w:color w:val="000000"/>
                <w:kern w:val="0"/>
                <w:sz w:val="22"/>
                <w:szCs w:val="22"/>
                <w:u w:val="none"/>
                <w:lang w:val="en-US" w:eastAsia="zh-CN" w:bidi="ar"/>
              </w:rPr>
              <w:t>1172.11</w:t>
            </w:r>
          </w:p>
        </w:tc>
        <w:tc>
          <w:tcPr>
            <w:tcW w:w="18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74A91A">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1172.11</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111796">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234374">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439969">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316B98">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ABAC1C">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72172BCA">
        <w:tblPrEx>
          <w:tblCellMar>
            <w:top w:w="0" w:type="dxa"/>
            <w:left w:w="108" w:type="dxa"/>
            <w:bottom w:w="0" w:type="dxa"/>
            <w:right w:w="108" w:type="dxa"/>
          </w:tblCellMar>
        </w:tblPrEx>
        <w:trPr>
          <w:trHeight w:val="90" w:hRule="atLeast"/>
        </w:trPr>
        <w:tc>
          <w:tcPr>
            <w:tcW w:w="14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D1934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2011103</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18CBF1A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  机关服务</w:t>
            </w:r>
          </w:p>
        </w:tc>
        <w:tc>
          <w:tcPr>
            <w:tcW w:w="17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3DDF83">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2.5</w:t>
            </w:r>
          </w:p>
        </w:tc>
        <w:tc>
          <w:tcPr>
            <w:tcW w:w="18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C843D8">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2.5</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4D0EED">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val="en-US" w:eastAsia="zh-CN"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DB156D">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C317AE">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2A85D3">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972DCF">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0.00</w:t>
            </w:r>
          </w:p>
        </w:tc>
      </w:tr>
      <w:tr w14:paraId="42162429">
        <w:tblPrEx>
          <w:tblCellMar>
            <w:top w:w="0" w:type="dxa"/>
            <w:left w:w="108" w:type="dxa"/>
            <w:bottom w:w="0" w:type="dxa"/>
            <w:right w:w="108" w:type="dxa"/>
          </w:tblCellMar>
        </w:tblPrEx>
        <w:trPr>
          <w:trHeight w:val="327" w:hRule="atLeast"/>
        </w:trPr>
        <w:tc>
          <w:tcPr>
            <w:tcW w:w="14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953E6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2011105</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75429AF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  派驻派出机构</w:t>
            </w:r>
          </w:p>
        </w:tc>
        <w:tc>
          <w:tcPr>
            <w:tcW w:w="17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53DC2F">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4.85</w:t>
            </w:r>
          </w:p>
        </w:tc>
        <w:tc>
          <w:tcPr>
            <w:tcW w:w="18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457BD8">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4.85</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9AE533">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797043">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C992CC">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F8D137">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5ECCB5">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782E65F3">
        <w:tblPrEx>
          <w:tblCellMar>
            <w:top w:w="0" w:type="dxa"/>
            <w:left w:w="108" w:type="dxa"/>
            <w:bottom w:w="0" w:type="dxa"/>
            <w:right w:w="108" w:type="dxa"/>
          </w:tblCellMar>
        </w:tblPrEx>
        <w:trPr>
          <w:trHeight w:val="327" w:hRule="atLeast"/>
        </w:trPr>
        <w:tc>
          <w:tcPr>
            <w:tcW w:w="14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8BA59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2011106</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5E12B20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  巡视工作</w:t>
            </w:r>
          </w:p>
        </w:tc>
        <w:tc>
          <w:tcPr>
            <w:tcW w:w="17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260E92">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bidi="ar"/>
              </w:rPr>
            </w:pPr>
            <w:r>
              <w:rPr>
                <w:rFonts w:hint="eastAsia" w:ascii="宋体" w:hAnsi="宋体" w:eastAsia="宋体" w:cs="宋体"/>
                <w:i w:val="0"/>
                <w:iCs w:val="0"/>
                <w:color w:val="000000"/>
                <w:kern w:val="0"/>
                <w:sz w:val="22"/>
                <w:szCs w:val="22"/>
                <w:u w:val="none"/>
                <w:lang w:val="en-US" w:eastAsia="zh-CN" w:bidi="ar"/>
              </w:rPr>
              <w:t>19</w:t>
            </w:r>
          </w:p>
        </w:tc>
        <w:tc>
          <w:tcPr>
            <w:tcW w:w="18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ACD366">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19</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AB0628">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87995C">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183021">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DD3509">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80D922">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238F759E">
        <w:tblPrEx>
          <w:tblCellMar>
            <w:top w:w="0" w:type="dxa"/>
            <w:left w:w="108" w:type="dxa"/>
            <w:bottom w:w="0" w:type="dxa"/>
            <w:right w:w="108" w:type="dxa"/>
          </w:tblCellMar>
        </w:tblPrEx>
        <w:trPr>
          <w:trHeight w:val="327" w:hRule="atLeast"/>
        </w:trPr>
        <w:tc>
          <w:tcPr>
            <w:tcW w:w="14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0BF09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2011199</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1EF26AF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  其他纪检监察事务支出</w:t>
            </w:r>
          </w:p>
        </w:tc>
        <w:tc>
          <w:tcPr>
            <w:tcW w:w="17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E157A4">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40</w:t>
            </w:r>
          </w:p>
        </w:tc>
        <w:tc>
          <w:tcPr>
            <w:tcW w:w="18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4B1FBB">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40</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DBE505">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F5495C">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9D60D5">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9E7AE0">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6B1C05">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3D0E7FBB">
        <w:tblPrEx>
          <w:tblCellMar>
            <w:top w:w="0" w:type="dxa"/>
            <w:left w:w="108" w:type="dxa"/>
            <w:bottom w:w="0" w:type="dxa"/>
            <w:right w:w="108" w:type="dxa"/>
          </w:tblCellMar>
        </w:tblPrEx>
        <w:trPr>
          <w:trHeight w:val="327" w:hRule="atLeast"/>
        </w:trPr>
        <w:tc>
          <w:tcPr>
            <w:tcW w:w="14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DA8FA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2012999</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02845DC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  其他群众团体事务支出</w:t>
            </w:r>
          </w:p>
        </w:tc>
        <w:tc>
          <w:tcPr>
            <w:tcW w:w="17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65A4E4">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bidi="ar"/>
              </w:rPr>
            </w:pPr>
            <w:r>
              <w:rPr>
                <w:rFonts w:hint="eastAsia" w:ascii="宋体" w:hAnsi="宋体" w:eastAsia="宋体" w:cs="宋体"/>
                <w:i w:val="0"/>
                <w:iCs w:val="0"/>
                <w:color w:val="000000"/>
                <w:kern w:val="0"/>
                <w:sz w:val="22"/>
                <w:szCs w:val="22"/>
                <w:u w:val="none"/>
                <w:lang w:val="en-US" w:eastAsia="zh-CN" w:bidi="ar"/>
              </w:rPr>
              <w:t>16.47</w:t>
            </w:r>
          </w:p>
        </w:tc>
        <w:tc>
          <w:tcPr>
            <w:tcW w:w="18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90E27E">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16.47</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FBD309">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5B8B53">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AEB26F">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603001">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115EA9">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6D0E355E">
        <w:tblPrEx>
          <w:tblCellMar>
            <w:top w:w="0" w:type="dxa"/>
            <w:left w:w="108" w:type="dxa"/>
            <w:bottom w:w="0" w:type="dxa"/>
            <w:right w:w="108" w:type="dxa"/>
          </w:tblCellMar>
        </w:tblPrEx>
        <w:trPr>
          <w:trHeight w:val="327" w:hRule="atLeast"/>
        </w:trPr>
        <w:tc>
          <w:tcPr>
            <w:tcW w:w="14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1062B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2080505</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0F6A7C9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17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205FEF">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bidi="ar"/>
              </w:rPr>
            </w:pPr>
            <w:r>
              <w:rPr>
                <w:rFonts w:hint="eastAsia" w:ascii="宋体" w:hAnsi="宋体" w:eastAsia="宋体" w:cs="宋体"/>
                <w:i w:val="0"/>
                <w:iCs w:val="0"/>
                <w:color w:val="000000"/>
                <w:kern w:val="0"/>
                <w:sz w:val="22"/>
                <w:szCs w:val="22"/>
                <w:u w:val="none"/>
                <w:lang w:val="en-US" w:eastAsia="zh-CN" w:bidi="ar"/>
              </w:rPr>
              <w:t>132.32</w:t>
            </w:r>
          </w:p>
        </w:tc>
        <w:tc>
          <w:tcPr>
            <w:tcW w:w="18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98EBF9">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132.32</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4E71A1">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7C1A8E">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309D93">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EADA98">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15700E">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294FF5B4">
        <w:tblPrEx>
          <w:tblCellMar>
            <w:top w:w="0" w:type="dxa"/>
            <w:left w:w="108" w:type="dxa"/>
            <w:bottom w:w="0" w:type="dxa"/>
            <w:right w:w="108" w:type="dxa"/>
          </w:tblCellMar>
        </w:tblPrEx>
        <w:trPr>
          <w:trHeight w:val="327" w:hRule="atLeast"/>
        </w:trPr>
        <w:tc>
          <w:tcPr>
            <w:tcW w:w="14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6563E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2210201</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2609612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17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EB9756">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bidi="ar"/>
              </w:rPr>
            </w:pPr>
            <w:r>
              <w:rPr>
                <w:rFonts w:hint="eastAsia" w:ascii="宋体" w:hAnsi="宋体" w:eastAsia="宋体" w:cs="宋体"/>
                <w:i w:val="0"/>
                <w:iCs w:val="0"/>
                <w:color w:val="000000"/>
                <w:kern w:val="0"/>
                <w:sz w:val="22"/>
                <w:szCs w:val="22"/>
                <w:u w:val="none"/>
                <w:lang w:val="en-US" w:eastAsia="zh-CN" w:bidi="ar"/>
              </w:rPr>
              <w:t>100.25</w:t>
            </w:r>
          </w:p>
        </w:tc>
        <w:tc>
          <w:tcPr>
            <w:tcW w:w="18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566604">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100.25</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5B99AD">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E5BD12">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D8926E">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B5000B">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43B7CA">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1183AF32">
        <w:tblPrEx>
          <w:tblCellMar>
            <w:top w:w="0" w:type="dxa"/>
            <w:left w:w="108" w:type="dxa"/>
            <w:bottom w:w="0" w:type="dxa"/>
            <w:right w:w="108" w:type="dxa"/>
          </w:tblCellMar>
        </w:tblPrEx>
        <w:trPr>
          <w:trHeight w:val="554" w:hRule="atLeast"/>
        </w:trPr>
        <w:tc>
          <w:tcPr>
            <w:tcW w:w="14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80C95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2299999</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7FF4C2B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17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CA52C8">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bidi="ar"/>
              </w:rPr>
            </w:pPr>
            <w:r>
              <w:rPr>
                <w:rFonts w:hint="eastAsia" w:ascii="宋体" w:hAnsi="宋体" w:eastAsia="宋体" w:cs="宋体"/>
                <w:i w:val="0"/>
                <w:iCs w:val="0"/>
                <w:color w:val="000000"/>
                <w:kern w:val="0"/>
                <w:sz w:val="22"/>
                <w:szCs w:val="22"/>
                <w:u w:val="none"/>
                <w:lang w:val="en-US" w:eastAsia="zh-CN" w:bidi="ar"/>
              </w:rPr>
              <w:t>242.57</w:t>
            </w:r>
          </w:p>
        </w:tc>
        <w:tc>
          <w:tcPr>
            <w:tcW w:w="18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B3001C">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242.57</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8CF54F">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5A5AF8">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00602F">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5153D0">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9A8168">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4F070593">
        <w:tblPrEx>
          <w:tblCellMar>
            <w:top w:w="0" w:type="dxa"/>
            <w:left w:w="108" w:type="dxa"/>
            <w:bottom w:w="0" w:type="dxa"/>
            <w:right w:w="108" w:type="dxa"/>
          </w:tblCellMar>
        </w:tblPrEx>
        <w:trPr>
          <w:trHeight w:val="327" w:hRule="atLeast"/>
        </w:trPr>
        <w:tc>
          <w:tcPr>
            <w:tcW w:w="14341" w:type="dxa"/>
            <w:gridSpan w:val="12"/>
            <w:tcBorders>
              <w:top w:val="single" w:color="auto" w:sz="4" w:space="0"/>
              <w:left w:val="nil"/>
              <w:bottom w:val="nil"/>
              <w:right w:val="nil"/>
            </w:tcBorders>
            <w:shd w:val="clear" w:color="auto" w:fill="auto"/>
            <w:noWrap/>
            <w:vAlign w:val="center"/>
          </w:tcPr>
          <w:p w14:paraId="69627DC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注：本表反映部门本年度取得的各项收入情况。</w:t>
            </w:r>
          </w:p>
        </w:tc>
      </w:tr>
    </w:tbl>
    <w:p w14:paraId="0C75F6BD">
      <w:pPr>
        <w:jc w:val="center"/>
        <w:rPr>
          <w:rFonts w:ascii="仿宋" w:hAnsi="仿宋" w:eastAsia="仿宋" w:cs="仿宋"/>
          <w:sz w:val="24"/>
          <w:highlight w:val="none"/>
        </w:rPr>
      </w:pPr>
    </w:p>
    <w:p w14:paraId="584F255D">
      <w:pPr>
        <w:rPr>
          <w:rFonts w:ascii="仿宋" w:hAnsi="仿宋" w:eastAsia="仿宋" w:cs="仿宋"/>
          <w:sz w:val="24"/>
          <w:highlight w:val="none"/>
        </w:rPr>
      </w:pPr>
      <w:r>
        <w:rPr>
          <w:rFonts w:ascii="仿宋" w:hAnsi="仿宋" w:eastAsia="仿宋" w:cs="仿宋"/>
          <w:sz w:val="24"/>
          <w:highlight w:val="none"/>
        </w:rPr>
        <w:br w:type="page"/>
      </w:r>
    </w:p>
    <w:p w14:paraId="6B7625D7">
      <w:pPr>
        <w:jc w:val="left"/>
        <w:rPr>
          <w:rFonts w:hint="eastAsia" w:ascii="仿宋" w:hAnsi="仿宋" w:eastAsia="仿宋" w:cs="仿宋"/>
          <w:sz w:val="24"/>
          <w:highlight w:val="none"/>
        </w:rPr>
      </w:pPr>
      <w:r>
        <w:rPr>
          <w:rFonts w:hint="eastAsia" w:ascii="仿宋" w:hAnsi="仿宋" w:eastAsia="仿宋" w:cs="仿宋"/>
          <w:sz w:val="24"/>
          <w:highlight w:val="none"/>
        </w:rPr>
        <w:t>表三：支出决算表</w:t>
      </w:r>
    </w:p>
    <w:p w14:paraId="5A460678">
      <w:pPr>
        <w:jc w:val="left"/>
        <w:rPr>
          <w:rFonts w:hint="eastAsia" w:ascii="仿宋" w:hAnsi="仿宋" w:eastAsia="仿宋" w:cs="仿宋"/>
          <w:sz w:val="24"/>
          <w:highlight w:val="none"/>
        </w:rPr>
      </w:pPr>
    </w:p>
    <w:tbl>
      <w:tblPr>
        <w:tblStyle w:val="7"/>
        <w:tblW w:w="14166" w:type="dxa"/>
        <w:tblInd w:w="-90" w:type="dxa"/>
        <w:tblLayout w:type="fixed"/>
        <w:tblCellMar>
          <w:top w:w="0" w:type="dxa"/>
          <w:left w:w="108" w:type="dxa"/>
          <w:bottom w:w="0" w:type="dxa"/>
          <w:right w:w="108" w:type="dxa"/>
        </w:tblCellMar>
      </w:tblPr>
      <w:tblGrid>
        <w:gridCol w:w="1328"/>
        <w:gridCol w:w="240"/>
        <w:gridCol w:w="300"/>
        <w:gridCol w:w="2032"/>
        <w:gridCol w:w="1817"/>
        <w:gridCol w:w="1680"/>
        <w:gridCol w:w="1760"/>
        <w:gridCol w:w="1653"/>
        <w:gridCol w:w="1654"/>
        <w:gridCol w:w="1702"/>
      </w:tblGrid>
      <w:tr w14:paraId="7E86DBFA">
        <w:tblPrEx>
          <w:tblCellMar>
            <w:top w:w="0" w:type="dxa"/>
            <w:left w:w="108" w:type="dxa"/>
            <w:bottom w:w="0" w:type="dxa"/>
            <w:right w:w="108" w:type="dxa"/>
          </w:tblCellMar>
        </w:tblPrEx>
        <w:trPr>
          <w:trHeight w:val="623" w:hRule="atLeast"/>
        </w:trPr>
        <w:tc>
          <w:tcPr>
            <w:tcW w:w="14166" w:type="dxa"/>
            <w:gridSpan w:val="10"/>
            <w:tcBorders>
              <w:top w:val="nil"/>
              <w:left w:val="nil"/>
              <w:bottom w:val="nil"/>
              <w:right w:val="nil"/>
            </w:tcBorders>
            <w:shd w:val="clear" w:color="auto" w:fill="auto"/>
            <w:noWrap/>
            <w:vAlign w:val="center"/>
          </w:tcPr>
          <w:p w14:paraId="084514E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支出决算表</w:t>
            </w:r>
          </w:p>
        </w:tc>
      </w:tr>
      <w:tr w14:paraId="52251F36">
        <w:tblPrEx>
          <w:tblCellMar>
            <w:top w:w="0" w:type="dxa"/>
            <w:left w:w="108" w:type="dxa"/>
            <w:bottom w:w="0" w:type="dxa"/>
            <w:right w:w="108" w:type="dxa"/>
          </w:tblCellMar>
        </w:tblPrEx>
        <w:trPr>
          <w:trHeight w:val="312" w:hRule="atLeast"/>
        </w:trPr>
        <w:tc>
          <w:tcPr>
            <w:tcW w:w="1328" w:type="dxa"/>
            <w:tcBorders>
              <w:top w:val="nil"/>
              <w:left w:val="nil"/>
              <w:bottom w:val="nil"/>
              <w:right w:val="nil"/>
            </w:tcBorders>
            <w:shd w:val="clear" w:color="auto" w:fill="auto"/>
            <w:noWrap/>
            <w:vAlign w:val="center"/>
          </w:tcPr>
          <w:p w14:paraId="24F983FB">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40" w:type="dxa"/>
            <w:tcBorders>
              <w:top w:val="nil"/>
              <w:left w:val="nil"/>
              <w:bottom w:val="nil"/>
              <w:right w:val="nil"/>
            </w:tcBorders>
            <w:shd w:val="clear" w:color="auto" w:fill="auto"/>
            <w:noWrap/>
            <w:vAlign w:val="center"/>
          </w:tcPr>
          <w:p w14:paraId="617EA248">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00" w:type="dxa"/>
            <w:tcBorders>
              <w:top w:val="nil"/>
              <w:left w:val="nil"/>
              <w:bottom w:val="nil"/>
              <w:right w:val="nil"/>
            </w:tcBorders>
            <w:shd w:val="clear" w:color="auto" w:fill="auto"/>
            <w:noWrap/>
            <w:vAlign w:val="center"/>
          </w:tcPr>
          <w:p w14:paraId="6003AA93">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032" w:type="dxa"/>
            <w:tcBorders>
              <w:top w:val="nil"/>
              <w:left w:val="nil"/>
              <w:bottom w:val="nil"/>
              <w:right w:val="nil"/>
            </w:tcBorders>
            <w:shd w:val="clear" w:color="auto" w:fill="auto"/>
            <w:noWrap/>
            <w:vAlign w:val="center"/>
          </w:tcPr>
          <w:p w14:paraId="4A480E2E">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817" w:type="dxa"/>
            <w:tcBorders>
              <w:top w:val="nil"/>
              <w:left w:val="nil"/>
              <w:bottom w:val="nil"/>
              <w:right w:val="nil"/>
            </w:tcBorders>
            <w:shd w:val="clear" w:color="auto" w:fill="auto"/>
            <w:noWrap/>
            <w:vAlign w:val="center"/>
          </w:tcPr>
          <w:p w14:paraId="4286A022">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80" w:type="dxa"/>
            <w:tcBorders>
              <w:top w:val="nil"/>
              <w:left w:val="nil"/>
              <w:bottom w:val="nil"/>
              <w:right w:val="nil"/>
            </w:tcBorders>
            <w:shd w:val="clear" w:color="auto" w:fill="auto"/>
            <w:noWrap/>
            <w:vAlign w:val="center"/>
          </w:tcPr>
          <w:p w14:paraId="44B9E19B">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60" w:type="dxa"/>
            <w:tcBorders>
              <w:top w:val="nil"/>
              <w:left w:val="nil"/>
              <w:bottom w:val="nil"/>
              <w:right w:val="nil"/>
            </w:tcBorders>
            <w:shd w:val="clear" w:color="auto" w:fill="auto"/>
            <w:noWrap/>
            <w:vAlign w:val="center"/>
          </w:tcPr>
          <w:p w14:paraId="12ED49DE">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53" w:type="dxa"/>
            <w:tcBorders>
              <w:top w:val="nil"/>
              <w:left w:val="nil"/>
              <w:bottom w:val="nil"/>
              <w:right w:val="nil"/>
            </w:tcBorders>
            <w:shd w:val="clear" w:color="auto" w:fill="auto"/>
            <w:noWrap/>
            <w:vAlign w:val="center"/>
          </w:tcPr>
          <w:p w14:paraId="0DAEC1DC">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54" w:type="dxa"/>
            <w:tcBorders>
              <w:top w:val="nil"/>
              <w:left w:val="nil"/>
              <w:bottom w:val="nil"/>
              <w:right w:val="nil"/>
            </w:tcBorders>
            <w:shd w:val="clear" w:color="auto" w:fill="auto"/>
            <w:noWrap/>
            <w:vAlign w:val="center"/>
          </w:tcPr>
          <w:p w14:paraId="3E670750">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02" w:type="dxa"/>
            <w:tcBorders>
              <w:top w:val="nil"/>
              <w:left w:val="nil"/>
              <w:bottom w:val="nil"/>
              <w:right w:val="nil"/>
            </w:tcBorders>
            <w:shd w:val="clear" w:color="auto" w:fill="auto"/>
            <w:noWrap/>
            <w:vAlign w:val="center"/>
          </w:tcPr>
          <w:p w14:paraId="392C3136">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公开03表</w:t>
            </w:r>
          </w:p>
        </w:tc>
      </w:tr>
      <w:tr w14:paraId="656CE0B1">
        <w:tblPrEx>
          <w:tblCellMar>
            <w:top w:w="0" w:type="dxa"/>
            <w:left w:w="108" w:type="dxa"/>
            <w:bottom w:w="0" w:type="dxa"/>
            <w:right w:w="108" w:type="dxa"/>
          </w:tblCellMar>
        </w:tblPrEx>
        <w:trPr>
          <w:trHeight w:val="312" w:hRule="atLeast"/>
        </w:trPr>
        <w:tc>
          <w:tcPr>
            <w:tcW w:w="9157" w:type="dxa"/>
            <w:gridSpan w:val="7"/>
            <w:tcBorders>
              <w:top w:val="nil"/>
              <w:left w:val="nil"/>
              <w:bottom w:val="single" w:color="auto" w:sz="4" w:space="0"/>
              <w:right w:val="nil"/>
            </w:tcBorders>
            <w:shd w:val="clear" w:color="auto" w:fill="auto"/>
            <w:noWrap/>
            <w:vAlign w:val="center"/>
          </w:tcPr>
          <w:p w14:paraId="3B3581E4">
            <w:pPr>
              <w:keepNext w:val="0"/>
              <w:keepLines w:val="0"/>
              <w:suppressLineNumbers w:val="0"/>
              <w:spacing w:before="0" w:beforeAutospacing="0" w:after="0" w:afterAutospacing="0"/>
              <w:ind w:left="0" w:right="0"/>
              <w:rPr>
                <w:rFonts w:hint="eastAsia" w:ascii="Arial" w:hAnsi="Arial" w:eastAsia="宋体" w:cs="Arial"/>
                <w:color w:val="000000"/>
                <w:sz w:val="20"/>
                <w:szCs w:val="20"/>
                <w:highlight w:val="none"/>
                <w:lang w:eastAsia="zh-CN"/>
              </w:rPr>
            </w:pPr>
            <w:r>
              <w:rPr>
                <w:rFonts w:hint="eastAsia" w:ascii="宋体" w:hAnsi="宋体" w:eastAsia="宋体" w:cs="宋体"/>
                <w:color w:val="000000"/>
                <w:kern w:val="0"/>
                <w:sz w:val="20"/>
                <w:szCs w:val="20"/>
                <w:highlight w:val="none"/>
                <w:lang w:bidi="ar"/>
              </w:rPr>
              <w:t>部门：</w:t>
            </w:r>
            <w:r>
              <w:rPr>
                <w:rFonts w:hint="eastAsia" w:ascii="宋体" w:hAnsi="宋体" w:eastAsia="宋体" w:cs="宋体"/>
                <w:color w:val="000000"/>
                <w:sz w:val="20"/>
                <w:u w:color="auto"/>
                <w:lang w:eastAsia="zh-CN"/>
              </w:rPr>
              <w:t>广西河池市中国共产党环江毛南族自治县纪律检查委员会</w:t>
            </w:r>
          </w:p>
        </w:tc>
        <w:tc>
          <w:tcPr>
            <w:tcW w:w="1653" w:type="dxa"/>
            <w:tcBorders>
              <w:top w:val="nil"/>
              <w:left w:val="nil"/>
              <w:bottom w:val="single" w:color="auto" w:sz="4" w:space="0"/>
              <w:right w:val="nil"/>
            </w:tcBorders>
            <w:shd w:val="clear" w:color="auto" w:fill="auto"/>
            <w:noWrap/>
            <w:vAlign w:val="center"/>
          </w:tcPr>
          <w:p w14:paraId="20A5A3C0">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54" w:type="dxa"/>
            <w:tcBorders>
              <w:top w:val="nil"/>
              <w:left w:val="nil"/>
              <w:bottom w:val="single" w:color="auto" w:sz="4" w:space="0"/>
              <w:right w:val="nil"/>
            </w:tcBorders>
            <w:shd w:val="clear" w:color="auto" w:fill="auto"/>
            <w:noWrap/>
            <w:vAlign w:val="center"/>
          </w:tcPr>
          <w:p w14:paraId="617FBE98">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02" w:type="dxa"/>
            <w:tcBorders>
              <w:top w:val="nil"/>
              <w:left w:val="nil"/>
              <w:bottom w:val="single" w:color="auto" w:sz="4" w:space="0"/>
              <w:right w:val="nil"/>
            </w:tcBorders>
            <w:shd w:val="clear" w:color="auto" w:fill="auto"/>
            <w:noWrap/>
            <w:vAlign w:val="center"/>
          </w:tcPr>
          <w:p w14:paraId="288F3F27">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14:paraId="7126B6C1">
        <w:tblPrEx>
          <w:tblCellMar>
            <w:top w:w="0" w:type="dxa"/>
            <w:left w:w="108" w:type="dxa"/>
            <w:bottom w:w="0" w:type="dxa"/>
            <w:right w:w="108" w:type="dxa"/>
          </w:tblCellMar>
        </w:tblPrEx>
        <w:trPr>
          <w:trHeight w:val="322" w:hRule="atLeast"/>
        </w:trPr>
        <w:tc>
          <w:tcPr>
            <w:tcW w:w="39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3B2C6E0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18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4EC72C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本年支出合计</w:t>
            </w:r>
          </w:p>
        </w:tc>
        <w:tc>
          <w:tcPr>
            <w:tcW w:w="16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E216CC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基本支出</w:t>
            </w:r>
          </w:p>
        </w:tc>
        <w:tc>
          <w:tcPr>
            <w:tcW w:w="17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88E101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项目支出</w:t>
            </w:r>
          </w:p>
        </w:tc>
        <w:tc>
          <w:tcPr>
            <w:tcW w:w="16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EFA41C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上缴上级支出</w:t>
            </w:r>
          </w:p>
        </w:tc>
        <w:tc>
          <w:tcPr>
            <w:tcW w:w="165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2B3AD3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经营支出</w:t>
            </w:r>
          </w:p>
        </w:tc>
        <w:tc>
          <w:tcPr>
            <w:tcW w:w="170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767AF1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对附属单位补助支出</w:t>
            </w:r>
          </w:p>
        </w:tc>
      </w:tr>
      <w:tr w14:paraId="2F39A082">
        <w:tblPrEx>
          <w:tblCellMar>
            <w:top w:w="0" w:type="dxa"/>
            <w:left w:w="108" w:type="dxa"/>
            <w:bottom w:w="0" w:type="dxa"/>
            <w:right w:w="108" w:type="dxa"/>
          </w:tblCellMar>
        </w:tblPrEx>
        <w:trPr>
          <w:trHeight w:val="322" w:hRule="atLeast"/>
        </w:trPr>
        <w:tc>
          <w:tcPr>
            <w:tcW w:w="156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30B7FA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功能分类科目编码</w:t>
            </w:r>
          </w:p>
        </w:tc>
        <w:tc>
          <w:tcPr>
            <w:tcW w:w="2332"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70FBABD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8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7BE1061">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1852D81">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022E1E4">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2B2E492">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CFF9C5F">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2202A9D">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14:paraId="186711E1">
        <w:tblPrEx>
          <w:tblCellMar>
            <w:top w:w="0" w:type="dxa"/>
            <w:left w:w="108" w:type="dxa"/>
            <w:bottom w:w="0" w:type="dxa"/>
            <w:right w:w="108" w:type="dxa"/>
          </w:tblCellMar>
        </w:tblPrEx>
        <w:trPr>
          <w:trHeight w:val="465" w:hRule="atLeast"/>
        </w:trPr>
        <w:tc>
          <w:tcPr>
            <w:tcW w:w="156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0BE4391">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332"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5118304">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8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43CE37A">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8BEE185">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7620A69">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07E59B1">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EE77E65">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85B7861">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14:paraId="1495ECF5">
        <w:tblPrEx>
          <w:tblCellMar>
            <w:top w:w="0" w:type="dxa"/>
            <w:left w:w="108" w:type="dxa"/>
            <w:bottom w:w="0" w:type="dxa"/>
            <w:right w:w="108" w:type="dxa"/>
          </w:tblCellMar>
        </w:tblPrEx>
        <w:trPr>
          <w:trHeight w:val="312" w:hRule="atLeast"/>
        </w:trPr>
        <w:tc>
          <w:tcPr>
            <w:tcW w:w="156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757B6E9">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332"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B97ABBE">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8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D4EBD78">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F62EFE8">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5760FFD">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4B92781">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17D43BC">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B9E2D6E">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14:paraId="1D456F15">
        <w:tblPrEx>
          <w:tblCellMar>
            <w:top w:w="0" w:type="dxa"/>
            <w:left w:w="108" w:type="dxa"/>
            <w:bottom w:w="0" w:type="dxa"/>
            <w:right w:w="108" w:type="dxa"/>
          </w:tblCellMar>
        </w:tblPrEx>
        <w:trPr>
          <w:trHeight w:val="322" w:hRule="atLeast"/>
        </w:trPr>
        <w:tc>
          <w:tcPr>
            <w:tcW w:w="39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6C921CD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1817" w:type="dxa"/>
            <w:tcBorders>
              <w:top w:val="single" w:color="auto" w:sz="4" w:space="0"/>
              <w:left w:val="single" w:color="auto" w:sz="4" w:space="0"/>
              <w:bottom w:val="single" w:color="auto" w:sz="4" w:space="0"/>
              <w:right w:val="single" w:color="auto" w:sz="4" w:space="0"/>
            </w:tcBorders>
            <w:shd w:val="clear" w:color="auto" w:fill="auto"/>
            <w:vAlign w:val="center"/>
          </w:tcPr>
          <w:p w14:paraId="49A7252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14:paraId="13B74CF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1760" w:type="dxa"/>
            <w:tcBorders>
              <w:top w:val="single" w:color="auto" w:sz="4" w:space="0"/>
              <w:left w:val="single" w:color="auto" w:sz="4" w:space="0"/>
              <w:bottom w:val="single" w:color="auto" w:sz="4" w:space="0"/>
              <w:right w:val="single" w:color="auto" w:sz="4" w:space="0"/>
            </w:tcBorders>
            <w:shd w:val="clear" w:color="auto" w:fill="auto"/>
            <w:vAlign w:val="center"/>
          </w:tcPr>
          <w:p w14:paraId="2ED9379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14:paraId="6A04B34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4</w:t>
            </w:r>
          </w:p>
        </w:tc>
        <w:tc>
          <w:tcPr>
            <w:tcW w:w="1654" w:type="dxa"/>
            <w:tcBorders>
              <w:top w:val="single" w:color="auto" w:sz="4" w:space="0"/>
              <w:left w:val="single" w:color="auto" w:sz="4" w:space="0"/>
              <w:bottom w:val="single" w:color="auto" w:sz="4" w:space="0"/>
              <w:right w:val="single" w:color="auto" w:sz="4" w:space="0"/>
            </w:tcBorders>
            <w:shd w:val="clear" w:color="auto" w:fill="auto"/>
            <w:vAlign w:val="center"/>
          </w:tcPr>
          <w:p w14:paraId="0699835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5</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14:paraId="61411B3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6</w:t>
            </w:r>
          </w:p>
        </w:tc>
      </w:tr>
      <w:tr w14:paraId="72846965">
        <w:tblPrEx>
          <w:tblCellMar>
            <w:top w:w="0" w:type="dxa"/>
            <w:left w:w="108" w:type="dxa"/>
            <w:bottom w:w="0" w:type="dxa"/>
            <w:right w:w="108" w:type="dxa"/>
          </w:tblCellMar>
        </w:tblPrEx>
        <w:trPr>
          <w:trHeight w:val="353" w:hRule="atLeast"/>
        </w:trPr>
        <w:tc>
          <w:tcPr>
            <w:tcW w:w="39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478C26D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18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E7AE7E">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1730.07</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98E9BB">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lang w:val="en-US"/>
              </w:rPr>
            </w:pPr>
            <w:r>
              <w:rPr>
                <w:rFonts w:hint="eastAsia" w:ascii="宋体" w:hAnsi="宋体" w:eastAsia="宋体" w:cs="宋体"/>
                <w:i w:val="0"/>
                <w:iCs w:val="0"/>
                <w:color w:val="000000"/>
                <w:kern w:val="0"/>
                <w:sz w:val="22"/>
                <w:szCs w:val="22"/>
                <w:u w:val="none"/>
                <w:lang w:val="en-US" w:eastAsia="zh-CN" w:bidi="ar"/>
              </w:rPr>
              <w:t>1418.48</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CAC67E">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lang w:val="en-US"/>
              </w:rPr>
            </w:pPr>
            <w:r>
              <w:rPr>
                <w:rFonts w:hint="eastAsia" w:ascii="宋体" w:hAnsi="宋体" w:eastAsia="宋体" w:cs="宋体"/>
                <w:i w:val="0"/>
                <w:iCs w:val="0"/>
                <w:color w:val="000000"/>
                <w:kern w:val="0"/>
                <w:sz w:val="22"/>
                <w:szCs w:val="22"/>
                <w:u w:val="none"/>
                <w:lang w:val="en-US" w:eastAsia="zh-CN" w:bidi="ar"/>
              </w:rPr>
              <w:t>311.59</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2FCDF1">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D7189A">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A59B1D">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default" w:ascii="宋体" w:hAnsi="宋体" w:eastAsia="宋体" w:cs="宋体"/>
                <w:b/>
                <w:bCs/>
                <w:color w:val="000000"/>
                <w:sz w:val="22"/>
                <w:szCs w:val="22"/>
                <w:highlight w:val="none"/>
              </w:rPr>
              <w:t>0.00</w:t>
            </w:r>
          </w:p>
        </w:tc>
      </w:tr>
      <w:tr w14:paraId="5E3DA6D1">
        <w:tblPrEx>
          <w:tblCellMar>
            <w:top w:w="0" w:type="dxa"/>
            <w:left w:w="108" w:type="dxa"/>
            <w:bottom w:w="0" w:type="dxa"/>
            <w:right w:w="108" w:type="dxa"/>
          </w:tblCellMar>
        </w:tblPrEx>
        <w:trPr>
          <w:trHeight w:val="322" w:hRule="atLeast"/>
        </w:trPr>
        <w:tc>
          <w:tcPr>
            <w:tcW w:w="156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BE1DB6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2011101</w:t>
            </w:r>
          </w:p>
        </w:tc>
        <w:tc>
          <w:tcPr>
            <w:tcW w:w="233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10AD5A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8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0374D3">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1172.11</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E384C1">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bidi="ar"/>
              </w:rPr>
            </w:pPr>
            <w:r>
              <w:rPr>
                <w:rFonts w:hint="eastAsia" w:ascii="宋体" w:hAnsi="宋体" w:eastAsia="宋体" w:cs="宋体"/>
                <w:i w:val="0"/>
                <w:iCs w:val="0"/>
                <w:color w:val="000000"/>
                <w:kern w:val="0"/>
                <w:sz w:val="22"/>
                <w:szCs w:val="22"/>
                <w:u w:val="none"/>
                <w:lang w:val="en-US" w:eastAsia="zh-CN" w:bidi="ar"/>
              </w:rPr>
              <w:t>926.87</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955843">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bidi="ar"/>
              </w:rPr>
            </w:pPr>
            <w:r>
              <w:rPr>
                <w:rFonts w:hint="eastAsia" w:ascii="宋体" w:hAnsi="宋体" w:eastAsia="宋体" w:cs="宋体"/>
                <w:i w:val="0"/>
                <w:iCs w:val="0"/>
                <w:color w:val="000000"/>
                <w:kern w:val="0"/>
                <w:sz w:val="22"/>
                <w:szCs w:val="22"/>
                <w:u w:val="none"/>
                <w:lang w:val="en-US" w:eastAsia="zh-CN" w:bidi="ar"/>
              </w:rPr>
              <w:t>245.24</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D4947A">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39306E">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57A8C3">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145A1C5A">
        <w:tblPrEx>
          <w:tblCellMar>
            <w:top w:w="0" w:type="dxa"/>
            <w:left w:w="108" w:type="dxa"/>
            <w:bottom w:w="0" w:type="dxa"/>
            <w:right w:w="108" w:type="dxa"/>
          </w:tblCellMar>
        </w:tblPrEx>
        <w:trPr>
          <w:trHeight w:val="90" w:hRule="atLeast"/>
        </w:trPr>
        <w:tc>
          <w:tcPr>
            <w:tcW w:w="156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5AB3C5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2011103</w:t>
            </w:r>
          </w:p>
        </w:tc>
        <w:tc>
          <w:tcPr>
            <w:tcW w:w="233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48BED2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  机关服务</w:t>
            </w:r>
          </w:p>
        </w:tc>
        <w:tc>
          <w:tcPr>
            <w:tcW w:w="18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C1D6F6">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2.5</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204678">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9C4615">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2.5</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537FD8">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6885DD">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25329B">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319C3F68">
        <w:tblPrEx>
          <w:tblCellMar>
            <w:top w:w="0" w:type="dxa"/>
            <w:left w:w="108" w:type="dxa"/>
            <w:bottom w:w="0" w:type="dxa"/>
            <w:right w:w="108" w:type="dxa"/>
          </w:tblCellMar>
        </w:tblPrEx>
        <w:trPr>
          <w:trHeight w:val="322" w:hRule="atLeast"/>
        </w:trPr>
        <w:tc>
          <w:tcPr>
            <w:tcW w:w="156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23D653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2011105</w:t>
            </w:r>
          </w:p>
        </w:tc>
        <w:tc>
          <w:tcPr>
            <w:tcW w:w="233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C641F2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  派驻派出机构</w:t>
            </w:r>
          </w:p>
        </w:tc>
        <w:tc>
          <w:tcPr>
            <w:tcW w:w="18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AE905A">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4.85</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DAB812">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F796A3">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4.85</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8B9A4D">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757E2E">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20AE6B">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08AE4A22">
        <w:tblPrEx>
          <w:tblCellMar>
            <w:top w:w="0" w:type="dxa"/>
            <w:left w:w="108" w:type="dxa"/>
            <w:bottom w:w="0" w:type="dxa"/>
            <w:right w:w="108" w:type="dxa"/>
          </w:tblCellMar>
        </w:tblPrEx>
        <w:trPr>
          <w:trHeight w:val="322" w:hRule="atLeast"/>
        </w:trPr>
        <w:tc>
          <w:tcPr>
            <w:tcW w:w="156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21F4F6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2011106</w:t>
            </w:r>
          </w:p>
        </w:tc>
        <w:tc>
          <w:tcPr>
            <w:tcW w:w="233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8A48F8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  巡视工作</w:t>
            </w:r>
          </w:p>
        </w:tc>
        <w:tc>
          <w:tcPr>
            <w:tcW w:w="18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5881E0">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19</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62238A">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90D50C">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19</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9CE345">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192404">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3E3ABA">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682F3567">
        <w:tblPrEx>
          <w:tblCellMar>
            <w:top w:w="0" w:type="dxa"/>
            <w:left w:w="108" w:type="dxa"/>
            <w:bottom w:w="0" w:type="dxa"/>
            <w:right w:w="108" w:type="dxa"/>
          </w:tblCellMar>
        </w:tblPrEx>
        <w:trPr>
          <w:trHeight w:val="322" w:hRule="atLeast"/>
        </w:trPr>
        <w:tc>
          <w:tcPr>
            <w:tcW w:w="156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8A3DB5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2011199</w:t>
            </w:r>
          </w:p>
        </w:tc>
        <w:tc>
          <w:tcPr>
            <w:tcW w:w="233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419645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  其他纪检监察事务支出</w:t>
            </w:r>
          </w:p>
        </w:tc>
        <w:tc>
          <w:tcPr>
            <w:tcW w:w="18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F25A6E">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40</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95B036">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BD8A47">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40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2AB0F7">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E8A4A0">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5943B4">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7E5F5CDC">
        <w:tblPrEx>
          <w:tblCellMar>
            <w:top w:w="0" w:type="dxa"/>
            <w:left w:w="108" w:type="dxa"/>
            <w:bottom w:w="0" w:type="dxa"/>
            <w:right w:w="108" w:type="dxa"/>
          </w:tblCellMar>
        </w:tblPrEx>
        <w:trPr>
          <w:trHeight w:val="322" w:hRule="atLeast"/>
        </w:trPr>
        <w:tc>
          <w:tcPr>
            <w:tcW w:w="156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4E754E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2012999</w:t>
            </w:r>
          </w:p>
        </w:tc>
        <w:tc>
          <w:tcPr>
            <w:tcW w:w="233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3E6312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  其他群众团体事务支出</w:t>
            </w:r>
          </w:p>
        </w:tc>
        <w:tc>
          <w:tcPr>
            <w:tcW w:w="18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28CEB4">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16.47</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DA0D59">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16.47</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F503D8">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7570B6">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2DE68A">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6C0FEE">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0510BD73">
        <w:tblPrEx>
          <w:tblCellMar>
            <w:top w:w="0" w:type="dxa"/>
            <w:left w:w="108" w:type="dxa"/>
            <w:bottom w:w="0" w:type="dxa"/>
            <w:right w:w="108" w:type="dxa"/>
          </w:tblCellMar>
        </w:tblPrEx>
        <w:trPr>
          <w:trHeight w:val="322" w:hRule="atLeast"/>
        </w:trPr>
        <w:tc>
          <w:tcPr>
            <w:tcW w:w="156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1D9069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2080505</w:t>
            </w:r>
          </w:p>
        </w:tc>
        <w:tc>
          <w:tcPr>
            <w:tcW w:w="233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58DFF4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18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F1D1D2">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132.32</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A2A097">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132.32</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B313D6">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1EC4E5">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D08CF6">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FA63DD">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58523494">
        <w:tblPrEx>
          <w:tblCellMar>
            <w:top w:w="0" w:type="dxa"/>
            <w:left w:w="108" w:type="dxa"/>
            <w:bottom w:w="0" w:type="dxa"/>
            <w:right w:w="108" w:type="dxa"/>
          </w:tblCellMar>
        </w:tblPrEx>
        <w:trPr>
          <w:trHeight w:val="322" w:hRule="atLeast"/>
        </w:trPr>
        <w:tc>
          <w:tcPr>
            <w:tcW w:w="156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E29F82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2210201</w:t>
            </w:r>
          </w:p>
        </w:tc>
        <w:tc>
          <w:tcPr>
            <w:tcW w:w="233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5A953F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18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E4C13D">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100.25</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81CD2C">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100.25</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D32D44">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0FAE98">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4FC670">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BC562E">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4C27CC2E">
        <w:tblPrEx>
          <w:tblCellMar>
            <w:top w:w="0" w:type="dxa"/>
            <w:left w:w="108" w:type="dxa"/>
            <w:bottom w:w="0" w:type="dxa"/>
            <w:right w:w="108" w:type="dxa"/>
          </w:tblCellMar>
        </w:tblPrEx>
        <w:trPr>
          <w:trHeight w:val="322" w:hRule="atLeast"/>
        </w:trPr>
        <w:tc>
          <w:tcPr>
            <w:tcW w:w="156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6FA2C5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2299999</w:t>
            </w:r>
          </w:p>
        </w:tc>
        <w:tc>
          <w:tcPr>
            <w:tcW w:w="233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01C888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18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1E62AA">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242.57</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99FED5">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242.57</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C27F14">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306F53">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EAD46C">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75A10D">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4B175CD1">
        <w:tblPrEx>
          <w:tblCellMar>
            <w:top w:w="0" w:type="dxa"/>
            <w:left w:w="108" w:type="dxa"/>
            <w:bottom w:w="0" w:type="dxa"/>
            <w:right w:w="108" w:type="dxa"/>
          </w:tblCellMar>
        </w:tblPrEx>
        <w:trPr>
          <w:trHeight w:val="322" w:hRule="atLeast"/>
        </w:trPr>
        <w:tc>
          <w:tcPr>
            <w:tcW w:w="14166" w:type="dxa"/>
            <w:gridSpan w:val="10"/>
            <w:tcBorders>
              <w:top w:val="single" w:color="auto" w:sz="4" w:space="0"/>
              <w:left w:val="nil"/>
              <w:bottom w:val="nil"/>
              <w:right w:val="nil"/>
            </w:tcBorders>
            <w:shd w:val="clear" w:color="auto" w:fill="auto"/>
            <w:noWrap/>
            <w:vAlign w:val="center"/>
          </w:tcPr>
          <w:p w14:paraId="193F86B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注：本表反映部门本年度各项支出情况。</w:t>
            </w:r>
          </w:p>
        </w:tc>
      </w:tr>
    </w:tbl>
    <w:p w14:paraId="78993012">
      <w:pPr>
        <w:rPr>
          <w:rFonts w:ascii="仿宋" w:hAnsi="仿宋" w:eastAsia="仿宋" w:cs="仿宋"/>
          <w:sz w:val="24"/>
          <w:highlight w:val="none"/>
        </w:rPr>
      </w:pPr>
      <w:r>
        <w:rPr>
          <w:rFonts w:ascii="仿宋" w:hAnsi="仿宋" w:eastAsia="仿宋" w:cs="仿宋"/>
          <w:sz w:val="24"/>
          <w:highlight w:val="none"/>
        </w:rPr>
        <w:br w:type="page"/>
      </w:r>
    </w:p>
    <w:p w14:paraId="31A1D6B5">
      <w:pPr>
        <w:jc w:val="left"/>
        <w:rPr>
          <w:rFonts w:hint="eastAsia" w:ascii="仿宋" w:hAnsi="仿宋" w:eastAsia="仿宋" w:cs="仿宋"/>
          <w:sz w:val="24"/>
          <w:highlight w:val="none"/>
        </w:rPr>
      </w:pPr>
      <w:r>
        <w:rPr>
          <w:rFonts w:hint="eastAsia" w:ascii="仿宋" w:hAnsi="仿宋" w:eastAsia="仿宋" w:cs="仿宋"/>
          <w:sz w:val="24"/>
          <w:highlight w:val="none"/>
        </w:rPr>
        <w:t>表四：财政拨款收入支出决算总表</w:t>
      </w:r>
    </w:p>
    <w:tbl>
      <w:tblPr>
        <w:tblStyle w:val="7"/>
        <w:tblpPr w:leftFromText="180" w:rightFromText="180" w:vertAnchor="text" w:horzAnchor="page" w:tblpX="481" w:tblpY="49"/>
        <w:tblOverlap w:val="never"/>
        <w:tblW w:w="5319" w:type="pct"/>
        <w:tblInd w:w="0" w:type="dxa"/>
        <w:tblLayout w:type="fixed"/>
        <w:tblCellMar>
          <w:top w:w="0" w:type="dxa"/>
          <w:left w:w="108" w:type="dxa"/>
          <w:bottom w:w="0" w:type="dxa"/>
          <w:right w:w="108" w:type="dxa"/>
        </w:tblCellMar>
      </w:tblPr>
      <w:tblGrid>
        <w:gridCol w:w="3217"/>
        <w:gridCol w:w="443"/>
        <w:gridCol w:w="1649"/>
        <w:gridCol w:w="2971"/>
        <w:gridCol w:w="615"/>
        <w:gridCol w:w="1020"/>
        <w:gridCol w:w="1468"/>
        <w:gridCol w:w="1803"/>
        <w:gridCol w:w="1894"/>
      </w:tblGrid>
      <w:tr w14:paraId="3994934E">
        <w:tblPrEx>
          <w:tblCellMar>
            <w:top w:w="0" w:type="dxa"/>
            <w:left w:w="108" w:type="dxa"/>
            <w:bottom w:w="0" w:type="dxa"/>
            <w:right w:w="108" w:type="dxa"/>
          </w:tblCellMar>
        </w:tblPrEx>
        <w:trPr>
          <w:trHeight w:val="520" w:hRule="atLeast"/>
        </w:trPr>
        <w:tc>
          <w:tcPr>
            <w:tcW w:w="5000" w:type="pct"/>
            <w:gridSpan w:val="9"/>
            <w:tcBorders>
              <w:top w:val="nil"/>
              <w:left w:val="nil"/>
              <w:bottom w:val="nil"/>
              <w:right w:val="nil"/>
            </w:tcBorders>
            <w:shd w:val="clear" w:color="auto" w:fill="auto"/>
            <w:noWrap/>
            <w:vAlign w:val="bottom"/>
          </w:tcPr>
          <w:p w14:paraId="5A35A469">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财政拨款收入支出决算总表</w:t>
            </w:r>
          </w:p>
        </w:tc>
      </w:tr>
      <w:tr w14:paraId="16C248C6">
        <w:tblPrEx>
          <w:tblCellMar>
            <w:top w:w="0" w:type="dxa"/>
            <w:left w:w="108" w:type="dxa"/>
            <w:bottom w:w="0" w:type="dxa"/>
            <w:right w:w="108" w:type="dxa"/>
          </w:tblCellMar>
        </w:tblPrEx>
        <w:trPr>
          <w:trHeight w:val="260" w:hRule="atLeast"/>
        </w:trPr>
        <w:tc>
          <w:tcPr>
            <w:tcW w:w="1066" w:type="pct"/>
            <w:tcBorders>
              <w:top w:val="nil"/>
              <w:left w:val="nil"/>
              <w:bottom w:val="nil"/>
              <w:right w:val="nil"/>
            </w:tcBorders>
            <w:shd w:val="clear" w:color="auto" w:fill="auto"/>
            <w:noWrap/>
            <w:vAlign w:val="bottom"/>
          </w:tcPr>
          <w:p w14:paraId="1B27452B">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6" w:type="pct"/>
            <w:tcBorders>
              <w:top w:val="nil"/>
              <w:left w:val="nil"/>
              <w:bottom w:val="nil"/>
              <w:right w:val="nil"/>
            </w:tcBorders>
            <w:shd w:val="clear" w:color="auto" w:fill="auto"/>
            <w:noWrap/>
            <w:vAlign w:val="bottom"/>
          </w:tcPr>
          <w:p w14:paraId="7DB94B04">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546" w:type="pct"/>
            <w:tcBorders>
              <w:top w:val="nil"/>
              <w:left w:val="nil"/>
              <w:bottom w:val="nil"/>
              <w:right w:val="nil"/>
            </w:tcBorders>
            <w:shd w:val="clear" w:color="auto" w:fill="auto"/>
            <w:noWrap/>
            <w:vAlign w:val="bottom"/>
          </w:tcPr>
          <w:p w14:paraId="474B1D2C">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985" w:type="pct"/>
            <w:tcBorders>
              <w:top w:val="nil"/>
              <w:left w:val="nil"/>
              <w:bottom w:val="nil"/>
              <w:right w:val="nil"/>
            </w:tcBorders>
            <w:shd w:val="clear" w:color="auto" w:fill="auto"/>
            <w:noWrap/>
            <w:vAlign w:val="bottom"/>
          </w:tcPr>
          <w:p w14:paraId="17730FF3">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03" w:type="pct"/>
            <w:tcBorders>
              <w:top w:val="nil"/>
              <w:left w:val="nil"/>
              <w:bottom w:val="nil"/>
              <w:right w:val="nil"/>
            </w:tcBorders>
            <w:shd w:val="clear" w:color="auto" w:fill="auto"/>
            <w:noWrap/>
            <w:vAlign w:val="bottom"/>
          </w:tcPr>
          <w:p w14:paraId="26D71E8C">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38" w:type="pct"/>
            <w:tcBorders>
              <w:top w:val="nil"/>
              <w:left w:val="nil"/>
              <w:bottom w:val="nil"/>
              <w:right w:val="nil"/>
            </w:tcBorders>
            <w:shd w:val="clear" w:color="auto" w:fill="auto"/>
            <w:noWrap/>
            <w:vAlign w:val="bottom"/>
          </w:tcPr>
          <w:p w14:paraId="1DA2D4CC">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486" w:type="pct"/>
            <w:tcBorders>
              <w:top w:val="nil"/>
              <w:left w:val="nil"/>
              <w:bottom w:val="nil"/>
              <w:right w:val="nil"/>
            </w:tcBorders>
            <w:shd w:val="clear" w:color="auto" w:fill="auto"/>
            <w:noWrap/>
            <w:vAlign w:val="bottom"/>
          </w:tcPr>
          <w:p w14:paraId="4CDC956D">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597" w:type="pct"/>
            <w:tcBorders>
              <w:top w:val="nil"/>
              <w:left w:val="nil"/>
              <w:bottom w:val="nil"/>
              <w:right w:val="nil"/>
            </w:tcBorders>
            <w:shd w:val="clear" w:color="auto" w:fill="auto"/>
            <w:noWrap/>
            <w:vAlign w:val="bottom"/>
          </w:tcPr>
          <w:p w14:paraId="0C8FAC63">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627" w:type="pct"/>
            <w:tcBorders>
              <w:top w:val="nil"/>
              <w:left w:val="nil"/>
              <w:bottom w:val="nil"/>
              <w:right w:val="nil"/>
            </w:tcBorders>
            <w:shd w:val="clear" w:color="auto" w:fill="auto"/>
            <w:noWrap/>
            <w:vAlign w:val="bottom"/>
          </w:tcPr>
          <w:p w14:paraId="40D0AB81">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公开04表</w:t>
            </w:r>
          </w:p>
        </w:tc>
      </w:tr>
      <w:tr w14:paraId="3EA3F24B">
        <w:tblPrEx>
          <w:tblCellMar>
            <w:top w:w="0" w:type="dxa"/>
            <w:left w:w="108" w:type="dxa"/>
            <w:bottom w:w="0" w:type="dxa"/>
            <w:right w:w="108" w:type="dxa"/>
          </w:tblCellMar>
        </w:tblPrEx>
        <w:trPr>
          <w:trHeight w:val="260" w:hRule="atLeast"/>
        </w:trPr>
        <w:tc>
          <w:tcPr>
            <w:tcW w:w="3287" w:type="pct"/>
            <w:gridSpan w:val="6"/>
            <w:tcBorders>
              <w:top w:val="nil"/>
              <w:left w:val="nil"/>
              <w:bottom w:val="single" w:color="auto" w:sz="4" w:space="0"/>
              <w:right w:val="nil"/>
            </w:tcBorders>
            <w:shd w:val="clear" w:color="auto" w:fill="auto"/>
            <w:noWrap/>
            <w:vAlign w:val="bottom"/>
          </w:tcPr>
          <w:p w14:paraId="02A9BA2C">
            <w:pPr>
              <w:keepNext w:val="0"/>
              <w:keepLines w:val="0"/>
              <w:suppressLineNumbers w:val="0"/>
              <w:spacing w:before="0" w:beforeAutospacing="0" w:after="0" w:afterAutospacing="0"/>
              <w:ind w:left="0" w:right="0"/>
              <w:rPr>
                <w:rFonts w:hint="eastAsia" w:ascii="Arial" w:hAnsi="Arial" w:eastAsia="宋体" w:cs="Arial"/>
                <w:color w:val="000000"/>
                <w:sz w:val="20"/>
                <w:szCs w:val="20"/>
                <w:highlight w:val="none"/>
                <w:lang w:eastAsia="zh-CN"/>
              </w:rPr>
            </w:pPr>
            <w:r>
              <w:rPr>
                <w:rFonts w:hint="eastAsia" w:ascii="宋体" w:hAnsi="宋体" w:eastAsia="宋体" w:cs="宋体"/>
                <w:color w:val="000000"/>
                <w:kern w:val="0"/>
                <w:sz w:val="20"/>
                <w:szCs w:val="20"/>
                <w:highlight w:val="none"/>
                <w:lang w:bidi="ar"/>
              </w:rPr>
              <w:t>部门：</w:t>
            </w:r>
            <w:r>
              <w:rPr>
                <w:rFonts w:hint="eastAsia" w:ascii="宋体" w:hAnsi="宋体" w:eastAsia="宋体" w:cs="宋体"/>
                <w:color w:val="000000"/>
                <w:sz w:val="20"/>
                <w:u w:color="auto"/>
                <w:lang w:eastAsia="zh-CN"/>
              </w:rPr>
              <w:t>广西河池市中国共产党环江毛南族自治县纪律检查委员会</w:t>
            </w:r>
          </w:p>
        </w:tc>
        <w:tc>
          <w:tcPr>
            <w:tcW w:w="486" w:type="pct"/>
            <w:tcBorders>
              <w:top w:val="nil"/>
              <w:left w:val="nil"/>
              <w:bottom w:val="single" w:color="auto" w:sz="4" w:space="0"/>
              <w:right w:val="nil"/>
            </w:tcBorders>
            <w:shd w:val="clear" w:color="auto" w:fill="auto"/>
            <w:noWrap/>
            <w:vAlign w:val="bottom"/>
          </w:tcPr>
          <w:p w14:paraId="622CCC35">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597" w:type="pct"/>
            <w:tcBorders>
              <w:top w:val="nil"/>
              <w:left w:val="nil"/>
              <w:bottom w:val="single" w:color="auto" w:sz="4" w:space="0"/>
              <w:right w:val="nil"/>
            </w:tcBorders>
            <w:shd w:val="clear" w:color="auto" w:fill="auto"/>
            <w:noWrap/>
            <w:vAlign w:val="bottom"/>
          </w:tcPr>
          <w:p w14:paraId="0B968A1D">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627" w:type="pct"/>
            <w:tcBorders>
              <w:top w:val="nil"/>
              <w:left w:val="nil"/>
              <w:bottom w:val="single" w:color="auto" w:sz="4" w:space="0"/>
              <w:right w:val="nil"/>
            </w:tcBorders>
            <w:shd w:val="clear" w:color="auto" w:fill="auto"/>
            <w:noWrap/>
            <w:vAlign w:val="bottom"/>
          </w:tcPr>
          <w:p w14:paraId="43AAB6B7">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14:paraId="3D53FA94">
        <w:tblPrEx>
          <w:tblCellMar>
            <w:top w:w="0" w:type="dxa"/>
            <w:left w:w="108" w:type="dxa"/>
            <w:bottom w:w="0" w:type="dxa"/>
            <w:right w:w="108" w:type="dxa"/>
          </w:tblCellMar>
        </w:tblPrEx>
        <w:trPr>
          <w:trHeight w:val="268" w:hRule="atLeast"/>
        </w:trPr>
        <w:tc>
          <w:tcPr>
            <w:tcW w:w="1760"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2BD42E3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收     入</w:t>
            </w:r>
          </w:p>
        </w:tc>
        <w:tc>
          <w:tcPr>
            <w:tcW w:w="3239" w:type="pct"/>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52262C0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支     出</w:t>
            </w:r>
          </w:p>
        </w:tc>
      </w:tr>
      <w:tr w14:paraId="654130D6">
        <w:tblPrEx>
          <w:tblCellMar>
            <w:top w:w="0" w:type="dxa"/>
            <w:left w:w="108" w:type="dxa"/>
            <w:bottom w:w="0" w:type="dxa"/>
            <w:right w:w="108" w:type="dxa"/>
          </w:tblCellMar>
        </w:tblPrEx>
        <w:trPr>
          <w:trHeight w:val="312" w:hRule="atLeast"/>
        </w:trPr>
        <w:tc>
          <w:tcPr>
            <w:tcW w:w="106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4CB353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14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970BF1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行次</w:t>
            </w:r>
          </w:p>
        </w:tc>
        <w:tc>
          <w:tcPr>
            <w:tcW w:w="54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5A4FAE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金额</w:t>
            </w:r>
          </w:p>
        </w:tc>
        <w:tc>
          <w:tcPr>
            <w:tcW w:w="98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ECE980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20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C6767B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行次</w:t>
            </w:r>
          </w:p>
        </w:tc>
        <w:tc>
          <w:tcPr>
            <w:tcW w:w="338"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7A8F038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48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23417F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一般公共预算财政拨款</w:t>
            </w:r>
          </w:p>
        </w:tc>
        <w:tc>
          <w:tcPr>
            <w:tcW w:w="59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C77B73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政府性基金预算财政拨款</w:t>
            </w:r>
          </w:p>
        </w:tc>
        <w:tc>
          <w:tcPr>
            <w:tcW w:w="62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960632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国有资本经营预算财政拨款</w:t>
            </w:r>
          </w:p>
        </w:tc>
      </w:tr>
      <w:tr w14:paraId="71252276">
        <w:tblPrEx>
          <w:tblCellMar>
            <w:top w:w="0" w:type="dxa"/>
            <w:left w:w="108" w:type="dxa"/>
            <w:bottom w:w="0" w:type="dxa"/>
            <w:right w:w="108" w:type="dxa"/>
          </w:tblCellMar>
        </w:tblPrEx>
        <w:trPr>
          <w:trHeight w:val="391" w:hRule="atLeast"/>
        </w:trPr>
        <w:tc>
          <w:tcPr>
            <w:tcW w:w="106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3E75BEA">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5E8675F">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54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0E4E30F">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98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3EB198B">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0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9F219D2">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38"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1FF0828">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48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75EB21F">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59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5FD2AAF">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62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BCA62B5">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14:paraId="038E0E1A">
        <w:tblPrEx>
          <w:tblCellMar>
            <w:top w:w="0" w:type="dxa"/>
            <w:left w:w="108" w:type="dxa"/>
            <w:bottom w:w="0" w:type="dxa"/>
            <w:right w:w="108" w:type="dxa"/>
          </w:tblCellMar>
        </w:tblPrEx>
        <w:trPr>
          <w:trHeight w:val="268" w:hRule="atLeast"/>
        </w:trPr>
        <w:tc>
          <w:tcPr>
            <w:tcW w:w="10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AE1C4F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1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226CBC5">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5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5D59B4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98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923C44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2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D5B032B">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369881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4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6E4E8C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c>
          <w:tcPr>
            <w:tcW w:w="59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E52526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4</w:t>
            </w:r>
          </w:p>
        </w:tc>
        <w:tc>
          <w:tcPr>
            <w:tcW w:w="62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F03CD3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5</w:t>
            </w:r>
          </w:p>
        </w:tc>
      </w:tr>
      <w:tr w14:paraId="3E242194">
        <w:tblPrEx>
          <w:tblCellMar>
            <w:top w:w="0" w:type="dxa"/>
            <w:left w:w="108" w:type="dxa"/>
            <w:bottom w:w="0" w:type="dxa"/>
            <w:right w:w="108" w:type="dxa"/>
          </w:tblCellMar>
        </w:tblPrEx>
        <w:trPr>
          <w:trHeight w:val="268" w:hRule="atLeast"/>
        </w:trPr>
        <w:tc>
          <w:tcPr>
            <w:tcW w:w="10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C52660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一、一般公共预算财政拨款</w:t>
            </w:r>
          </w:p>
        </w:tc>
        <w:tc>
          <w:tcPr>
            <w:tcW w:w="1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C90844D">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w:t>
            </w:r>
          </w:p>
        </w:tc>
        <w:tc>
          <w:tcPr>
            <w:tcW w:w="5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C9FED38">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1730.07</w:t>
            </w:r>
          </w:p>
        </w:tc>
        <w:tc>
          <w:tcPr>
            <w:tcW w:w="98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EB3A72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一、一般公共服务支出</w:t>
            </w:r>
          </w:p>
        </w:tc>
        <w:tc>
          <w:tcPr>
            <w:tcW w:w="2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ABACDD4">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33</w:t>
            </w:r>
          </w:p>
        </w:tc>
        <w:tc>
          <w:tcPr>
            <w:tcW w:w="3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B4EE9D0">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val="en-US" w:eastAsia="zh-CN" w:bidi="ar"/>
              </w:rPr>
              <w:t>1254.93</w:t>
            </w:r>
          </w:p>
        </w:tc>
        <w:tc>
          <w:tcPr>
            <w:tcW w:w="4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E20321B">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val="en-US" w:eastAsia="zh-CN" w:bidi="ar"/>
              </w:rPr>
              <w:t>1254.93</w:t>
            </w:r>
          </w:p>
        </w:tc>
        <w:tc>
          <w:tcPr>
            <w:tcW w:w="59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7B4BC52">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7F4CFDA">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7E6190AE">
        <w:tblPrEx>
          <w:tblCellMar>
            <w:top w:w="0" w:type="dxa"/>
            <w:left w:w="108" w:type="dxa"/>
            <w:bottom w:w="0" w:type="dxa"/>
            <w:right w:w="108" w:type="dxa"/>
          </w:tblCellMar>
        </w:tblPrEx>
        <w:trPr>
          <w:trHeight w:val="268" w:hRule="atLeast"/>
        </w:trPr>
        <w:tc>
          <w:tcPr>
            <w:tcW w:w="10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D31BB1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二、政府性基金预算财政拨款</w:t>
            </w:r>
          </w:p>
        </w:tc>
        <w:tc>
          <w:tcPr>
            <w:tcW w:w="1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3FBFD7E">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w:t>
            </w:r>
          </w:p>
        </w:tc>
        <w:tc>
          <w:tcPr>
            <w:tcW w:w="5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A5511D4">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98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8F8D1B0">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二、外交支出</w:t>
            </w:r>
          </w:p>
        </w:tc>
        <w:tc>
          <w:tcPr>
            <w:tcW w:w="2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2B8F25D">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34</w:t>
            </w:r>
          </w:p>
        </w:tc>
        <w:tc>
          <w:tcPr>
            <w:tcW w:w="3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A84C37F">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4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F249F50">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59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96D506F">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39504B9">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7C9D1A02">
        <w:tblPrEx>
          <w:tblCellMar>
            <w:top w:w="0" w:type="dxa"/>
            <w:left w:w="108" w:type="dxa"/>
            <w:bottom w:w="0" w:type="dxa"/>
            <w:right w:w="108" w:type="dxa"/>
          </w:tblCellMar>
        </w:tblPrEx>
        <w:trPr>
          <w:trHeight w:val="268" w:hRule="atLeast"/>
        </w:trPr>
        <w:tc>
          <w:tcPr>
            <w:tcW w:w="10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4239FC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三、国有资本经营预算财政拨款</w:t>
            </w:r>
          </w:p>
        </w:tc>
        <w:tc>
          <w:tcPr>
            <w:tcW w:w="1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42EDA9F">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3</w:t>
            </w:r>
          </w:p>
        </w:tc>
        <w:tc>
          <w:tcPr>
            <w:tcW w:w="5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4282912">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98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8C83C0A">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三、国防支出</w:t>
            </w:r>
          </w:p>
        </w:tc>
        <w:tc>
          <w:tcPr>
            <w:tcW w:w="2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AEC6188">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35</w:t>
            </w:r>
          </w:p>
        </w:tc>
        <w:tc>
          <w:tcPr>
            <w:tcW w:w="3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78D04B2">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4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568B1FA">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59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337B855">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340B863">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2400DEF9">
        <w:tblPrEx>
          <w:tblCellMar>
            <w:top w:w="0" w:type="dxa"/>
            <w:left w:w="108" w:type="dxa"/>
            <w:bottom w:w="0" w:type="dxa"/>
            <w:right w:w="108" w:type="dxa"/>
          </w:tblCellMar>
        </w:tblPrEx>
        <w:trPr>
          <w:trHeight w:val="268" w:hRule="atLeast"/>
        </w:trPr>
        <w:tc>
          <w:tcPr>
            <w:tcW w:w="10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58D49D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1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2A6ADDD">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4</w:t>
            </w:r>
          </w:p>
        </w:tc>
        <w:tc>
          <w:tcPr>
            <w:tcW w:w="5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5903880">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98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38C50F2">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四、公共安全支出</w:t>
            </w:r>
          </w:p>
        </w:tc>
        <w:tc>
          <w:tcPr>
            <w:tcW w:w="2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80F7428">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36</w:t>
            </w:r>
          </w:p>
        </w:tc>
        <w:tc>
          <w:tcPr>
            <w:tcW w:w="3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106B2D9">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4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8F2DF4D">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59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09B4D0A">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C117286">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014B9B1E">
        <w:tblPrEx>
          <w:tblCellMar>
            <w:top w:w="0" w:type="dxa"/>
            <w:left w:w="108" w:type="dxa"/>
            <w:bottom w:w="0" w:type="dxa"/>
            <w:right w:w="108" w:type="dxa"/>
          </w:tblCellMar>
        </w:tblPrEx>
        <w:trPr>
          <w:trHeight w:val="268" w:hRule="atLeast"/>
        </w:trPr>
        <w:tc>
          <w:tcPr>
            <w:tcW w:w="10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B22688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1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53D380A">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5</w:t>
            </w:r>
          </w:p>
        </w:tc>
        <w:tc>
          <w:tcPr>
            <w:tcW w:w="5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4AF755C">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98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19242AC">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五、教育支出</w:t>
            </w:r>
          </w:p>
        </w:tc>
        <w:tc>
          <w:tcPr>
            <w:tcW w:w="2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239E688">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37</w:t>
            </w:r>
          </w:p>
        </w:tc>
        <w:tc>
          <w:tcPr>
            <w:tcW w:w="3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F9C5E4D">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val="en-US" w:eastAsia="zh-CN" w:bidi="ar"/>
              </w:rPr>
              <w:t>0.00</w:t>
            </w:r>
          </w:p>
        </w:tc>
        <w:tc>
          <w:tcPr>
            <w:tcW w:w="4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4557F88">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val="en-US" w:eastAsia="zh-CN" w:bidi="ar"/>
              </w:rPr>
              <w:t>0.00</w:t>
            </w:r>
          </w:p>
        </w:tc>
        <w:tc>
          <w:tcPr>
            <w:tcW w:w="59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83BF354">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5977F85">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4C59083B">
        <w:tblPrEx>
          <w:tblCellMar>
            <w:top w:w="0" w:type="dxa"/>
            <w:left w:w="108" w:type="dxa"/>
            <w:bottom w:w="0" w:type="dxa"/>
            <w:right w:w="108" w:type="dxa"/>
          </w:tblCellMar>
        </w:tblPrEx>
        <w:trPr>
          <w:trHeight w:val="268" w:hRule="atLeast"/>
        </w:trPr>
        <w:tc>
          <w:tcPr>
            <w:tcW w:w="10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9799FC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1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6FA1320">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6</w:t>
            </w:r>
          </w:p>
        </w:tc>
        <w:tc>
          <w:tcPr>
            <w:tcW w:w="5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A44B7B3">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98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2EC19D3">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六、科学技术支出</w:t>
            </w:r>
          </w:p>
        </w:tc>
        <w:tc>
          <w:tcPr>
            <w:tcW w:w="2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22EA920">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38</w:t>
            </w:r>
          </w:p>
        </w:tc>
        <w:tc>
          <w:tcPr>
            <w:tcW w:w="3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A31C63E">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4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D4F5B08">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59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0DD07E1">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B681BAD">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7AB8F96D">
        <w:tblPrEx>
          <w:tblCellMar>
            <w:top w:w="0" w:type="dxa"/>
            <w:left w:w="108" w:type="dxa"/>
            <w:bottom w:w="0" w:type="dxa"/>
            <w:right w:w="108" w:type="dxa"/>
          </w:tblCellMar>
        </w:tblPrEx>
        <w:trPr>
          <w:trHeight w:val="268" w:hRule="atLeast"/>
        </w:trPr>
        <w:tc>
          <w:tcPr>
            <w:tcW w:w="10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9CD777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1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264623B">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7</w:t>
            </w:r>
          </w:p>
        </w:tc>
        <w:tc>
          <w:tcPr>
            <w:tcW w:w="5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71CCD23">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98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C39A1B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七、文化旅游体育与传媒支出</w:t>
            </w:r>
          </w:p>
        </w:tc>
        <w:tc>
          <w:tcPr>
            <w:tcW w:w="2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0A6EBAC">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39</w:t>
            </w:r>
          </w:p>
        </w:tc>
        <w:tc>
          <w:tcPr>
            <w:tcW w:w="3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B97028B">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4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0BF406B">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59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D7AA1FA">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D5CDB2D">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708E13DA">
        <w:tblPrEx>
          <w:tblCellMar>
            <w:top w:w="0" w:type="dxa"/>
            <w:left w:w="108" w:type="dxa"/>
            <w:bottom w:w="0" w:type="dxa"/>
            <w:right w:w="108" w:type="dxa"/>
          </w:tblCellMar>
        </w:tblPrEx>
        <w:trPr>
          <w:trHeight w:val="268" w:hRule="atLeast"/>
        </w:trPr>
        <w:tc>
          <w:tcPr>
            <w:tcW w:w="10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436AF7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1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EFD4004">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8</w:t>
            </w:r>
          </w:p>
        </w:tc>
        <w:tc>
          <w:tcPr>
            <w:tcW w:w="5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456DD89">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98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E090F0E">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八、社会保障和就业支出</w:t>
            </w:r>
          </w:p>
        </w:tc>
        <w:tc>
          <w:tcPr>
            <w:tcW w:w="2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B585558">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40</w:t>
            </w:r>
          </w:p>
        </w:tc>
        <w:tc>
          <w:tcPr>
            <w:tcW w:w="3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DBB2628">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val="en-US" w:eastAsia="zh-CN" w:bidi="ar"/>
              </w:rPr>
              <w:t>132.32</w:t>
            </w:r>
          </w:p>
        </w:tc>
        <w:tc>
          <w:tcPr>
            <w:tcW w:w="4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0BF796C">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val="en-US" w:eastAsia="zh-CN" w:bidi="ar"/>
              </w:rPr>
              <w:t>132.32</w:t>
            </w:r>
          </w:p>
        </w:tc>
        <w:tc>
          <w:tcPr>
            <w:tcW w:w="59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EF27085">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D880DBD">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307FC88D">
        <w:tblPrEx>
          <w:tblCellMar>
            <w:top w:w="0" w:type="dxa"/>
            <w:left w:w="108" w:type="dxa"/>
            <w:bottom w:w="0" w:type="dxa"/>
            <w:right w:w="108" w:type="dxa"/>
          </w:tblCellMar>
        </w:tblPrEx>
        <w:trPr>
          <w:trHeight w:val="268" w:hRule="atLeast"/>
        </w:trPr>
        <w:tc>
          <w:tcPr>
            <w:tcW w:w="10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B0FEC9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1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F48FF99">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9</w:t>
            </w:r>
          </w:p>
        </w:tc>
        <w:tc>
          <w:tcPr>
            <w:tcW w:w="5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E68CF07">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98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6B8D9E6">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九、卫生健康支出</w:t>
            </w:r>
          </w:p>
        </w:tc>
        <w:tc>
          <w:tcPr>
            <w:tcW w:w="2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9BCCAA9">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41</w:t>
            </w:r>
          </w:p>
        </w:tc>
        <w:tc>
          <w:tcPr>
            <w:tcW w:w="3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7AD3D26">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val="en-US" w:eastAsia="zh-CN" w:bidi="ar"/>
              </w:rPr>
              <w:t>0.00</w:t>
            </w:r>
          </w:p>
        </w:tc>
        <w:tc>
          <w:tcPr>
            <w:tcW w:w="4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567CAB8">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val="en-US" w:eastAsia="zh-CN" w:bidi="ar"/>
              </w:rPr>
              <w:t>0.00</w:t>
            </w:r>
          </w:p>
        </w:tc>
        <w:tc>
          <w:tcPr>
            <w:tcW w:w="59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02ED552">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7CFCF79">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2A1B9346">
        <w:tblPrEx>
          <w:tblCellMar>
            <w:top w:w="0" w:type="dxa"/>
            <w:left w:w="108" w:type="dxa"/>
            <w:bottom w:w="0" w:type="dxa"/>
            <w:right w:w="108" w:type="dxa"/>
          </w:tblCellMar>
        </w:tblPrEx>
        <w:trPr>
          <w:trHeight w:val="268" w:hRule="atLeast"/>
        </w:trPr>
        <w:tc>
          <w:tcPr>
            <w:tcW w:w="10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9AA556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1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D12146B">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10</w:t>
            </w:r>
          </w:p>
        </w:tc>
        <w:tc>
          <w:tcPr>
            <w:tcW w:w="5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1175A4D">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98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C5F7F66">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十、节能环保支出</w:t>
            </w:r>
          </w:p>
        </w:tc>
        <w:tc>
          <w:tcPr>
            <w:tcW w:w="2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5F83CED">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42</w:t>
            </w:r>
          </w:p>
        </w:tc>
        <w:tc>
          <w:tcPr>
            <w:tcW w:w="3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DFBF681">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4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D32D257">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59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B02D3ED">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EBB9154">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1DB5FF35">
        <w:tblPrEx>
          <w:tblCellMar>
            <w:top w:w="0" w:type="dxa"/>
            <w:left w:w="108" w:type="dxa"/>
            <w:bottom w:w="0" w:type="dxa"/>
            <w:right w:w="108" w:type="dxa"/>
          </w:tblCellMar>
        </w:tblPrEx>
        <w:trPr>
          <w:trHeight w:val="268" w:hRule="atLeast"/>
        </w:trPr>
        <w:tc>
          <w:tcPr>
            <w:tcW w:w="10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C5E3F8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1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174C112">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11</w:t>
            </w:r>
          </w:p>
        </w:tc>
        <w:tc>
          <w:tcPr>
            <w:tcW w:w="5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6E8E6F9">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98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7C58069">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十一、城乡社区支出</w:t>
            </w:r>
          </w:p>
        </w:tc>
        <w:tc>
          <w:tcPr>
            <w:tcW w:w="2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15D20E0">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43</w:t>
            </w:r>
          </w:p>
        </w:tc>
        <w:tc>
          <w:tcPr>
            <w:tcW w:w="3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16A7EEF">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4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9972B68">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59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C28F81C">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C2B99F8">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11431C96">
        <w:tblPrEx>
          <w:tblCellMar>
            <w:top w:w="0" w:type="dxa"/>
            <w:left w:w="108" w:type="dxa"/>
            <w:bottom w:w="0" w:type="dxa"/>
            <w:right w:w="108" w:type="dxa"/>
          </w:tblCellMar>
        </w:tblPrEx>
        <w:trPr>
          <w:trHeight w:val="268" w:hRule="atLeast"/>
        </w:trPr>
        <w:tc>
          <w:tcPr>
            <w:tcW w:w="10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6AFE7A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1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CBA2210">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12</w:t>
            </w:r>
          </w:p>
        </w:tc>
        <w:tc>
          <w:tcPr>
            <w:tcW w:w="5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0BBF807">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98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7D6C81E">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十二、农林水支出</w:t>
            </w:r>
          </w:p>
        </w:tc>
        <w:tc>
          <w:tcPr>
            <w:tcW w:w="2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71C94E0">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44</w:t>
            </w:r>
          </w:p>
        </w:tc>
        <w:tc>
          <w:tcPr>
            <w:tcW w:w="3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7F3A94F">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val="en-US" w:eastAsia="zh-CN" w:bidi="ar"/>
              </w:rPr>
              <w:t>0.00</w:t>
            </w:r>
          </w:p>
        </w:tc>
        <w:tc>
          <w:tcPr>
            <w:tcW w:w="4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8411894">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val="en-US" w:eastAsia="zh-CN" w:bidi="ar"/>
              </w:rPr>
              <w:t>0.00</w:t>
            </w:r>
          </w:p>
        </w:tc>
        <w:tc>
          <w:tcPr>
            <w:tcW w:w="59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1CBFC69">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8AEB372">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5CA43FB2">
        <w:tblPrEx>
          <w:tblCellMar>
            <w:top w:w="0" w:type="dxa"/>
            <w:left w:w="108" w:type="dxa"/>
            <w:bottom w:w="0" w:type="dxa"/>
            <w:right w:w="108" w:type="dxa"/>
          </w:tblCellMar>
        </w:tblPrEx>
        <w:trPr>
          <w:trHeight w:val="268" w:hRule="atLeast"/>
        </w:trPr>
        <w:tc>
          <w:tcPr>
            <w:tcW w:w="10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736681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1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DF06D11">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13</w:t>
            </w:r>
          </w:p>
        </w:tc>
        <w:tc>
          <w:tcPr>
            <w:tcW w:w="5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D8F8798">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98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09C9D6D">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十三、交通运输支出</w:t>
            </w:r>
          </w:p>
        </w:tc>
        <w:tc>
          <w:tcPr>
            <w:tcW w:w="2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1AECC27">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45</w:t>
            </w:r>
          </w:p>
        </w:tc>
        <w:tc>
          <w:tcPr>
            <w:tcW w:w="3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9E41C18">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4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6EECFAC">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59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E8B8F73">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889A37A">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1F317DFD">
        <w:tblPrEx>
          <w:tblCellMar>
            <w:top w:w="0" w:type="dxa"/>
            <w:left w:w="108" w:type="dxa"/>
            <w:bottom w:w="0" w:type="dxa"/>
            <w:right w:w="108" w:type="dxa"/>
          </w:tblCellMar>
        </w:tblPrEx>
        <w:trPr>
          <w:trHeight w:val="268" w:hRule="atLeast"/>
        </w:trPr>
        <w:tc>
          <w:tcPr>
            <w:tcW w:w="10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E46C19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1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D689976">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14</w:t>
            </w:r>
          </w:p>
        </w:tc>
        <w:tc>
          <w:tcPr>
            <w:tcW w:w="5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92821E3">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98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5D96FB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十四、资源勘探工业信息等支出</w:t>
            </w:r>
          </w:p>
        </w:tc>
        <w:tc>
          <w:tcPr>
            <w:tcW w:w="2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126A33E">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46</w:t>
            </w:r>
          </w:p>
        </w:tc>
        <w:tc>
          <w:tcPr>
            <w:tcW w:w="3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65A34E1">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4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35D131D">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59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D48CA27">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AF593A9">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689DE460">
        <w:tblPrEx>
          <w:tblCellMar>
            <w:top w:w="0" w:type="dxa"/>
            <w:left w:w="108" w:type="dxa"/>
            <w:bottom w:w="0" w:type="dxa"/>
            <w:right w:w="108" w:type="dxa"/>
          </w:tblCellMar>
        </w:tblPrEx>
        <w:trPr>
          <w:trHeight w:val="268" w:hRule="atLeast"/>
        </w:trPr>
        <w:tc>
          <w:tcPr>
            <w:tcW w:w="10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CF7579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1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016F6A4">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15</w:t>
            </w:r>
          </w:p>
        </w:tc>
        <w:tc>
          <w:tcPr>
            <w:tcW w:w="5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556EE8C">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98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F649B6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十五、商业服务业等支出</w:t>
            </w:r>
          </w:p>
        </w:tc>
        <w:tc>
          <w:tcPr>
            <w:tcW w:w="2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35BF609">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47</w:t>
            </w:r>
          </w:p>
        </w:tc>
        <w:tc>
          <w:tcPr>
            <w:tcW w:w="3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4209CE2">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4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4ECFBF3">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59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8B5A75A">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070D3E0">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699A5934">
        <w:tblPrEx>
          <w:tblCellMar>
            <w:top w:w="0" w:type="dxa"/>
            <w:left w:w="108" w:type="dxa"/>
            <w:bottom w:w="0" w:type="dxa"/>
            <w:right w:w="108" w:type="dxa"/>
          </w:tblCellMar>
        </w:tblPrEx>
        <w:trPr>
          <w:trHeight w:val="268" w:hRule="atLeast"/>
        </w:trPr>
        <w:tc>
          <w:tcPr>
            <w:tcW w:w="10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B9C29F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1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C51824D">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16</w:t>
            </w:r>
          </w:p>
        </w:tc>
        <w:tc>
          <w:tcPr>
            <w:tcW w:w="5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89F185A">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98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AFA0987">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十六、金融支出</w:t>
            </w:r>
          </w:p>
        </w:tc>
        <w:tc>
          <w:tcPr>
            <w:tcW w:w="2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C846084">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48</w:t>
            </w:r>
          </w:p>
        </w:tc>
        <w:tc>
          <w:tcPr>
            <w:tcW w:w="3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DC0AC56">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4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E5A09DA">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59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8A4FE77">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C427351">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2E0E3F28">
        <w:tblPrEx>
          <w:tblCellMar>
            <w:top w:w="0" w:type="dxa"/>
            <w:left w:w="108" w:type="dxa"/>
            <w:bottom w:w="0" w:type="dxa"/>
            <w:right w:w="108" w:type="dxa"/>
          </w:tblCellMar>
        </w:tblPrEx>
        <w:trPr>
          <w:trHeight w:val="268" w:hRule="atLeast"/>
        </w:trPr>
        <w:tc>
          <w:tcPr>
            <w:tcW w:w="10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49B71C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1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40108F9">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17</w:t>
            </w:r>
          </w:p>
        </w:tc>
        <w:tc>
          <w:tcPr>
            <w:tcW w:w="5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46D3A60">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98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0CCA0E2">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十七、援助其他地区支出</w:t>
            </w:r>
          </w:p>
        </w:tc>
        <w:tc>
          <w:tcPr>
            <w:tcW w:w="2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0D5CBEF">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49</w:t>
            </w:r>
          </w:p>
        </w:tc>
        <w:tc>
          <w:tcPr>
            <w:tcW w:w="3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88291CB">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4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AABD07A">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59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745C062">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011AA25">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4BEDF6E3">
        <w:tblPrEx>
          <w:tblCellMar>
            <w:top w:w="0" w:type="dxa"/>
            <w:left w:w="108" w:type="dxa"/>
            <w:bottom w:w="0" w:type="dxa"/>
            <w:right w:w="108" w:type="dxa"/>
          </w:tblCellMar>
        </w:tblPrEx>
        <w:trPr>
          <w:trHeight w:val="268" w:hRule="atLeast"/>
        </w:trPr>
        <w:tc>
          <w:tcPr>
            <w:tcW w:w="10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4C2027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1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7680911">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18</w:t>
            </w:r>
          </w:p>
        </w:tc>
        <w:tc>
          <w:tcPr>
            <w:tcW w:w="5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D0D61F6">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98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B4962E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十八、自然资源海洋气象等支出</w:t>
            </w:r>
          </w:p>
        </w:tc>
        <w:tc>
          <w:tcPr>
            <w:tcW w:w="2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F1FFB37">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50</w:t>
            </w:r>
          </w:p>
        </w:tc>
        <w:tc>
          <w:tcPr>
            <w:tcW w:w="3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4381EFA">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4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092A3A0">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59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2F7BBCD">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284A47C">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3818644E">
        <w:tblPrEx>
          <w:tblCellMar>
            <w:top w:w="0" w:type="dxa"/>
            <w:left w:w="108" w:type="dxa"/>
            <w:bottom w:w="0" w:type="dxa"/>
            <w:right w:w="108" w:type="dxa"/>
          </w:tblCellMar>
        </w:tblPrEx>
        <w:trPr>
          <w:trHeight w:val="268" w:hRule="atLeast"/>
        </w:trPr>
        <w:tc>
          <w:tcPr>
            <w:tcW w:w="10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7CC6DE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1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14721B7">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19</w:t>
            </w:r>
          </w:p>
        </w:tc>
        <w:tc>
          <w:tcPr>
            <w:tcW w:w="5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05B1EF2">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98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3D9ECBC">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十九、住房保障支出</w:t>
            </w:r>
          </w:p>
        </w:tc>
        <w:tc>
          <w:tcPr>
            <w:tcW w:w="2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C77D722">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51</w:t>
            </w:r>
          </w:p>
        </w:tc>
        <w:tc>
          <w:tcPr>
            <w:tcW w:w="3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3C7B38C">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val="en-US" w:eastAsia="zh-CN" w:bidi="ar"/>
              </w:rPr>
              <w:t>100.25</w:t>
            </w:r>
          </w:p>
        </w:tc>
        <w:tc>
          <w:tcPr>
            <w:tcW w:w="4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85090B5">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val="en-US" w:eastAsia="zh-CN" w:bidi="ar"/>
              </w:rPr>
              <w:t>100.25</w:t>
            </w:r>
          </w:p>
        </w:tc>
        <w:tc>
          <w:tcPr>
            <w:tcW w:w="59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EEBFA41">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B259F1C">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7F788A80">
        <w:tblPrEx>
          <w:tblCellMar>
            <w:top w:w="0" w:type="dxa"/>
            <w:left w:w="108" w:type="dxa"/>
            <w:bottom w:w="0" w:type="dxa"/>
            <w:right w:w="108" w:type="dxa"/>
          </w:tblCellMar>
        </w:tblPrEx>
        <w:trPr>
          <w:trHeight w:val="268" w:hRule="atLeast"/>
        </w:trPr>
        <w:tc>
          <w:tcPr>
            <w:tcW w:w="10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345C58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1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41DED73">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20</w:t>
            </w:r>
          </w:p>
        </w:tc>
        <w:tc>
          <w:tcPr>
            <w:tcW w:w="5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A4FB45B">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98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539EF2C">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二十、粮油物资储备支出</w:t>
            </w:r>
          </w:p>
        </w:tc>
        <w:tc>
          <w:tcPr>
            <w:tcW w:w="2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68BA03F">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52</w:t>
            </w:r>
          </w:p>
        </w:tc>
        <w:tc>
          <w:tcPr>
            <w:tcW w:w="3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479D8E2">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4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DA4388E">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59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58653D1">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D6B9EB7">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30C3DF4A">
        <w:tblPrEx>
          <w:tblCellMar>
            <w:top w:w="0" w:type="dxa"/>
            <w:left w:w="108" w:type="dxa"/>
            <w:bottom w:w="0" w:type="dxa"/>
            <w:right w:w="108" w:type="dxa"/>
          </w:tblCellMar>
        </w:tblPrEx>
        <w:trPr>
          <w:trHeight w:val="268" w:hRule="atLeast"/>
        </w:trPr>
        <w:tc>
          <w:tcPr>
            <w:tcW w:w="10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E8334B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1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076B90F">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21</w:t>
            </w:r>
          </w:p>
        </w:tc>
        <w:tc>
          <w:tcPr>
            <w:tcW w:w="5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71D4CE0">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98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CC12A2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二十一、国有资本经营预算支出</w:t>
            </w:r>
          </w:p>
        </w:tc>
        <w:tc>
          <w:tcPr>
            <w:tcW w:w="2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43E8910">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53</w:t>
            </w:r>
          </w:p>
        </w:tc>
        <w:tc>
          <w:tcPr>
            <w:tcW w:w="3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431D844">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4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3FC7483">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59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3AD5FC0">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9552386">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3ECC08A9">
        <w:tblPrEx>
          <w:tblCellMar>
            <w:top w:w="0" w:type="dxa"/>
            <w:left w:w="108" w:type="dxa"/>
            <w:bottom w:w="0" w:type="dxa"/>
            <w:right w:w="108" w:type="dxa"/>
          </w:tblCellMar>
        </w:tblPrEx>
        <w:trPr>
          <w:trHeight w:val="268" w:hRule="atLeast"/>
        </w:trPr>
        <w:tc>
          <w:tcPr>
            <w:tcW w:w="10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734C18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1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7F46321">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22</w:t>
            </w:r>
          </w:p>
        </w:tc>
        <w:tc>
          <w:tcPr>
            <w:tcW w:w="5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F64F14F">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98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75D5BC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二十二、灾害防治及应急管理支出</w:t>
            </w:r>
          </w:p>
        </w:tc>
        <w:tc>
          <w:tcPr>
            <w:tcW w:w="2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EFA786E">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54</w:t>
            </w:r>
          </w:p>
        </w:tc>
        <w:tc>
          <w:tcPr>
            <w:tcW w:w="3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48D34A6">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4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9BA57E6">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59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35CD510">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D6E73D9">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29BFFC2B">
        <w:tblPrEx>
          <w:tblCellMar>
            <w:top w:w="0" w:type="dxa"/>
            <w:left w:w="108" w:type="dxa"/>
            <w:bottom w:w="0" w:type="dxa"/>
            <w:right w:w="108" w:type="dxa"/>
          </w:tblCellMar>
        </w:tblPrEx>
        <w:trPr>
          <w:trHeight w:val="268" w:hRule="atLeast"/>
        </w:trPr>
        <w:tc>
          <w:tcPr>
            <w:tcW w:w="10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2B5550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1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D2CBEBF">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23</w:t>
            </w:r>
          </w:p>
        </w:tc>
        <w:tc>
          <w:tcPr>
            <w:tcW w:w="5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28444C8">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98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666B4B6">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二十三、其他支出</w:t>
            </w:r>
          </w:p>
        </w:tc>
        <w:tc>
          <w:tcPr>
            <w:tcW w:w="2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4E642DE">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55</w:t>
            </w:r>
          </w:p>
        </w:tc>
        <w:tc>
          <w:tcPr>
            <w:tcW w:w="3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5163E57">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val="en-US" w:eastAsia="zh-CN" w:bidi="ar"/>
              </w:rPr>
              <w:t>242.57</w:t>
            </w:r>
          </w:p>
        </w:tc>
        <w:tc>
          <w:tcPr>
            <w:tcW w:w="4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D30B270">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val="en-US" w:eastAsia="zh-CN" w:bidi="ar"/>
              </w:rPr>
              <w:t>242.57</w:t>
            </w:r>
          </w:p>
        </w:tc>
        <w:tc>
          <w:tcPr>
            <w:tcW w:w="59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F745DF4">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CCB87AA">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526433C5">
        <w:tblPrEx>
          <w:tblCellMar>
            <w:top w:w="0" w:type="dxa"/>
            <w:left w:w="108" w:type="dxa"/>
            <w:bottom w:w="0" w:type="dxa"/>
            <w:right w:w="108" w:type="dxa"/>
          </w:tblCellMar>
        </w:tblPrEx>
        <w:trPr>
          <w:trHeight w:val="268" w:hRule="atLeast"/>
        </w:trPr>
        <w:tc>
          <w:tcPr>
            <w:tcW w:w="10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131319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1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EA8C2F0">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24</w:t>
            </w:r>
          </w:p>
        </w:tc>
        <w:tc>
          <w:tcPr>
            <w:tcW w:w="5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C9EB48D">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98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5C3588D">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二十四、债务还本支出</w:t>
            </w:r>
          </w:p>
        </w:tc>
        <w:tc>
          <w:tcPr>
            <w:tcW w:w="2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E2AB038">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56</w:t>
            </w:r>
          </w:p>
        </w:tc>
        <w:tc>
          <w:tcPr>
            <w:tcW w:w="3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97546EF">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4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033EE5A">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59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6957942">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8B294EE">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6840C82F">
        <w:tblPrEx>
          <w:tblCellMar>
            <w:top w:w="0" w:type="dxa"/>
            <w:left w:w="108" w:type="dxa"/>
            <w:bottom w:w="0" w:type="dxa"/>
            <w:right w:w="108" w:type="dxa"/>
          </w:tblCellMar>
        </w:tblPrEx>
        <w:trPr>
          <w:trHeight w:val="268" w:hRule="atLeast"/>
        </w:trPr>
        <w:tc>
          <w:tcPr>
            <w:tcW w:w="10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2E251C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1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515EC35">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25</w:t>
            </w:r>
          </w:p>
        </w:tc>
        <w:tc>
          <w:tcPr>
            <w:tcW w:w="5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35C9B77">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98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B52CC0D">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二十五、债务付息支出</w:t>
            </w:r>
          </w:p>
        </w:tc>
        <w:tc>
          <w:tcPr>
            <w:tcW w:w="2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93768FA">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57</w:t>
            </w:r>
          </w:p>
        </w:tc>
        <w:tc>
          <w:tcPr>
            <w:tcW w:w="3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F14B135">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4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B4E9A9A">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59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906CCAE">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8BFF9F7">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34D7729C">
        <w:tblPrEx>
          <w:tblCellMar>
            <w:top w:w="0" w:type="dxa"/>
            <w:left w:w="108" w:type="dxa"/>
            <w:bottom w:w="0" w:type="dxa"/>
            <w:right w:w="108" w:type="dxa"/>
          </w:tblCellMar>
        </w:tblPrEx>
        <w:trPr>
          <w:trHeight w:val="268" w:hRule="atLeast"/>
        </w:trPr>
        <w:tc>
          <w:tcPr>
            <w:tcW w:w="10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AB7793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1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FDFF978">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26</w:t>
            </w:r>
          </w:p>
        </w:tc>
        <w:tc>
          <w:tcPr>
            <w:tcW w:w="5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31860CD">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98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1583E1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二十六、抗疫特别国债安排的支出</w:t>
            </w:r>
          </w:p>
        </w:tc>
        <w:tc>
          <w:tcPr>
            <w:tcW w:w="2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F94D0F1">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58</w:t>
            </w:r>
          </w:p>
        </w:tc>
        <w:tc>
          <w:tcPr>
            <w:tcW w:w="3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3B2DD53">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4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1A6DC12">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59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7C677D1">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5BFC561">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10B95B6C">
        <w:tblPrEx>
          <w:tblCellMar>
            <w:top w:w="0" w:type="dxa"/>
            <w:left w:w="108" w:type="dxa"/>
            <w:bottom w:w="0" w:type="dxa"/>
            <w:right w:w="108" w:type="dxa"/>
          </w:tblCellMar>
        </w:tblPrEx>
        <w:trPr>
          <w:trHeight w:val="268" w:hRule="atLeast"/>
        </w:trPr>
        <w:tc>
          <w:tcPr>
            <w:tcW w:w="10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0F33A4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本年收入合计</w:t>
            </w:r>
          </w:p>
        </w:tc>
        <w:tc>
          <w:tcPr>
            <w:tcW w:w="1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81AA480">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27</w:t>
            </w:r>
          </w:p>
        </w:tc>
        <w:tc>
          <w:tcPr>
            <w:tcW w:w="5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4DB2149">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1730.07</w:t>
            </w:r>
          </w:p>
        </w:tc>
        <w:tc>
          <w:tcPr>
            <w:tcW w:w="98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6E3E39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本年支出合计</w:t>
            </w:r>
          </w:p>
        </w:tc>
        <w:tc>
          <w:tcPr>
            <w:tcW w:w="2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946FD71">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59</w:t>
            </w:r>
          </w:p>
        </w:tc>
        <w:tc>
          <w:tcPr>
            <w:tcW w:w="3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83AACC7">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1730.07</w:t>
            </w:r>
          </w:p>
        </w:tc>
        <w:tc>
          <w:tcPr>
            <w:tcW w:w="4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4113BB6">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1730.07</w:t>
            </w:r>
          </w:p>
        </w:tc>
        <w:tc>
          <w:tcPr>
            <w:tcW w:w="59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A44F07A">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F72AFF3">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4EA4E939">
        <w:tblPrEx>
          <w:tblCellMar>
            <w:top w:w="0" w:type="dxa"/>
            <w:left w:w="108" w:type="dxa"/>
            <w:bottom w:w="0" w:type="dxa"/>
            <w:right w:w="108" w:type="dxa"/>
          </w:tblCellMar>
        </w:tblPrEx>
        <w:trPr>
          <w:trHeight w:val="268" w:hRule="atLeast"/>
        </w:trPr>
        <w:tc>
          <w:tcPr>
            <w:tcW w:w="10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5640CF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年初财政拨款结转和结余</w:t>
            </w:r>
          </w:p>
        </w:tc>
        <w:tc>
          <w:tcPr>
            <w:tcW w:w="1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628F542">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28</w:t>
            </w:r>
          </w:p>
        </w:tc>
        <w:tc>
          <w:tcPr>
            <w:tcW w:w="5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52DA85C">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98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9BFA57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年末财政拨款结转和结余</w:t>
            </w:r>
          </w:p>
        </w:tc>
        <w:tc>
          <w:tcPr>
            <w:tcW w:w="2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E2A1BDF">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60</w:t>
            </w:r>
          </w:p>
        </w:tc>
        <w:tc>
          <w:tcPr>
            <w:tcW w:w="3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EAE5DD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4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61C8460">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59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CD2B641">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4C977D8">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04675598">
        <w:tblPrEx>
          <w:tblCellMar>
            <w:top w:w="0" w:type="dxa"/>
            <w:left w:w="108" w:type="dxa"/>
            <w:bottom w:w="0" w:type="dxa"/>
            <w:right w:w="108" w:type="dxa"/>
          </w:tblCellMar>
        </w:tblPrEx>
        <w:trPr>
          <w:trHeight w:val="268" w:hRule="atLeast"/>
        </w:trPr>
        <w:tc>
          <w:tcPr>
            <w:tcW w:w="10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2C8EB0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 xml:space="preserve">  一般公共预算财政拨款</w:t>
            </w:r>
          </w:p>
        </w:tc>
        <w:tc>
          <w:tcPr>
            <w:tcW w:w="1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C5A91A6">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29</w:t>
            </w:r>
          </w:p>
        </w:tc>
        <w:tc>
          <w:tcPr>
            <w:tcW w:w="5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4C8A588">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98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B55256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p>
        </w:tc>
        <w:tc>
          <w:tcPr>
            <w:tcW w:w="2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EC49BCD">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61</w:t>
            </w:r>
          </w:p>
        </w:tc>
        <w:tc>
          <w:tcPr>
            <w:tcW w:w="3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CC53F7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4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FF5C7B7">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59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2BB790F">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0B78529">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58A56CD1">
        <w:tblPrEx>
          <w:tblCellMar>
            <w:top w:w="0" w:type="dxa"/>
            <w:left w:w="108" w:type="dxa"/>
            <w:bottom w:w="0" w:type="dxa"/>
            <w:right w:w="108" w:type="dxa"/>
          </w:tblCellMar>
        </w:tblPrEx>
        <w:trPr>
          <w:trHeight w:val="268" w:hRule="atLeast"/>
        </w:trPr>
        <w:tc>
          <w:tcPr>
            <w:tcW w:w="10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2A81C6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 xml:space="preserve">  政府性基金预算财政拨款</w:t>
            </w:r>
          </w:p>
        </w:tc>
        <w:tc>
          <w:tcPr>
            <w:tcW w:w="1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3AC8DBF">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30</w:t>
            </w:r>
          </w:p>
        </w:tc>
        <w:tc>
          <w:tcPr>
            <w:tcW w:w="5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DE9F919">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98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96DA7F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p>
        </w:tc>
        <w:tc>
          <w:tcPr>
            <w:tcW w:w="2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CD08BBC">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62</w:t>
            </w:r>
          </w:p>
        </w:tc>
        <w:tc>
          <w:tcPr>
            <w:tcW w:w="3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6C180E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4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A754E25">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59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AD160EF">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59F469E">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67BF18E5">
        <w:tblPrEx>
          <w:tblCellMar>
            <w:top w:w="0" w:type="dxa"/>
            <w:left w:w="108" w:type="dxa"/>
            <w:bottom w:w="0" w:type="dxa"/>
            <w:right w:w="108" w:type="dxa"/>
          </w:tblCellMar>
        </w:tblPrEx>
        <w:trPr>
          <w:trHeight w:val="268" w:hRule="atLeast"/>
        </w:trPr>
        <w:tc>
          <w:tcPr>
            <w:tcW w:w="10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2227BA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 xml:space="preserve">  国有资本经营预算财政拨款</w:t>
            </w:r>
          </w:p>
        </w:tc>
        <w:tc>
          <w:tcPr>
            <w:tcW w:w="1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F28524D">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31</w:t>
            </w:r>
          </w:p>
        </w:tc>
        <w:tc>
          <w:tcPr>
            <w:tcW w:w="5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557143F">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98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0D7C53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p>
        </w:tc>
        <w:tc>
          <w:tcPr>
            <w:tcW w:w="2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546E248">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63</w:t>
            </w:r>
          </w:p>
        </w:tc>
        <w:tc>
          <w:tcPr>
            <w:tcW w:w="3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D149ED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4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36E1857">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59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B71AC39">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F99C092">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39BB50BA">
        <w:tblPrEx>
          <w:tblCellMar>
            <w:top w:w="0" w:type="dxa"/>
            <w:left w:w="108" w:type="dxa"/>
            <w:bottom w:w="0" w:type="dxa"/>
            <w:right w:w="108" w:type="dxa"/>
          </w:tblCellMar>
        </w:tblPrEx>
        <w:trPr>
          <w:trHeight w:val="268" w:hRule="atLeast"/>
        </w:trPr>
        <w:tc>
          <w:tcPr>
            <w:tcW w:w="10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46C75F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总计</w:t>
            </w:r>
          </w:p>
        </w:tc>
        <w:tc>
          <w:tcPr>
            <w:tcW w:w="1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E14DC7E">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32</w:t>
            </w:r>
          </w:p>
        </w:tc>
        <w:tc>
          <w:tcPr>
            <w:tcW w:w="5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085B444">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1730.07</w:t>
            </w:r>
          </w:p>
        </w:tc>
        <w:tc>
          <w:tcPr>
            <w:tcW w:w="98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EAD6C3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总计</w:t>
            </w:r>
          </w:p>
        </w:tc>
        <w:tc>
          <w:tcPr>
            <w:tcW w:w="2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B0EFFE4">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64</w:t>
            </w:r>
          </w:p>
        </w:tc>
        <w:tc>
          <w:tcPr>
            <w:tcW w:w="3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FD6A5A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1730.07</w:t>
            </w:r>
          </w:p>
        </w:tc>
        <w:tc>
          <w:tcPr>
            <w:tcW w:w="4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805D55E">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1730.07</w:t>
            </w:r>
          </w:p>
        </w:tc>
        <w:tc>
          <w:tcPr>
            <w:tcW w:w="59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0489957">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DD13BC6">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486EC24E">
        <w:tblPrEx>
          <w:tblCellMar>
            <w:top w:w="0" w:type="dxa"/>
            <w:left w:w="108" w:type="dxa"/>
            <w:bottom w:w="0" w:type="dxa"/>
            <w:right w:w="108" w:type="dxa"/>
          </w:tblCellMar>
        </w:tblPrEx>
        <w:trPr>
          <w:trHeight w:val="438" w:hRule="atLeast"/>
        </w:trPr>
        <w:tc>
          <w:tcPr>
            <w:tcW w:w="4372" w:type="pct"/>
            <w:gridSpan w:val="8"/>
            <w:tcBorders>
              <w:top w:val="single" w:color="auto" w:sz="4" w:space="0"/>
              <w:left w:val="nil"/>
              <w:bottom w:val="nil"/>
              <w:right w:val="nil"/>
            </w:tcBorders>
            <w:shd w:val="clear" w:color="auto" w:fill="auto"/>
            <w:noWrap/>
            <w:vAlign w:val="center"/>
          </w:tcPr>
          <w:p w14:paraId="17E1BB4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注：本表反映部门本年度一般公共预算财政拨款、政府性基金预算财政拨款和国有资本经营预算财政拨款的总收支和年末结转结余情况。</w:t>
            </w:r>
          </w:p>
          <w:p w14:paraId="549AFE5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p>
        </w:tc>
        <w:tc>
          <w:tcPr>
            <w:tcW w:w="627" w:type="pct"/>
            <w:tcBorders>
              <w:top w:val="single" w:color="auto" w:sz="4" w:space="0"/>
              <w:left w:val="nil"/>
              <w:bottom w:val="nil"/>
              <w:right w:val="nil"/>
            </w:tcBorders>
            <w:shd w:val="clear" w:color="auto" w:fill="auto"/>
            <w:noWrap/>
            <w:vAlign w:val="center"/>
          </w:tcPr>
          <w:p w14:paraId="0DC8DF0F">
            <w:pPr>
              <w:keepNext w:val="0"/>
              <w:keepLines w:val="0"/>
              <w:suppressLineNumbers w:val="0"/>
              <w:spacing w:before="0" w:beforeAutospacing="0" w:after="0" w:afterAutospacing="0"/>
              <w:ind w:left="0" w:right="0"/>
              <w:jc w:val="left"/>
              <w:rPr>
                <w:rFonts w:hint="default" w:ascii="宋体" w:hAnsi="宋体" w:eastAsia="宋体" w:cs="宋体"/>
                <w:color w:val="000000"/>
                <w:sz w:val="20"/>
                <w:szCs w:val="20"/>
                <w:highlight w:val="none"/>
              </w:rPr>
            </w:pPr>
          </w:p>
        </w:tc>
      </w:tr>
    </w:tbl>
    <w:p w14:paraId="128A17C1">
      <w:pPr>
        <w:jc w:val="left"/>
        <w:rPr>
          <w:rFonts w:hint="eastAsia" w:ascii="仿宋" w:hAnsi="仿宋" w:eastAsia="仿宋" w:cs="仿宋"/>
          <w:sz w:val="24"/>
          <w:highlight w:val="none"/>
        </w:rPr>
      </w:pPr>
    </w:p>
    <w:p w14:paraId="4A8B7A32">
      <w:pPr>
        <w:jc w:val="left"/>
        <w:rPr>
          <w:rFonts w:ascii="仿宋" w:hAnsi="仿宋" w:eastAsia="仿宋" w:cs="仿宋"/>
          <w:sz w:val="24"/>
          <w:highlight w:val="none"/>
        </w:rPr>
      </w:pPr>
    </w:p>
    <w:p w14:paraId="38DC00A0">
      <w:pPr>
        <w:rPr>
          <w:rFonts w:ascii="仿宋" w:hAnsi="仿宋" w:eastAsia="仿宋" w:cs="仿宋"/>
          <w:sz w:val="24"/>
          <w:highlight w:val="none"/>
        </w:rPr>
      </w:pPr>
      <w:r>
        <w:rPr>
          <w:rFonts w:ascii="仿宋" w:hAnsi="仿宋" w:eastAsia="仿宋" w:cs="仿宋"/>
          <w:sz w:val="24"/>
          <w:highlight w:val="none"/>
        </w:rPr>
        <w:br w:type="page"/>
      </w:r>
    </w:p>
    <w:p w14:paraId="078BFF1A">
      <w:pPr>
        <w:jc w:val="left"/>
        <w:rPr>
          <w:rFonts w:hint="eastAsia" w:ascii="仿宋" w:hAnsi="仿宋" w:eastAsia="仿宋" w:cs="仿宋"/>
          <w:sz w:val="24"/>
          <w:highlight w:val="none"/>
        </w:rPr>
      </w:pPr>
      <w:r>
        <w:rPr>
          <w:rFonts w:hint="eastAsia" w:ascii="仿宋" w:hAnsi="仿宋" w:eastAsia="仿宋" w:cs="仿宋"/>
          <w:sz w:val="24"/>
          <w:highlight w:val="none"/>
        </w:rPr>
        <w:t>表五：一般公共预算财政拨款支出决算表</w:t>
      </w:r>
    </w:p>
    <w:p w14:paraId="5C0D8625">
      <w:pPr>
        <w:jc w:val="left"/>
        <w:rPr>
          <w:rFonts w:hint="eastAsia" w:ascii="仿宋" w:hAnsi="仿宋" w:eastAsia="仿宋" w:cs="仿宋"/>
          <w:sz w:val="24"/>
          <w:highlight w:val="none"/>
        </w:rPr>
      </w:pPr>
    </w:p>
    <w:tbl>
      <w:tblPr>
        <w:tblStyle w:val="7"/>
        <w:tblW w:w="14256" w:type="dxa"/>
        <w:tblInd w:w="-180" w:type="dxa"/>
        <w:tblLayout w:type="fixed"/>
        <w:tblCellMar>
          <w:top w:w="0" w:type="dxa"/>
          <w:left w:w="108" w:type="dxa"/>
          <w:bottom w:w="0" w:type="dxa"/>
          <w:right w:w="108" w:type="dxa"/>
        </w:tblCellMar>
      </w:tblPr>
      <w:tblGrid>
        <w:gridCol w:w="2287"/>
        <w:gridCol w:w="272"/>
        <w:gridCol w:w="238"/>
        <w:gridCol w:w="238"/>
        <w:gridCol w:w="2052"/>
        <w:gridCol w:w="3173"/>
        <w:gridCol w:w="3107"/>
        <w:gridCol w:w="2889"/>
      </w:tblGrid>
      <w:tr w14:paraId="37C9E243">
        <w:tblPrEx>
          <w:tblCellMar>
            <w:top w:w="0" w:type="dxa"/>
            <w:left w:w="108" w:type="dxa"/>
            <w:bottom w:w="0" w:type="dxa"/>
            <w:right w:w="108" w:type="dxa"/>
          </w:tblCellMar>
        </w:tblPrEx>
        <w:trPr>
          <w:trHeight w:val="693" w:hRule="atLeast"/>
        </w:trPr>
        <w:tc>
          <w:tcPr>
            <w:tcW w:w="14256" w:type="dxa"/>
            <w:gridSpan w:val="8"/>
            <w:tcBorders>
              <w:top w:val="nil"/>
              <w:left w:val="nil"/>
              <w:bottom w:val="nil"/>
              <w:right w:val="nil"/>
            </w:tcBorders>
            <w:shd w:val="clear" w:color="auto" w:fill="auto"/>
            <w:noWrap/>
            <w:vAlign w:val="bottom"/>
          </w:tcPr>
          <w:p w14:paraId="45394532">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一般公共预算财政拨款支出决算表</w:t>
            </w:r>
          </w:p>
        </w:tc>
      </w:tr>
      <w:tr w14:paraId="628C7CF8">
        <w:tblPrEx>
          <w:tblCellMar>
            <w:top w:w="0" w:type="dxa"/>
            <w:left w:w="108" w:type="dxa"/>
            <w:bottom w:w="0" w:type="dxa"/>
            <w:right w:w="108" w:type="dxa"/>
          </w:tblCellMar>
        </w:tblPrEx>
        <w:trPr>
          <w:trHeight w:val="346" w:hRule="atLeast"/>
        </w:trPr>
        <w:tc>
          <w:tcPr>
            <w:tcW w:w="2559" w:type="dxa"/>
            <w:gridSpan w:val="2"/>
            <w:tcBorders>
              <w:top w:val="nil"/>
              <w:left w:val="nil"/>
              <w:bottom w:val="nil"/>
              <w:right w:val="nil"/>
            </w:tcBorders>
            <w:shd w:val="clear" w:color="auto" w:fill="auto"/>
            <w:noWrap/>
            <w:vAlign w:val="bottom"/>
          </w:tcPr>
          <w:p w14:paraId="3B49F3DF">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8" w:type="dxa"/>
            <w:tcBorders>
              <w:top w:val="nil"/>
              <w:left w:val="nil"/>
              <w:bottom w:val="nil"/>
              <w:right w:val="nil"/>
            </w:tcBorders>
            <w:shd w:val="clear" w:color="auto" w:fill="auto"/>
            <w:noWrap/>
            <w:vAlign w:val="bottom"/>
          </w:tcPr>
          <w:p w14:paraId="1F873B76">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8" w:type="dxa"/>
            <w:tcBorders>
              <w:top w:val="nil"/>
              <w:left w:val="nil"/>
              <w:bottom w:val="nil"/>
              <w:right w:val="nil"/>
            </w:tcBorders>
            <w:shd w:val="clear" w:color="auto" w:fill="auto"/>
            <w:noWrap/>
            <w:vAlign w:val="bottom"/>
          </w:tcPr>
          <w:p w14:paraId="5D72C6B8">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052" w:type="dxa"/>
            <w:tcBorders>
              <w:top w:val="nil"/>
              <w:left w:val="nil"/>
              <w:bottom w:val="nil"/>
              <w:right w:val="nil"/>
            </w:tcBorders>
            <w:shd w:val="clear" w:color="auto" w:fill="auto"/>
            <w:noWrap/>
            <w:vAlign w:val="bottom"/>
          </w:tcPr>
          <w:p w14:paraId="30A886CA">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173" w:type="dxa"/>
            <w:tcBorders>
              <w:top w:val="nil"/>
              <w:left w:val="nil"/>
              <w:bottom w:val="nil"/>
              <w:right w:val="nil"/>
            </w:tcBorders>
            <w:shd w:val="clear" w:color="auto" w:fill="auto"/>
            <w:noWrap/>
            <w:vAlign w:val="bottom"/>
          </w:tcPr>
          <w:p w14:paraId="69861759">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107" w:type="dxa"/>
            <w:tcBorders>
              <w:top w:val="nil"/>
              <w:left w:val="nil"/>
              <w:bottom w:val="nil"/>
              <w:right w:val="nil"/>
            </w:tcBorders>
            <w:shd w:val="clear" w:color="auto" w:fill="auto"/>
            <w:noWrap/>
            <w:vAlign w:val="bottom"/>
          </w:tcPr>
          <w:p w14:paraId="52D16B81">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889" w:type="dxa"/>
            <w:tcBorders>
              <w:top w:val="nil"/>
              <w:left w:val="nil"/>
              <w:bottom w:val="nil"/>
              <w:right w:val="nil"/>
            </w:tcBorders>
            <w:shd w:val="clear" w:color="auto" w:fill="auto"/>
            <w:noWrap/>
            <w:vAlign w:val="bottom"/>
          </w:tcPr>
          <w:p w14:paraId="68E5244C">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公开05表</w:t>
            </w:r>
          </w:p>
        </w:tc>
      </w:tr>
      <w:tr w14:paraId="48D15663">
        <w:tblPrEx>
          <w:tblCellMar>
            <w:top w:w="0" w:type="dxa"/>
            <w:left w:w="108" w:type="dxa"/>
            <w:bottom w:w="0" w:type="dxa"/>
            <w:right w:w="108" w:type="dxa"/>
          </w:tblCellMar>
        </w:tblPrEx>
        <w:trPr>
          <w:trHeight w:val="346" w:hRule="atLeast"/>
        </w:trPr>
        <w:tc>
          <w:tcPr>
            <w:tcW w:w="8260" w:type="dxa"/>
            <w:gridSpan w:val="6"/>
            <w:tcBorders>
              <w:top w:val="nil"/>
              <w:left w:val="nil"/>
              <w:bottom w:val="single" w:color="auto" w:sz="4" w:space="0"/>
              <w:right w:val="nil"/>
            </w:tcBorders>
            <w:shd w:val="clear" w:color="auto" w:fill="auto"/>
            <w:noWrap/>
            <w:vAlign w:val="bottom"/>
          </w:tcPr>
          <w:p w14:paraId="03CFB2BB">
            <w:pPr>
              <w:keepNext w:val="0"/>
              <w:keepLines w:val="0"/>
              <w:suppressLineNumbers w:val="0"/>
              <w:spacing w:before="0" w:beforeAutospacing="0" w:after="0" w:afterAutospacing="0"/>
              <w:ind w:left="0" w:right="0"/>
              <w:rPr>
                <w:rFonts w:hint="eastAsia" w:ascii="Arial" w:hAnsi="Arial" w:eastAsia="宋体" w:cs="Arial"/>
                <w:color w:val="000000"/>
                <w:sz w:val="20"/>
                <w:szCs w:val="20"/>
                <w:highlight w:val="none"/>
                <w:lang w:eastAsia="zh-CN"/>
              </w:rPr>
            </w:pPr>
            <w:r>
              <w:rPr>
                <w:rFonts w:hint="eastAsia" w:ascii="宋体" w:hAnsi="宋体" w:eastAsia="宋体" w:cs="宋体"/>
                <w:color w:val="000000"/>
                <w:kern w:val="0"/>
                <w:sz w:val="20"/>
                <w:szCs w:val="20"/>
                <w:highlight w:val="none"/>
                <w:lang w:bidi="ar"/>
              </w:rPr>
              <w:t>部门：</w:t>
            </w:r>
            <w:r>
              <w:rPr>
                <w:rFonts w:hint="eastAsia" w:ascii="宋体" w:hAnsi="宋体" w:eastAsia="宋体" w:cs="宋体"/>
                <w:color w:val="000000"/>
                <w:sz w:val="20"/>
                <w:u w:color="auto"/>
                <w:lang w:eastAsia="zh-CN"/>
              </w:rPr>
              <w:t>广西河池市中国共产党环江毛南族自治县纪律检查委员会</w:t>
            </w:r>
          </w:p>
        </w:tc>
        <w:tc>
          <w:tcPr>
            <w:tcW w:w="3107" w:type="dxa"/>
            <w:tcBorders>
              <w:top w:val="nil"/>
              <w:left w:val="nil"/>
              <w:bottom w:val="single" w:color="auto" w:sz="4" w:space="0"/>
              <w:right w:val="nil"/>
            </w:tcBorders>
            <w:shd w:val="clear" w:color="auto" w:fill="auto"/>
            <w:noWrap/>
            <w:vAlign w:val="bottom"/>
          </w:tcPr>
          <w:p w14:paraId="34BD61D7">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889" w:type="dxa"/>
            <w:tcBorders>
              <w:top w:val="nil"/>
              <w:left w:val="nil"/>
              <w:bottom w:val="single" w:color="auto" w:sz="4" w:space="0"/>
              <w:right w:val="nil"/>
            </w:tcBorders>
            <w:shd w:val="clear" w:color="auto" w:fill="auto"/>
            <w:noWrap/>
            <w:vAlign w:val="bottom"/>
          </w:tcPr>
          <w:p w14:paraId="0FF53D92">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14:paraId="60FF5279">
        <w:tblPrEx>
          <w:tblCellMar>
            <w:top w:w="0" w:type="dxa"/>
            <w:left w:w="108" w:type="dxa"/>
            <w:bottom w:w="0" w:type="dxa"/>
            <w:right w:w="108" w:type="dxa"/>
          </w:tblCellMar>
        </w:tblPrEx>
        <w:trPr>
          <w:trHeight w:val="358" w:hRule="atLeast"/>
        </w:trPr>
        <w:tc>
          <w:tcPr>
            <w:tcW w:w="5087"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4108BCB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916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78475D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本年支出</w:t>
            </w:r>
          </w:p>
        </w:tc>
      </w:tr>
      <w:tr w14:paraId="621B2291">
        <w:tblPrEx>
          <w:tblCellMar>
            <w:top w:w="0" w:type="dxa"/>
            <w:left w:w="108" w:type="dxa"/>
            <w:bottom w:w="0" w:type="dxa"/>
            <w:right w:w="108" w:type="dxa"/>
          </w:tblCellMar>
        </w:tblPrEx>
        <w:trPr>
          <w:trHeight w:val="353" w:hRule="atLeast"/>
        </w:trPr>
        <w:tc>
          <w:tcPr>
            <w:tcW w:w="228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F4D2CF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功能分类科目编码</w:t>
            </w:r>
          </w:p>
        </w:tc>
        <w:tc>
          <w:tcPr>
            <w:tcW w:w="2800" w:type="dxa"/>
            <w:gridSpan w:val="4"/>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4C9FFD3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31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023E6F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小计</w:t>
            </w:r>
          </w:p>
        </w:tc>
        <w:tc>
          <w:tcPr>
            <w:tcW w:w="310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E82C60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基本支出</w:t>
            </w:r>
          </w:p>
        </w:tc>
        <w:tc>
          <w:tcPr>
            <w:tcW w:w="288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B0D38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项目支出</w:t>
            </w:r>
          </w:p>
        </w:tc>
      </w:tr>
      <w:tr w14:paraId="786DB6BC">
        <w:tblPrEx>
          <w:tblCellMar>
            <w:top w:w="0" w:type="dxa"/>
            <w:left w:w="108" w:type="dxa"/>
            <w:bottom w:w="0" w:type="dxa"/>
            <w:right w:w="108" w:type="dxa"/>
          </w:tblCellMar>
        </w:tblPrEx>
        <w:trPr>
          <w:trHeight w:val="319" w:hRule="atLeast"/>
        </w:trPr>
        <w:tc>
          <w:tcPr>
            <w:tcW w:w="228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5EB050B">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800" w:type="dxa"/>
            <w:gridSpan w:val="4"/>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59DC603">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00FD9E4">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29B1DAC">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8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811D9E8">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14:paraId="3E9892EF">
        <w:tblPrEx>
          <w:tblCellMar>
            <w:top w:w="0" w:type="dxa"/>
            <w:left w:w="108" w:type="dxa"/>
            <w:bottom w:w="0" w:type="dxa"/>
            <w:right w:w="108" w:type="dxa"/>
          </w:tblCellMar>
        </w:tblPrEx>
        <w:trPr>
          <w:trHeight w:val="312" w:hRule="atLeast"/>
        </w:trPr>
        <w:tc>
          <w:tcPr>
            <w:tcW w:w="228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4135A69">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800" w:type="dxa"/>
            <w:gridSpan w:val="4"/>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0438674">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441AC2D">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1E3A70F">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8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8DBEF90">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14:paraId="6263A3B0">
        <w:tblPrEx>
          <w:tblCellMar>
            <w:top w:w="0" w:type="dxa"/>
            <w:left w:w="108" w:type="dxa"/>
            <w:bottom w:w="0" w:type="dxa"/>
            <w:right w:w="108" w:type="dxa"/>
          </w:tblCellMar>
        </w:tblPrEx>
        <w:trPr>
          <w:trHeight w:val="358" w:hRule="atLeast"/>
        </w:trPr>
        <w:tc>
          <w:tcPr>
            <w:tcW w:w="5087"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04CFADF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C9836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0F89F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F1C9F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r>
      <w:tr w14:paraId="09ACEACC">
        <w:tblPrEx>
          <w:tblCellMar>
            <w:top w:w="0" w:type="dxa"/>
            <w:left w:w="108" w:type="dxa"/>
            <w:bottom w:w="0" w:type="dxa"/>
            <w:right w:w="108" w:type="dxa"/>
          </w:tblCellMar>
        </w:tblPrEx>
        <w:trPr>
          <w:trHeight w:val="358" w:hRule="atLeast"/>
        </w:trPr>
        <w:tc>
          <w:tcPr>
            <w:tcW w:w="5087"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7E5D06E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FD0DF5">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1730.07</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883133">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1418.48</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1C1666">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311.59</w:t>
            </w:r>
          </w:p>
        </w:tc>
      </w:tr>
      <w:tr w14:paraId="18198C20">
        <w:tblPrEx>
          <w:tblCellMar>
            <w:top w:w="0" w:type="dxa"/>
            <w:left w:w="108" w:type="dxa"/>
            <w:bottom w:w="0" w:type="dxa"/>
            <w:right w:w="108" w:type="dxa"/>
          </w:tblCellMar>
        </w:tblPrEx>
        <w:trPr>
          <w:trHeight w:val="358" w:hRule="atLeast"/>
        </w:trPr>
        <w:tc>
          <w:tcPr>
            <w:tcW w:w="22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1835D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2011101</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173B8AE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5EB822">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1172.11</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D12251">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926.87</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073443">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245.24</w:t>
            </w:r>
          </w:p>
        </w:tc>
      </w:tr>
      <w:tr w14:paraId="422FC834">
        <w:tblPrEx>
          <w:tblCellMar>
            <w:top w:w="0" w:type="dxa"/>
            <w:left w:w="108" w:type="dxa"/>
            <w:bottom w:w="0" w:type="dxa"/>
            <w:right w:w="108" w:type="dxa"/>
          </w:tblCellMar>
        </w:tblPrEx>
        <w:trPr>
          <w:trHeight w:val="358" w:hRule="atLeast"/>
        </w:trPr>
        <w:tc>
          <w:tcPr>
            <w:tcW w:w="22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D17C0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2011103</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18ED4A2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机关服务</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262CD8">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2.5</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71383F">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592064">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2.5</w:t>
            </w:r>
          </w:p>
        </w:tc>
      </w:tr>
      <w:tr w14:paraId="2907282E">
        <w:tblPrEx>
          <w:tblCellMar>
            <w:top w:w="0" w:type="dxa"/>
            <w:left w:w="108" w:type="dxa"/>
            <w:bottom w:w="0" w:type="dxa"/>
            <w:right w:w="108" w:type="dxa"/>
          </w:tblCellMar>
        </w:tblPrEx>
        <w:trPr>
          <w:trHeight w:val="358" w:hRule="atLeast"/>
        </w:trPr>
        <w:tc>
          <w:tcPr>
            <w:tcW w:w="22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20265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2011105</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57161AC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派驻派出机构</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A4EB3B">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4.85</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78947F">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941A1F">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4.85</w:t>
            </w:r>
          </w:p>
        </w:tc>
      </w:tr>
      <w:tr w14:paraId="7F267D2D">
        <w:tblPrEx>
          <w:tblCellMar>
            <w:top w:w="0" w:type="dxa"/>
            <w:left w:w="108" w:type="dxa"/>
            <w:bottom w:w="0" w:type="dxa"/>
            <w:right w:w="108" w:type="dxa"/>
          </w:tblCellMar>
        </w:tblPrEx>
        <w:trPr>
          <w:trHeight w:val="358" w:hRule="atLeast"/>
        </w:trPr>
        <w:tc>
          <w:tcPr>
            <w:tcW w:w="22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D87FD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2011106</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5D4F960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巡视工作</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EDA230">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19</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E74247">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02F23B">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19</w:t>
            </w:r>
          </w:p>
        </w:tc>
      </w:tr>
      <w:tr w14:paraId="2651B449">
        <w:tblPrEx>
          <w:tblCellMar>
            <w:top w:w="0" w:type="dxa"/>
            <w:left w:w="108" w:type="dxa"/>
            <w:bottom w:w="0" w:type="dxa"/>
            <w:right w:w="108" w:type="dxa"/>
          </w:tblCellMar>
        </w:tblPrEx>
        <w:trPr>
          <w:trHeight w:val="358" w:hRule="atLeast"/>
        </w:trPr>
        <w:tc>
          <w:tcPr>
            <w:tcW w:w="22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CFE71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2011199</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3E1BDBA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其他纪检监察事务支出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44E5AF">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40</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8F3D6E">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6385C0">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40</w:t>
            </w:r>
          </w:p>
        </w:tc>
      </w:tr>
      <w:tr w14:paraId="37D208A8">
        <w:tblPrEx>
          <w:tblCellMar>
            <w:top w:w="0" w:type="dxa"/>
            <w:left w:w="108" w:type="dxa"/>
            <w:bottom w:w="0" w:type="dxa"/>
            <w:right w:w="108" w:type="dxa"/>
          </w:tblCellMar>
        </w:tblPrEx>
        <w:trPr>
          <w:trHeight w:val="358" w:hRule="atLeast"/>
        </w:trPr>
        <w:tc>
          <w:tcPr>
            <w:tcW w:w="22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52BAC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2012999</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36B6EC6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其他群众团体事务支出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671C83">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16.47</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0842BF">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16.47</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B87064">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14:paraId="18398498">
        <w:tblPrEx>
          <w:tblCellMar>
            <w:top w:w="0" w:type="dxa"/>
            <w:left w:w="108" w:type="dxa"/>
            <w:bottom w:w="0" w:type="dxa"/>
            <w:right w:w="108" w:type="dxa"/>
          </w:tblCellMar>
        </w:tblPrEx>
        <w:trPr>
          <w:trHeight w:val="358" w:hRule="atLeast"/>
        </w:trPr>
        <w:tc>
          <w:tcPr>
            <w:tcW w:w="22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71C81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2080505</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0950FEA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242091">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132.32</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85CE55">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132.32</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2E1D3F">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14:paraId="34140907">
        <w:tblPrEx>
          <w:tblCellMar>
            <w:top w:w="0" w:type="dxa"/>
            <w:left w:w="108" w:type="dxa"/>
            <w:bottom w:w="0" w:type="dxa"/>
            <w:right w:w="108" w:type="dxa"/>
          </w:tblCellMar>
        </w:tblPrEx>
        <w:trPr>
          <w:trHeight w:val="358" w:hRule="atLeast"/>
        </w:trPr>
        <w:tc>
          <w:tcPr>
            <w:tcW w:w="22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4141D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2210201</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053B233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B84E7C">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100.25</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044FBA">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100.25</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AECEA5">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14:paraId="05A3817B">
        <w:tblPrEx>
          <w:tblCellMar>
            <w:top w:w="0" w:type="dxa"/>
            <w:left w:w="108" w:type="dxa"/>
            <w:bottom w:w="0" w:type="dxa"/>
            <w:right w:w="108" w:type="dxa"/>
          </w:tblCellMar>
        </w:tblPrEx>
        <w:trPr>
          <w:trHeight w:val="358" w:hRule="atLeast"/>
        </w:trPr>
        <w:tc>
          <w:tcPr>
            <w:tcW w:w="22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CD062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2299999</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0DF32F0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28B36C">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242.57</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0FA4C7">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242.57</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A7B078">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14:paraId="3D756EFA">
        <w:tblPrEx>
          <w:tblCellMar>
            <w:top w:w="0" w:type="dxa"/>
            <w:left w:w="108" w:type="dxa"/>
            <w:bottom w:w="0" w:type="dxa"/>
            <w:right w:w="108" w:type="dxa"/>
          </w:tblCellMar>
        </w:tblPrEx>
        <w:trPr>
          <w:trHeight w:val="358" w:hRule="atLeast"/>
        </w:trPr>
        <w:tc>
          <w:tcPr>
            <w:tcW w:w="14256" w:type="dxa"/>
            <w:gridSpan w:val="8"/>
            <w:tcBorders>
              <w:top w:val="single" w:color="auto" w:sz="4" w:space="0"/>
              <w:left w:val="nil"/>
              <w:bottom w:val="nil"/>
              <w:right w:val="nil"/>
            </w:tcBorders>
            <w:shd w:val="clear" w:color="auto" w:fill="auto"/>
            <w:noWrap/>
            <w:vAlign w:val="center"/>
          </w:tcPr>
          <w:p w14:paraId="0514DE5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注：本表反映部门本年度一般公共预算财政拨款支出情况。</w:t>
            </w:r>
          </w:p>
        </w:tc>
      </w:tr>
    </w:tbl>
    <w:p w14:paraId="72B71EDC">
      <w:pPr>
        <w:rPr>
          <w:rFonts w:ascii="仿宋" w:hAnsi="仿宋" w:eastAsia="仿宋" w:cs="仿宋"/>
          <w:sz w:val="24"/>
          <w:highlight w:val="none"/>
        </w:rPr>
      </w:pPr>
      <w:r>
        <w:rPr>
          <w:rFonts w:ascii="仿宋" w:hAnsi="仿宋" w:eastAsia="仿宋" w:cs="仿宋"/>
          <w:sz w:val="24"/>
          <w:highlight w:val="none"/>
        </w:rPr>
        <w:br w:type="page"/>
      </w:r>
    </w:p>
    <w:p w14:paraId="4171393E">
      <w:pPr>
        <w:jc w:val="left"/>
        <w:rPr>
          <w:rFonts w:hint="eastAsia" w:ascii="仿宋" w:hAnsi="仿宋" w:eastAsia="仿宋" w:cs="仿宋"/>
          <w:sz w:val="24"/>
          <w:highlight w:val="none"/>
        </w:rPr>
      </w:pPr>
      <w:r>
        <w:rPr>
          <w:rFonts w:hint="eastAsia" w:ascii="仿宋" w:hAnsi="仿宋" w:eastAsia="仿宋" w:cs="仿宋"/>
          <w:sz w:val="24"/>
          <w:highlight w:val="none"/>
        </w:rPr>
        <w:t>表六：一般公共预算财政拨款基本支出决算表</w:t>
      </w:r>
    </w:p>
    <w:p w14:paraId="7F1A9B30">
      <w:pPr>
        <w:jc w:val="left"/>
        <w:rPr>
          <w:rFonts w:hint="eastAsia" w:ascii="仿宋" w:hAnsi="仿宋" w:eastAsia="仿宋" w:cs="仿宋"/>
          <w:sz w:val="24"/>
          <w:highlight w:val="none"/>
        </w:rPr>
      </w:pPr>
    </w:p>
    <w:tbl>
      <w:tblPr>
        <w:tblStyle w:val="7"/>
        <w:tblW w:w="14000" w:type="dxa"/>
        <w:tblInd w:w="96" w:type="dxa"/>
        <w:tblLayout w:type="fixed"/>
        <w:tblCellMar>
          <w:top w:w="0" w:type="dxa"/>
          <w:left w:w="108" w:type="dxa"/>
          <w:bottom w:w="0" w:type="dxa"/>
          <w:right w:w="108" w:type="dxa"/>
        </w:tblCellMar>
      </w:tblPr>
      <w:tblGrid>
        <w:gridCol w:w="1107"/>
        <w:gridCol w:w="2371"/>
        <w:gridCol w:w="1106"/>
        <w:gridCol w:w="1280"/>
        <w:gridCol w:w="2347"/>
        <w:gridCol w:w="1160"/>
        <w:gridCol w:w="1173"/>
        <w:gridCol w:w="2147"/>
        <w:gridCol w:w="1309"/>
      </w:tblGrid>
      <w:tr w14:paraId="78966C1F">
        <w:tblPrEx>
          <w:tblCellMar>
            <w:top w:w="0" w:type="dxa"/>
            <w:left w:w="108" w:type="dxa"/>
            <w:bottom w:w="0" w:type="dxa"/>
            <w:right w:w="108" w:type="dxa"/>
          </w:tblCellMar>
        </w:tblPrEx>
        <w:trPr>
          <w:trHeight w:val="614" w:hRule="atLeast"/>
        </w:trPr>
        <w:tc>
          <w:tcPr>
            <w:tcW w:w="14000" w:type="dxa"/>
            <w:gridSpan w:val="9"/>
            <w:tcBorders>
              <w:top w:val="nil"/>
              <w:left w:val="nil"/>
              <w:bottom w:val="nil"/>
              <w:right w:val="nil"/>
            </w:tcBorders>
            <w:shd w:val="clear" w:color="auto" w:fill="auto"/>
            <w:noWrap/>
            <w:vAlign w:val="bottom"/>
          </w:tcPr>
          <w:p w14:paraId="7F174375">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一般公共预算财政拨款基本支出决算明细表</w:t>
            </w:r>
          </w:p>
        </w:tc>
      </w:tr>
      <w:tr w14:paraId="621236E6">
        <w:tblPrEx>
          <w:tblCellMar>
            <w:top w:w="0" w:type="dxa"/>
            <w:left w:w="108" w:type="dxa"/>
            <w:bottom w:w="0" w:type="dxa"/>
            <w:right w:w="108" w:type="dxa"/>
          </w:tblCellMar>
        </w:tblPrEx>
        <w:trPr>
          <w:trHeight w:val="307" w:hRule="atLeast"/>
        </w:trPr>
        <w:tc>
          <w:tcPr>
            <w:tcW w:w="1107" w:type="dxa"/>
            <w:tcBorders>
              <w:top w:val="nil"/>
              <w:left w:val="nil"/>
              <w:bottom w:val="nil"/>
              <w:right w:val="nil"/>
            </w:tcBorders>
            <w:shd w:val="clear" w:color="auto" w:fill="auto"/>
            <w:noWrap/>
            <w:vAlign w:val="bottom"/>
          </w:tcPr>
          <w:p w14:paraId="53691456">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71" w:type="dxa"/>
            <w:tcBorders>
              <w:top w:val="nil"/>
              <w:left w:val="nil"/>
              <w:bottom w:val="nil"/>
              <w:right w:val="nil"/>
            </w:tcBorders>
            <w:shd w:val="clear" w:color="auto" w:fill="auto"/>
            <w:noWrap/>
            <w:vAlign w:val="bottom"/>
          </w:tcPr>
          <w:p w14:paraId="6FAC4F3E">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06" w:type="dxa"/>
            <w:tcBorders>
              <w:top w:val="nil"/>
              <w:left w:val="nil"/>
              <w:bottom w:val="nil"/>
              <w:right w:val="nil"/>
            </w:tcBorders>
            <w:shd w:val="clear" w:color="auto" w:fill="auto"/>
            <w:noWrap/>
            <w:vAlign w:val="bottom"/>
          </w:tcPr>
          <w:p w14:paraId="2CAFEB8F">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280" w:type="dxa"/>
            <w:tcBorders>
              <w:top w:val="nil"/>
              <w:left w:val="nil"/>
              <w:bottom w:val="nil"/>
              <w:right w:val="nil"/>
            </w:tcBorders>
            <w:shd w:val="clear" w:color="auto" w:fill="auto"/>
            <w:noWrap/>
            <w:vAlign w:val="bottom"/>
          </w:tcPr>
          <w:p w14:paraId="01C70CBB">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47" w:type="dxa"/>
            <w:tcBorders>
              <w:top w:val="nil"/>
              <w:left w:val="nil"/>
              <w:bottom w:val="nil"/>
              <w:right w:val="nil"/>
            </w:tcBorders>
            <w:shd w:val="clear" w:color="auto" w:fill="auto"/>
            <w:noWrap/>
            <w:vAlign w:val="bottom"/>
          </w:tcPr>
          <w:p w14:paraId="4C2881CB">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60" w:type="dxa"/>
            <w:tcBorders>
              <w:top w:val="nil"/>
              <w:left w:val="nil"/>
              <w:bottom w:val="nil"/>
              <w:right w:val="nil"/>
            </w:tcBorders>
            <w:shd w:val="clear" w:color="auto" w:fill="auto"/>
            <w:noWrap/>
            <w:vAlign w:val="bottom"/>
          </w:tcPr>
          <w:p w14:paraId="6EA838F8">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73" w:type="dxa"/>
            <w:tcBorders>
              <w:top w:val="nil"/>
              <w:left w:val="nil"/>
              <w:bottom w:val="nil"/>
              <w:right w:val="nil"/>
            </w:tcBorders>
            <w:shd w:val="clear" w:color="auto" w:fill="auto"/>
            <w:noWrap/>
            <w:vAlign w:val="bottom"/>
          </w:tcPr>
          <w:p w14:paraId="5F5532D8">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147" w:type="dxa"/>
            <w:tcBorders>
              <w:top w:val="nil"/>
              <w:left w:val="nil"/>
              <w:bottom w:val="nil"/>
              <w:right w:val="nil"/>
            </w:tcBorders>
            <w:shd w:val="clear" w:color="auto" w:fill="auto"/>
            <w:noWrap/>
            <w:vAlign w:val="bottom"/>
          </w:tcPr>
          <w:p w14:paraId="5BE58595">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309" w:type="dxa"/>
            <w:tcBorders>
              <w:top w:val="nil"/>
              <w:left w:val="nil"/>
              <w:bottom w:val="nil"/>
              <w:right w:val="nil"/>
            </w:tcBorders>
            <w:shd w:val="clear" w:color="auto" w:fill="auto"/>
            <w:noWrap/>
            <w:vAlign w:val="bottom"/>
          </w:tcPr>
          <w:p w14:paraId="5BD75553">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公开06表</w:t>
            </w:r>
          </w:p>
        </w:tc>
      </w:tr>
      <w:tr w14:paraId="3BF0919C">
        <w:tblPrEx>
          <w:tblCellMar>
            <w:top w:w="0" w:type="dxa"/>
            <w:left w:w="108" w:type="dxa"/>
            <w:bottom w:w="0" w:type="dxa"/>
            <w:right w:w="108" w:type="dxa"/>
          </w:tblCellMar>
        </w:tblPrEx>
        <w:trPr>
          <w:trHeight w:val="569" w:hRule="atLeast"/>
        </w:trPr>
        <w:tc>
          <w:tcPr>
            <w:tcW w:w="8211" w:type="dxa"/>
            <w:gridSpan w:val="5"/>
            <w:tcBorders>
              <w:top w:val="nil"/>
              <w:left w:val="nil"/>
              <w:bottom w:val="single" w:color="auto" w:sz="4" w:space="0"/>
              <w:right w:val="nil"/>
            </w:tcBorders>
            <w:shd w:val="clear" w:color="auto" w:fill="auto"/>
            <w:noWrap/>
            <w:vAlign w:val="bottom"/>
          </w:tcPr>
          <w:p w14:paraId="7E9020D0">
            <w:pPr>
              <w:keepNext w:val="0"/>
              <w:keepLines w:val="0"/>
              <w:suppressLineNumbers w:val="0"/>
              <w:spacing w:before="0" w:beforeAutospacing="0" w:after="0" w:afterAutospacing="0"/>
              <w:ind w:left="0" w:right="0"/>
              <w:rPr>
                <w:rFonts w:hint="eastAsia" w:ascii="Arial" w:hAnsi="Arial" w:eastAsia="宋体" w:cs="Arial"/>
                <w:color w:val="000000"/>
                <w:sz w:val="20"/>
                <w:szCs w:val="20"/>
                <w:highlight w:val="none"/>
                <w:lang w:eastAsia="zh-CN"/>
              </w:rPr>
            </w:pPr>
            <w:r>
              <w:rPr>
                <w:rFonts w:hint="eastAsia" w:ascii="宋体" w:hAnsi="宋体" w:eastAsia="宋体" w:cs="宋体"/>
                <w:color w:val="000000"/>
                <w:kern w:val="0"/>
                <w:sz w:val="20"/>
                <w:szCs w:val="20"/>
                <w:highlight w:val="none"/>
                <w:lang w:bidi="ar"/>
              </w:rPr>
              <w:t>部门：</w:t>
            </w:r>
            <w:r>
              <w:rPr>
                <w:rFonts w:hint="eastAsia" w:ascii="宋体" w:hAnsi="宋体" w:eastAsia="宋体" w:cs="宋体"/>
                <w:color w:val="000000"/>
                <w:sz w:val="20"/>
                <w:u w:color="auto"/>
                <w:lang w:eastAsia="zh-CN"/>
              </w:rPr>
              <w:t>广西河池市中国共产党环江毛南族自治县纪律检查委员会</w:t>
            </w:r>
          </w:p>
        </w:tc>
        <w:tc>
          <w:tcPr>
            <w:tcW w:w="1160" w:type="dxa"/>
            <w:tcBorders>
              <w:top w:val="nil"/>
              <w:left w:val="nil"/>
              <w:bottom w:val="single" w:color="auto" w:sz="4" w:space="0"/>
              <w:right w:val="nil"/>
            </w:tcBorders>
            <w:shd w:val="clear" w:color="auto" w:fill="auto"/>
            <w:noWrap/>
            <w:vAlign w:val="bottom"/>
          </w:tcPr>
          <w:p w14:paraId="16BF7115">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73" w:type="dxa"/>
            <w:tcBorders>
              <w:top w:val="nil"/>
              <w:left w:val="nil"/>
              <w:bottom w:val="single" w:color="auto" w:sz="4" w:space="0"/>
              <w:right w:val="nil"/>
            </w:tcBorders>
            <w:shd w:val="clear" w:color="auto" w:fill="auto"/>
            <w:noWrap/>
            <w:vAlign w:val="bottom"/>
          </w:tcPr>
          <w:p w14:paraId="09112E17">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456" w:type="dxa"/>
            <w:gridSpan w:val="2"/>
            <w:tcBorders>
              <w:top w:val="nil"/>
              <w:left w:val="nil"/>
              <w:bottom w:val="single" w:color="auto" w:sz="4" w:space="0"/>
            </w:tcBorders>
            <w:shd w:val="clear" w:color="auto" w:fill="auto"/>
            <w:noWrap/>
            <w:vAlign w:val="bottom"/>
          </w:tcPr>
          <w:p w14:paraId="54B2EAF9">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14:paraId="7CCF5FE4">
        <w:tblPrEx>
          <w:tblCellMar>
            <w:top w:w="0" w:type="dxa"/>
            <w:left w:w="108" w:type="dxa"/>
            <w:bottom w:w="0" w:type="dxa"/>
            <w:right w:w="108" w:type="dxa"/>
          </w:tblCellMar>
        </w:tblPrEx>
        <w:trPr>
          <w:trHeight w:val="319" w:hRule="atLeast"/>
        </w:trPr>
        <w:tc>
          <w:tcPr>
            <w:tcW w:w="4584"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145F7F5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人员经费</w:t>
            </w:r>
          </w:p>
        </w:tc>
        <w:tc>
          <w:tcPr>
            <w:tcW w:w="9416"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34DC2D2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公用经费</w:t>
            </w:r>
          </w:p>
        </w:tc>
      </w:tr>
      <w:tr w14:paraId="2FFF1A87">
        <w:tblPrEx>
          <w:tblCellMar>
            <w:top w:w="0" w:type="dxa"/>
            <w:left w:w="108" w:type="dxa"/>
            <w:bottom w:w="0" w:type="dxa"/>
            <w:right w:w="108" w:type="dxa"/>
          </w:tblCellMar>
        </w:tblPrEx>
        <w:trPr>
          <w:trHeight w:val="916" w:hRule="atLeast"/>
        </w:trPr>
        <w:tc>
          <w:tcPr>
            <w:tcW w:w="1107" w:type="dxa"/>
            <w:tcBorders>
              <w:top w:val="single" w:color="auto" w:sz="4" w:space="0"/>
              <w:left w:val="single" w:color="auto" w:sz="4" w:space="0"/>
              <w:bottom w:val="single" w:color="auto" w:sz="4" w:space="0"/>
              <w:right w:val="single" w:color="auto" w:sz="4" w:space="0"/>
            </w:tcBorders>
            <w:shd w:val="clear" w:color="auto" w:fill="auto"/>
            <w:vAlign w:val="center"/>
          </w:tcPr>
          <w:p w14:paraId="7608B41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科目编码</w:t>
            </w:r>
          </w:p>
        </w:tc>
        <w:tc>
          <w:tcPr>
            <w:tcW w:w="2371" w:type="dxa"/>
            <w:tcBorders>
              <w:top w:val="single" w:color="auto" w:sz="4" w:space="0"/>
              <w:left w:val="single" w:color="auto" w:sz="4" w:space="0"/>
              <w:bottom w:val="single" w:color="auto" w:sz="4" w:space="0"/>
              <w:right w:val="single" w:color="auto" w:sz="4" w:space="0"/>
            </w:tcBorders>
            <w:shd w:val="clear" w:color="auto" w:fill="auto"/>
            <w:vAlign w:val="center"/>
          </w:tcPr>
          <w:p w14:paraId="46F3913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106" w:type="dxa"/>
            <w:tcBorders>
              <w:top w:val="single" w:color="auto" w:sz="4" w:space="0"/>
              <w:left w:val="single" w:color="auto" w:sz="4" w:space="0"/>
              <w:bottom w:val="single" w:color="auto" w:sz="4" w:space="0"/>
              <w:right w:val="single" w:color="auto" w:sz="4" w:space="0"/>
            </w:tcBorders>
            <w:shd w:val="clear" w:color="auto" w:fill="auto"/>
            <w:vAlign w:val="center"/>
          </w:tcPr>
          <w:p w14:paraId="1BAD289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决算数</w:t>
            </w:r>
          </w:p>
        </w:tc>
        <w:tc>
          <w:tcPr>
            <w:tcW w:w="1280" w:type="dxa"/>
            <w:tcBorders>
              <w:top w:val="single" w:color="auto" w:sz="4" w:space="0"/>
              <w:left w:val="single" w:color="auto" w:sz="4" w:space="0"/>
              <w:bottom w:val="single" w:color="auto" w:sz="4" w:space="0"/>
              <w:right w:val="single" w:color="auto" w:sz="4" w:space="0"/>
            </w:tcBorders>
            <w:shd w:val="clear" w:color="auto" w:fill="auto"/>
            <w:vAlign w:val="center"/>
          </w:tcPr>
          <w:p w14:paraId="7F2450B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科目编码</w:t>
            </w:r>
          </w:p>
        </w:tc>
        <w:tc>
          <w:tcPr>
            <w:tcW w:w="2347" w:type="dxa"/>
            <w:tcBorders>
              <w:top w:val="single" w:color="auto" w:sz="4" w:space="0"/>
              <w:left w:val="single" w:color="auto" w:sz="4" w:space="0"/>
              <w:bottom w:val="single" w:color="auto" w:sz="4" w:space="0"/>
              <w:right w:val="single" w:color="auto" w:sz="4" w:space="0"/>
            </w:tcBorders>
            <w:shd w:val="clear" w:color="auto" w:fill="auto"/>
            <w:vAlign w:val="center"/>
          </w:tcPr>
          <w:p w14:paraId="45825EC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14:paraId="1832141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决算数</w:t>
            </w:r>
          </w:p>
        </w:tc>
        <w:tc>
          <w:tcPr>
            <w:tcW w:w="1173" w:type="dxa"/>
            <w:tcBorders>
              <w:top w:val="single" w:color="auto" w:sz="4" w:space="0"/>
              <w:left w:val="single" w:color="auto" w:sz="4" w:space="0"/>
              <w:bottom w:val="single" w:color="auto" w:sz="4" w:space="0"/>
              <w:right w:val="single" w:color="auto" w:sz="4" w:space="0"/>
            </w:tcBorders>
            <w:shd w:val="clear" w:color="auto" w:fill="auto"/>
            <w:vAlign w:val="center"/>
          </w:tcPr>
          <w:p w14:paraId="5BDB357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科目编码</w:t>
            </w:r>
          </w:p>
        </w:tc>
        <w:tc>
          <w:tcPr>
            <w:tcW w:w="2147" w:type="dxa"/>
            <w:tcBorders>
              <w:top w:val="single" w:color="auto" w:sz="4" w:space="0"/>
              <w:left w:val="single" w:color="auto" w:sz="4" w:space="0"/>
              <w:bottom w:val="single" w:color="auto" w:sz="4" w:space="0"/>
              <w:right w:val="single" w:color="auto" w:sz="4" w:space="0"/>
            </w:tcBorders>
            <w:shd w:val="clear" w:color="auto" w:fill="auto"/>
            <w:vAlign w:val="center"/>
          </w:tcPr>
          <w:p w14:paraId="6BD87F0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309" w:type="dxa"/>
            <w:tcBorders>
              <w:top w:val="single" w:color="auto" w:sz="4" w:space="0"/>
              <w:left w:val="single" w:color="auto" w:sz="4" w:space="0"/>
              <w:bottom w:val="single" w:color="auto" w:sz="4" w:space="0"/>
              <w:right w:val="single" w:color="auto" w:sz="4" w:space="0"/>
            </w:tcBorders>
            <w:shd w:val="clear" w:color="auto" w:fill="auto"/>
            <w:vAlign w:val="center"/>
          </w:tcPr>
          <w:p w14:paraId="4DDBFCE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决算数</w:t>
            </w:r>
          </w:p>
        </w:tc>
      </w:tr>
      <w:tr w14:paraId="1AC3D16B">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2D276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301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298EA7">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工资福利支出</w:t>
            </w:r>
            <w:bookmarkStart w:id="0" w:name="OLE_LINK3"/>
            <w:bookmarkStart w:id="1" w:name="OLE_LINK4"/>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AEDCA0">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color w:val="000000"/>
                <w:kern w:val="0"/>
                <w:sz w:val="22"/>
                <w:szCs w:val="22"/>
                <w:highlight w:val="none"/>
                <w:lang w:val="en-US" w:eastAsia="zh-CN" w:bidi="ar"/>
              </w:rPr>
              <w:t>1315.20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A12D5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62911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商品和服务支出</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D479DE">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val="en-US" w:eastAsia="zh-CN" w:bidi="ar"/>
              </w:rPr>
              <w:t>61.46</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F80C9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307</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884AF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债务利息及费用支出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E5139B">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14:paraId="6BB0D1AE">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7A6146">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bookmarkStart w:id="2" w:name="OLE_LINK5" w:colFirst="2" w:colLast="2"/>
            <w:r>
              <w:rPr>
                <w:rFonts w:hint="default" w:ascii="宋体" w:hAnsi="宋体" w:eastAsia="宋体" w:cs="宋体"/>
                <w:color w:val="000000"/>
                <w:kern w:val="0"/>
                <w:sz w:val="22"/>
                <w:szCs w:val="22"/>
                <w:highlight w:val="none"/>
                <w:lang w:bidi="ar"/>
              </w:rPr>
              <w:t>30101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88DA33">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基本工资</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463223">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val="en-US" w:eastAsia="zh-CN" w:bidi="ar"/>
              </w:rPr>
              <w:t>372.57</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A38E9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30201</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63791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办公费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FB32A2">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val="en-US" w:eastAsia="zh-CN" w:bidi="ar"/>
              </w:rPr>
              <w:t>4.20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F05FA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30701</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3D9AF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国内债务付息</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07326A">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14:paraId="45824BB1">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D6AD60">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30102</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005A31">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津贴补贴</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CFE55E">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val="en-US" w:eastAsia="zh-CN" w:bidi="ar"/>
              </w:rPr>
              <w:t>287.96</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928D5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30202</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CDF85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印刷费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82BED2">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val="en-US" w:eastAsia="zh-CN" w:bidi="ar"/>
              </w:rPr>
              <w:t>0.44</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CB74A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30702</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5B69A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国外债务付息</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23B9FB">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14:paraId="17D8BF42">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69ED93">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30103</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6F5EFF">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奖金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648584">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val="en-US" w:eastAsia="zh-CN" w:bidi="ar"/>
              </w:rPr>
              <w:t>341.13</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84712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30203</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B2436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咨询费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7C0FA5">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78145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091CB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资本性支出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A59074">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14:paraId="41602E3C">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D79047">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30106</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1203ED">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伙食补助费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222C9D">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val="en-US" w:eastAsia="zh-CN" w:bidi="ar"/>
              </w:rPr>
              <w:t>15.30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A6B88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30204</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F2BF4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手续费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8199CF">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BFCFE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31001</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50A33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房屋建筑物购建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453891">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14:paraId="01C3E196">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E85C4C">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30107</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91EEE2">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绩效工资</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D1579B">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val="en-US" w:eastAsia="zh-CN" w:bidi="ar"/>
              </w:rPr>
              <w:t>3.03</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F7183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30205</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633D0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水费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8E873B">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val="en-US" w:eastAsia="zh-CN" w:bidi="ar"/>
              </w:rPr>
              <w:t>0.07</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D6948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31002</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3BEF3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办公设备购置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A99253">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14:paraId="6E9D3C2F">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781F66">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30108</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8283F8">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机关事业单位基本养老保险缴费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541FA9">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val="en-US" w:eastAsia="zh-CN" w:bidi="ar"/>
              </w:rPr>
              <w:t>132.32</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3A139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30206</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2353C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电费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3F007D">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val="en-US" w:eastAsia="zh-CN" w:bidi="ar"/>
              </w:rPr>
              <w:t>0.10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EFB27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31003</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E809B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专用设备购置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53B93D">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14:paraId="0EA546A2">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BF4643">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30109</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EE9129">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职业年金缴费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F8EC2B">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F6E18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30207</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4E2DC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邮电费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17E7A5">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val="en-US" w:eastAsia="zh-CN" w:bidi="ar"/>
              </w:rPr>
              <w:t>11.87</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704B8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31005</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940AE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基础设施建设</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F0D89C">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14:paraId="1920B034">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3B5329">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30110</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446942">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职工基本医疗保险缴费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FAFEEA">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val="en-US" w:eastAsia="zh-CN" w:bidi="ar"/>
              </w:rPr>
              <w:t>54.14</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11EC2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30208</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764B8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取暖费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7B354A">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4902F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31006</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D78D4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大型修缮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1DAD71">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14:paraId="3CB4D255">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41A05C">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30111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427F69">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公务员医疗补助缴费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ADB9DA">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val="en-US" w:eastAsia="zh-CN"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CB511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30209</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04FC6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物业管理费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3C2006">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val="en-US" w:eastAsia="zh-CN" w:bidi="ar"/>
              </w:rPr>
              <w:t>0.69</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2CD11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31007</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CCD31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信息网络及软件购置更新</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1C1CBA">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14:paraId="2F28CF50">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E234C3">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30112</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F293E3">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其他社会保障缴费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476631">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val="en-US" w:eastAsia="zh-CN" w:bidi="ar"/>
              </w:rPr>
              <w:t>6.81</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3A9E3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30211</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42B51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差旅费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D415B1">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val="en-US" w:eastAsia="zh-CN" w:bidi="ar"/>
              </w:rPr>
              <w:t>6.37</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02B8A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31008</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987F9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物资储备</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A9D2C2">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14:paraId="188C1F97">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A0272F">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30113</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596997">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住房公积金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B3C8C5">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val="en-US" w:eastAsia="zh-CN" w:bidi="ar"/>
              </w:rPr>
              <w:t>100.25</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5C846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30212</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B0B1A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因公出国（境）费用</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C9C19A">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2F904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0B557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土地补偿</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0F5141">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14:paraId="79D34AF6">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40ADC1">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30114</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B9677F">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医疗费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9BC96C">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val="en-US" w:eastAsia="zh-CN" w:bidi="ar"/>
              </w:rPr>
              <w:t>0.50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012FB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30213</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89B5A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维修（护）费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77D55B">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EB49B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31010</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BA7B6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安置补助</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09412D">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14:paraId="33EC0790">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50FD02">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30199</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5724BE">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其他工资福利支出</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D70E6A">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val="en-US" w:eastAsia="zh-CN" w:bidi="ar"/>
              </w:rPr>
              <w:t>1.19</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6867C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30214</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21CFA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租赁费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7115A1">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FFA01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31011</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2F2B0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地上附着物和青苗补偿</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86E9BF">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bookmarkEnd w:id="2"/>
      <w:tr w14:paraId="51DAB4BC">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5FF7EA">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0B8780">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对个人和家庭的补助</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9CC1E0">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val="en-US" w:eastAsia="zh-CN" w:bidi="ar"/>
              </w:rPr>
              <w:t>41.83</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22B0C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30215</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E2FF5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会议费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750836">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val="en-US" w:eastAsia="zh-CN"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5CDCB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31012</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A5E57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拆迁补偿</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5874D3">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14:paraId="44DA6ACE">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AF75D8">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2FE1BB">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离休费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8A51E2">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val="en-US" w:eastAsia="zh-CN"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3B53D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30216</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2E1B9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培训费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06CF0D">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val="en-US" w:eastAsia="zh-CN"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765D5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31013</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77089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公务用车购置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C9473F">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14:paraId="13D9ED30">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8147C7">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30302</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70FFC3">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退休费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29FB7B">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val="en-US" w:eastAsia="zh-CN"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6CFC3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30217</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439CB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公务接待费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D3448B">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C54BD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31019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B2D9A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其他交通工具购置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7723DB">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14:paraId="14F953EF">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61FDED">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30303</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E5AFF2">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退职（役）费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6D9FA0">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510F7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30218</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FCFD3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专用材料费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A568D7">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val="en-US" w:eastAsia="zh-CN" w:bidi="ar"/>
              </w:rPr>
              <w:t>0.44</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0CE63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31021</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505F4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文物和陈列品购置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D249C1">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14:paraId="3EBB5385">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D23F6A">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30304</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FFAF68">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抚恤金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B1C9BF">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val="en-US" w:eastAsia="zh-CN" w:bidi="ar"/>
              </w:rPr>
              <w:t>26.76</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D79B3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30224</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A1461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被装购置费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D0EC54">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ED6C9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31022</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93B8C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无形资产购置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27B8F2">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14:paraId="1FD81A8F">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99785C">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30305</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F8E9EE">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生活补助</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DA653D">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val="en-US" w:eastAsia="zh-CN" w:bidi="ar"/>
              </w:rPr>
              <w:t>13.74</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C8A9E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30225</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65F91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专用燃料费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44E094">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658AF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31099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8D3C5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其他资本性支出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04A215">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14:paraId="7AD9E8D3">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44CF74">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30306</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05A31E">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救济费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3DA927">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3C762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30226</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4983E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劳务费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B05DBD">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val="en-US" w:eastAsia="zh-CN" w:bidi="ar"/>
              </w:rPr>
              <w:t>3.22</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834DE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CD2EF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其他支出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658631">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14:paraId="07182C42">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467C5F">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30307</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AE5144">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医疗费补助</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9C66C0">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E3A42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30227</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95806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委托业务费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5FA74D">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A6EEE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39907</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E25F3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国家赔偿费用支出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BDA015">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14:paraId="378229AB">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61D034">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30308</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2F01EF">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助学金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EC788A">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26659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30228</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D2854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工会经费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5DCA9D">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val="en-US" w:eastAsia="zh-CN" w:bidi="ar"/>
              </w:rPr>
              <w:t>17.64</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875ED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39908</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410EF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对民间非营利组织和群众性自治组织补贴</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F19963">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14:paraId="26C94AC6">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B2B7E7">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30309</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4B050E">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奖励金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DE68C8">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val="en-US" w:eastAsia="zh-CN" w:bidi="ar"/>
              </w:rPr>
              <w:t>0.04</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3499D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30229</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CFF0D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福利费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D43A73">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50868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39909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941C8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经常性赠与</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C989DF">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14:paraId="4274BA44">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8A9289">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30310</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C23CAB">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个人农业生产补贴</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84FC3C">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76111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30231</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EE49F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公务用车运行维护费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DE7BBE">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val="en-US" w:eastAsia="zh-CN" w:bidi="ar"/>
              </w:rPr>
              <w:t>14.32</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7C983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39910</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989CA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资本性赠与</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835724">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14:paraId="2CEC8239">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89CE9E">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30311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8C3865">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代缴社会保险费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CA191D">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F1C90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30239</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D3BB2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其他交通费用</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D79550">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val="en-US" w:eastAsia="zh-CN" w:bidi="ar"/>
              </w:rPr>
              <w:t>1.78</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8E72F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39999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914E5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2E9149">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14:paraId="265A3978">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AF19EC">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30399</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42517F">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其他对个人和家庭的补助</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E958A9">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val="en-US" w:eastAsia="zh-CN" w:bidi="ar"/>
              </w:rPr>
              <w:t>1.29</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B343E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30240</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08C6D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税金及附加费用</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F8A45A">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4C2B2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96CD4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9DBFDE">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14:paraId="3643826C">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2DFC41">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9A619F">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A12C97">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74AB3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30299</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5C0A2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其他商品和服务支出</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77A317">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val="en-US" w:eastAsia="zh-CN" w:bidi="ar"/>
              </w:rPr>
              <w:t>0.32</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57898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99EDC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C04452">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14:paraId="46F2BEEF">
        <w:tblPrEx>
          <w:tblCellMar>
            <w:top w:w="0" w:type="dxa"/>
            <w:left w:w="108" w:type="dxa"/>
            <w:bottom w:w="0" w:type="dxa"/>
            <w:right w:w="108" w:type="dxa"/>
          </w:tblCellMar>
        </w:tblPrEx>
        <w:trPr>
          <w:trHeight w:val="624" w:hRule="atLeast"/>
        </w:trPr>
        <w:tc>
          <w:tcPr>
            <w:tcW w:w="347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6CD548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人员经费合计</w:t>
            </w:r>
            <w:bookmarkEnd w:id="0"/>
            <w:bookmarkEnd w:id="1"/>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1944EA">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val="en-US" w:eastAsia="zh-CN" w:bidi="ar"/>
              </w:rPr>
              <w:t>1357.02</w:t>
            </w:r>
          </w:p>
        </w:tc>
        <w:tc>
          <w:tcPr>
            <w:tcW w:w="362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50BDFF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公用经费合计</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47734E">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val="en-US" w:eastAsia="zh-CN" w:bidi="ar"/>
              </w:rPr>
              <w:t>61.46</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F047E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szCs w:val="22"/>
                <w:highlight w:val="none"/>
                <w:lang w:val="en-US" w:eastAsia="zh-CN"/>
              </w:rPr>
            </w:pP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D2C89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9288E6">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lang w:val="en-US" w:eastAsia="zh-CN"/>
              </w:rPr>
            </w:pPr>
          </w:p>
        </w:tc>
      </w:tr>
      <w:tr w14:paraId="5D170E9F">
        <w:tblPrEx>
          <w:tblCellMar>
            <w:top w:w="0" w:type="dxa"/>
            <w:left w:w="108" w:type="dxa"/>
            <w:bottom w:w="0" w:type="dxa"/>
            <w:right w:w="108" w:type="dxa"/>
          </w:tblCellMar>
        </w:tblPrEx>
        <w:trPr>
          <w:trHeight w:val="319" w:hRule="atLeast"/>
        </w:trPr>
        <w:tc>
          <w:tcPr>
            <w:tcW w:w="14000" w:type="dxa"/>
            <w:gridSpan w:val="9"/>
            <w:tcBorders>
              <w:top w:val="single" w:color="auto" w:sz="4" w:space="0"/>
              <w:left w:val="nil"/>
              <w:bottom w:val="nil"/>
              <w:right w:val="nil"/>
            </w:tcBorders>
            <w:shd w:val="clear" w:color="auto" w:fill="auto"/>
            <w:noWrap/>
            <w:vAlign w:val="center"/>
          </w:tcPr>
          <w:p w14:paraId="7A74F17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注：本表反映部门本年度一般公共预算财政拨款基本支出明细情况。</w:t>
            </w:r>
          </w:p>
        </w:tc>
      </w:tr>
    </w:tbl>
    <w:p w14:paraId="7BB253F1">
      <w:pPr>
        <w:jc w:val="left"/>
        <w:rPr>
          <w:rFonts w:ascii="仿宋" w:hAnsi="仿宋" w:eastAsia="仿宋" w:cs="仿宋"/>
          <w:sz w:val="24"/>
          <w:highlight w:val="none"/>
        </w:rPr>
      </w:pPr>
    </w:p>
    <w:p w14:paraId="5F549D6D">
      <w:pPr>
        <w:rPr>
          <w:rFonts w:ascii="仿宋" w:hAnsi="仿宋" w:eastAsia="仿宋" w:cs="仿宋"/>
          <w:sz w:val="24"/>
          <w:highlight w:val="none"/>
        </w:rPr>
      </w:pPr>
      <w:r>
        <w:rPr>
          <w:rFonts w:ascii="仿宋" w:hAnsi="仿宋" w:eastAsia="仿宋" w:cs="仿宋"/>
          <w:sz w:val="24"/>
          <w:highlight w:val="none"/>
        </w:rPr>
        <w:br w:type="page"/>
      </w:r>
    </w:p>
    <w:p w14:paraId="36095D52">
      <w:pPr>
        <w:jc w:val="left"/>
        <w:rPr>
          <w:rFonts w:hint="eastAsia" w:ascii="仿宋" w:hAnsi="仿宋" w:eastAsia="仿宋" w:cs="仿宋"/>
          <w:sz w:val="24"/>
          <w:highlight w:val="none"/>
        </w:rPr>
      </w:pPr>
      <w:r>
        <w:rPr>
          <w:rFonts w:hint="eastAsia" w:ascii="仿宋" w:hAnsi="仿宋" w:eastAsia="仿宋" w:cs="仿宋"/>
          <w:sz w:val="24"/>
          <w:highlight w:val="none"/>
        </w:rPr>
        <w:t>表</w:t>
      </w:r>
      <w:r>
        <w:rPr>
          <w:rFonts w:hint="eastAsia" w:ascii="仿宋" w:hAnsi="仿宋" w:eastAsia="仿宋" w:cs="仿宋"/>
          <w:sz w:val="24"/>
          <w:highlight w:val="none"/>
          <w:lang w:val="en-US" w:eastAsia="zh-CN"/>
        </w:rPr>
        <w:t>七</w:t>
      </w:r>
      <w:r>
        <w:rPr>
          <w:rFonts w:hint="eastAsia" w:ascii="仿宋" w:hAnsi="仿宋" w:eastAsia="仿宋" w:cs="仿宋"/>
          <w:sz w:val="24"/>
          <w:highlight w:val="none"/>
        </w:rPr>
        <w:t>：政府性基金预算财政拨款收入支出决算表</w:t>
      </w:r>
    </w:p>
    <w:p w14:paraId="05E05FB8">
      <w:pPr>
        <w:jc w:val="left"/>
        <w:rPr>
          <w:rFonts w:hint="eastAsia" w:ascii="仿宋" w:hAnsi="仿宋" w:eastAsia="仿宋" w:cs="仿宋"/>
          <w:sz w:val="24"/>
          <w:highlight w:val="none"/>
        </w:rPr>
      </w:pPr>
    </w:p>
    <w:tbl>
      <w:tblPr>
        <w:tblStyle w:val="7"/>
        <w:tblW w:w="13982" w:type="dxa"/>
        <w:tblInd w:w="96" w:type="dxa"/>
        <w:tblLayout w:type="fixed"/>
        <w:tblCellMar>
          <w:top w:w="0" w:type="dxa"/>
          <w:left w:w="108" w:type="dxa"/>
          <w:bottom w:w="0" w:type="dxa"/>
          <w:right w:w="108" w:type="dxa"/>
        </w:tblCellMar>
      </w:tblPr>
      <w:tblGrid>
        <w:gridCol w:w="1297"/>
        <w:gridCol w:w="240"/>
        <w:gridCol w:w="236"/>
        <w:gridCol w:w="1625"/>
        <w:gridCol w:w="1973"/>
        <w:gridCol w:w="1653"/>
        <w:gridCol w:w="1600"/>
        <w:gridCol w:w="1680"/>
        <w:gridCol w:w="1728"/>
        <w:gridCol w:w="2"/>
        <w:gridCol w:w="1946"/>
        <w:gridCol w:w="2"/>
      </w:tblGrid>
      <w:tr w14:paraId="55318DC0">
        <w:tblPrEx>
          <w:tblCellMar>
            <w:top w:w="0" w:type="dxa"/>
            <w:left w:w="108" w:type="dxa"/>
            <w:bottom w:w="0" w:type="dxa"/>
            <w:right w:w="108" w:type="dxa"/>
          </w:tblCellMar>
        </w:tblPrEx>
        <w:trPr>
          <w:gridAfter w:val="1"/>
          <w:wAfter w:w="2" w:type="dxa"/>
          <w:trHeight w:val="536" w:hRule="atLeast"/>
        </w:trPr>
        <w:tc>
          <w:tcPr>
            <w:tcW w:w="13980" w:type="dxa"/>
            <w:gridSpan w:val="11"/>
            <w:tcBorders>
              <w:top w:val="nil"/>
              <w:left w:val="nil"/>
              <w:bottom w:val="nil"/>
              <w:right w:val="nil"/>
            </w:tcBorders>
            <w:shd w:val="clear" w:color="auto" w:fill="auto"/>
            <w:noWrap/>
            <w:vAlign w:val="bottom"/>
          </w:tcPr>
          <w:p w14:paraId="1AC0B091">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政府性基金预算财政拨款收入支出决算表</w:t>
            </w:r>
          </w:p>
        </w:tc>
      </w:tr>
      <w:tr w14:paraId="441C6800">
        <w:tblPrEx>
          <w:tblCellMar>
            <w:top w:w="0" w:type="dxa"/>
            <w:left w:w="108" w:type="dxa"/>
            <w:bottom w:w="0" w:type="dxa"/>
            <w:right w:w="108" w:type="dxa"/>
          </w:tblCellMar>
        </w:tblPrEx>
        <w:trPr>
          <w:trHeight w:val="268" w:hRule="atLeast"/>
        </w:trPr>
        <w:tc>
          <w:tcPr>
            <w:tcW w:w="1297" w:type="dxa"/>
            <w:tcBorders>
              <w:top w:val="nil"/>
              <w:left w:val="nil"/>
              <w:bottom w:val="nil"/>
              <w:right w:val="nil"/>
            </w:tcBorders>
            <w:shd w:val="clear" w:color="auto" w:fill="auto"/>
            <w:noWrap/>
            <w:vAlign w:val="bottom"/>
          </w:tcPr>
          <w:p w14:paraId="163C23D6">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40" w:type="dxa"/>
            <w:tcBorders>
              <w:top w:val="nil"/>
              <w:left w:val="nil"/>
              <w:bottom w:val="nil"/>
              <w:right w:val="nil"/>
            </w:tcBorders>
            <w:shd w:val="clear" w:color="auto" w:fill="auto"/>
            <w:noWrap/>
            <w:vAlign w:val="bottom"/>
          </w:tcPr>
          <w:p w14:paraId="2748C9BC">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6" w:type="dxa"/>
            <w:tcBorders>
              <w:top w:val="nil"/>
              <w:left w:val="nil"/>
              <w:bottom w:val="nil"/>
              <w:right w:val="nil"/>
            </w:tcBorders>
            <w:shd w:val="clear" w:color="auto" w:fill="auto"/>
            <w:noWrap/>
            <w:vAlign w:val="bottom"/>
          </w:tcPr>
          <w:p w14:paraId="19BF0588">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25" w:type="dxa"/>
            <w:tcBorders>
              <w:top w:val="nil"/>
              <w:left w:val="nil"/>
              <w:bottom w:val="nil"/>
              <w:right w:val="nil"/>
            </w:tcBorders>
            <w:shd w:val="clear" w:color="auto" w:fill="auto"/>
            <w:noWrap/>
            <w:vAlign w:val="bottom"/>
          </w:tcPr>
          <w:p w14:paraId="246CF042">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73" w:type="dxa"/>
            <w:tcBorders>
              <w:top w:val="nil"/>
              <w:left w:val="nil"/>
              <w:bottom w:val="nil"/>
              <w:right w:val="nil"/>
            </w:tcBorders>
            <w:shd w:val="clear" w:color="auto" w:fill="auto"/>
            <w:noWrap/>
            <w:vAlign w:val="bottom"/>
          </w:tcPr>
          <w:p w14:paraId="6D6F7EF9">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53" w:type="dxa"/>
            <w:tcBorders>
              <w:top w:val="nil"/>
              <w:left w:val="nil"/>
              <w:bottom w:val="nil"/>
              <w:right w:val="nil"/>
            </w:tcBorders>
            <w:shd w:val="clear" w:color="auto" w:fill="auto"/>
            <w:noWrap/>
            <w:vAlign w:val="bottom"/>
          </w:tcPr>
          <w:p w14:paraId="3252D686">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00" w:type="dxa"/>
            <w:tcBorders>
              <w:top w:val="nil"/>
              <w:left w:val="nil"/>
              <w:bottom w:val="nil"/>
              <w:right w:val="nil"/>
            </w:tcBorders>
            <w:shd w:val="clear" w:color="auto" w:fill="auto"/>
            <w:noWrap/>
            <w:vAlign w:val="bottom"/>
          </w:tcPr>
          <w:p w14:paraId="6C0910D7">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80" w:type="dxa"/>
            <w:tcBorders>
              <w:top w:val="nil"/>
              <w:left w:val="nil"/>
              <w:bottom w:val="nil"/>
              <w:right w:val="nil"/>
            </w:tcBorders>
            <w:shd w:val="clear" w:color="auto" w:fill="auto"/>
            <w:noWrap/>
            <w:vAlign w:val="bottom"/>
          </w:tcPr>
          <w:p w14:paraId="05EC40BC">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30" w:type="dxa"/>
            <w:gridSpan w:val="2"/>
            <w:tcBorders>
              <w:top w:val="nil"/>
              <w:left w:val="nil"/>
              <w:bottom w:val="nil"/>
              <w:right w:val="nil"/>
            </w:tcBorders>
            <w:shd w:val="clear" w:color="auto" w:fill="auto"/>
            <w:noWrap/>
            <w:vAlign w:val="bottom"/>
          </w:tcPr>
          <w:p w14:paraId="2FC32E90">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48" w:type="dxa"/>
            <w:gridSpan w:val="2"/>
            <w:tcBorders>
              <w:top w:val="nil"/>
              <w:left w:val="nil"/>
              <w:bottom w:val="nil"/>
              <w:right w:val="nil"/>
            </w:tcBorders>
            <w:shd w:val="clear" w:color="auto" w:fill="auto"/>
            <w:noWrap/>
            <w:vAlign w:val="bottom"/>
          </w:tcPr>
          <w:p w14:paraId="3E7EDF7F">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w:t>
            </w:r>
            <w:r>
              <w:rPr>
                <w:rFonts w:hint="eastAsia" w:ascii="宋体" w:hAnsi="宋体" w:eastAsia="宋体" w:cs="宋体"/>
                <w:color w:val="000000"/>
                <w:kern w:val="0"/>
                <w:sz w:val="20"/>
                <w:szCs w:val="20"/>
                <w:highlight w:val="none"/>
                <w:lang w:val="en-US" w:eastAsia="zh-CN" w:bidi="ar"/>
              </w:rPr>
              <w:t>7</w:t>
            </w:r>
            <w:r>
              <w:rPr>
                <w:rFonts w:hint="eastAsia" w:ascii="宋体" w:hAnsi="宋体" w:eastAsia="宋体" w:cs="宋体"/>
                <w:color w:val="000000"/>
                <w:kern w:val="0"/>
                <w:sz w:val="20"/>
                <w:szCs w:val="20"/>
                <w:highlight w:val="none"/>
                <w:lang w:bidi="ar"/>
              </w:rPr>
              <w:t>表</w:t>
            </w:r>
          </w:p>
        </w:tc>
      </w:tr>
      <w:tr w14:paraId="48031063">
        <w:tblPrEx>
          <w:tblCellMar>
            <w:top w:w="0" w:type="dxa"/>
            <w:left w:w="108" w:type="dxa"/>
            <w:bottom w:w="0" w:type="dxa"/>
            <w:right w:w="108" w:type="dxa"/>
          </w:tblCellMar>
        </w:tblPrEx>
        <w:trPr>
          <w:gridAfter w:val="1"/>
          <w:wAfter w:w="2" w:type="dxa"/>
          <w:trHeight w:val="268" w:hRule="atLeast"/>
        </w:trPr>
        <w:tc>
          <w:tcPr>
            <w:tcW w:w="8624" w:type="dxa"/>
            <w:gridSpan w:val="7"/>
            <w:tcBorders>
              <w:top w:val="nil"/>
              <w:left w:val="nil"/>
              <w:bottom w:val="single" w:color="auto" w:sz="4" w:space="0"/>
              <w:right w:val="nil"/>
            </w:tcBorders>
            <w:shd w:val="clear" w:color="auto" w:fill="auto"/>
            <w:noWrap/>
            <w:vAlign w:val="bottom"/>
          </w:tcPr>
          <w:p w14:paraId="02711E59">
            <w:pPr>
              <w:keepNext w:val="0"/>
              <w:keepLines w:val="0"/>
              <w:suppressLineNumbers w:val="0"/>
              <w:spacing w:before="0" w:beforeAutospacing="0" w:after="0" w:afterAutospacing="0"/>
              <w:ind w:left="0" w:right="0"/>
              <w:rPr>
                <w:rFonts w:hint="eastAsia" w:ascii="Arial" w:hAnsi="Arial" w:eastAsia="宋体" w:cs="Arial"/>
                <w:color w:val="000000"/>
                <w:sz w:val="20"/>
                <w:szCs w:val="20"/>
                <w:highlight w:val="none"/>
                <w:lang w:eastAsia="zh-CN"/>
              </w:rPr>
            </w:pPr>
            <w:r>
              <w:rPr>
                <w:rFonts w:hint="eastAsia" w:ascii="宋体" w:hAnsi="宋体" w:eastAsia="宋体" w:cs="宋体"/>
                <w:color w:val="000000"/>
                <w:kern w:val="0"/>
                <w:sz w:val="20"/>
                <w:szCs w:val="20"/>
                <w:highlight w:val="none"/>
                <w:lang w:bidi="ar"/>
              </w:rPr>
              <w:t>部门：</w:t>
            </w:r>
            <w:r>
              <w:rPr>
                <w:rFonts w:hint="eastAsia" w:ascii="宋体" w:hAnsi="宋体" w:eastAsia="宋体" w:cs="宋体"/>
                <w:color w:val="000000"/>
                <w:sz w:val="20"/>
                <w:u w:color="auto"/>
                <w:lang w:eastAsia="zh-CN"/>
              </w:rPr>
              <w:t>广西河池市中国共产党环江毛南族自治县纪律检查委员会</w:t>
            </w:r>
          </w:p>
        </w:tc>
        <w:tc>
          <w:tcPr>
            <w:tcW w:w="1680" w:type="dxa"/>
            <w:tcBorders>
              <w:top w:val="nil"/>
              <w:left w:val="nil"/>
              <w:bottom w:val="single" w:color="auto" w:sz="4" w:space="0"/>
              <w:right w:val="nil"/>
            </w:tcBorders>
            <w:shd w:val="clear" w:color="auto" w:fill="auto"/>
            <w:noWrap/>
            <w:vAlign w:val="bottom"/>
          </w:tcPr>
          <w:p w14:paraId="205F9865">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28" w:type="dxa"/>
            <w:tcBorders>
              <w:top w:val="nil"/>
              <w:left w:val="nil"/>
              <w:bottom w:val="single" w:color="auto" w:sz="4" w:space="0"/>
              <w:right w:val="nil"/>
            </w:tcBorders>
            <w:shd w:val="clear" w:color="auto" w:fill="auto"/>
            <w:noWrap/>
            <w:vAlign w:val="bottom"/>
          </w:tcPr>
          <w:p w14:paraId="28D54C1E">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48" w:type="dxa"/>
            <w:gridSpan w:val="2"/>
            <w:tcBorders>
              <w:top w:val="nil"/>
              <w:left w:val="nil"/>
              <w:bottom w:val="single" w:color="auto" w:sz="4" w:space="0"/>
              <w:right w:val="nil"/>
            </w:tcBorders>
            <w:shd w:val="clear" w:color="auto" w:fill="auto"/>
            <w:noWrap/>
            <w:vAlign w:val="bottom"/>
          </w:tcPr>
          <w:p w14:paraId="7E021670">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14:paraId="434E8F6C">
        <w:tblPrEx>
          <w:tblCellMar>
            <w:top w:w="0" w:type="dxa"/>
            <w:left w:w="108" w:type="dxa"/>
            <w:bottom w:w="0" w:type="dxa"/>
            <w:right w:w="108" w:type="dxa"/>
          </w:tblCellMar>
        </w:tblPrEx>
        <w:trPr>
          <w:gridAfter w:val="1"/>
          <w:wAfter w:w="2" w:type="dxa"/>
          <w:trHeight w:val="277" w:hRule="atLeast"/>
        </w:trPr>
        <w:tc>
          <w:tcPr>
            <w:tcW w:w="339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18B9A2D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19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D258C0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年初结转和结余</w:t>
            </w:r>
          </w:p>
        </w:tc>
        <w:tc>
          <w:tcPr>
            <w:tcW w:w="16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208777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本年收入</w:t>
            </w:r>
          </w:p>
        </w:tc>
        <w:tc>
          <w:tcPr>
            <w:tcW w:w="50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D3EF8E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本年支出</w:t>
            </w:r>
          </w:p>
        </w:tc>
        <w:tc>
          <w:tcPr>
            <w:tcW w:w="194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A9C890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年末结转和结余</w:t>
            </w:r>
          </w:p>
        </w:tc>
      </w:tr>
      <w:tr w14:paraId="26E33A74">
        <w:tblPrEx>
          <w:tblCellMar>
            <w:top w:w="0" w:type="dxa"/>
            <w:left w:w="108" w:type="dxa"/>
            <w:bottom w:w="0" w:type="dxa"/>
            <w:right w:w="108" w:type="dxa"/>
          </w:tblCellMar>
        </w:tblPrEx>
        <w:trPr>
          <w:gridAfter w:val="1"/>
          <w:wAfter w:w="2" w:type="dxa"/>
          <w:trHeight w:val="312" w:hRule="atLeast"/>
        </w:trPr>
        <w:tc>
          <w:tcPr>
            <w:tcW w:w="1537"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7D01C5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功能分类科目编码</w:t>
            </w:r>
          </w:p>
        </w:tc>
        <w:tc>
          <w:tcPr>
            <w:tcW w:w="1861"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3A9EEFE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9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EC16B4F">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0745024">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D6D214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小计</w:t>
            </w:r>
          </w:p>
        </w:tc>
        <w:tc>
          <w:tcPr>
            <w:tcW w:w="16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A12FCF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基本支出</w:t>
            </w:r>
          </w:p>
        </w:tc>
        <w:tc>
          <w:tcPr>
            <w:tcW w:w="172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B9DF01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项目支出</w:t>
            </w:r>
          </w:p>
        </w:tc>
        <w:tc>
          <w:tcPr>
            <w:tcW w:w="194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02A76CF">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14:paraId="3AC54CFA">
        <w:tblPrEx>
          <w:tblCellMar>
            <w:top w:w="0" w:type="dxa"/>
            <w:left w:w="108" w:type="dxa"/>
            <w:bottom w:w="0" w:type="dxa"/>
            <w:right w:w="108" w:type="dxa"/>
          </w:tblCellMar>
        </w:tblPrEx>
        <w:trPr>
          <w:gridAfter w:val="1"/>
          <w:wAfter w:w="2" w:type="dxa"/>
          <w:trHeight w:val="312" w:hRule="atLeast"/>
        </w:trPr>
        <w:tc>
          <w:tcPr>
            <w:tcW w:w="153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97E1EC6">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861"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F230CA8">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2A49FB1">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99FC1D5">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5828B79">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6670DC2">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2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80942B4">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4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56BC1DF">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14:paraId="6D580238">
        <w:tblPrEx>
          <w:tblCellMar>
            <w:top w:w="0" w:type="dxa"/>
            <w:left w:w="108" w:type="dxa"/>
            <w:bottom w:w="0" w:type="dxa"/>
            <w:right w:w="108" w:type="dxa"/>
          </w:tblCellMar>
        </w:tblPrEx>
        <w:trPr>
          <w:gridAfter w:val="1"/>
          <w:wAfter w:w="2" w:type="dxa"/>
          <w:trHeight w:val="312" w:hRule="atLeast"/>
        </w:trPr>
        <w:tc>
          <w:tcPr>
            <w:tcW w:w="153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4362F98">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861"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429B0F6">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66B33B8">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C0098D5">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9961C26">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B331990">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2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81E4255">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4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FAFBDA2">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14:paraId="30651811">
        <w:tblPrEx>
          <w:tblCellMar>
            <w:top w:w="0" w:type="dxa"/>
            <w:left w:w="108" w:type="dxa"/>
            <w:bottom w:w="0" w:type="dxa"/>
            <w:right w:w="108" w:type="dxa"/>
          </w:tblCellMar>
        </w:tblPrEx>
        <w:trPr>
          <w:gridAfter w:val="1"/>
          <w:wAfter w:w="2" w:type="dxa"/>
          <w:trHeight w:val="277" w:hRule="atLeast"/>
        </w:trPr>
        <w:tc>
          <w:tcPr>
            <w:tcW w:w="339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6B7F6AD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A0D2F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399D4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D2D6D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F1C8D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4</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E86A5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5</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3FB44A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6</w:t>
            </w:r>
          </w:p>
        </w:tc>
      </w:tr>
      <w:tr w14:paraId="08FB2F18">
        <w:tblPrEx>
          <w:tblCellMar>
            <w:top w:w="0" w:type="dxa"/>
            <w:left w:w="108" w:type="dxa"/>
            <w:bottom w:w="0" w:type="dxa"/>
            <w:right w:w="108" w:type="dxa"/>
          </w:tblCellMar>
        </w:tblPrEx>
        <w:trPr>
          <w:gridAfter w:val="1"/>
          <w:wAfter w:w="2" w:type="dxa"/>
          <w:trHeight w:val="277" w:hRule="atLeast"/>
        </w:trPr>
        <w:tc>
          <w:tcPr>
            <w:tcW w:w="339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741C5F1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71D04E">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 xml:space="preserve"> </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AF7CB9">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AF57B4">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ECB803">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C195AA">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9B3420A">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r>
      <w:tr w14:paraId="6B58085A">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F3F7B96">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851F80D">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42F673">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B6762B">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1E1A3F">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58C62A">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2E9803">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2DB4C64">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14:paraId="26D7740D">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B6997B0">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63B02F5">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8C5970">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BB8D2C">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6BD0FF">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B09499">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F465ED">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FDC4181">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14:paraId="49483F4A">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4A41585">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9D49EC8">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6EEBC9">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4CE5E0">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FCA7E6">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C01D9D">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688796">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A2DFE2A">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14:paraId="1ADC822B">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000000" w:sz="4" w:space="0"/>
              <w:bottom w:val="single" w:color="000000" w:sz="4" w:space="0"/>
              <w:right w:val="single" w:color="000000" w:sz="4" w:space="0"/>
            </w:tcBorders>
            <w:shd w:val="clear" w:color="auto" w:fill="auto"/>
            <w:noWrap/>
            <w:vAlign w:val="center"/>
          </w:tcPr>
          <w:p w14:paraId="56438025">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861" w:type="dxa"/>
            <w:gridSpan w:val="2"/>
            <w:tcBorders>
              <w:top w:val="single" w:color="auto" w:sz="4" w:space="0"/>
              <w:left w:val="nil"/>
              <w:bottom w:val="single" w:color="000000" w:sz="4" w:space="0"/>
              <w:right w:val="single" w:color="000000" w:sz="4" w:space="0"/>
            </w:tcBorders>
            <w:shd w:val="clear" w:color="auto" w:fill="auto"/>
            <w:noWrap/>
            <w:vAlign w:val="center"/>
          </w:tcPr>
          <w:p w14:paraId="3859BF77">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973" w:type="dxa"/>
            <w:tcBorders>
              <w:top w:val="single" w:color="auto" w:sz="4" w:space="0"/>
              <w:left w:val="nil"/>
              <w:bottom w:val="single" w:color="000000" w:sz="4" w:space="0"/>
              <w:right w:val="single" w:color="000000" w:sz="4" w:space="0"/>
            </w:tcBorders>
            <w:shd w:val="clear" w:color="auto" w:fill="auto"/>
            <w:noWrap/>
            <w:vAlign w:val="center"/>
          </w:tcPr>
          <w:p w14:paraId="59AFFB2C">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53" w:type="dxa"/>
            <w:tcBorders>
              <w:top w:val="single" w:color="auto" w:sz="4" w:space="0"/>
              <w:left w:val="nil"/>
              <w:bottom w:val="single" w:color="000000" w:sz="4" w:space="0"/>
              <w:right w:val="single" w:color="000000" w:sz="4" w:space="0"/>
            </w:tcBorders>
            <w:shd w:val="clear" w:color="auto" w:fill="auto"/>
            <w:noWrap/>
            <w:vAlign w:val="center"/>
          </w:tcPr>
          <w:p w14:paraId="5DF51036">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00" w:type="dxa"/>
            <w:tcBorders>
              <w:top w:val="single" w:color="auto" w:sz="4" w:space="0"/>
              <w:left w:val="nil"/>
              <w:bottom w:val="single" w:color="000000" w:sz="4" w:space="0"/>
              <w:right w:val="single" w:color="000000" w:sz="4" w:space="0"/>
            </w:tcBorders>
            <w:shd w:val="clear" w:color="auto" w:fill="auto"/>
            <w:noWrap/>
            <w:vAlign w:val="center"/>
          </w:tcPr>
          <w:p w14:paraId="507DE79C">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80" w:type="dxa"/>
            <w:tcBorders>
              <w:top w:val="single" w:color="auto" w:sz="4" w:space="0"/>
              <w:left w:val="nil"/>
              <w:bottom w:val="single" w:color="000000" w:sz="4" w:space="0"/>
              <w:right w:val="single" w:color="000000" w:sz="4" w:space="0"/>
            </w:tcBorders>
            <w:shd w:val="clear" w:color="auto" w:fill="auto"/>
            <w:noWrap/>
            <w:vAlign w:val="center"/>
          </w:tcPr>
          <w:p w14:paraId="4B33CE26">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728" w:type="dxa"/>
            <w:tcBorders>
              <w:top w:val="single" w:color="auto" w:sz="4" w:space="0"/>
              <w:left w:val="nil"/>
              <w:bottom w:val="single" w:color="000000" w:sz="4" w:space="0"/>
              <w:right w:val="single" w:color="000000" w:sz="4" w:space="0"/>
            </w:tcBorders>
            <w:shd w:val="clear" w:color="auto" w:fill="auto"/>
            <w:noWrap/>
            <w:vAlign w:val="center"/>
          </w:tcPr>
          <w:p w14:paraId="44B3FB4F">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948" w:type="dxa"/>
            <w:gridSpan w:val="2"/>
            <w:tcBorders>
              <w:top w:val="single" w:color="auto" w:sz="4" w:space="0"/>
              <w:left w:val="nil"/>
              <w:bottom w:val="single" w:color="000000" w:sz="4" w:space="0"/>
              <w:right w:val="single" w:color="000000" w:sz="4" w:space="0"/>
            </w:tcBorders>
            <w:shd w:val="clear" w:color="auto" w:fill="auto"/>
            <w:noWrap/>
            <w:vAlign w:val="center"/>
          </w:tcPr>
          <w:p w14:paraId="050F3F41">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14:paraId="3375D1AE">
        <w:tblPrEx>
          <w:tblCellMar>
            <w:top w:w="0" w:type="dxa"/>
            <w:left w:w="108" w:type="dxa"/>
            <w:bottom w:w="0" w:type="dxa"/>
            <w:right w:w="108" w:type="dxa"/>
          </w:tblCellMar>
        </w:tblPrEx>
        <w:trPr>
          <w:gridAfter w:val="1"/>
          <w:wAfter w:w="2" w:type="dxa"/>
          <w:trHeight w:val="277" w:hRule="atLeast"/>
        </w:trPr>
        <w:tc>
          <w:tcPr>
            <w:tcW w:w="1537" w:type="dxa"/>
            <w:gridSpan w:val="2"/>
            <w:tcBorders>
              <w:top w:val="nil"/>
              <w:left w:val="single" w:color="000000" w:sz="4" w:space="0"/>
              <w:bottom w:val="single" w:color="000000" w:sz="4" w:space="0"/>
              <w:right w:val="single" w:color="000000" w:sz="4" w:space="0"/>
            </w:tcBorders>
            <w:shd w:val="clear" w:color="auto" w:fill="auto"/>
            <w:noWrap/>
            <w:vAlign w:val="center"/>
          </w:tcPr>
          <w:p w14:paraId="2439165E">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861" w:type="dxa"/>
            <w:gridSpan w:val="2"/>
            <w:tcBorders>
              <w:top w:val="nil"/>
              <w:left w:val="nil"/>
              <w:bottom w:val="single" w:color="000000" w:sz="4" w:space="0"/>
              <w:right w:val="single" w:color="000000" w:sz="4" w:space="0"/>
            </w:tcBorders>
            <w:shd w:val="clear" w:color="auto" w:fill="auto"/>
            <w:noWrap/>
            <w:vAlign w:val="center"/>
          </w:tcPr>
          <w:p w14:paraId="368F0E92">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973" w:type="dxa"/>
            <w:tcBorders>
              <w:top w:val="nil"/>
              <w:left w:val="nil"/>
              <w:bottom w:val="single" w:color="000000" w:sz="4" w:space="0"/>
              <w:right w:val="single" w:color="000000" w:sz="4" w:space="0"/>
            </w:tcBorders>
            <w:shd w:val="clear" w:color="auto" w:fill="auto"/>
            <w:noWrap/>
            <w:vAlign w:val="center"/>
          </w:tcPr>
          <w:p w14:paraId="36EBF232">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53" w:type="dxa"/>
            <w:tcBorders>
              <w:top w:val="nil"/>
              <w:left w:val="nil"/>
              <w:bottom w:val="single" w:color="000000" w:sz="4" w:space="0"/>
              <w:right w:val="single" w:color="000000" w:sz="4" w:space="0"/>
            </w:tcBorders>
            <w:shd w:val="clear" w:color="auto" w:fill="auto"/>
            <w:noWrap/>
            <w:vAlign w:val="center"/>
          </w:tcPr>
          <w:p w14:paraId="66040D5C">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00" w:type="dxa"/>
            <w:tcBorders>
              <w:top w:val="nil"/>
              <w:left w:val="nil"/>
              <w:bottom w:val="single" w:color="000000" w:sz="4" w:space="0"/>
              <w:right w:val="single" w:color="000000" w:sz="4" w:space="0"/>
            </w:tcBorders>
            <w:shd w:val="clear" w:color="auto" w:fill="auto"/>
            <w:noWrap/>
            <w:vAlign w:val="center"/>
          </w:tcPr>
          <w:p w14:paraId="5C5A41B1">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80" w:type="dxa"/>
            <w:tcBorders>
              <w:top w:val="nil"/>
              <w:left w:val="nil"/>
              <w:bottom w:val="single" w:color="000000" w:sz="4" w:space="0"/>
              <w:right w:val="single" w:color="000000" w:sz="4" w:space="0"/>
            </w:tcBorders>
            <w:shd w:val="clear" w:color="auto" w:fill="auto"/>
            <w:noWrap/>
            <w:vAlign w:val="center"/>
          </w:tcPr>
          <w:p w14:paraId="48429F8D">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728" w:type="dxa"/>
            <w:tcBorders>
              <w:top w:val="nil"/>
              <w:left w:val="nil"/>
              <w:bottom w:val="single" w:color="000000" w:sz="4" w:space="0"/>
              <w:right w:val="single" w:color="000000" w:sz="4" w:space="0"/>
            </w:tcBorders>
            <w:shd w:val="clear" w:color="auto" w:fill="auto"/>
            <w:noWrap/>
            <w:vAlign w:val="center"/>
          </w:tcPr>
          <w:p w14:paraId="2E4A5A32">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948" w:type="dxa"/>
            <w:gridSpan w:val="2"/>
            <w:tcBorders>
              <w:top w:val="nil"/>
              <w:left w:val="nil"/>
              <w:bottom w:val="single" w:color="000000" w:sz="4" w:space="0"/>
              <w:right w:val="single" w:color="000000" w:sz="4" w:space="0"/>
            </w:tcBorders>
            <w:shd w:val="clear" w:color="auto" w:fill="auto"/>
            <w:noWrap/>
            <w:vAlign w:val="center"/>
          </w:tcPr>
          <w:p w14:paraId="1EF78BF2">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14:paraId="204D3517">
        <w:tblPrEx>
          <w:tblCellMar>
            <w:top w:w="0" w:type="dxa"/>
            <w:left w:w="108" w:type="dxa"/>
            <w:bottom w:w="0" w:type="dxa"/>
            <w:right w:w="108" w:type="dxa"/>
          </w:tblCellMar>
        </w:tblPrEx>
        <w:trPr>
          <w:gridAfter w:val="1"/>
          <w:wAfter w:w="2" w:type="dxa"/>
          <w:trHeight w:val="277" w:hRule="atLeast"/>
        </w:trPr>
        <w:tc>
          <w:tcPr>
            <w:tcW w:w="13980" w:type="dxa"/>
            <w:gridSpan w:val="11"/>
            <w:tcBorders>
              <w:top w:val="nil"/>
              <w:left w:val="nil"/>
              <w:bottom w:val="nil"/>
              <w:right w:val="nil"/>
            </w:tcBorders>
            <w:shd w:val="clear" w:color="auto" w:fill="auto"/>
            <w:noWrap/>
            <w:vAlign w:val="center"/>
          </w:tcPr>
          <w:p w14:paraId="190BC85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注：本表反映部门本年度政府性基金预算财政拨款收入、支出及结转和结余情况。</w:t>
            </w:r>
          </w:p>
          <w:p w14:paraId="35F36598">
            <w:pPr>
              <w:keepNext w:val="0"/>
              <w:keepLines w:val="0"/>
              <w:widowControl w:val="0"/>
              <w:suppressLineNumbers w:val="0"/>
              <w:spacing w:before="0" w:beforeAutospacing="0" w:after="0" w:afterAutospacing="0"/>
              <w:ind w:left="0" w:right="0"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2"/>
                <w:sz w:val="32"/>
                <w:szCs w:val="32"/>
                <w:lang w:val="en-US" w:eastAsia="zh-CN" w:bidi="ar"/>
              </w:rPr>
              <w:t>本部门2022年度没有政府性基金预算财政拨款收入，也没有政府性基金预算财政拨款安排的支出，故本表无数据。</w:t>
            </w:r>
          </w:p>
          <w:p w14:paraId="277BEEC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r>
    </w:tbl>
    <w:p w14:paraId="312C1E61">
      <w:pPr>
        <w:rPr>
          <w:rFonts w:ascii="仿宋" w:hAnsi="仿宋" w:eastAsia="仿宋" w:cs="仿宋"/>
          <w:sz w:val="24"/>
          <w:highlight w:val="none"/>
        </w:rPr>
      </w:pPr>
      <w:r>
        <w:rPr>
          <w:rFonts w:ascii="仿宋" w:hAnsi="仿宋" w:eastAsia="仿宋" w:cs="仿宋"/>
          <w:sz w:val="24"/>
          <w:highlight w:val="none"/>
        </w:rPr>
        <w:br w:type="page"/>
      </w:r>
    </w:p>
    <w:p w14:paraId="0A2A1EA0">
      <w:pPr>
        <w:jc w:val="left"/>
        <w:rPr>
          <w:rFonts w:ascii="仿宋" w:hAnsi="仿宋" w:eastAsia="仿宋" w:cs="仿宋"/>
          <w:sz w:val="24"/>
          <w:highlight w:val="none"/>
        </w:rPr>
      </w:pPr>
    </w:p>
    <w:p w14:paraId="6E48912D">
      <w:pPr>
        <w:jc w:val="left"/>
        <w:rPr>
          <w:rFonts w:hint="eastAsia" w:ascii="仿宋" w:hAnsi="仿宋" w:eastAsia="仿宋" w:cs="仿宋"/>
          <w:sz w:val="24"/>
          <w:highlight w:val="none"/>
        </w:rPr>
      </w:pPr>
      <w:r>
        <w:rPr>
          <w:rFonts w:hint="eastAsia" w:ascii="仿宋" w:hAnsi="仿宋" w:eastAsia="仿宋" w:cs="仿宋"/>
          <w:sz w:val="24"/>
          <w:highlight w:val="none"/>
        </w:rPr>
        <w:t>表</w:t>
      </w:r>
      <w:r>
        <w:rPr>
          <w:rFonts w:hint="eastAsia" w:ascii="仿宋" w:hAnsi="仿宋" w:eastAsia="仿宋" w:cs="仿宋"/>
          <w:sz w:val="24"/>
          <w:highlight w:val="none"/>
          <w:lang w:val="en-US" w:eastAsia="zh-CN"/>
        </w:rPr>
        <w:t>八</w:t>
      </w:r>
      <w:r>
        <w:rPr>
          <w:rFonts w:hint="eastAsia" w:ascii="仿宋" w:hAnsi="仿宋" w:eastAsia="仿宋" w:cs="仿宋"/>
          <w:sz w:val="24"/>
          <w:highlight w:val="none"/>
        </w:rPr>
        <w:t>：国有资本经营预算财政拨款支出决算表</w:t>
      </w:r>
    </w:p>
    <w:p w14:paraId="4DA15376">
      <w:pPr>
        <w:jc w:val="left"/>
        <w:rPr>
          <w:rFonts w:hint="eastAsia" w:ascii="仿宋" w:hAnsi="仿宋" w:eastAsia="仿宋" w:cs="仿宋"/>
          <w:sz w:val="24"/>
          <w:highlight w:val="none"/>
        </w:rPr>
      </w:pPr>
    </w:p>
    <w:tbl>
      <w:tblPr>
        <w:tblStyle w:val="7"/>
        <w:tblW w:w="13940" w:type="dxa"/>
        <w:tblInd w:w="96" w:type="dxa"/>
        <w:tblLayout w:type="fixed"/>
        <w:tblCellMar>
          <w:top w:w="0" w:type="dxa"/>
          <w:left w:w="108" w:type="dxa"/>
          <w:bottom w:w="0" w:type="dxa"/>
          <w:right w:w="108" w:type="dxa"/>
        </w:tblCellMar>
      </w:tblPr>
      <w:tblGrid>
        <w:gridCol w:w="1638"/>
        <w:gridCol w:w="501"/>
        <w:gridCol w:w="285"/>
        <w:gridCol w:w="363"/>
        <w:gridCol w:w="1960"/>
        <w:gridCol w:w="2993"/>
        <w:gridCol w:w="3135"/>
        <w:gridCol w:w="3065"/>
      </w:tblGrid>
      <w:tr w14:paraId="183156AA">
        <w:tblPrEx>
          <w:tblCellMar>
            <w:top w:w="0" w:type="dxa"/>
            <w:left w:w="108" w:type="dxa"/>
            <w:bottom w:w="0" w:type="dxa"/>
            <w:right w:w="108" w:type="dxa"/>
          </w:tblCellMar>
        </w:tblPrEx>
        <w:trPr>
          <w:trHeight w:val="384" w:hRule="atLeast"/>
        </w:trPr>
        <w:tc>
          <w:tcPr>
            <w:tcW w:w="13940" w:type="dxa"/>
            <w:gridSpan w:val="8"/>
            <w:tcBorders>
              <w:top w:val="nil"/>
              <w:left w:val="nil"/>
              <w:bottom w:val="nil"/>
              <w:right w:val="nil"/>
            </w:tcBorders>
            <w:shd w:val="clear" w:color="auto" w:fill="auto"/>
            <w:noWrap/>
            <w:vAlign w:val="bottom"/>
          </w:tcPr>
          <w:p w14:paraId="3A1535F6">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国有资本经营预算财政拨款支出决算表</w:t>
            </w:r>
          </w:p>
        </w:tc>
      </w:tr>
      <w:tr w14:paraId="6CD42E78">
        <w:tblPrEx>
          <w:tblCellMar>
            <w:top w:w="0" w:type="dxa"/>
            <w:left w:w="108" w:type="dxa"/>
            <w:bottom w:w="0" w:type="dxa"/>
            <w:right w:w="108" w:type="dxa"/>
          </w:tblCellMar>
        </w:tblPrEx>
        <w:trPr>
          <w:trHeight w:val="264" w:hRule="atLeast"/>
        </w:trPr>
        <w:tc>
          <w:tcPr>
            <w:tcW w:w="2139" w:type="dxa"/>
            <w:gridSpan w:val="2"/>
            <w:tcBorders>
              <w:top w:val="nil"/>
              <w:left w:val="nil"/>
              <w:bottom w:val="nil"/>
              <w:right w:val="nil"/>
            </w:tcBorders>
            <w:shd w:val="clear" w:color="auto" w:fill="auto"/>
            <w:noWrap/>
            <w:vAlign w:val="bottom"/>
          </w:tcPr>
          <w:p w14:paraId="5934D670">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85" w:type="dxa"/>
            <w:tcBorders>
              <w:top w:val="nil"/>
              <w:left w:val="nil"/>
              <w:bottom w:val="nil"/>
              <w:right w:val="nil"/>
            </w:tcBorders>
            <w:shd w:val="clear" w:color="auto" w:fill="auto"/>
            <w:noWrap/>
            <w:vAlign w:val="bottom"/>
          </w:tcPr>
          <w:p w14:paraId="58D554F6">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63" w:type="dxa"/>
            <w:tcBorders>
              <w:top w:val="nil"/>
              <w:left w:val="nil"/>
              <w:bottom w:val="nil"/>
              <w:right w:val="nil"/>
            </w:tcBorders>
            <w:shd w:val="clear" w:color="auto" w:fill="auto"/>
            <w:noWrap/>
            <w:vAlign w:val="bottom"/>
          </w:tcPr>
          <w:p w14:paraId="40577EA9">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60" w:type="dxa"/>
            <w:tcBorders>
              <w:top w:val="nil"/>
              <w:left w:val="nil"/>
              <w:bottom w:val="nil"/>
              <w:right w:val="nil"/>
            </w:tcBorders>
            <w:shd w:val="clear" w:color="auto" w:fill="auto"/>
            <w:noWrap/>
            <w:vAlign w:val="bottom"/>
          </w:tcPr>
          <w:p w14:paraId="44527306">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993" w:type="dxa"/>
            <w:tcBorders>
              <w:top w:val="nil"/>
              <w:left w:val="nil"/>
              <w:bottom w:val="nil"/>
              <w:right w:val="nil"/>
            </w:tcBorders>
            <w:shd w:val="clear" w:color="auto" w:fill="auto"/>
            <w:noWrap/>
            <w:vAlign w:val="bottom"/>
          </w:tcPr>
          <w:p w14:paraId="6B059C52">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135" w:type="dxa"/>
            <w:tcBorders>
              <w:top w:val="nil"/>
              <w:left w:val="nil"/>
              <w:bottom w:val="nil"/>
              <w:right w:val="nil"/>
            </w:tcBorders>
            <w:shd w:val="clear" w:color="auto" w:fill="auto"/>
            <w:noWrap/>
            <w:vAlign w:val="bottom"/>
          </w:tcPr>
          <w:p w14:paraId="0AAED091">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065" w:type="dxa"/>
            <w:tcBorders>
              <w:top w:val="nil"/>
              <w:left w:val="nil"/>
              <w:bottom w:val="nil"/>
              <w:right w:val="nil"/>
            </w:tcBorders>
            <w:shd w:val="clear" w:color="auto" w:fill="auto"/>
            <w:noWrap/>
            <w:vAlign w:val="bottom"/>
          </w:tcPr>
          <w:p w14:paraId="5B19D7E1">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w:t>
            </w:r>
            <w:r>
              <w:rPr>
                <w:rFonts w:hint="eastAsia" w:ascii="宋体" w:hAnsi="宋体" w:eastAsia="宋体" w:cs="宋体"/>
                <w:color w:val="000000"/>
                <w:kern w:val="0"/>
                <w:sz w:val="20"/>
                <w:szCs w:val="20"/>
                <w:highlight w:val="none"/>
                <w:lang w:val="en-US" w:eastAsia="zh-CN" w:bidi="ar"/>
              </w:rPr>
              <w:t>8</w:t>
            </w:r>
            <w:r>
              <w:rPr>
                <w:rFonts w:hint="eastAsia" w:ascii="宋体" w:hAnsi="宋体" w:eastAsia="宋体" w:cs="宋体"/>
                <w:color w:val="000000"/>
                <w:kern w:val="0"/>
                <w:sz w:val="20"/>
                <w:szCs w:val="20"/>
                <w:highlight w:val="none"/>
                <w:lang w:bidi="ar"/>
              </w:rPr>
              <w:t>表</w:t>
            </w:r>
          </w:p>
        </w:tc>
      </w:tr>
      <w:tr w14:paraId="5B28B9EE">
        <w:tblPrEx>
          <w:tblCellMar>
            <w:top w:w="0" w:type="dxa"/>
            <w:left w:w="108" w:type="dxa"/>
            <w:bottom w:w="0" w:type="dxa"/>
            <w:right w:w="108" w:type="dxa"/>
          </w:tblCellMar>
        </w:tblPrEx>
        <w:trPr>
          <w:trHeight w:val="264" w:hRule="atLeast"/>
        </w:trPr>
        <w:tc>
          <w:tcPr>
            <w:tcW w:w="7740" w:type="dxa"/>
            <w:gridSpan w:val="6"/>
            <w:tcBorders>
              <w:top w:val="nil"/>
              <w:left w:val="nil"/>
              <w:bottom w:val="nil"/>
              <w:right w:val="nil"/>
            </w:tcBorders>
            <w:shd w:val="clear" w:color="auto" w:fill="auto"/>
            <w:noWrap/>
            <w:vAlign w:val="bottom"/>
          </w:tcPr>
          <w:p w14:paraId="1FC11E65">
            <w:pPr>
              <w:keepNext w:val="0"/>
              <w:keepLines w:val="0"/>
              <w:suppressLineNumbers w:val="0"/>
              <w:spacing w:before="0" w:beforeAutospacing="0" w:after="0" w:afterAutospacing="0"/>
              <w:ind w:left="0" w:right="0"/>
              <w:rPr>
                <w:rFonts w:hint="eastAsia" w:ascii="Arial" w:hAnsi="Arial" w:eastAsia="宋体" w:cs="Arial"/>
                <w:color w:val="000000"/>
                <w:sz w:val="20"/>
                <w:szCs w:val="20"/>
                <w:highlight w:val="none"/>
                <w:lang w:eastAsia="zh-CN"/>
              </w:rPr>
            </w:pPr>
            <w:r>
              <w:rPr>
                <w:rFonts w:hint="eastAsia" w:ascii="宋体" w:hAnsi="宋体" w:eastAsia="宋体" w:cs="宋体"/>
                <w:color w:val="000000"/>
                <w:kern w:val="0"/>
                <w:sz w:val="20"/>
                <w:szCs w:val="20"/>
                <w:highlight w:val="none"/>
                <w:lang w:bidi="ar"/>
              </w:rPr>
              <w:t>部门：</w:t>
            </w:r>
            <w:r>
              <w:rPr>
                <w:rFonts w:hint="eastAsia" w:ascii="宋体" w:hAnsi="宋体" w:eastAsia="宋体" w:cs="宋体"/>
                <w:color w:val="000000"/>
                <w:sz w:val="20"/>
                <w:u w:color="auto"/>
                <w:lang w:eastAsia="zh-CN"/>
              </w:rPr>
              <w:t>广西河池市中国共产党环江毛南族自治县纪律检查委员会</w:t>
            </w:r>
          </w:p>
        </w:tc>
        <w:tc>
          <w:tcPr>
            <w:tcW w:w="3135" w:type="dxa"/>
            <w:tcBorders>
              <w:top w:val="nil"/>
              <w:left w:val="nil"/>
              <w:bottom w:val="nil"/>
              <w:right w:val="nil"/>
            </w:tcBorders>
            <w:shd w:val="clear" w:color="auto" w:fill="auto"/>
            <w:noWrap/>
            <w:vAlign w:val="bottom"/>
          </w:tcPr>
          <w:p w14:paraId="0CD69CD8">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065" w:type="dxa"/>
            <w:tcBorders>
              <w:top w:val="nil"/>
              <w:left w:val="nil"/>
              <w:bottom w:val="nil"/>
              <w:right w:val="nil"/>
            </w:tcBorders>
            <w:shd w:val="clear" w:color="auto" w:fill="auto"/>
            <w:noWrap/>
            <w:vAlign w:val="bottom"/>
          </w:tcPr>
          <w:p w14:paraId="77A5F837">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14:paraId="2E207B32">
        <w:tblPrEx>
          <w:tblCellMar>
            <w:top w:w="0" w:type="dxa"/>
            <w:left w:w="108" w:type="dxa"/>
            <w:bottom w:w="0" w:type="dxa"/>
            <w:right w:w="108" w:type="dxa"/>
          </w:tblCellMar>
        </w:tblPrEx>
        <w:trPr>
          <w:trHeight w:val="308" w:hRule="atLeast"/>
        </w:trPr>
        <w:tc>
          <w:tcPr>
            <w:tcW w:w="474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DE6C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9193" w:type="dxa"/>
            <w:gridSpan w:val="3"/>
            <w:tcBorders>
              <w:top w:val="single" w:color="000000" w:sz="4" w:space="0"/>
              <w:left w:val="nil"/>
              <w:bottom w:val="single" w:color="000000" w:sz="4" w:space="0"/>
              <w:right w:val="single" w:color="000000" w:sz="4" w:space="0"/>
            </w:tcBorders>
            <w:shd w:val="clear" w:color="auto" w:fill="auto"/>
            <w:vAlign w:val="center"/>
          </w:tcPr>
          <w:p w14:paraId="7D1BD5E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本年支出</w:t>
            </w:r>
          </w:p>
        </w:tc>
      </w:tr>
      <w:tr w14:paraId="075B7639">
        <w:tblPrEx>
          <w:tblCellMar>
            <w:top w:w="0" w:type="dxa"/>
            <w:left w:w="108" w:type="dxa"/>
            <w:bottom w:w="0" w:type="dxa"/>
            <w:right w:w="108" w:type="dxa"/>
          </w:tblCellMar>
        </w:tblPrEx>
        <w:trPr>
          <w:trHeight w:val="312" w:hRule="atLeast"/>
        </w:trPr>
        <w:tc>
          <w:tcPr>
            <w:tcW w:w="1638" w:type="dxa"/>
            <w:vMerge w:val="restart"/>
            <w:tcBorders>
              <w:top w:val="nil"/>
              <w:left w:val="single" w:color="000000" w:sz="4" w:space="0"/>
              <w:bottom w:val="single" w:color="000000" w:sz="4" w:space="0"/>
              <w:right w:val="single" w:color="000000" w:sz="4" w:space="0"/>
            </w:tcBorders>
            <w:shd w:val="clear" w:color="auto" w:fill="auto"/>
            <w:vAlign w:val="center"/>
          </w:tcPr>
          <w:p w14:paraId="173E63E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功能分类科目编码</w:t>
            </w:r>
          </w:p>
        </w:tc>
        <w:tc>
          <w:tcPr>
            <w:tcW w:w="3109" w:type="dxa"/>
            <w:gridSpan w:val="4"/>
            <w:vMerge w:val="restart"/>
            <w:tcBorders>
              <w:top w:val="nil"/>
              <w:left w:val="nil"/>
              <w:bottom w:val="single" w:color="000000" w:sz="4" w:space="0"/>
              <w:right w:val="single" w:color="000000" w:sz="4" w:space="0"/>
            </w:tcBorders>
            <w:shd w:val="clear" w:color="auto" w:fill="auto"/>
            <w:noWrap/>
            <w:vAlign w:val="center"/>
          </w:tcPr>
          <w:p w14:paraId="7371C0B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2993" w:type="dxa"/>
            <w:vMerge w:val="restart"/>
            <w:tcBorders>
              <w:top w:val="nil"/>
              <w:left w:val="nil"/>
              <w:bottom w:val="single" w:color="000000" w:sz="4" w:space="0"/>
              <w:right w:val="single" w:color="000000" w:sz="4" w:space="0"/>
            </w:tcBorders>
            <w:shd w:val="clear" w:color="auto" w:fill="auto"/>
            <w:vAlign w:val="center"/>
          </w:tcPr>
          <w:p w14:paraId="2E0BD65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3135" w:type="dxa"/>
            <w:vMerge w:val="restart"/>
            <w:tcBorders>
              <w:top w:val="nil"/>
              <w:left w:val="nil"/>
              <w:bottom w:val="single" w:color="000000" w:sz="4" w:space="0"/>
              <w:right w:val="single" w:color="000000" w:sz="4" w:space="0"/>
            </w:tcBorders>
            <w:shd w:val="clear" w:color="auto" w:fill="auto"/>
            <w:vAlign w:val="center"/>
          </w:tcPr>
          <w:p w14:paraId="6A836AD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基本支出</w:t>
            </w:r>
          </w:p>
        </w:tc>
        <w:tc>
          <w:tcPr>
            <w:tcW w:w="3065" w:type="dxa"/>
            <w:vMerge w:val="restart"/>
            <w:tcBorders>
              <w:top w:val="nil"/>
              <w:left w:val="nil"/>
              <w:bottom w:val="single" w:color="000000" w:sz="4" w:space="0"/>
              <w:right w:val="single" w:color="000000" w:sz="4" w:space="0"/>
            </w:tcBorders>
            <w:shd w:val="clear" w:color="auto" w:fill="auto"/>
            <w:vAlign w:val="center"/>
          </w:tcPr>
          <w:p w14:paraId="4B9AC7A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项目支出</w:t>
            </w:r>
          </w:p>
        </w:tc>
      </w:tr>
      <w:tr w14:paraId="1FC9469B">
        <w:tblPrEx>
          <w:tblCellMar>
            <w:top w:w="0" w:type="dxa"/>
            <w:left w:w="108" w:type="dxa"/>
            <w:bottom w:w="0" w:type="dxa"/>
            <w:right w:w="108" w:type="dxa"/>
          </w:tblCellMar>
        </w:tblPrEx>
        <w:trPr>
          <w:trHeight w:val="312" w:hRule="atLeast"/>
        </w:trPr>
        <w:tc>
          <w:tcPr>
            <w:tcW w:w="1638" w:type="dxa"/>
            <w:vMerge w:val="continue"/>
            <w:tcBorders>
              <w:top w:val="nil"/>
              <w:left w:val="single" w:color="000000" w:sz="4" w:space="0"/>
              <w:bottom w:val="single" w:color="000000" w:sz="4" w:space="0"/>
              <w:right w:val="single" w:color="000000" w:sz="4" w:space="0"/>
            </w:tcBorders>
            <w:shd w:val="clear" w:color="auto" w:fill="auto"/>
            <w:vAlign w:val="center"/>
          </w:tcPr>
          <w:p w14:paraId="408EA7A8">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09" w:type="dxa"/>
            <w:gridSpan w:val="4"/>
            <w:vMerge w:val="continue"/>
            <w:tcBorders>
              <w:top w:val="nil"/>
              <w:left w:val="nil"/>
              <w:bottom w:val="single" w:color="000000" w:sz="4" w:space="0"/>
              <w:right w:val="single" w:color="000000" w:sz="4" w:space="0"/>
            </w:tcBorders>
            <w:shd w:val="clear" w:color="auto" w:fill="auto"/>
            <w:noWrap/>
            <w:vAlign w:val="center"/>
          </w:tcPr>
          <w:p w14:paraId="7ACC92E5">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993" w:type="dxa"/>
            <w:vMerge w:val="continue"/>
            <w:tcBorders>
              <w:top w:val="nil"/>
              <w:left w:val="nil"/>
              <w:bottom w:val="single" w:color="000000" w:sz="4" w:space="0"/>
              <w:right w:val="single" w:color="000000" w:sz="4" w:space="0"/>
            </w:tcBorders>
            <w:shd w:val="clear" w:color="auto" w:fill="auto"/>
            <w:vAlign w:val="center"/>
          </w:tcPr>
          <w:p w14:paraId="05610C0D">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35" w:type="dxa"/>
            <w:vMerge w:val="continue"/>
            <w:tcBorders>
              <w:top w:val="nil"/>
              <w:left w:val="nil"/>
              <w:bottom w:val="single" w:color="000000" w:sz="4" w:space="0"/>
              <w:right w:val="single" w:color="000000" w:sz="4" w:space="0"/>
            </w:tcBorders>
            <w:shd w:val="clear" w:color="auto" w:fill="auto"/>
            <w:vAlign w:val="center"/>
          </w:tcPr>
          <w:p w14:paraId="0B7883B3">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065" w:type="dxa"/>
            <w:vMerge w:val="continue"/>
            <w:tcBorders>
              <w:top w:val="nil"/>
              <w:left w:val="nil"/>
              <w:bottom w:val="single" w:color="000000" w:sz="4" w:space="0"/>
              <w:right w:val="single" w:color="000000" w:sz="4" w:space="0"/>
            </w:tcBorders>
            <w:shd w:val="clear" w:color="auto" w:fill="auto"/>
            <w:vAlign w:val="center"/>
          </w:tcPr>
          <w:p w14:paraId="379FCDCE">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14:paraId="5F1C66C2">
        <w:tblPrEx>
          <w:tblCellMar>
            <w:top w:w="0" w:type="dxa"/>
            <w:left w:w="108" w:type="dxa"/>
            <w:bottom w:w="0" w:type="dxa"/>
            <w:right w:w="108" w:type="dxa"/>
          </w:tblCellMar>
        </w:tblPrEx>
        <w:trPr>
          <w:trHeight w:val="312" w:hRule="atLeast"/>
        </w:trPr>
        <w:tc>
          <w:tcPr>
            <w:tcW w:w="1638" w:type="dxa"/>
            <w:vMerge w:val="continue"/>
            <w:tcBorders>
              <w:top w:val="nil"/>
              <w:left w:val="single" w:color="000000" w:sz="4" w:space="0"/>
              <w:bottom w:val="single" w:color="000000" w:sz="4" w:space="0"/>
              <w:right w:val="single" w:color="000000" w:sz="4" w:space="0"/>
            </w:tcBorders>
            <w:shd w:val="clear" w:color="auto" w:fill="auto"/>
            <w:vAlign w:val="center"/>
          </w:tcPr>
          <w:p w14:paraId="79C41109">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09" w:type="dxa"/>
            <w:gridSpan w:val="4"/>
            <w:vMerge w:val="continue"/>
            <w:tcBorders>
              <w:top w:val="nil"/>
              <w:left w:val="nil"/>
              <w:bottom w:val="single" w:color="000000" w:sz="4" w:space="0"/>
              <w:right w:val="single" w:color="000000" w:sz="4" w:space="0"/>
            </w:tcBorders>
            <w:shd w:val="clear" w:color="auto" w:fill="auto"/>
            <w:noWrap/>
            <w:vAlign w:val="center"/>
          </w:tcPr>
          <w:p w14:paraId="34636D05">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993" w:type="dxa"/>
            <w:vMerge w:val="continue"/>
            <w:tcBorders>
              <w:top w:val="nil"/>
              <w:left w:val="nil"/>
              <w:bottom w:val="single" w:color="000000" w:sz="4" w:space="0"/>
              <w:right w:val="single" w:color="000000" w:sz="4" w:space="0"/>
            </w:tcBorders>
            <w:shd w:val="clear" w:color="auto" w:fill="auto"/>
            <w:vAlign w:val="center"/>
          </w:tcPr>
          <w:p w14:paraId="1B164CE2">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35" w:type="dxa"/>
            <w:vMerge w:val="continue"/>
            <w:tcBorders>
              <w:top w:val="nil"/>
              <w:left w:val="nil"/>
              <w:bottom w:val="single" w:color="000000" w:sz="4" w:space="0"/>
              <w:right w:val="single" w:color="000000" w:sz="4" w:space="0"/>
            </w:tcBorders>
            <w:shd w:val="clear" w:color="auto" w:fill="auto"/>
            <w:vAlign w:val="center"/>
          </w:tcPr>
          <w:p w14:paraId="609DBFA5">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065" w:type="dxa"/>
            <w:vMerge w:val="continue"/>
            <w:tcBorders>
              <w:top w:val="nil"/>
              <w:left w:val="nil"/>
              <w:bottom w:val="single" w:color="000000" w:sz="4" w:space="0"/>
              <w:right w:val="single" w:color="000000" w:sz="4" w:space="0"/>
            </w:tcBorders>
            <w:shd w:val="clear" w:color="auto" w:fill="auto"/>
            <w:vAlign w:val="center"/>
          </w:tcPr>
          <w:p w14:paraId="11C57063">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14:paraId="0925D989">
        <w:tblPrEx>
          <w:tblCellMar>
            <w:top w:w="0" w:type="dxa"/>
            <w:left w:w="108" w:type="dxa"/>
            <w:bottom w:w="0" w:type="dxa"/>
            <w:right w:w="108" w:type="dxa"/>
          </w:tblCellMar>
        </w:tblPrEx>
        <w:trPr>
          <w:trHeight w:val="308" w:hRule="atLeast"/>
        </w:trPr>
        <w:tc>
          <w:tcPr>
            <w:tcW w:w="4747" w:type="dxa"/>
            <w:gridSpan w:val="5"/>
            <w:tcBorders>
              <w:top w:val="nil"/>
              <w:left w:val="single" w:color="000000" w:sz="4" w:space="0"/>
              <w:bottom w:val="single" w:color="000000" w:sz="4" w:space="0"/>
              <w:right w:val="single" w:color="000000" w:sz="4" w:space="0"/>
            </w:tcBorders>
            <w:shd w:val="clear" w:color="auto" w:fill="auto"/>
            <w:noWrap/>
            <w:vAlign w:val="center"/>
          </w:tcPr>
          <w:p w14:paraId="6A2F857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2993" w:type="dxa"/>
            <w:tcBorders>
              <w:top w:val="nil"/>
              <w:left w:val="nil"/>
              <w:bottom w:val="single" w:color="000000" w:sz="4" w:space="0"/>
              <w:right w:val="single" w:color="000000" w:sz="4" w:space="0"/>
            </w:tcBorders>
            <w:shd w:val="clear" w:color="auto" w:fill="auto"/>
            <w:noWrap/>
            <w:vAlign w:val="center"/>
          </w:tcPr>
          <w:p w14:paraId="49E17C3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3135" w:type="dxa"/>
            <w:tcBorders>
              <w:top w:val="nil"/>
              <w:left w:val="nil"/>
              <w:bottom w:val="single" w:color="000000" w:sz="4" w:space="0"/>
              <w:right w:val="single" w:color="000000" w:sz="4" w:space="0"/>
            </w:tcBorders>
            <w:shd w:val="clear" w:color="auto" w:fill="auto"/>
            <w:noWrap/>
            <w:vAlign w:val="center"/>
          </w:tcPr>
          <w:p w14:paraId="1FA9A00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3065" w:type="dxa"/>
            <w:tcBorders>
              <w:top w:val="nil"/>
              <w:left w:val="nil"/>
              <w:bottom w:val="single" w:color="000000" w:sz="4" w:space="0"/>
              <w:right w:val="single" w:color="000000" w:sz="4" w:space="0"/>
            </w:tcBorders>
            <w:shd w:val="clear" w:color="auto" w:fill="auto"/>
            <w:noWrap/>
            <w:vAlign w:val="center"/>
          </w:tcPr>
          <w:p w14:paraId="66E7BA6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r>
      <w:tr w14:paraId="3FFC7FBB">
        <w:tblPrEx>
          <w:tblCellMar>
            <w:top w:w="0" w:type="dxa"/>
            <w:left w:w="108" w:type="dxa"/>
            <w:bottom w:w="0" w:type="dxa"/>
            <w:right w:w="108" w:type="dxa"/>
          </w:tblCellMar>
        </w:tblPrEx>
        <w:trPr>
          <w:trHeight w:val="308" w:hRule="atLeast"/>
        </w:trPr>
        <w:tc>
          <w:tcPr>
            <w:tcW w:w="4747" w:type="dxa"/>
            <w:gridSpan w:val="5"/>
            <w:tcBorders>
              <w:top w:val="nil"/>
              <w:left w:val="single" w:color="000000" w:sz="4" w:space="0"/>
              <w:bottom w:val="single" w:color="000000" w:sz="4" w:space="0"/>
              <w:right w:val="single" w:color="000000" w:sz="4" w:space="0"/>
            </w:tcBorders>
            <w:shd w:val="clear" w:color="auto" w:fill="auto"/>
            <w:noWrap/>
            <w:vAlign w:val="center"/>
          </w:tcPr>
          <w:p w14:paraId="46C433B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2993" w:type="dxa"/>
            <w:tcBorders>
              <w:top w:val="nil"/>
              <w:left w:val="nil"/>
              <w:bottom w:val="single" w:color="000000" w:sz="4" w:space="0"/>
              <w:right w:val="single" w:color="000000" w:sz="4" w:space="0"/>
            </w:tcBorders>
            <w:shd w:val="clear" w:color="auto" w:fill="auto"/>
            <w:noWrap/>
            <w:vAlign w:val="center"/>
          </w:tcPr>
          <w:p w14:paraId="67D3BA1B">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3135" w:type="dxa"/>
            <w:tcBorders>
              <w:top w:val="nil"/>
              <w:left w:val="nil"/>
              <w:bottom w:val="single" w:color="000000" w:sz="4" w:space="0"/>
              <w:right w:val="single" w:color="000000" w:sz="4" w:space="0"/>
            </w:tcBorders>
            <w:shd w:val="clear" w:color="auto" w:fill="auto"/>
            <w:noWrap/>
            <w:vAlign w:val="center"/>
          </w:tcPr>
          <w:p w14:paraId="797B53C5">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3065" w:type="dxa"/>
            <w:tcBorders>
              <w:top w:val="nil"/>
              <w:left w:val="nil"/>
              <w:bottom w:val="single" w:color="000000" w:sz="4" w:space="0"/>
              <w:right w:val="single" w:color="000000" w:sz="4" w:space="0"/>
            </w:tcBorders>
            <w:shd w:val="clear" w:color="auto" w:fill="auto"/>
            <w:noWrap/>
            <w:vAlign w:val="center"/>
          </w:tcPr>
          <w:p w14:paraId="710F2E5C">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r>
      <w:tr w14:paraId="424F2F04">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14:paraId="1CD1A820">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noWrap/>
            <w:vAlign w:val="center"/>
          </w:tcPr>
          <w:p w14:paraId="4E79D28B">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2993" w:type="dxa"/>
            <w:tcBorders>
              <w:top w:val="nil"/>
              <w:left w:val="nil"/>
              <w:bottom w:val="single" w:color="000000" w:sz="4" w:space="0"/>
              <w:right w:val="single" w:color="000000" w:sz="4" w:space="0"/>
            </w:tcBorders>
            <w:shd w:val="clear" w:color="auto" w:fill="auto"/>
            <w:noWrap/>
            <w:vAlign w:val="center"/>
          </w:tcPr>
          <w:p w14:paraId="3D8DE9B1">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3135" w:type="dxa"/>
            <w:tcBorders>
              <w:top w:val="nil"/>
              <w:left w:val="nil"/>
              <w:bottom w:val="single" w:color="000000" w:sz="4" w:space="0"/>
              <w:right w:val="single" w:color="000000" w:sz="4" w:space="0"/>
            </w:tcBorders>
            <w:shd w:val="clear" w:color="auto" w:fill="auto"/>
            <w:noWrap/>
            <w:vAlign w:val="center"/>
          </w:tcPr>
          <w:p w14:paraId="4A7E02A5">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3065" w:type="dxa"/>
            <w:tcBorders>
              <w:top w:val="nil"/>
              <w:left w:val="nil"/>
              <w:bottom w:val="single" w:color="000000" w:sz="4" w:space="0"/>
              <w:right w:val="single" w:color="000000" w:sz="4" w:space="0"/>
            </w:tcBorders>
            <w:shd w:val="clear" w:color="auto" w:fill="auto"/>
            <w:noWrap/>
            <w:vAlign w:val="center"/>
          </w:tcPr>
          <w:p w14:paraId="76F44C61">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14:paraId="4AC35D34">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14:paraId="5D501B66">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noWrap/>
            <w:vAlign w:val="center"/>
          </w:tcPr>
          <w:p w14:paraId="157518BF">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2993" w:type="dxa"/>
            <w:tcBorders>
              <w:top w:val="nil"/>
              <w:left w:val="nil"/>
              <w:bottom w:val="single" w:color="000000" w:sz="4" w:space="0"/>
              <w:right w:val="single" w:color="000000" w:sz="4" w:space="0"/>
            </w:tcBorders>
            <w:shd w:val="clear" w:color="auto" w:fill="auto"/>
            <w:noWrap/>
            <w:vAlign w:val="center"/>
          </w:tcPr>
          <w:p w14:paraId="271D1CBF">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3135" w:type="dxa"/>
            <w:tcBorders>
              <w:top w:val="nil"/>
              <w:left w:val="nil"/>
              <w:bottom w:val="single" w:color="000000" w:sz="4" w:space="0"/>
              <w:right w:val="single" w:color="000000" w:sz="4" w:space="0"/>
            </w:tcBorders>
            <w:shd w:val="clear" w:color="auto" w:fill="auto"/>
            <w:noWrap/>
            <w:vAlign w:val="center"/>
          </w:tcPr>
          <w:p w14:paraId="740B4FAB">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3065" w:type="dxa"/>
            <w:tcBorders>
              <w:top w:val="nil"/>
              <w:left w:val="nil"/>
              <w:bottom w:val="single" w:color="000000" w:sz="4" w:space="0"/>
              <w:right w:val="single" w:color="000000" w:sz="4" w:space="0"/>
            </w:tcBorders>
            <w:shd w:val="clear" w:color="auto" w:fill="auto"/>
            <w:noWrap/>
            <w:vAlign w:val="center"/>
          </w:tcPr>
          <w:p w14:paraId="26616F1B">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bl>
    <w:p w14:paraId="6D861E2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bidi="ar"/>
        </w:rPr>
        <w:t>注：本表反映部门本年度国有资本经营预算财政拨款支出情</w:t>
      </w:r>
      <w:r>
        <w:rPr>
          <w:rFonts w:hint="eastAsia" w:ascii="宋体" w:hAnsi="宋体" w:eastAsia="宋体" w:cs="宋体"/>
          <w:color w:val="000000"/>
          <w:kern w:val="0"/>
          <w:sz w:val="22"/>
          <w:szCs w:val="22"/>
          <w:highlight w:val="none"/>
          <w:lang w:eastAsia="zh-CN" w:bidi="ar"/>
        </w:rPr>
        <w:t>。</w:t>
      </w:r>
    </w:p>
    <w:p w14:paraId="77175770">
      <w:pPr>
        <w:keepNext w:val="0"/>
        <w:keepLines w:val="0"/>
        <w:widowControl/>
        <w:suppressLineNumbers w:val="0"/>
        <w:spacing w:before="0" w:beforeAutospacing="0" w:after="0" w:afterAutospacing="0"/>
        <w:ind w:left="0" w:right="0" w:firstLine="640" w:firstLineChars="200"/>
        <w:jc w:val="left"/>
        <w:textAlignment w:val="center"/>
        <w:rPr>
          <w:rFonts w:hint="eastAsia" w:ascii="宋体" w:hAnsi="宋体" w:eastAsia="宋体" w:cs="宋体"/>
          <w:color w:val="000000"/>
          <w:kern w:val="0"/>
          <w:sz w:val="22"/>
          <w:szCs w:val="22"/>
          <w:highlight w:val="none"/>
          <w:lang w:bidi="ar"/>
        </w:rPr>
      </w:pPr>
      <w:r>
        <w:rPr>
          <w:rFonts w:hint="eastAsia" w:ascii="仿宋_GB2312" w:hAnsi="仿宋_GB2312" w:eastAsia="仿宋_GB2312" w:cs="仿宋_GB2312"/>
          <w:color w:val="auto"/>
          <w:kern w:val="2"/>
          <w:sz w:val="32"/>
          <w:szCs w:val="32"/>
          <w:lang w:val="en-US" w:eastAsia="zh-CN" w:bidi="ar"/>
        </w:rPr>
        <w:t>本部门2022年度没有国有资本经营预算财政拨款收入，也没有国有资本经营预算财政拨款安排的支出，故本表无数据。</w:t>
      </w:r>
      <w:r>
        <w:rPr>
          <w:rFonts w:hint="eastAsia" w:ascii="宋体" w:hAnsi="宋体" w:eastAsia="宋体" w:cs="宋体"/>
          <w:color w:val="000000"/>
          <w:kern w:val="0"/>
          <w:sz w:val="22"/>
          <w:szCs w:val="22"/>
          <w:highlight w:val="none"/>
          <w:lang w:bidi="ar"/>
        </w:rPr>
        <w:br w:type="page"/>
      </w:r>
    </w:p>
    <w:tbl>
      <w:tblPr>
        <w:tblStyle w:val="7"/>
        <w:tblW w:w="14036" w:type="dxa"/>
        <w:tblInd w:w="0" w:type="dxa"/>
        <w:tblLayout w:type="fixed"/>
        <w:tblCellMar>
          <w:top w:w="0" w:type="dxa"/>
          <w:left w:w="108" w:type="dxa"/>
          <w:bottom w:w="0" w:type="dxa"/>
          <w:right w:w="108" w:type="dxa"/>
        </w:tblCellMar>
      </w:tblPr>
      <w:tblGrid>
        <w:gridCol w:w="96"/>
        <w:gridCol w:w="1438"/>
        <w:gridCol w:w="1425"/>
        <w:gridCol w:w="1094"/>
        <w:gridCol w:w="1159"/>
        <w:gridCol w:w="1133"/>
        <w:gridCol w:w="1040"/>
        <w:gridCol w:w="1066"/>
        <w:gridCol w:w="1161"/>
        <w:gridCol w:w="1053"/>
        <w:gridCol w:w="1148"/>
        <w:gridCol w:w="1133"/>
        <w:gridCol w:w="1073"/>
        <w:gridCol w:w="17"/>
      </w:tblGrid>
      <w:tr w14:paraId="24964369">
        <w:tblPrEx>
          <w:tblCellMar>
            <w:top w:w="0" w:type="dxa"/>
            <w:left w:w="108" w:type="dxa"/>
            <w:bottom w:w="0" w:type="dxa"/>
            <w:right w:w="108" w:type="dxa"/>
          </w:tblCellMar>
        </w:tblPrEx>
        <w:trPr>
          <w:gridBefore w:val="1"/>
          <w:wBefore w:w="96" w:type="dxa"/>
          <w:trHeight w:val="308" w:hRule="atLeast"/>
        </w:trPr>
        <w:tc>
          <w:tcPr>
            <w:tcW w:w="13940" w:type="dxa"/>
            <w:gridSpan w:val="13"/>
            <w:tcBorders>
              <w:top w:val="nil"/>
              <w:left w:val="nil"/>
              <w:bottom w:val="nil"/>
              <w:right w:val="nil"/>
            </w:tcBorders>
            <w:shd w:val="clear" w:color="auto" w:fill="auto"/>
            <w:noWrap/>
            <w:vAlign w:val="center"/>
          </w:tcPr>
          <w:p w14:paraId="1ABE316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r>
      <w:tr w14:paraId="7C83DAC8">
        <w:tblPrEx>
          <w:tblCellMar>
            <w:top w:w="0" w:type="dxa"/>
            <w:left w:w="108" w:type="dxa"/>
            <w:bottom w:w="0" w:type="dxa"/>
            <w:right w:w="108" w:type="dxa"/>
          </w:tblCellMar>
        </w:tblPrEx>
        <w:trPr>
          <w:gridAfter w:val="1"/>
          <w:wAfter w:w="17" w:type="dxa"/>
          <w:trHeight w:val="632" w:hRule="atLeast"/>
        </w:trPr>
        <w:tc>
          <w:tcPr>
            <w:tcW w:w="14019" w:type="dxa"/>
            <w:gridSpan w:val="13"/>
            <w:tcBorders>
              <w:top w:val="nil"/>
              <w:left w:val="nil"/>
              <w:bottom w:val="nil"/>
              <w:right w:val="nil"/>
            </w:tcBorders>
            <w:shd w:val="clear" w:color="auto" w:fill="auto"/>
            <w:noWrap/>
            <w:vAlign w:val="bottom"/>
          </w:tcPr>
          <w:p w14:paraId="56CA7FDB">
            <w:pPr>
              <w:keepNext w:val="0"/>
              <w:keepLines w:val="0"/>
              <w:suppressLineNumbers w:val="0"/>
              <w:spacing w:before="0" w:beforeAutospacing="0" w:after="0" w:afterAutospacing="0"/>
              <w:ind w:left="0" w:right="0"/>
              <w:jc w:val="left"/>
              <w:rPr>
                <w:rFonts w:hint="default" w:ascii="仿宋" w:hAnsi="仿宋" w:eastAsia="仿宋" w:cs="仿宋"/>
                <w:sz w:val="24"/>
                <w:highlight w:val="none"/>
              </w:rPr>
            </w:pPr>
            <w:r>
              <w:rPr>
                <w:rFonts w:hint="eastAsia" w:ascii="仿宋" w:hAnsi="仿宋" w:eastAsia="仿宋" w:cs="仿宋"/>
                <w:sz w:val="24"/>
                <w:highlight w:val="none"/>
                <w:lang w:val="en-US" w:eastAsia="zh-CN"/>
              </w:rPr>
              <w:t>表九：</w:t>
            </w:r>
            <w:r>
              <w:rPr>
                <w:rFonts w:hint="eastAsia" w:ascii="仿宋" w:hAnsi="仿宋" w:eastAsia="仿宋" w:cs="仿宋"/>
                <w:sz w:val="24"/>
                <w:highlight w:val="none"/>
              </w:rPr>
              <w:t>一般公共预算财政拨款安排的“三公”经费支出决算表</w:t>
            </w:r>
          </w:p>
          <w:p w14:paraId="17F5B708">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color w:val="000000"/>
                <w:kern w:val="0"/>
                <w:sz w:val="30"/>
                <w:szCs w:val="30"/>
                <w:highlight w:val="none"/>
                <w:lang w:bidi="ar"/>
              </w:rPr>
            </w:pPr>
          </w:p>
          <w:p w14:paraId="09DF59C1">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一般公共预算财政拨款“三公”经费支出决算表</w:t>
            </w:r>
          </w:p>
        </w:tc>
      </w:tr>
      <w:tr w14:paraId="5FE0F661">
        <w:tblPrEx>
          <w:tblCellMar>
            <w:top w:w="0" w:type="dxa"/>
            <w:left w:w="108" w:type="dxa"/>
            <w:bottom w:w="0" w:type="dxa"/>
            <w:right w:w="108" w:type="dxa"/>
          </w:tblCellMar>
        </w:tblPrEx>
        <w:trPr>
          <w:gridAfter w:val="1"/>
          <w:wAfter w:w="17" w:type="dxa"/>
          <w:trHeight w:val="316" w:hRule="atLeast"/>
        </w:trPr>
        <w:tc>
          <w:tcPr>
            <w:tcW w:w="1534" w:type="dxa"/>
            <w:gridSpan w:val="2"/>
            <w:tcBorders>
              <w:top w:val="nil"/>
              <w:left w:val="nil"/>
              <w:bottom w:val="nil"/>
              <w:right w:val="nil"/>
            </w:tcBorders>
            <w:shd w:val="clear" w:color="auto" w:fill="auto"/>
            <w:noWrap/>
            <w:vAlign w:val="bottom"/>
          </w:tcPr>
          <w:p w14:paraId="26EA56D1">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25" w:type="dxa"/>
            <w:tcBorders>
              <w:top w:val="nil"/>
              <w:left w:val="nil"/>
              <w:bottom w:val="nil"/>
              <w:right w:val="nil"/>
            </w:tcBorders>
            <w:shd w:val="clear" w:color="auto" w:fill="auto"/>
            <w:noWrap/>
            <w:vAlign w:val="bottom"/>
          </w:tcPr>
          <w:p w14:paraId="781250B8">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94" w:type="dxa"/>
            <w:tcBorders>
              <w:top w:val="nil"/>
              <w:left w:val="nil"/>
              <w:bottom w:val="nil"/>
              <w:right w:val="nil"/>
            </w:tcBorders>
            <w:shd w:val="clear" w:color="auto" w:fill="auto"/>
            <w:noWrap/>
            <w:vAlign w:val="bottom"/>
          </w:tcPr>
          <w:p w14:paraId="2D93B346">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59" w:type="dxa"/>
            <w:tcBorders>
              <w:top w:val="nil"/>
              <w:left w:val="nil"/>
              <w:bottom w:val="nil"/>
              <w:right w:val="nil"/>
            </w:tcBorders>
            <w:shd w:val="clear" w:color="auto" w:fill="auto"/>
            <w:noWrap/>
            <w:vAlign w:val="bottom"/>
          </w:tcPr>
          <w:p w14:paraId="5DFA95D3">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33" w:type="dxa"/>
            <w:tcBorders>
              <w:top w:val="nil"/>
              <w:left w:val="nil"/>
              <w:bottom w:val="nil"/>
              <w:right w:val="nil"/>
            </w:tcBorders>
            <w:shd w:val="clear" w:color="auto" w:fill="auto"/>
            <w:noWrap/>
            <w:vAlign w:val="bottom"/>
          </w:tcPr>
          <w:p w14:paraId="6DB42115">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40" w:type="dxa"/>
            <w:tcBorders>
              <w:top w:val="nil"/>
              <w:left w:val="nil"/>
              <w:bottom w:val="nil"/>
              <w:right w:val="nil"/>
            </w:tcBorders>
            <w:shd w:val="clear" w:color="auto" w:fill="auto"/>
            <w:noWrap/>
            <w:vAlign w:val="bottom"/>
          </w:tcPr>
          <w:p w14:paraId="21C7FED1">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66" w:type="dxa"/>
            <w:tcBorders>
              <w:top w:val="nil"/>
              <w:left w:val="nil"/>
              <w:bottom w:val="nil"/>
              <w:right w:val="nil"/>
            </w:tcBorders>
            <w:shd w:val="clear" w:color="auto" w:fill="auto"/>
            <w:noWrap/>
            <w:vAlign w:val="bottom"/>
          </w:tcPr>
          <w:p w14:paraId="178B161F">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61" w:type="dxa"/>
            <w:tcBorders>
              <w:top w:val="nil"/>
              <w:left w:val="nil"/>
              <w:bottom w:val="nil"/>
              <w:right w:val="nil"/>
            </w:tcBorders>
            <w:shd w:val="clear" w:color="auto" w:fill="auto"/>
            <w:noWrap/>
            <w:vAlign w:val="bottom"/>
          </w:tcPr>
          <w:p w14:paraId="62C1AC10">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53" w:type="dxa"/>
            <w:tcBorders>
              <w:top w:val="nil"/>
              <w:left w:val="nil"/>
              <w:bottom w:val="nil"/>
              <w:right w:val="nil"/>
            </w:tcBorders>
            <w:shd w:val="clear" w:color="auto" w:fill="auto"/>
            <w:noWrap/>
            <w:vAlign w:val="bottom"/>
          </w:tcPr>
          <w:p w14:paraId="5C973A57">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48" w:type="dxa"/>
            <w:tcBorders>
              <w:top w:val="nil"/>
              <w:left w:val="nil"/>
              <w:bottom w:val="nil"/>
              <w:right w:val="nil"/>
            </w:tcBorders>
            <w:shd w:val="clear" w:color="auto" w:fill="auto"/>
            <w:noWrap/>
            <w:vAlign w:val="bottom"/>
          </w:tcPr>
          <w:p w14:paraId="6EEE31B8">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33" w:type="dxa"/>
            <w:tcBorders>
              <w:top w:val="nil"/>
              <w:left w:val="nil"/>
              <w:bottom w:val="nil"/>
              <w:right w:val="nil"/>
            </w:tcBorders>
            <w:shd w:val="clear" w:color="auto" w:fill="auto"/>
            <w:noWrap/>
            <w:vAlign w:val="bottom"/>
          </w:tcPr>
          <w:p w14:paraId="6BD8703A">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73" w:type="dxa"/>
            <w:tcBorders>
              <w:top w:val="nil"/>
              <w:left w:val="nil"/>
              <w:bottom w:val="nil"/>
              <w:right w:val="nil"/>
            </w:tcBorders>
            <w:shd w:val="clear" w:color="auto" w:fill="auto"/>
            <w:noWrap/>
            <w:vAlign w:val="bottom"/>
          </w:tcPr>
          <w:p w14:paraId="3382CFD9">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w:t>
            </w:r>
            <w:r>
              <w:rPr>
                <w:rFonts w:hint="eastAsia" w:ascii="宋体" w:hAnsi="宋体" w:eastAsia="宋体" w:cs="宋体"/>
                <w:color w:val="000000"/>
                <w:kern w:val="0"/>
                <w:sz w:val="20"/>
                <w:szCs w:val="20"/>
                <w:highlight w:val="none"/>
                <w:lang w:val="en-US" w:eastAsia="zh-CN" w:bidi="ar"/>
              </w:rPr>
              <w:t>9</w:t>
            </w:r>
            <w:r>
              <w:rPr>
                <w:rFonts w:hint="eastAsia" w:ascii="宋体" w:hAnsi="宋体" w:eastAsia="宋体" w:cs="宋体"/>
                <w:color w:val="000000"/>
                <w:kern w:val="0"/>
                <w:sz w:val="20"/>
                <w:szCs w:val="20"/>
                <w:highlight w:val="none"/>
                <w:lang w:bidi="ar"/>
              </w:rPr>
              <w:t>表</w:t>
            </w:r>
          </w:p>
        </w:tc>
      </w:tr>
      <w:tr w14:paraId="3690210B">
        <w:tblPrEx>
          <w:tblCellMar>
            <w:top w:w="0" w:type="dxa"/>
            <w:left w:w="108" w:type="dxa"/>
            <w:bottom w:w="0" w:type="dxa"/>
            <w:right w:w="108" w:type="dxa"/>
          </w:tblCellMar>
        </w:tblPrEx>
        <w:trPr>
          <w:gridAfter w:val="1"/>
          <w:wAfter w:w="17" w:type="dxa"/>
          <w:trHeight w:val="316" w:hRule="atLeast"/>
        </w:trPr>
        <w:tc>
          <w:tcPr>
            <w:tcW w:w="7385" w:type="dxa"/>
            <w:gridSpan w:val="7"/>
            <w:tcBorders>
              <w:top w:val="nil"/>
              <w:left w:val="nil"/>
              <w:bottom w:val="nil"/>
              <w:right w:val="nil"/>
            </w:tcBorders>
            <w:shd w:val="clear" w:color="auto" w:fill="auto"/>
            <w:noWrap/>
            <w:vAlign w:val="bottom"/>
          </w:tcPr>
          <w:p w14:paraId="555525EF">
            <w:pPr>
              <w:keepNext w:val="0"/>
              <w:keepLines w:val="0"/>
              <w:suppressLineNumbers w:val="0"/>
              <w:spacing w:before="0" w:beforeAutospacing="0" w:after="0" w:afterAutospacing="0"/>
              <w:ind w:left="0" w:right="0"/>
              <w:rPr>
                <w:rFonts w:hint="eastAsia" w:ascii="Arial" w:hAnsi="Arial" w:eastAsia="宋体" w:cs="Arial"/>
                <w:color w:val="000000"/>
                <w:sz w:val="20"/>
                <w:szCs w:val="20"/>
                <w:highlight w:val="none"/>
                <w:lang w:eastAsia="zh-CN"/>
              </w:rPr>
            </w:pPr>
            <w:r>
              <w:rPr>
                <w:rFonts w:hint="eastAsia" w:ascii="宋体" w:hAnsi="宋体" w:eastAsia="宋体" w:cs="宋体"/>
                <w:color w:val="000000"/>
                <w:kern w:val="0"/>
                <w:sz w:val="20"/>
                <w:szCs w:val="20"/>
                <w:highlight w:val="none"/>
                <w:lang w:bidi="ar"/>
              </w:rPr>
              <w:t>部门：</w:t>
            </w:r>
            <w:r>
              <w:rPr>
                <w:rFonts w:hint="eastAsia" w:ascii="宋体" w:hAnsi="宋体" w:eastAsia="宋体" w:cs="宋体"/>
                <w:color w:val="000000"/>
                <w:sz w:val="20"/>
                <w:u w:color="auto"/>
                <w:lang w:eastAsia="zh-CN"/>
              </w:rPr>
              <w:t>广西河池市中国共产党环江毛南族自治县纪律检查委员会</w:t>
            </w:r>
          </w:p>
        </w:tc>
        <w:tc>
          <w:tcPr>
            <w:tcW w:w="1066" w:type="dxa"/>
            <w:tcBorders>
              <w:top w:val="nil"/>
              <w:left w:val="nil"/>
              <w:bottom w:val="nil"/>
              <w:right w:val="nil"/>
            </w:tcBorders>
            <w:shd w:val="clear" w:color="auto" w:fill="auto"/>
            <w:noWrap/>
            <w:vAlign w:val="bottom"/>
          </w:tcPr>
          <w:p w14:paraId="762B594A">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61" w:type="dxa"/>
            <w:tcBorders>
              <w:top w:val="nil"/>
              <w:left w:val="nil"/>
              <w:bottom w:val="nil"/>
              <w:right w:val="nil"/>
            </w:tcBorders>
            <w:shd w:val="clear" w:color="auto" w:fill="auto"/>
            <w:noWrap/>
            <w:vAlign w:val="bottom"/>
          </w:tcPr>
          <w:p w14:paraId="05D6FA7D">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53" w:type="dxa"/>
            <w:tcBorders>
              <w:top w:val="nil"/>
              <w:left w:val="nil"/>
              <w:bottom w:val="nil"/>
              <w:right w:val="nil"/>
            </w:tcBorders>
            <w:shd w:val="clear" w:color="auto" w:fill="auto"/>
            <w:noWrap/>
            <w:vAlign w:val="bottom"/>
          </w:tcPr>
          <w:p w14:paraId="1D97508B">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48" w:type="dxa"/>
            <w:tcBorders>
              <w:top w:val="nil"/>
              <w:left w:val="nil"/>
              <w:bottom w:val="nil"/>
              <w:right w:val="nil"/>
            </w:tcBorders>
            <w:shd w:val="clear" w:color="auto" w:fill="auto"/>
            <w:noWrap/>
            <w:vAlign w:val="bottom"/>
          </w:tcPr>
          <w:p w14:paraId="4392C3B0">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206" w:type="dxa"/>
            <w:gridSpan w:val="2"/>
            <w:tcBorders>
              <w:top w:val="nil"/>
              <w:left w:val="nil"/>
              <w:bottom w:val="nil"/>
              <w:right w:val="nil"/>
            </w:tcBorders>
            <w:shd w:val="clear" w:color="auto" w:fill="auto"/>
            <w:noWrap/>
            <w:vAlign w:val="bottom"/>
          </w:tcPr>
          <w:p w14:paraId="7C0E17D4">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14:paraId="2E88D0D6">
        <w:tblPrEx>
          <w:tblCellMar>
            <w:top w:w="0" w:type="dxa"/>
            <w:left w:w="108" w:type="dxa"/>
            <w:bottom w:w="0" w:type="dxa"/>
            <w:right w:w="108" w:type="dxa"/>
          </w:tblCellMar>
        </w:tblPrEx>
        <w:trPr>
          <w:gridAfter w:val="1"/>
          <w:wAfter w:w="17" w:type="dxa"/>
          <w:trHeight w:val="326" w:hRule="atLeast"/>
        </w:trPr>
        <w:tc>
          <w:tcPr>
            <w:tcW w:w="73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E73522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预算数</w:t>
            </w:r>
          </w:p>
        </w:tc>
        <w:tc>
          <w:tcPr>
            <w:tcW w:w="6634" w:type="dxa"/>
            <w:gridSpan w:val="6"/>
            <w:tcBorders>
              <w:top w:val="single" w:color="000000" w:sz="4" w:space="0"/>
              <w:left w:val="nil"/>
              <w:bottom w:val="single" w:color="000000" w:sz="4" w:space="0"/>
              <w:right w:val="single" w:color="000000" w:sz="4" w:space="0"/>
            </w:tcBorders>
            <w:shd w:val="clear" w:color="auto" w:fill="auto"/>
            <w:vAlign w:val="center"/>
          </w:tcPr>
          <w:p w14:paraId="47E605D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决算数</w:t>
            </w:r>
          </w:p>
        </w:tc>
      </w:tr>
      <w:tr w14:paraId="015EC832">
        <w:tblPrEx>
          <w:tblCellMar>
            <w:top w:w="0" w:type="dxa"/>
            <w:left w:w="108" w:type="dxa"/>
            <w:bottom w:w="0" w:type="dxa"/>
            <w:right w:w="108" w:type="dxa"/>
          </w:tblCellMar>
        </w:tblPrEx>
        <w:trPr>
          <w:gridAfter w:val="1"/>
          <w:wAfter w:w="17" w:type="dxa"/>
          <w:trHeight w:val="326" w:hRule="atLeast"/>
        </w:trPr>
        <w:tc>
          <w:tcPr>
            <w:tcW w:w="1534" w:type="dxa"/>
            <w:gridSpan w:val="2"/>
            <w:vMerge w:val="restart"/>
            <w:tcBorders>
              <w:top w:val="nil"/>
              <w:left w:val="single" w:color="000000" w:sz="4" w:space="0"/>
              <w:bottom w:val="single" w:color="000000" w:sz="4" w:space="0"/>
              <w:right w:val="single" w:color="000000" w:sz="4" w:space="0"/>
            </w:tcBorders>
            <w:shd w:val="clear" w:color="auto" w:fill="auto"/>
            <w:vAlign w:val="center"/>
          </w:tcPr>
          <w:p w14:paraId="3662B09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1425" w:type="dxa"/>
            <w:vMerge w:val="restart"/>
            <w:tcBorders>
              <w:top w:val="nil"/>
              <w:left w:val="nil"/>
              <w:bottom w:val="single" w:color="000000" w:sz="4" w:space="0"/>
              <w:right w:val="single" w:color="000000" w:sz="4" w:space="0"/>
            </w:tcBorders>
            <w:shd w:val="clear" w:color="auto" w:fill="auto"/>
            <w:vAlign w:val="center"/>
          </w:tcPr>
          <w:p w14:paraId="663C736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因公出国（境）费</w:t>
            </w:r>
          </w:p>
        </w:tc>
        <w:tc>
          <w:tcPr>
            <w:tcW w:w="3386" w:type="dxa"/>
            <w:gridSpan w:val="3"/>
            <w:tcBorders>
              <w:top w:val="nil"/>
              <w:left w:val="nil"/>
              <w:bottom w:val="single" w:color="000000" w:sz="4" w:space="0"/>
              <w:right w:val="single" w:color="000000" w:sz="4" w:space="0"/>
            </w:tcBorders>
            <w:shd w:val="clear" w:color="auto" w:fill="auto"/>
            <w:vAlign w:val="center"/>
          </w:tcPr>
          <w:p w14:paraId="62E853C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公务用车购置及运行费</w:t>
            </w:r>
          </w:p>
        </w:tc>
        <w:tc>
          <w:tcPr>
            <w:tcW w:w="1040" w:type="dxa"/>
            <w:vMerge w:val="restart"/>
            <w:tcBorders>
              <w:top w:val="nil"/>
              <w:left w:val="nil"/>
              <w:bottom w:val="single" w:color="000000" w:sz="4" w:space="0"/>
              <w:right w:val="single" w:color="000000" w:sz="4" w:space="0"/>
            </w:tcBorders>
            <w:shd w:val="clear" w:color="auto" w:fill="auto"/>
            <w:vAlign w:val="center"/>
          </w:tcPr>
          <w:p w14:paraId="7A451DA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公务接待费</w:t>
            </w:r>
          </w:p>
        </w:tc>
        <w:tc>
          <w:tcPr>
            <w:tcW w:w="1066" w:type="dxa"/>
            <w:vMerge w:val="restart"/>
            <w:tcBorders>
              <w:top w:val="nil"/>
              <w:left w:val="nil"/>
              <w:bottom w:val="single" w:color="000000" w:sz="4" w:space="0"/>
              <w:right w:val="single" w:color="000000" w:sz="4" w:space="0"/>
            </w:tcBorders>
            <w:shd w:val="clear" w:color="auto" w:fill="auto"/>
            <w:vAlign w:val="center"/>
          </w:tcPr>
          <w:p w14:paraId="32F1FA9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1161" w:type="dxa"/>
            <w:vMerge w:val="restart"/>
            <w:tcBorders>
              <w:top w:val="nil"/>
              <w:left w:val="nil"/>
              <w:bottom w:val="single" w:color="000000" w:sz="4" w:space="0"/>
              <w:right w:val="single" w:color="000000" w:sz="4" w:space="0"/>
            </w:tcBorders>
            <w:shd w:val="clear" w:color="auto" w:fill="auto"/>
            <w:vAlign w:val="center"/>
          </w:tcPr>
          <w:p w14:paraId="244EA9F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因公出国（境）费</w:t>
            </w:r>
          </w:p>
        </w:tc>
        <w:tc>
          <w:tcPr>
            <w:tcW w:w="3334" w:type="dxa"/>
            <w:gridSpan w:val="3"/>
            <w:tcBorders>
              <w:top w:val="nil"/>
              <w:left w:val="nil"/>
              <w:bottom w:val="single" w:color="000000" w:sz="4" w:space="0"/>
              <w:right w:val="single" w:color="000000" w:sz="4" w:space="0"/>
            </w:tcBorders>
            <w:shd w:val="clear" w:color="auto" w:fill="auto"/>
            <w:vAlign w:val="center"/>
          </w:tcPr>
          <w:p w14:paraId="06B6DFD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公务用车购置及运行费</w:t>
            </w:r>
          </w:p>
        </w:tc>
        <w:tc>
          <w:tcPr>
            <w:tcW w:w="1073" w:type="dxa"/>
            <w:vMerge w:val="restart"/>
            <w:tcBorders>
              <w:top w:val="nil"/>
              <w:left w:val="nil"/>
              <w:bottom w:val="single" w:color="000000" w:sz="4" w:space="0"/>
              <w:right w:val="single" w:color="000000" w:sz="4" w:space="0"/>
            </w:tcBorders>
            <w:shd w:val="clear" w:color="auto" w:fill="auto"/>
            <w:vAlign w:val="center"/>
          </w:tcPr>
          <w:p w14:paraId="226FF70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公务接待费</w:t>
            </w:r>
          </w:p>
        </w:tc>
      </w:tr>
      <w:tr w14:paraId="7F6F3389">
        <w:tblPrEx>
          <w:tblCellMar>
            <w:top w:w="0" w:type="dxa"/>
            <w:left w:w="108" w:type="dxa"/>
            <w:bottom w:w="0" w:type="dxa"/>
            <w:right w:w="108" w:type="dxa"/>
          </w:tblCellMar>
        </w:tblPrEx>
        <w:trPr>
          <w:gridAfter w:val="1"/>
          <w:wAfter w:w="17" w:type="dxa"/>
          <w:trHeight w:val="642" w:hRule="atLeast"/>
        </w:trPr>
        <w:tc>
          <w:tcPr>
            <w:tcW w:w="1534" w:type="dxa"/>
            <w:gridSpan w:val="2"/>
            <w:vMerge w:val="continue"/>
            <w:tcBorders>
              <w:top w:val="nil"/>
              <w:left w:val="single" w:color="000000" w:sz="4" w:space="0"/>
              <w:bottom w:val="single" w:color="000000" w:sz="4" w:space="0"/>
              <w:right w:val="single" w:color="000000" w:sz="4" w:space="0"/>
            </w:tcBorders>
            <w:shd w:val="clear" w:color="auto" w:fill="auto"/>
            <w:vAlign w:val="center"/>
          </w:tcPr>
          <w:p w14:paraId="3368071C">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25" w:type="dxa"/>
            <w:vMerge w:val="continue"/>
            <w:tcBorders>
              <w:top w:val="nil"/>
              <w:left w:val="nil"/>
              <w:bottom w:val="single" w:color="000000" w:sz="4" w:space="0"/>
              <w:right w:val="single" w:color="000000" w:sz="4" w:space="0"/>
            </w:tcBorders>
            <w:shd w:val="clear" w:color="auto" w:fill="auto"/>
            <w:vAlign w:val="center"/>
          </w:tcPr>
          <w:p w14:paraId="4D60F5BD">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094" w:type="dxa"/>
            <w:tcBorders>
              <w:top w:val="nil"/>
              <w:left w:val="nil"/>
              <w:bottom w:val="single" w:color="000000" w:sz="4" w:space="0"/>
              <w:right w:val="single" w:color="000000" w:sz="4" w:space="0"/>
            </w:tcBorders>
            <w:shd w:val="clear" w:color="auto" w:fill="auto"/>
            <w:vAlign w:val="center"/>
          </w:tcPr>
          <w:p w14:paraId="23A685E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小计</w:t>
            </w:r>
          </w:p>
        </w:tc>
        <w:tc>
          <w:tcPr>
            <w:tcW w:w="1159" w:type="dxa"/>
            <w:tcBorders>
              <w:top w:val="nil"/>
              <w:left w:val="nil"/>
              <w:bottom w:val="single" w:color="000000" w:sz="4" w:space="0"/>
              <w:right w:val="single" w:color="000000" w:sz="4" w:space="0"/>
            </w:tcBorders>
            <w:shd w:val="clear" w:color="auto" w:fill="auto"/>
            <w:vAlign w:val="center"/>
          </w:tcPr>
          <w:p w14:paraId="755AC24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公务用车购置费</w:t>
            </w:r>
          </w:p>
        </w:tc>
        <w:tc>
          <w:tcPr>
            <w:tcW w:w="1133" w:type="dxa"/>
            <w:tcBorders>
              <w:top w:val="nil"/>
              <w:left w:val="nil"/>
              <w:bottom w:val="single" w:color="000000" w:sz="4" w:space="0"/>
              <w:right w:val="single" w:color="000000" w:sz="4" w:space="0"/>
            </w:tcBorders>
            <w:shd w:val="clear" w:color="auto" w:fill="auto"/>
            <w:vAlign w:val="center"/>
          </w:tcPr>
          <w:p w14:paraId="6E4E929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公务用车运行费</w:t>
            </w:r>
          </w:p>
        </w:tc>
        <w:tc>
          <w:tcPr>
            <w:tcW w:w="1040" w:type="dxa"/>
            <w:vMerge w:val="continue"/>
            <w:tcBorders>
              <w:top w:val="nil"/>
              <w:left w:val="nil"/>
              <w:bottom w:val="single" w:color="000000" w:sz="4" w:space="0"/>
              <w:right w:val="single" w:color="000000" w:sz="4" w:space="0"/>
            </w:tcBorders>
            <w:shd w:val="clear" w:color="auto" w:fill="auto"/>
            <w:vAlign w:val="center"/>
          </w:tcPr>
          <w:p w14:paraId="71E7D289">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066" w:type="dxa"/>
            <w:vMerge w:val="continue"/>
            <w:tcBorders>
              <w:top w:val="nil"/>
              <w:left w:val="nil"/>
              <w:bottom w:val="single" w:color="000000" w:sz="4" w:space="0"/>
              <w:right w:val="single" w:color="000000" w:sz="4" w:space="0"/>
            </w:tcBorders>
            <w:shd w:val="clear" w:color="auto" w:fill="auto"/>
            <w:vAlign w:val="center"/>
          </w:tcPr>
          <w:p w14:paraId="0D3E64B4">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161" w:type="dxa"/>
            <w:vMerge w:val="continue"/>
            <w:tcBorders>
              <w:top w:val="nil"/>
              <w:left w:val="nil"/>
              <w:bottom w:val="single" w:color="000000" w:sz="4" w:space="0"/>
              <w:right w:val="single" w:color="000000" w:sz="4" w:space="0"/>
            </w:tcBorders>
            <w:shd w:val="clear" w:color="auto" w:fill="auto"/>
            <w:vAlign w:val="center"/>
          </w:tcPr>
          <w:p w14:paraId="29E29816">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053" w:type="dxa"/>
            <w:tcBorders>
              <w:top w:val="nil"/>
              <w:left w:val="nil"/>
              <w:bottom w:val="single" w:color="000000" w:sz="4" w:space="0"/>
              <w:right w:val="single" w:color="000000" w:sz="4" w:space="0"/>
            </w:tcBorders>
            <w:shd w:val="clear" w:color="auto" w:fill="auto"/>
            <w:vAlign w:val="center"/>
          </w:tcPr>
          <w:p w14:paraId="7BF982C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小计</w:t>
            </w:r>
          </w:p>
        </w:tc>
        <w:tc>
          <w:tcPr>
            <w:tcW w:w="1148" w:type="dxa"/>
            <w:tcBorders>
              <w:top w:val="nil"/>
              <w:left w:val="nil"/>
              <w:bottom w:val="single" w:color="000000" w:sz="4" w:space="0"/>
              <w:right w:val="single" w:color="000000" w:sz="4" w:space="0"/>
            </w:tcBorders>
            <w:shd w:val="clear" w:color="auto" w:fill="auto"/>
            <w:vAlign w:val="center"/>
          </w:tcPr>
          <w:p w14:paraId="0BC7194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公务用车购置费</w:t>
            </w:r>
          </w:p>
        </w:tc>
        <w:tc>
          <w:tcPr>
            <w:tcW w:w="1133" w:type="dxa"/>
            <w:tcBorders>
              <w:top w:val="nil"/>
              <w:left w:val="nil"/>
              <w:bottom w:val="single" w:color="000000" w:sz="4" w:space="0"/>
              <w:right w:val="single" w:color="000000" w:sz="4" w:space="0"/>
            </w:tcBorders>
            <w:shd w:val="clear" w:color="auto" w:fill="auto"/>
            <w:vAlign w:val="center"/>
          </w:tcPr>
          <w:p w14:paraId="067DD4C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公务用车运行费</w:t>
            </w:r>
          </w:p>
        </w:tc>
        <w:tc>
          <w:tcPr>
            <w:tcW w:w="1073" w:type="dxa"/>
            <w:vMerge w:val="continue"/>
            <w:tcBorders>
              <w:top w:val="nil"/>
              <w:left w:val="nil"/>
              <w:bottom w:val="single" w:color="000000" w:sz="4" w:space="0"/>
              <w:right w:val="single" w:color="000000" w:sz="4" w:space="0"/>
            </w:tcBorders>
            <w:shd w:val="clear" w:color="auto" w:fill="auto"/>
            <w:vAlign w:val="center"/>
          </w:tcPr>
          <w:p w14:paraId="1CAE3440">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14:paraId="2F8C8B6D">
        <w:tblPrEx>
          <w:tblCellMar>
            <w:top w:w="0" w:type="dxa"/>
            <w:left w:w="108" w:type="dxa"/>
            <w:bottom w:w="0" w:type="dxa"/>
            <w:right w:w="108" w:type="dxa"/>
          </w:tblCellMar>
        </w:tblPrEx>
        <w:trPr>
          <w:gridAfter w:val="1"/>
          <w:wAfter w:w="17" w:type="dxa"/>
          <w:trHeight w:val="959" w:hRule="atLeast"/>
        </w:trPr>
        <w:tc>
          <w:tcPr>
            <w:tcW w:w="1534" w:type="dxa"/>
            <w:gridSpan w:val="2"/>
            <w:tcBorders>
              <w:top w:val="nil"/>
              <w:left w:val="single" w:color="000000" w:sz="4" w:space="0"/>
              <w:bottom w:val="single" w:color="000000" w:sz="4" w:space="0"/>
              <w:right w:val="single" w:color="000000" w:sz="4" w:space="0"/>
            </w:tcBorders>
            <w:shd w:val="clear" w:color="auto" w:fill="auto"/>
            <w:vAlign w:val="center"/>
          </w:tcPr>
          <w:p w14:paraId="58CDFCA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w:t>
            </w:r>
          </w:p>
          <w:p w14:paraId="3D8FBF2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p>
        </w:tc>
        <w:tc>
          <w:tcPr>
            <w:tcW w:w="1425" w:type="dxa"/>
            <w:tcBorders>
              <w:top w:val="nil"/>
              <w:left w:val="nil"/>
              <w:bottom w:val="single" w:color="000000" w:sz="4" w:space="0"/>
              <w:right w:val="single" w:color="000000" w:sz="4" w:space="0"/>
            </w:tcBorders>
            <w:shd w:val="clear" w:color="auto" w:fill="auto"/>
            <w:vAlign w:val="center"/>
          </w:tcPr>
          <w:p w14:paraId="6F8D297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1094" w:type="dxa"/>
            <w:tcBorders>
              <w:top w:val="nil"/>
              <w:left w:val="nil"/>
              <w:bottom w:val="single" w:color="000000" w:sz="4" w:space="0"/>
              <w:right w:val="single" w:color="000000" w:sz="4" w:space="0"/>
            </w:tcBorders>
            <w:shd w:val="clear" w:color="auto" w:fill="auto"/>
            <w:vAlign w:val="center"/>
          </w:tcPr>
          <w:p w14:paraId="4F25903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c>
          <w:tcPr>
            <w:tcW w:w="1159" w:type="dxa"/>
            <w:tcBorders>
              <w:top w:val="nil"/>
              <w:left w:val="nil"/>
              <w:bottom w:val="single" w:color="000000" w:sz="4" w:space="0"/>
              <w:right w:val="single" w:color="000000" w:sz="4" w:space="0"/>
            </w:tcBorders>
            <w:shd w:val="clear" w:color="auto" w:fill="auto"/>
            <w:vAlign w:val="center"/>
          </w:tcPr>
          <w:p w14:paraId="52863EC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4</w:t>
            </w:r>
          </w:p>
        </w:tc>
        <w:tc>
          <w:tcPr>
            <w:tcW w:w="1133" w:type="dxa"/>
            <w:tcBorders>
              <w:top w:val="nil"/>
              <w:left w:val="nil"/>
              <w:bottom w:val="single" w:color="000000" w:sz="4" w:space="0"/>
              <w:right w:val="single" w:color="000000" w:sz="4" w:space="0"/>
            </w:tcBorders>
            <w:shd w:val="clear" w:color="auto" w:fill="auto"/>
            <w:vAlign w:val="center"/>
          </w:tcPr>
          <w:p w14:paraId="6B29866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5</w:t>
            </w:r>
          </w:p>
        </w:tc>
        <w:tc>
          <w:tcPr>
            <w:tcW w:w="1040" w:type="dxa"/>
            <w:tcBorders>
              <w:top w:val="nil"/>
              <w:left w:val="nil"/>
              <w:bottom w:val="single" w:color="000000" w:sz="4" w:space="0"/>
              <w:right w:val="single" w:color="000000" w:sz="4" w:space="0"/>
            </w:tcBorders>
            <w:shd w:val="clear" w:color="auto" w:fill="auto"/>
            <w:vAlign w:val="center"/>
          </w:tcPr>
          <w:p w14:paraId="693FDF4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6</w:t>
            </w:r>
          </w:p>
        </w:tc>
        <w:tc>
          <w:tcPr>
            <w:tcW w:w="1066" w:type="dxa"/>
            <w:tcBorders>
              <w:top w:val="nil"/>
              <w:left w:val="nil"/>
              <w:bottom w:val="single" w:color="000000" w:sz="4" w:space="0"/>
              <w:right w:val="single" w:color="000000" w:sz="4" w:space="0"/>
            </w:tcBorders>
            <w:shd w:val="clear" w:color="auto" w:fill="auto"/>
            <w:vAlign w:val="center"/>
          </w:tcPr>
          <w:p w14:paraId="20E8666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7</w:t>
            </w:r>
          </w:p>
        </w:tc>
        <w:tc>
          <w:tcPr>
            <w:tcW w:w="1161" w:type="dxa"/>
            <w:tcBorders>
              <w:top w:val="nil"/>
              <w:left w:val="nil"/>
              <w:bottom w:val="single" w:color="000000" w:sz="4" w:space="0"/>
              <w:right w:val="single" w:color="000000" w:sz="4" w:space="0"/>
            </w:tcBorders>
            <w:shd w:val="clear" w:color="auto" w:fill="auto"/>
            <w:vAlign w:val="center"/>
          </w:tcPr>
          <w:p w14:paraId="369D040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8</w:t>
            </w:r>
          </w:p>
        </w:tc>
        <w:tc>
          <w:tcPr>
            <w:tcW w:w="1053" w:type="dxa"/>
            <w:tcBorders>
              <w:top w:val="nil"/>
              <w:left w:val="nil"/>
              <w:bottom w:val="single" w:color="000000" w:sz="4" w:space="0"/>
              <w:right w:val="single" w:color="000000" w:sz="4" w:space="0"/>
            </w:tcBorders>
            <w:shd w:val="clear" w:color="auto" w:fill="auto"/>
            <w:vAlign w:val="center"/>
          </w:tcPr>
          <w:p w14:paraId="7B8C570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9</w:t>
            </w:r>
          </w:p>
        </w:tc>
        <w:tc>
          <w:tcPr>
            <w:tcW w:w="1148" w:type="dxa"/>
            <w:tcBorders>
              <w:top w:val="nil"/>
              <w:left w:val="nil"/>
              <w:bottom w:val="single" w:color="000000" w:sz="4" w:space="0"/>
              <w:right w:val="single" w:color="000000" w:sz="4" w:space="0"/>
            </w:tcBorders>
            <w:shd w:val="clear" w:color="auto" w:fill="auto"/>
            <w:vAlign w:val="center"/>
          </w:tcPr>
          <w:p w14:paraId="4A1B6DC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10</w:t>
            </w:r>
          </w:p>
        </w:tc>
        <w:tc>
          <w:tcPr>
            <w:tcW w:w="1133" w:type="dxa"/>
            <w:tcBorders>
              <w:top w:val="nil"/>
              <w:left w:val="nil"/>
              <w:bottom w:val="single" w:color="000000" w:sz="4" w:space="0"/>
              <w:right w:val="single" w:color="000000" w:sz="4" w:space="0"/>
            </w:tcBorders>
            <w:shd w:val="clear" w:color="auto" w:fill="auto"/>
            <w:vAlign w:val="center"/>
          </w:tcPr>
          <w:p w14:paraId="19F0516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11</w:t>
            </w:r>
          </w:p>
        </w:tc>
        <w:tc>
          <w:tcPr>
            <w:tcW w:w="1073" w:type="dxa"/>
            <w:tcBorders>
              <w:top w:val="nil"/>
              <w:left w:val="nil"/>
              <w:bottom w:val="single" w:color="000000" w:sz="4" w:space="0"/>
              <w:right w:val="single" w:color="000000" w:sz="4" w:space="0"/>
            </w:tcBorders>
            <w:shd w:val="clear" w:color="auto" w:fill="auto"/>
            <w:vAlign w:val="center"/>
          </w:tcPr>
          <w:p w14:paraId="3A1B4A3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12</w:t>
            </w:r>
          </w:p>
        </w:tc>
      </w:tr>
      <w:tr w14:paraId="4D4A2462">
        <w:tblPrEx>
          <w:tblCellMar>
            <w:top w:w="0" w:type="dxa"/>
            <w:left w:w="108" w:type="dxa"/>
            <w:bottom w:w="0" w:type="dxa"/>
            <w:right w:w="108" w:type="dxa"/>
          </w:tblCellMar>
        </w:tblPrEx>
        <w:trPr>
          <w:gridAfter w:val="1"/>
          <w:wAfter w:w="17" w:type="dxa"/>
          <w:trHeight w:val="1107" w:hRule="atLeast"/>
        </w:trPr>
        <w:tc>
          <w:tcPr>
            <w:tcW w:w="1534" w:type="dxa"/>
            <w:gridSpan w:val="2"/>
            <w:tcBorders>
              <w:top w:val="nil"/>
              <w:left w:val="single" w:color="000000" w:sz="4" w:space="0"/>
              <w:bottom w:val="single" w:color="000000" w:sz="4" w:space="0"/>
              <w:right w:val="single" w:color="000000" w:sz="4" w:space="0"/>
            </w:tcBorders>
            <w:shd w:val="clear" w:color="auto" w:fill="auto"/>
            <w:noWrap/>
            <w:vAlign w:val="center"/>
          </w:tcPr>
          <w:p w14:paraId="762A7EE9">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bidi="ar"/>
              </w:rPr>
            </w:pPr>
            <w:r>
              <w:rPr>
                <w:rFonts w:hint="eastAsia" w:ascii="宋体" w:hAnsi="宋体" w:eastAsia="宋体" w:cs="宋体"/>
                <w:color w:val="000000"/>
                <w:kern w:val="0"/>
                <w:sz w:val="22"/>
                <w:szCs w:val="22"/>
                <w:highlight w:val="none"/>
                <w:lang w:val="en-US" w:eastAsia="zh-CN" w:bidi="ar"/>
              </w:rPr>
              <w:t>49.07</w:t>
            </w:r>
          </w:p>
        </w:tc>
        <w:tc>
          <w:tcPr>
            <w:tcW w:w="1425" w:type="dxa"/>
            <w:tcBorders>
              <w:top w:val="nil"/>
              <w:left w:val="nil"/>
              <w:bottom w:val="single" w:color="000000" w:sz="4" w:space="0"/>
              <w:right w:val="single" w:color="000000" w:sz="4" w:space="0"/>
            </w:tcBorders>
            <w:shd w:val="clear" w:color="auto" w:fill="auto"/>
            <w:noWrap/>
            <w:vAlign w:val="center"/>
          </w:tcPr>
          <w:p w14:paraId="7CA88A4D">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094" w:type="dxa"/>
            <w:tcBorders>
              <w:top w:val="nil"/>
              <w:left w:val="nil"/>
              <w:bottom w:val="single" w:color="000000" w:sz="4" w:space="0"/>
              <w:right w:val="single" w:color="000000" w:sz="4" w:space="0"/>
            </w:tcBorders>
            <w:shd w:val="clear" w:color="auto" w:fill="auto"/>
            <w:noWrap/>
            <w:vAlign w:val="center"/>
          </w:tcPr>
          <w:p w14:paraId="451A5035">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159" w:type="dxa"/>
            <w:tcBorders>
              <w:top w:val="nil"/>
              <w:left w:val="nil"/>
              <w:bottom w:val="single" w:color="000000" w:sz="4" w:space="0"/>
              <w:right w:val="single" w:color="000000" w:sz="4" w:space="0"/>
            </w:tcBorders>
            <w:shd w:val="clear" w:color="auto" w:fill="auto"/>
            <w:noWrap/>
            <w:vAlign w:val="center"/>
          </w:tcPr>
          <w:p w14:paraId="4AEC5506">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26.46</w:t>
            </w:r>
          </w:p>
        </w:tc>
        <w:tc>
          <w:tcPr>
            <w:tcW w:w="1133" w:type="dxa"/>
            <w:tcBorders>
              <w:top w:val="nil"/>
              <w:left w:val="nil"/>
              <w:bottom w:val="single" w:color="000000" w:sz="4" w:space="0"/>
              <w:right w:val="single" w:color="000000" w:sz="4" w:space="0"/>
            </w:tcBorders>
            <w:shd w:val="clear" w:color="auto" w:fill="auto"/>
            <w:noWrap/>
            <w:vAlign w:val="center"/>
          </w:tcPr>
          <w:p w14:paraId="56DE25C8">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18.58</w:t>
            </w:r>
          </w:p>
        </w:tc>
        <w:tc>
          <w:tcPr>
            <w:tcW w:w="1040" w:type="dxa"/>
            <w:tcBorders>
              <w:top w:val="nil"/>
              <w:left w:val="nil"/>
              <w:bottom w:val="single" w:color="000000" w:sz="4" w:space="0"/>
              <w:right w:val="single" w:color="000000" w:sz="4" w:space="0"/>
            </w:tcBorders>
            <w:shd w:val="clear" w:color="auto" w:fill="auto"/>
            <w:noWrap/>
            <w:vAlign w:val="center"/>
          </w:tcPr>
          <w:p w14:paraId="6E16B225">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4.03</w:t>
            </w:r>
          </w:p>
        </w:tc>
        <w:tc>
          <w:tcPr>
            <w:tcW w:w="1066" w:type="dxa"/>
            <w:tcBorders>
              <w:top w:val="nil"/>
              <w:left w:val="nil"/>
              <w:bottom w:val="single" w:color="000000" w:sz="4" w:space="0"/>
              <w:right w:val="single" w:color="000000" w:sz="4" w:space="0"/>
            </w:tcBorders>
            <w:shd w:val="clear" w:color="auto" w:fill="auto"/>
            <w:noWrap/>
            <w:vAlign w:val="center"/>
          </w:tcPr>
          <w:p w14:paraId="7A219675">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val="en-US" w:bidi="ar"/>
              </w:rPr>
            </w:pPr>
            <w:r>
              <w:rPr>
                <w:rFonts w:hint="eastAsia" w:ascii="宋体" w:hAnsi="宋体" w:eastAsia="宋体" w:cs="宋体"/>
                <w:color w:val="000000"/>
                <w:kern w:val="0"/>
                <w:sz w:val="22"/>
                <w:szCs w:val="22"/>
                <w:highlight w:val="none"/>
                <w:lang w:val="en-US" w:eastAsia="zh-CN" w:bidi="ar"/>
              </w:rPr>
              <w:t>49.07</w:t>
            </w:r>
          </w:p>
        </w:tc>
        <w:tc>
          <w:tcPr>
            <w:tcW w:w="1161" w:type="dxa"/>
            <w:tcBorders>
              <w:top w:val="nil"/>
              <w:left w:val="nil"/>
              <w:bottom w:val="single" w:color="000000" w:sz="4" w:space="0"/>
              <w:right w:val="single" w:color="000000" w:sz="4" w:space="0"/>
            </w:tcBorders>
            <w:shd w:val="clear" w:color="auto" w:fill="auto"/>
            <w:noWrap/>
            <w:vAlign w:val="center"/>
          </w:tcPr>
          <w:p w14:paraId="15110D7F">
            <w:pPr>
              <w:keepNext w:val="0"/>
              <w:keepLines w:val="0"/>
              <w:suppressLineNumbers w:val="0"/>
              <w:spacing w:before="0" w:beforeAutospacing="0" w:after="0" w:afterAutospacing="0"/>
              <w:ind w:left="0" w:leftChars="0" w:right="0" w:rightChars="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053" w:type="dxa"/>
            <w:tcBorders>
              <w:top w:val="nil"/>
              <w:left w:val="nil"/>
              <w:bottom w:val="single" w:color="000000" w:sz="4" w:space="0"/>
              <w:right w:val="single" w:color="000000" w:sz="4" w:space="0"/>
            </w:tcBorders>
            <w:shd w:val="clear" w:color="auto" w:fill="auto"/>
            <w:noWrap/>
            <w:vAlign w:val="center"/>
          </w:tcPr>
          <w:p w14:paraId="67944BBE">
            <w:pPr>
              <w:keepNext w:val="0"/>
              <w:keepLines w:val="0"/>
              <w:suppressLineNumbers w:val="0"/>
              <w:spacing w:before="0" w:beforeAutospacing="0" w:after="0" w:afterAutospacing="0"/>
              <w:ind w:left="0" w:leftChars="0" w:right="0" w:rightChars="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148" w:type="dxa"/>
            <w:tcBorders>
              <w:top w:val="nil"/>
              <w:left w:val="nil"/>
              <w:bottom w:val="single" w:color="000000" w:sz="4" w:space="0"/>
              <w:right w:val="single" w:color="000000" w:sz="4" w:space="0"/>
            </w:tcBorders>
            <w:shd w:val="clear" w:color="auto" w:fill="auto"/>
            <w:noWrap/>
            <w:vAlign w:val="center"/>
          </w:tcPr>
          <w:p w14:paraId="0449DA03">
            <w:pPr>
              <w:keepNext w:val="0"/>
              <w:keepLines w:val="0"/>
              <w:suppressLineNumbers w:val="0"/>
              <w:spacing w:before="0" w:beforeAutospacing="0" w:after="0" w:afterAutospacing="0"/>
              <w:ind w:left="0" w:leftChars="0" w:right="0" w:rightChars="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lang w:val="en-US" w:eastAsia="zh-CN"/>
              </w:rPr>
              <w:t>26.46</w:t>
            </w:r>
          </w:p>
        </w:tc>
        <w:tc>
          <w:tcPr>
            <w:tcW w:w="1133" w:type="dxa"/>
            <w:tcBorders>
              <w:top w:val="nil"/>
              <w:left w:val="nil"/>
              <w:bottom w:val="single" w:color="000000" w:sz="4" w:space="0"/>
              <w:right w:val="single" w:color="000000" w:sz="4" w:space="0"/>
            </w:tcBorders>
            <w:shd w:val="clear" w:color="auto" w:fill="auto"/>
            <w:noWrap/>
            <w:vAlign w:val="center"/>
          </w:tcPr>
          <w:p w14:paraId="0E8ED0CA">
            <w:pPr>
              <w:keepNext w:val="0"/>
              <w:keepLines w:val="0"/>
              <w:suppressLineNumbers w:val="0"/>
              <w:spacing w:before="0" w:beforeAutospacing="0" w:after="0" w:afterAutospacing="0"/>
              <w:ind w:left="0" w:leftChars="0" w:right="0" w:rightChars="0"/>
              <w:jc w:val="right"/>
              <w:rPr>
                <w:rFonts w:hint="default"/>
                <w:highlight w:val="none"/>
              </w:rPr>
            </w:pPr>
            <w:r>
              <w:rPr>
                <w:rFonts w:hint="eastAsia" w:ascii="宋体" w:hAnsi="宋体" w:eastAsia="宋体" w:cs="宋体"/>
                <w:color w:val="000000"/>
                <w:sz w:val="22"/>
                <w:szCs w:val="22"/>
                <w:highlight w:val="none"/>
                <w:lang w:val="en-US" w:eastAsia="zh-CN"/>
              </w:rPr>
              <w:t>18.58</w:t>
            </w:r>
          </w:p>
        </w:tc>
        <w:tc>
          <w:tcPr>
            <w:tcW w:w="1073" w:type="dxa"/>
            <w:tcBorders>
              <w:top w:val="nil"/>
              <w:left w:val="nil"/>
              <w:bottom w:val="single" w:color="000000" w:sz="4" w:space="0"/>
              <w:right w:val="single" w:color="000000" w:sz="4" w:space="0"/>
            </w:tcBorders>
            <w:shd w:val="clear" w:color="auto" w:fill="auto"/>
            <w:noWrap/>
            <w:vAlign w:val="center"/>
          </w:tcPr>
          <w:p w14:paraId="4EE2BCC3">
            <w:pPr>
              <w:keepNext w:val="0"/>
              <w:keepLines w:val="0"/>
              <w:suppressLineNumbers w:val="0"/>
              <w:spacing w:before="0" w:beforeAutospacing="0" w:after="0" w:afterAutospacing="0"/>
              <w:ind w:left="0" w:leftChars="0" w:right="0" w:rightChars="0"/>
              <w:jc w:val="center"/>
              <w:rPr>
                <w:rFonts w:hint="default"/>
                <w:lang w:val="en-US" w:eastAsia="zh-CN"/>
              </w:rPr>
            </w:pPr>
            <w:r>
              <w:rPr>
                <w:rFonts w:hint="eastAsia" w:ascii="宋体" w:hAnsi="宋体" w:eastAsia="宋体" w:cs="宋体"/>
                <w:color w:val="000000"/>
                <w:sz w:val="22"/>
                <w:szCs w:val="22"/>
                <w:highlight w:val="none"/>
                <w:lang w:val="en-US" w:eastAsia="zh-CN"/>
              </w:rPr>
              <w:t>4.03</w:t>
            </w:r>
          </w:p>
        </w:tc>
      </w:tr>
      <w:tr w14:paraId="0D83A26C">
        <w:tblPrEx>
          <w:tblCellMar>
            <w:top w:w="0" w:type="dxa"/>
            <w:left w:w="108" w:type="dxa"/>
            <w:bottom w:w="0" w:type="dxa"/>
            <w:right w:w="108" w:type="dxa"/>
          </w:tblCellMar>
        </w:tblPrEx>
        <w:trPr>
          <w:gridAfter w:val="1"/>
          <w:wAfter w:w="17" w:type="dxa"/>
          <w:trHeight w:val="642" w:hRule="atLeast"/>
        </w:trPr>
        <w:tc>
          <w:tcPr>
            <w:tcW w:w="14019" w:type="dxa"/>
            <w:gridSpan w:val="13"/>
            <w:tcBorders>
              <w:top w:val="nil"/>
              <w:left w:val="nil"/>
              <w:bottom w:val="nil"/>
              <w:right w:val="nil"/>
            </w:tcBorders>
            <w:shd w:val="clear" w:color="auto" w:fill="auto"/>
            <w:vAlign w:val="center"/>
          </w:tcPr>
          <w:p w14:paraId="4044356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注：本表反映部门本年度“三公”经费支出预决算情况。其中，预算数为“三公”经费全年预算数，反映按规定程序调整后的预算数；决算数是包括当年一般公共预算财政拨款和以前年度结转资金安排的实际支出。</w:t>
            </w:r>
          </w:p>
          <w:p w14:paraId="1A711AE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r>
    </w:tbl>
    <w:p w14:paraId="2CAF217D">
      <w:pPr>
        <w:ind w:firstLine="420" w:firstLineChars="0"/>
        <w:jc w:val="left"/>
        <w:rPr>
          <w:rFonts w:ascii="仿宋" w:hAnsi="仿宋" w:eastAsia="仿宋" w:cs="仿宋"/>
          <w:sz w:val="24"/>
          <w:highlight w:val="none"/>
        </w:rPr>
        <w:sectPr>
          <w:pgSz w:w="16838" w:h="11906" w:orient="landscape"/>
          <w:pgMar w:top="1800" w:right="1440" w:bottom="1800" w:left="1440" w:header="851" w:footer="992" w:gutter="0"/>
          <w:cols w:space="425" w:num="1"/>
          <w:docGrid w:type="lines" w:linePitch="312" w:charSpace="0"/>
        </w:sectPr>
      </w:pPr>
    </w:p>
    <w:p w14:paraId="2E55B3F0">
      <w:pPr>
        <w:jc w:val="center"/>
        <w:rPr>
          <w:rFonts w:ascii="仿宋" w:hAnsi="仿宋" w:eastAsia="仿宋" w:cs="仿宋"/>
          <w:sz w:val="32"/>
          <w:szCs w:val="32"/>
          <w:highlight w:val="none"/>
        </w:rPr>
      </w:pPr>
      <w:r>
        <w:rPr>
          <w:rFonts w:hint="eastAsia" w:ascii="黑体" w:hAnsi="黑体" w:eastAsia="黑体" w:cs="黑体"/>
          <w:sz w:val="32"/>
          <w:szCs w:val="32"/>
          <w:highlight w:val="none"/>
        </w:rPr>
        <w:t>第三部分：2022年度部门决算情况说明</w:t>
      </w:r>
    </w:p>
    <w:p w14:paraId="6D2C121E">
      <w:pPr>
        <w:jc w:val="left"/>
        <w:rPr>
          <w:rFonts w:ascii="黑体" w:hAnsi="黑体" w:eastAsia="黑体" w:cs="黑体"/>
          <w:sz w:val="32"/>
          <w:szCs w:val="32"/>
          <w:highlight w:val="none"/>
        </w:rPr>
      </w:pPr>
      <w:r>
        <w:rPr>
          <w:rFonts w:hint="eastAsia" w:ascii="黑体" w:hAnsi="黑体" w:eastAsia="黑体" w:cs="黑体"/>
          <w:sz w:val="32"/>
          <w:szCs w:val="32"/>
          <w:highlight w:val="none"/>
        </w:rPr>
        <w:t>一、2022年度收入支出决算总体情况</w:t>
      </w:r>
    </w:p>
    <w:p w14:paraId="6D4AECF8">
      <w:pPr>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（一）本部门2022年度总收入</w:t>
      </w:r>
      <w:r>
        <w:rPr>
          <w:rFonts w:hint="eastAsia" w:ascii="仿宋" w:hAnsi="仿宋" w:eastAsia="仿宋" w:cs="仿宋"/>
          <w:sz w:val="32"/>
          <w:szCs w:val="32"/>
          <w:highlight w:val="none"/>
          <w:lang w:val="en-US" w:eastAsia="zh-CN"/>
        </w:rPr>
        <w:t>1730.07</w:t>
      </w:r>
      <w:r>
        <w:rPr>
          <w:rFonts w:hint="eastAsia" w:ascii="仿宋" w:hAnsi="仿宋" w:eastAsia="仿宋" w:cs="仿宋"/>
          <w:sz w:val="32"/>
          <w:szCs w:val="32"/>
          <w:highlight w:val="none"/>
        </w:rPr>
        <w:t>万元，较2021年度决算数</w:t>
      </w:r>
      <w:r>
        <w:rPr>
          <w:rFonts w:hint="eastAsia" w:ascii="仿宋" w:hAnsi="仿宋" w:eastAsia="仿宋" w:cs="仿宋"/>
          <w:sz w:val="32"/>
          <w:szCs w:val="32"/>
          <w:highlight w:val="none"/>
          <w:lang w:val="en-US" w:eastAsia="zh-CN"/>
        </w:rPr>
        <w:t>增加192.18</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val="en-US" w:eastAsia="zh-CN"/>
        </w:rPr>
        <w:t>增长12.50</w:t>
      </w:r>
      <w:r>
        <w:rPr>
          <w:rFonts w:hint="eastAsia" w:ascii="仿宋" w:hAnsi="仿宋" w:eastAsia="仿宋" w:cs="仿宋"/>
          <w:sz w:val="32"/>
          <w:szCs w:val="32"/>
          <w:highlight w:val="none"/>
        </w:rPr>
        <w:t>%，其中本年收入</w:t>
      </w:r>
      <w:r>
        <w:rPr>
          <w:rFonts w:hint="eastAsia" w:ascii="仿宋" w:hAnsi="仿宋" w:eastAsia="仿宋" w:cs="仿宋"/>
          <w:sz w:val="32"/>
          <w:szCs w:val="32"/>
          <w:highlight w:val="none"/>
          <w:lang w:val="en-US" w:eastAsia="zh-CN"/>
        </w:rPr>
        <w:t>1730.07</w:t>
      </w:r>
      <w:r>
        <w:rPr>
          <w:rFonts w:hint="eastAsia" w:ascii="仿宋" w:hAnsi="仿宋" w:eastAsia="仿宋" w:cs="仿宋"/>
          <w:sz w:val="32"/>
          <w:szCs w:val="32"/>
          <w:highlight w:val="none"/>
        </w:rPr>
        <w:t>万元。收入具体情况如下。</w:t>
      </w:r>
    </w:p>
    <w:p w14:paraId="6CF98B63">
      <w:pPr>
        <w:autoSpaceDE w:val="0"/>
        <w:autoSpaceDN w:val="0"/>
        <w:adjustRightInd w:val="0"/>
        <w:spacing w:line="560" w:lineRule="exact"/>
        <w:ind w:firstLine="640" w:firstLineChars="200"/>
        <w:jc w:val="left"/>
        <w:rPr>
          <w:rFonts w:hint="eastAsia" w:ascii="仿宋_GB2312" w:hAnsi="仿宋_GB2312" w:eastAsia="仿宋_GB2312" w:cs="仿宋_GB2312"/>
          <w:kern w:val="0"/>
          <w:sz w:val="32"/>
          <w:szCs w:val="32"/>
          <w:lang w:eastAsia="zh-CN"/>
        </w:rPr>
      </w:pPr>
      <w:r>
        <w:rPr>
          <w:rFonts w:hint="eastAsia" w:ascii="仿宋" w:hAnsi="仿宋" w:eastAsia="仿宋" w:cs="仿宋"/>
          <w:kern w:val="2"/>
          <w:sz w:val="32"/>
          <w:szCs w:val="32"/>
          <w:highlight w:val="none"/>
          <w:lang w:val="en-US" w:eastAsia="zh-CN" w:bidi="ar"/>
        </w:rPr>
        <w:t>1.一般公共预算财政拨款收入1730.07万元，为</w:t>
      </w:r>
      <w:r>
        <w:rPr>
          <w:rFonts w:hint="eastAsia" w:ascii="仿宋" w:hAnsi="仿宋" w:eastAsia="仿宋" w:cs="仿宋"/>
          <w:sz w:val="32"/>
          <w:szCs w:val="32"/>
          <w:highlight w:val="none"/>
        </w:rPr>
        <w:t>河池市</w:t>
      </w:r>
      <w:r>
        <w:rPr>
          <w:rFonts w:hint="eastAsia" w:ascii="仿宋" w:hAnsi="仿宋" w:eastAsia="仿宋" w:cs="仿宋"/>
          <w:kern w:val="2"/>
          <w:sz w:val="32"/>
          <w:szCs w:val="32"/>
          <w:highlight w:val="none"/>
          <w:lang w:val="en-US" w:eastAsia="zh-CN" w:bidi="ar"/>
        </w:rPr>
        <w:t>本级财政当年拨付的资金。较2021年度决算数</w:t>
      </w:r>
      <w:r>
        <w:rPr>
          <w:rFonts w:hint="eastAsia" w:ascii="仿宋" w:hAnsi="仿宋" w:eastAsia="仿宋" w:cs="仿宋"/>
          <w:sz w:val="32"/>
          <w:szCs w:val="32"/>
          <w:highlight w:val="none"/>
          <w:lang w:val="en-US" w:eastAsia="zh-CN"/>
        </w:rPr>
        <w:t>增加192.18</w:t>
      </w:r>
      <w:r>
        <w:rPr>
          <w:rFonts w:hint="eastAsia" w:ascii="仿宋" w:hAnsi="仿宋" w:eastAsia="仿宋" w:cs="仿宋"/>
          <w:sz w:val="32"/>
          <w:szCs w:val="32"/>
          <w:highlight w:val="none"/>
        </w:rPr>
        <w:t>万元</w:t>
      </w:r>
      <w:r>
        <w:rPr>
          <w:rFonts w:hint="eastAsia" w:ascii="仿宋" w:hAnsi="仿宋" w:eastAsia="仿宋" w:cs="仿宋"/>
          <w:kern w:val="2"/>
          <w:sz w:val="32"/>
          <w:szCs w:val="32"/>
          <w:highlight w:val="none"/>
          <w:lang w:val="en-US" w:eastAsia="zh-CN" w:bidi="ar"/>
        </w:rPr>
        <w:t>，</w:t>
      </w:r>
      <w:r>
        <w:rPr>
          <w:rFonts w:hint="eastAsia" w:ascii="仿宋" w:hAnsi="仿宋" w:eastAsia="仿宋" w:cs="仿宋"/>
          <w:sz w:val="32"/>
          <w:szCs w:val="32"/>
          <w:highlight w:val="none"/>
          <w:lang w:val="en-US" w:eastAsia="zh-CN"/>
        </w:rPr>
        <w:t>增长12.50</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w:t>
      </w:r>
      <w:r>
        <w:rPr>
          <w:rFonts w:hint="eastAsia" w:ascii="仿宋_GB2312" w:hAnsi="仿宋_GB2312" w:eastAsia="仿宋_GB2312" w:cs="仿宋_GB2312"/>
          <w:kern w:val="0"/>
          <w:sz w:val="32"/>
          <w:szCs w:val="32"/>
        </w:rPr>
        <w:t>本年度有在职在编人员增加</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工资增资及增加了人员基本养老保险缴费、住房公积金</w:t>
      </w:r>
      <w:r>
        <w:rPr>
          <w:rFonts w:hint="eastAsia" w:ascii="仿宋_GB2312" w:hAnsi="仿宋_GB2312" w:eastAsia="仿宋_GB2312" w:cs="仿宋_GB2312"/>
          <w:kern w:val="0"/>
          <w:sz w:val="32"/>
          <w:szCs w:val="32"/>
          <w:lang w:eastAsia="zh-CN"/>
        </w:rPr>
        <w:t>。</w:t>
      </w:r>
    </w:p>
    <w:p w14:paraId="6CE23AC6">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sz w:val="32"/>
          <w:u w:color="auto"/>
          <w:lang w:val="en-US" w:eastAsia="zh-CN"/>
        </w:rPr>
      </w:pPr>
      <w:r>
        <w:rPr>
          <w:rFonts w:hint="eastAsia" w:ascii="仿宋" w:hAnsi="仿宋" w:eastAsia="仿宋" w:cs="仿宋"/>
          <w:kern w:val="2"/>
          <w:sz w:val="32"/>
          <w:szCs w:val="32"/>
          <w:highlight w:val="none"/>
          <w:lang w:val="en-US" w:eastAsia="zh-CN" w:bidi="ar"/>
        </w:rPr>
        <w:t>2.政府性基金预算财政拨款收入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万元，较2021年度决算数</w:t>
      </w:r>
      <w:r>
        <w:rPr>
          <w:rFonts w:hint="eastAsia" w:ascii="仿宋" w:hAnsi="仿宋" w:eastAsia="仿宋" w:cs="仿宋"/>
          <w:sz w:val="32"/>
          <w:u w:color="auto"/>
          <w:lang w:val="en-US" w:eastAsia="zh-CN"/>
        </w:rPr>
        <w:t>无变化。</w:t>
      </w:r>
    </w:p>
    <w:p w14:paraId="511153AC">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sz w:val="32"/>
          <w:u w:color="auto"/>
          <w:lang w:val="en-US" w:eastAsia="zh-CN"/>
        </w:rPr>
      </w:pPr>
      <w:r>
        <w:rPr>
          <w:rFonts w:hint="eastAsia" w:ascii="仿宋" w:hAnsi="仿宋" w:eastAsia="仿宋" w:cs="仿宋"/>
          <w:kern w:val="2"/>
          <w:sz w:val="32"/>
          <w:szCs w:val="32"/>
          <w:highlight w:val="none"/>
          <w:lang w:val="en-US" w:eastAsia="zh-CN" w:bidi="ar"/>
        </w:rPr>
        <w:t>3.国有资本经营预算财政拨款收入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万元。较2021年度决算数</w:t>
      </w:r>
      <w:r>
        <w:rPr>
          <w:rFonts w:hint="eastAsia" w:ascii="仿宋" w:hAnsi="仿宋" w:eastAsia="仿宋" w:cs="仿宋"/>
          <w:sz w:val="32"/>
          <w:u w:color="auto"/>
          <w:lang w:val="en-US" w:eastAsia="zh-CN"/>
        </w:rPr>
        <w:t>无变化。</w:t>
      </w:r>
    </w:p>
    <w:p w14:paraId="512E5E27">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sz w:val="32"/>
          <w:szCs w:val="32"/>
          <w:highlight w:val="none"/>
          <w:lang w:val="en-US"/>
        </w:rPr>
      </w:pPr>
      <w:r>
        <w:rPr>
          <w:rFonts w:hint="eastAsia" w:ascii="仿宋" w:hAnsi="仿宋" w:eastAsia="仿宋" w:cs="仿宋"/>
          <w:kern w:val="2"/>
          <w:sz w:val="32"/>
          <w:szCs w:val="32"/>
          <w:highlight w:val="none"/>
          <w:lang w:val="en-US" w:eastAsia="zh-CN" w:bidi="ar"/>
        </w:rPr>
        <w:t>4.上级补助收入</w:t>
      </w:r>
      <w:r>
        <w:rPr>
          <w:rFonts w:hint="eastAsia" w:ascii="仿宋" w:hAnsi="仿宋" w:eastAsia="仿宋" w:cs="仿宋"/>
          <w:sz w:val="32"/>
          <w:u w:color="auto"/>
          <w:lang w:val="en-US" w:eastAsia="zh-CN"/>
        </w:rPr>
        <w:t>0.00</w:t>
      </w:r>
      <w:r>
        <w:rPr>
          <w:rFonts w:hint="eastAsia" w:ascii="仿宋" w:hAnsi="仿宋" w:eastAsia="仿宋" w:cs="仿宋"/>
          <w:kern w:val="2"/>
          <w:sz w:val="32"/>
          <w:szCs w:val="32"/>
          <w:highlight w:val="none"/>
          <w:lang w:val="en-US" w:eastAsia="zh-CN" w:bidi="ar"/>
        </w:rPr>
        <w:t>万元，较2021年度决算数</w:t>
      </w:r>
      <w:r>
        <w:rPr>
          <w:rFonts w:hint="eastAsia" w:ascii="仿宋" w:hAnsi="仿宋" w:eastAsia="仿宋" w:cs="仿宋"/>
          <w:sz w:val="32"/>
          <w:u w:color="auto"/>
          <w:lang w:val="en-US" w:eastAsia="zh-CN"/>
        </w:rPr>
        <w:t>无变化。</w:t>
      </w:r>
    </w:p>
    <w:p w14:paraId="1E60D790">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FF0000"/>
          <w:sz w:val="32"/>
          <w:szCs w:val="32"/>
          <w:highlight w:val="none"/>
          <w:lang w:val="en-US"/>
        </w:rPr>
      </w:pPr>
      <w:r>
        <w:rPr>
          <w:rFonts w:hint="eastAsia" w:ascii="仿宋" w:hAnsi="仿宋" w:eastAsia="仿宋" w:cs="仿宋"/>
          <w:kern w:val="2"/>
          <w:sz w:val="32"/>
          <w:szCs w:val="32"/>
          <w:highlight w:val="none"/>
          <w:lang w:val="en-US" w:eastAsia="zh-CN" w:bidi="ar"/>
        </w:rPr>
        <w:t>5.事业收入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万元，较2021年度决算数</w:t>
      </w:r>
      <w:r>
        <w:rPr>
          <w:rFonts w:hint="eastAsia" w:ascii="仿宋" w:hAnsi="仿宋" w:eastAsia="仿宋" w:cs="仿宋"/>
          <w:sz w:val="32"/>
          <w:u w:color="auto"/>
          <w:lang w:val="en-US" w:eastAsia="zh-CN"/>
        </w:rPr>
        <w:t>无变化。</w:t>
      </w:r>
    </w:p>
    <w:p w14:paraId="74736B5B">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sz w:val="32"/>
          <w:u w:color="auto"/>
          <w:lang w:val="en-US" w:eastAsia="zh-CN"/>
        </w:rPr>
      </w:pPr>
      <w:r>
        <w:rPr>
          <w:rFonts w:hint="eastAsia" w:ascii="仿宋" w:hAnsi="仿宋" w:eastAsia="仿宋" w:cs="仿宋"/>
          <w:kern w:val="2"/>
          <w:sz w:val="32"/>
          <w:szCs w:val="32"/>
          <w:highlight w:val="none"/>
          <w:lang w:val="en-US" w:eastAsia="zh-CN" w:bidi="ar"/>
        </w:rPr>
        <w:t>6.</w:t>
      </w:r>
      <w:r>
        <w:rPr>
          <w:rFonts w:hint="eastAsia" w:ascii="仿宋" w:hAnsi="仿宋" w:eastAsia="仿宋" w:cs="仿宋"/>
          <w:kern w:val="2"/>
          <w:sz w:val="36"/>
          <w:szCs w:val="36"/>
          <w:highlight w:val="none"/>
          <w:lang w:val="en-US" w:eastAsia="zh-CN" w:bidi="ar"/>
        </w:rPr>
        <w:t>经营收入</w:t>
      </w:r>
      <w:r>
        <w:rPr>
          <w:rFonts w:hint="eastAsia" w:ascii="仿宋" w:hAnsi="仿宋" w:eastAsia="仿宋" w:cs="仿宋"/>
          <w:kern w:val="2"/>
          <w:sz w:val="32"/>
          <w:szCs w:val="32"/>
          <w:highlight w:val="none"/>
          <w:lang w:val="en-US" w:eastAsia="zh-CN" w:bidi="ar"/>
        </w:rPr>
        <w:t>0.00万,较2021年度决算数</w:t>
      </w:r>
      <w:r>
        <w:rPr>
          <w:rFonts w:hint="eastAsia" w:ascii="仿宋" w:hAnsi="仿宋" w:eastAsia="仿宋" w:cs="仿宋"/>
          <w:sz w:val="32"/>
          <w:u w:color="auto"/>
          <w:lang w:val="en-US" w:eastAsia="zh-CN"/>
        </w:rPr>
        <w:t>无变化。</w:t>
      </w:r>
    </w:p>
    <w:p w14:paraId="6D0DA975">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sz w:val="32"/>
          <w:u w:color="auto"/>
          <w:lang w:val="en-US" w:eastAsia="zh-CN"/>
        </w:rPr>
      </w:pPr>
      <w:r>
        <w:rPr>
          <w:rFonts w:hint="eastAsia" w:ascii="仿宋" w:hAnsi="仿宋" w:eastAsia="仿宋" w:cs="仿宋"/>
          <w:kern w:val="2"/>
          <w:sz w:val="32"/>
          <w:szCs w:val="32"/>
          <w:highlight w:val="none"/>
          <w:lang w:val="en-US" w:eastAsia="zh-CN" w:bidi="ar"/>
        </w:rPr>
        <w:t>7.附属单位上缴收入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万元。较2021年度决算数</w:t>
      </w:r>
      <w:r>
        <w:rPr>
          <w:rFonts w:hint="eastAsia" w:ascii="仿宋" w:hAnsi="仿宋" w:eastAsia="仿宋" w:cs="仿宋"/>
          <w:sz w:val="32"/>
          <w:u w:color="auto"/>
          <w:lang w:val="en-US" w:eastAsia="zh-CN"/>
        </w:rPr>
        <w:t>无变化。</w:t>
      </w:r>
    </w:p>
    <w:p w14:paraId="5DAC744F">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sz w:val="32"/>
          <w:u w:color="auto"/>
          <w:lang w:val="en-US" w:eastAsia="zh-CN"/>
        </w:rPr>
      </w:pPr>
      <w:r>
        <w:rPr>
          <w:rFonts w:hint="eastAsia" w:ascii="仿宋" w:hAnsi="仿宋" w:eastAsia="仿宋" w:cs="仿宋"/>
          <w:kern w:val="2"/>
          <w:sz w:val="32"/>
          <w:szCs w:val="32"/>
          <w:highlight w:val="none"/>
          <w:lang w:val="en-US" w:eastAsia="zh-CN" w:bidi="ar"/>
        </w:rPr>
        <w:t>8.其他收入</w:t>
      </w:r>
      <w:r>
        <w:rPr>
          <w:rFonts w:hint="eastAsia" w:ascii="仿宋" w:hAnsi="仿宋" w:eastAsia="仿宋" w:cs="仿宋"/>
          <w:sz w:val="32"/>
          <w:u w:color="auto"/>
          <w:lang w:val="en-US" w:eastAsia="zh-CN"/>
        </w:rPr>
        <w:t>0.00</w:t>
      </w:r>
      <w:r>
        <w:rPr>
          <w:rFonts w:hint="eastAsia" w:ascii="仿宋" w:hAnsi="仿宋" w:eastAsia="仿宋" w:cs="仿宋"/>
          <w:kern w:val="2"/>
          <w:sz w:val="32"/>
          <w:szCs w:val="32"/>
          <w:highlight w:val="none"/>
          <w:lang w:val="en-US" w:eastAsia="zh-CN" w:bidi="ar"/>
        </w:rPr>
        <w:t>万元,较2021年度决算数</w:t>
      </w:r>
      <w:r>
        <w:rPr>
          <w:rFonts w:hint="eastAsia" w:ascii="仿宋" w:hAnsi="仿宋" w:eastAsia="仿宋" w:cs="仿宋"/>
          <w:sz w:val="32"/>
          <w:u w:color="auto"/>
          <w:lang w:val="en-US" w:eastAsia="zh-CN"/>
        </w:rPr>
        <w:t>无变化。</w:t>
      </w:r>
    </w:p>
    <w:p w14:paraId="1C6A0E62">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sz w:val="32"/>
          <w:u w:color="auto"/>
          <w:lang w:val="en-US" w:eastAsia="zh-CN"/>
        </w:rPr>
      </w:pPr>
      <w:r>
        <w:rPr>
          <w:rFonts w:hint="eastAsia" w:ascii="仿宋" w:hAnsi="仿宋" w:eastAsia="仿宋" w:cs="仿宋"/>
          <w:kern w:val="2"/>
          <w:sz w:val="32"/>
          <w:szCs w:val="32"/>
          <w:highlight w:val="none"/>
          <w:lang w:val="en-US" w:eastAsia="zh-CN" w:bidi="ar"/>
        </w:rPr>
        <w:t>9.使用非财政拨款结余</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万元,较2021年度决算数</w:t>
      </w:r>
      <w:r>
        <w:rPr>
          <w:rFonts w:hint="eastAsia" w:ascii="仿宋" w:hAnsi="仿宋" w:eastAsia="仿宋" w:cs="仿宋"/>
          <w:sz w:val="32"/>
          <w:u w:color="auto"/>
          <w:lang w:val="en-US" w:eastAsia="zh-CN"/>
        </w:rPr>
        <w:t>无变化。</w:t>
      </w:r>
    </w:p>
    <w:p w14:paraId="1D2F40CF">
      <w:pPr>
        <w:keepNext w:val="0"/>
        <w:keepLines w:val="0"/>
        <w:widowControl w:val="0"/>
        <w:suppressLineNumbers w:val="0"/>
        <w:spacing w:before="0" w:beforeAutospacing="0" w:after="0" w:afterAutospacing="0"/>
        <w:ind w:left="0" w:right="0" w:firstLine="640" w:firstLineChars="200"/>
        <w:jc w:val="left"/>
        <w:rPr>
          <w:rFonts w:ascii="仿宋" w:hAnsi="仿宋" w:eastAsia="仿宋" w:cs="仿宋"/>
          <w:sz w:val="32"/>
          <w:szCs w:val="32"/>
          <w:highlight w:val="none"/>
        </w:rPr>
      </w:pPr>
      <w:r>
        <w:rPr>
          <w:rFonts w:hint="eastAsia" w:ascii="仿宋" w:hAnsi="仿宋" w:eastAsia="仿宋" w:cs="仿宋"/>
          <w:kern w:val="2"/>
          <w:sz w:val="32"/>
          <w:szCs w:val="32"/>
          <w:highlight w:val="none"/>
          <w:lang w:val="en-US" w:eastAsia="zh-CN" w:bidi="ar"/>
        </w:rPr>
        <w:t>10.上年结转和结余</w:t>
      </w:r>
      <w:r>
        <w:rPr>
          <w:rFonts w:hint="eastAsia" w:ascii="仿宋" w:hAnsi="仿宋" w:eastAsia="仿宋" w:cs="仿宋"/>
          <w:sz w:val="32"/>
          <w:u w:color="auto"/>
          <w:lang w:val="en-US" w:eastAsia="zh-CN"/>
        </w:rPr>
        <w:t>0.00</w:t>
      </w:r>
      <w:r>
        <w:rPr>
          <w:rFonts w:hint="eastAsia" w:ascii="仿宋" w:hAnsi="仿宋" w:eastAsia="仿宋" w:cs="仿宋"/>
          <w:kern w:val="2"/>
          <w:sz w:val="32"/>
          <w:szCs w:val="32"/>
          <w:highlight w:val="none"/>
          <w:lang w:val="en-US" w:eastAsia="zh-CN" w:bidi="ar"/>
        </w:rPr>
        <w:t>万元，较2021年度决算数</w:t>
      </w:r>
      <w:r>
        <w:rPr>
          <w:rFonts w:hint="eastAsia" w:ascii="仿宋" w:hAnsi="仿宋" w:eastAsia="仿宋" w:cs="仿宋"/>
          <w:sz w:val="32"/>
          <w:u w:color="auto"/>
          <w:lang w:val="en-US" w:eastAsia="zh-CN"/>
        </w:rPr>
        <w:t>无变化。</w:t>
      </w:r>
    </w:p>
    <w:p w14:paraId="6A5CB0F4">
      <w:pPr>
        <w:autoSpaceDE w:val="0"/>
        <w:autoSpaceDN w:val="0"/>
        <w:adjustRightInd w:val="0"/>
        <w:spacing w:line="560" w:lineRule="exact"/>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（二）本部门2022年</w:t>
      </w:r>
      <w:r>
        <w:rPr>
          <w:rFonts w:hint="eastAsia" w:ascii="仿宋" w:hAnsi="仿宋" w:eastAsia="仿宋" w:cs="仿宋"/>
          <w:kern w:val="2"/>
          <w:sz w:val="32"/>
          <w:szCs w:val="32"/>
          <w:highlight w:val="none"/>
          <w:lang w:val="en-US" w:eastAsia="zh-CN" w:bidi="ar"/>
        </w:rPr>
        <w:t>度总支出1730.07万元，其中本年支出1730.07万元，</w:t>
      </w:r>
      <w:r>
        <w:rPr>
          <w:rFonts w:hint="eastAsia" w:ascii="仿宋" w:hAnsi="仿宋" w:eastAsia="仿宋" w:cs="仿宋"/>
          <w:sz w:val="32"/>
          <w:szCs w:val="32"/>
          <w:highlight w:val="none"/>
        </w:rPr>
        <w:t>较2021年度决算数</w:t>
      </w:r>
      <w:r>
        <w:rPr>
          <w:rFonts w:hint="eastAsia" w:ascii="仿宋" w:hAnsi="仿宋" w:eastAsia="仿宋" w:cs="仿宋"/>
          <w:sz w:val="32"/>
          <w:szCs w:val="32"/>
          <w:highlight w:val="none"/>
          <w:lang w:val="en-US" w:eastAsia="zh-CN"/>
        </w:rPr>
        <w:t>增加192.18</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val="en-US" w:eastAsia="zh-CN"/>
        </w:rPr>
        <w:t>增长12.50</w:t>
      </w: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支出具体情况如下：</w:t>
      </w:r>
    </w:p>
    <w:p w14:paraId="08BE062E">
      <w:pPr>
        <w:autoSpaceDE w:val="0"/>
        <w:autoSpaceDN w:val="0"/>
        <w:adjustRightInd w:val="0"/>
        <w:spacing w:line="560" w:lineRule="exact"/>
        <w:ind w:firstLine="640" w:firstLineChars="200"/>
        <w:jc w:val="left"/>
        <w:rPr>
          <w:rFonts w:hint="eastAsia" w:ascii="仿宋_GB2312" w:hAnsi="仿宋_GB2312" w:eastAsia="仿宋_GB2312" w:cs="仿宋_GB2312"/>
          <w:kern w:val="0"/>
          <w:sz w:val="32"/>
          <w:szCs w:val="32"/>
          <w:lang w:eastAsia="zh-CN"/>
        </w:rPr>
      </w:pPr>
      <w:r>
        <w:rPr>
          <w:rFonts w:hint="eastAsia" w:ascii="仿宋" w:hAnsi="仿宋" w:eastAsia="仿宋" w:cs="仿宋"/>
          <w:sz w:val="32"/>
          <w:szCs w:val="32"/>
          <w:highlight w:val="none"/>
        </w:rPr>
        <w:t>1</w:t>
      </w:r>
      <w:r>
        <w:rPr>
          <w:rFonts w:ascii="仿宋" w:hAnsi="仿宋" w:eastAsia="仿宋" w:cs="仿宋"/>
          <w:sz w:val="32"/>
          <w:u w:color="auto"/>
        </w:rPr>
        <w:t>.</w:t>
      </w:r>
      <w:r>
        <w:rPr>
          <w:rFonts w:hint="eastAsia" w:ascii="仿宋_GB2312" w:hAnsi="仿宋_GB2312" w:eastAsia="仿宋_GB2312" w:cs="仿宋_GB2312"/>
          <w:kern w:val="0"/>
          <w:sz w:val="32"/>
          <w:szCs w:val="32"/>
        </w:rPr>
        <w:t>一般公共服务支出（</w:t>
      </w:r>
      <w:r>
        <w:rPr>
          <w:rFonts w:hint="eastAsia" w:ascii="仿宋_GB2312" w:hAnsi="仿宋_GB2312" w:eastAsia="仿宋_GB2312" w:cs="仿宋_GB2312"/>
          <w:kern w:val="0"/>
          <w:sz w:val="32"/>
          <w:szCs w:val="32"/>
          <w:lang w:val="en-US" w:eastAsia="zh-CN"/>
        </w:rPr>
        <w:t>201</w:t>
      </w:r>
      <w:r>
        <w:rPr>
          <w:rFonts w:hint="eastAsia" w:ascii="仿宋_GB2312" w:hAnsi="仿宋_GB2312" w:eastAsia="仿宋_GB2312" w:cs="仿宋_GB2312"/>
          <w:kern w:val="0"/>
          <w:sz w:val="32"/>
          <w:szCs w:val="32"/>
        </w:rPr>
        <w:t>类）</w:t>
      </w:r>
      <w:r>
        <w:rPr>
          <w:rFonts w:hint="eastAsia" w:ascii="仿宋_GB2312" w:hAnsi="仿宋_GB2312" w:eastAsia="仿宋_GB2312" w:cs="仿宋_GB2312"/>
          <w:kern w:val="0"/>
          <w:sz w:val="32"/>
          <w:szCs w:val="32"/>
          <w:lang w:val="en-US" w:eastAsia="zh-CN"/>
        </w:rPr>
        <w:t>1254.93</w:t>
      </w:r>
      <w:r>
        <w:rPr>
          <w:rFonts w:hint="eastAsia" w:ascii="仿宋_GB2312" w:hAnsi="仿宋_GB2312" w:eastAsia="仿宋_GB2312" w:cs="仿宋_GB2312"/>
          <w:kern w:val="0"/>
          <w:sz w:val="32"/>
          <w:szCs w:val="32"/>
        </w:rPr>
        <w:t>万元，</w:t>
      </w:r>
      <w:r>
        <w:rPr>
          <w:rFonts w:hint="eastAsia" w:ascii="仿宋_GB2312" w:hAnsi="仿宋_GB2312" w:eastAsia="仿宋_GB2312" w:cs="仿宋_GB2312"/>
          <w:sz w:val="32"/>
          <w:szCs w:val="32"/>
        </w:rPr>
        <w:t>主要用于本部门为保证日常运转发生的基本支出和为完成各项工作任务、保障</w:t>
      </w:r>
      <w:r>
        <w:rPr>
          <w:rFonts w:hint="eastAsia" w:ascii="仿宋_GB2312" w:hAnsi="仿宋_GB2312" w:eastAsia="仿宋_GB2312" w:cs="仿宋_GB2312"/>
          <w:kern w:val="0"/>
          <w:sz w:val="32"/>
          <w:szCs w:val="32"/>
        </w:rPr>
        <w:t>单位事业</w:t>
      </w:r>
      <w:r>
        <w:rPr>
          <w:rFonts w:hint="eastAsia" w:ascii="仿宋_GB2312" w:hAnsi="仿宋_GB2312" w:eastAsia="仿宋_GB2312" w:cs="仿宋_GB2312"/>
          <w:sz w:val="32"/>
          <w:szCs w:val="32"/>
        </w:rPr>
        <w:t>发展而发生的项目支出。</w:t>
      </w:r>
      <w:r>
        <w:rPr>
          <w:rFonts w:hint="eastAsia" w:ascii="仿宋" w:hAnsi="仿宋" w:eastAsia="仿宋" w:cs="仿宋"/>
          <w:sz w:val="32"/>
          <w:szCs w:val="32"/>
          <w:highlight w:val="none"/>
        </w:rPr>
        <w:t>较2021年度决算数</w:t>
      </w:r>
      <w:r>
        <w:rPr>
          <w:rFonts w:hint="eastAsia" w:ascii="仿宋" w:hAnsi="仿宋" w:eastAsia="仿宋" w:cs="仿宋"/>
          <w:sz w:val="32"/>
          <w:szCs w:val="32"/>
          <w:highlight w:val="none"/>
          <w:lang w:val="en-US" w:eastAsia="zh-CN" w:bidi="ar"/>
        </w:rPr>
        <w:t>增加206.68</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val="en-US" w:eastAsia="zh-CN"/>
        </w:rPr>
        <w:t>增长19.72</w:t>
      </w:r>
      <w:r>
        <w:rPr>
          <w:rFonts w:hint="eastAsia" w:ascii="仿宋" w:hAnsi="仿宋" w:eastAsia="仿宋" w:cs="仿宋"/>
          <w:sz w:val="32"/>
          <w:szCs w:val="32"/>
          <w:highlight w:val="none"/>
          <w:lang w:bidi="ar"/>
        </w:rPr>
        <w:t>%</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_GB2312" w:hAnsi="仿宋_GB2312" w:eastAsia="仿宋_GB2312" w:cs="仿宋_GB2312"/>
          <w:kern w:val="0"/>
          <w:sz w:val="32"/>
          <w:szCs w:val="32"/>
        </w:rPr>
        <w:t>本年度有在职在编人员增加</w:t>
      </w:r>
      <w:r>
        <w:rPr>
          <w:rFonts w:hint="eastAsia" w:ascii="仿宋_GB2312" w:hAnsi="仿宋_GB2312" w:eastAsia="仿宋_GB2312" w:cs="仿宋_GB2312"/>
          <w:kern w:val="0"/>
          <w:sz w:val="32"/>
          <w:szCs w:val="32"/>
          <w:lang w:val="en-US" w:eastAsia="zh-CN"/>
        </w:rPr>
        <w:t>及</w:t>
      </w:r>
      <w:r>
        <w:rPr>
          <w:rFonts w:hint="eastAsia" w:ascii="仿宋_GB2312" w:hAnsi="仿宋_GB2312" w:eastAsia="仿宋_GB2312" w:cs="仿宋_GB2312"/>
          <w:kern w:val="0"/>
          <w:sz w:val="32"/>
          <w:szCs w:val="32"/>
        </w:rPr>
        <w:t>工资增资</w:t>
      </w:r>
      <w:r>
        <w:rPr>
          <w:rFonts w:hint="eastAsia" w:ascii="仿宋_GB2312" w:hAnsi="仿宋_GB2312" w:eastAsia="仿宋_GB2312" w:cs="仿宋_GB2312"/>
          <w:kern w:val="0"/>
          <w:sz w:val="32"/>
          <w:szCs w:val="32"/>
          <w:lang w:eastAsia="zh-CN"/>
        </w:rPr>
        <w:t>。</w:t>
      </w:r>
    </w:p>
    <w:p w14:paraId="625CCA22">
      <w:pPr>
        <w:keepNext w:val="0"/>
        <w:keepLines w:val="0"/>
        <w:widowControl w:val="0"/>
        <w:suppressLineNumbers w:val="0"/>
        <w:spacing w:before="0" w:beforeAutospacing="0" w:after="0" w:afterAutospacing="0"/>
        <w:ind w:left="0" w:right="0" w:firstLine="640" w:firstLineChars="200"/>
        <w:jc w:val="left"/>
        <w:rPr>
          <w:rFonts w:hint="default" w:ascii="仿宋_GB2312" w:hAnsi="仿宋_GB2312" w:eastAsia="仿宋_GB2312" w:cs="仿宋_GB2312"/>
          <w:kern w:val="0"/>
          <w:sz w:val="32"/>
          <w:szCs w:val="32"/>
          <w:lang w:val="en-US" w:eastAsia="zh-CN"/>
        </w:rPr>
      </w:pPr>
      <w:r>
        <w:rPr>
          <w:rFonts w:hint="eastAsia" w:ascii="仿宋" w:hAnsi="仿宋" w:eastAsia="仿宋" w:cs="仿宋"/>
          <w:sz w:val="32"/>
          <w:szCs w:val="32"/>
          <w:highlight w:val="none"/>
        </w:rPr>
        <w:t>2</w:t>
      </w:r>
      <w:r>
        <w:rPr>
          <w:rFonts w:ascii="仿宋" w:hAnsi="仿宋" w:eastAsia="仿宋" w:cs="仿宋"/>
          <w:sz w:val="32"/>
          <w:u w:color="auto"/>
        </w:rPr>
        <w:t>.</w:t>
      </w:r>
      <w:r>
        <w:rPr>
          <w:rFonts w:hint="eastAsia" w:ascii="仿宋" w:hAnsi="仿宋" w:eastAsia="仿宋" w:cs="仿宋"/>
          <w:sz w:val="32"/>
          <w:szCs w:val="32"/>
          <w:highlight w:val="none"/>
          <w:lang w:bidi="ar"/>
        </w:rPr>
        <w:t>社会保障和就业支出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208</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val="en-US" w:eastAsia="zh-CN" w:bidi="ar"/>
        </w:rPr>
        <w:t>132.32</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主要用于</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缴纳</w:t>
      </w:r>
      <w:r>
        <w:rPr>
          <w:rFonts w:hint="eastAsia" w:ascii="仿宋_GB2312" w:hAnsi="仿宋_GB2312" w:eastAsia="仿宋_GB2312" w:cs="仿宋_GB2312"/>
          <w:kern w:val="0"/>
          <w:sz w:val="32"/>
          <w:szCs w:val="32"/>
        </w:rPr>
        <w:t>在职</w:t>
      </w:r>
      <w:r>
        <w:rPr>
          <w:rFonts w:hint="eastAsia" w:ascii="仿宋_GB2312" w:hAnsi="仿宋_GB2312" w:eastAsia="仿宋_GB2312" w:cs="仿宋_GB2312"/>
          <w:kern w:val="0"/>
          <w:sz w:val="32"/>
          <w:szCs w:val="32"/>
          <w:lang w:val="en-US" w:eastAsia="zh-CN"/>
        </w:rPr>
        <w:t>在编</w:t>
      </w:r>
      <w:r>
        <w:rPr>
          <w:rFonts w:hint="eastAsia" w:ascii="仿宋_GB2312" w:hAnsi="仿宋_GB2312" w:eastAsia="仿宋_GB2312" w:cs="仿宋_GB2312"/>
          <w:kern w:val="0"/>
          <w:sz w:val="32"/>
          <w:szCs w:val="32"/>
        </w:rPr>
        <w:t>职工基本养老保险费。</w:t>
      </w:r>
      <w:r>
        <w:rPr>
          <w:rFonts w:hint="eastAsia" w:ascii="仿宋" w:hAnsi="仿宋" w:eastAsia="仿宋" w:cs="仿宋"/>
          <w:sz w:val="32"/>
          <w:szCs w:val="32"/>
          <w:highlight w:val="none"/>
        </w:rPr>
        <w:t>较2021年度决算数</w:t>
      </w:r>
      <w:r>
        <w:rPr>
          <w:rFonts w:hint="eastAsia" w:ascii="仿宋" w:hAnsi="仿宋" w:eastAsia="仿宋" w:cs="仿宋"/>
          <w:sz w:val="32"/>
          <w:szCs w:val="32"/>
          <w:highlight w:val="none"/>
          <w:lang w:val="en-US" w:eastAsia="zh-CN" w:bidi="ar"/>
        </w:rPr>
        <w:t>增加10.91</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val="en-US" w:eastAsia="zh-CN" w:bidi="ar"/>
        </w:rPr>
        <w:t>增长8.99</w:t>
      </w:r>
      <w:r>
        <w:rPr>
          <w:rFonts w:hint="eastAsia" w:ascii="仿宋" w:hAnsi="仿宋" w:eastAsia="仿宋" w:cs="仿宋"/>
          <w:sz w:val="32"/>
          <w:szCs w:val="32"/>
          <w:highlight w:val="none"/>
          <w:lang w:bidi="ar"/>
        </w:rPr>
        <w:t>%</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_GB2312" w:hAnsi="仿宋_GB2312" w:eastAsia="仿宋_GB2312" w:cs="仿宋_GB2312"/>
          <w:kern w:val="0"/>
          <w:sz w:val="32"/>
          <w:szCs w:val="32"/>
          <w:lang w:val="en-US" w:eastAsia="zh-CN"/>
        </w:rPr>
        <w:t>本年度在职在编人员有增加及养老保险基数调整导致。</w:t>
      </w:r>
    </w:p>
    <w:p w14:paraId="08F22823">
      <w:pPr>
        <w:keepNext w:val="0"/>
        <w:keepLines w:val="0"/>
        <w:widowControl w:val="0"/>
        <w:suppressLineNumbers w:val="0"/>
        <w:spacing w:before="0" w:beforeAutospacing="0" w:after="0" w:afterAutospacing="0"/>
        <w:ind w:left="0" w:right="0" w:firstLine="640" w:firstLineChars="200"/>
        <w:jc w:val="left"/>
        <w:rPr>
          <w:rFonts w:hint="eastAsia" w:ascii="仿宋_GB2312" w:hAnsi="仿宋_GB2312" w:eastAsia="仿宋_GB2312" w:cs="仿宋_GB2312"/>
          <w:kern w:val="0"/>
          <w:sz w:val="32"/>
          <w:szCs w:val="32"/>
          <w:lang w:val="en-US" w:eastAsia="zh-CN"/>
        </w:rPr>
      </w:pPr>
      <w:r>
        <w:rPr>
          <w:rFonts w:hint="eastAsia" w:ascii="仿宋" w:hAnsi="仿宋" w:eastAsia="仿宋" w:cs="仿宋"/>
          <w:sz w:val="32"/>
          <w:szCs w:val="32"/>
          <w:highlight w:val="none"/>
          <w:lang w:val="en-US" w:eastAsia="zh-CN"/>
        </w:rPr>
        <w:t>3</w:t>
      </w:r>
      <w:r>
        <w:rPr>
          <w:rFonts w:ascii="仿宋" w:hAnsi="仿宋" w:eastAsia="仿宋" w:cs="仿宋"/>
          <w:sz w:val="32"/>
          <w:u w:color="auto"/>
        </w:rPr>
        <w:t>.</w:t>
      </w:r>
      <w:r>
        <w:rPr>
          <w:rFonts w:hint="eastAsia" w:ascii="仿宋" w:hAnsi="仿宋" w:eastAsia="仿宋" w:cs="仿宋"/>
          <w:sz w:val="32"/>
          <w:szCs w:val="32"/>
          <w:highlight w:val="none"/>
          <w:lang w:bidi="ar"/>
        </w:rPr>
        <w:t>住房保障支出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221</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val="en-US" w:eastAsia="zh-CN" w:bidi="ar"/>
        </w:rPr>
        <w:t>100.25</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w:t>
      </w:r>
      <w:r>
        <w:rPr>
          <w:rFonts w:hint="eastAsia" w:ascii="仿宋" w:hAnsi="仿宋" w:eastAsia="仿宋" w:cs="仿宋"/>
          <w:color w:val="000000" w:themeColor="text1"/>
          <w:sz w:val="32"/>
          <w:szCs w:val="32"/>
          <w:highlight w:val="none"/>
          <w14:textFill>
            <w14:solidFill>
              <w14:schemeClr w14:val="tx1"/>
            </w14:solidFill>
          </w14:textFill>
        </w:rPr>
        <w:t>主要用于</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kern w:val="0"/>
          <w:sz w:val="32"/>
          <w:szCs w:val="32"/>
        </w:rPr>
        <w:t>按照国家政策规定</w:t>
      </w:r>
      <w:r>
        <w:rPr>
          <w:rFonts w:hint="eastAsia" w:ascii="仿宋_GB2312" w:hAnsi="仿宋_GB2312" w:eastAsia="仿宋_GB2312" w:cs="仿宋_GB2312"/>
          <w:kern w:val="0"/>
          <w:sz w:val="32"/>
          <w:szCs w:val="32"/>
          <w:lang w:val="en-US" w:eastAsia="zh-CN"/>
        </w:rPr>
        <w:t>为在职在编职工缴纳</w:t>
      </w:r>
      <w:r>
        <w:rPr>
          <w:rFonts w:hint="eastAsia" w:ascii="仿宋_GB2312" w:hAnsi="仿宋_GB2312" w:eastAsia="仿宋_GB2312" w:cs="仿宋_GB2312"/>
          <w:kern w:val="0"/>
          <w:sz w:val="32"/>
          <w:szCs w:val="32"/>
        </w:rPr>
        <w:t>的住房公积金支出</w:t>
      </w:r>
      <w:r>
        <w:rPr>
          <w:rFonts w:hint="eastAsia" w:ascii="仿宋_GB2312" w:hAnsi="仿宋_GB2312" w:eastAsia="仿宋_GB2312" w:cs="仿宋_GB2312"/>
          <w:kern w:val="0"/>
          <w:sz w:val="32"/>
          <w:szCs w:val="32"/>
          <w:lang w:eastAsia="zh-CN"/>
        </w:rPr>
        <w:t>。</w:t>
      </w:r>
      <w:r>
        <w:rPr>
          <w:rFonts w:hint="eastAsia" w:ascii="仿宋" w:hAnsi="仿宋" w:eastAsia="仿宋" w:cs="仿宋"/>
          <w:sz w:val="32"/>
          <w:szCs w:val="32"/>
          <w:highlight w:val="none"/>
        </w:rPr>
        <w:t>较2021年度决算数</w:t>
      </w:r>
      <w:r>
        <w:rPr>
          <w:rFonts w:hint="eastAsia" w:ascii="仿宋" w:hAnsi="仿宋" w:eastAsia="仿宋" w:cs="仿宋"/>
          <w:sz w:val="32"/>
          <w:szCs w:val="32"/>
          <w:highlight w:val="none"/>
          <w:lang w:val="en-US" w:eastAsia="zh-CN"/>
        </w:rPr>
        <w:t>增</w:t>
      </w:r>
      <w:r>
        <w:rPr>
          <w:rFonts w:hint="eastAsia" w:ascii="仿宋" w:hAnsi="仿宋" w:eastAsia="仿宋" w:cs="仿宋"/>
          <w:sz w:val="32"/>
          <w:szCs w:val="32"/>
          <w:highlight w:val="none"/>
          <w:lang w:val="en-US" w:eastAsia="zh-CN" w:bidi="ar"/>
        </w:rPr>
        <w:t>加9.43</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val="en-US" w:eastAsia="zh-CN" w:bidi="ar"/>
        </w:rPr>
        <w:t>增长10.38</w:t>
      </w:r>
      <w:r>
        <w:rPr>
          <w:rFonts w:hint="eastAsia" w:ascii="仿宋" w:hAnsi="仿宋" w:eastAsia="仿宋" w:cs="仿宋"/>
          <w:sz w:val="32"/>
          <w:szCs w:val="32"/>
          <w:highlight w:val="none"/>
          <w:lang w:bidi="ar"/>
        </w:rPr>
        <w:t>%</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_GB2312" w:hAnsi="仿宋_GB2312" w:eastAsia="仿宋_GB2312" w:cs="仿宋_GB2312"/>
          <w:kern w:val="0"/>
          <w:sz w:val="32"/>
          <w:szCs w:val="32"/>
          <w:lang w:val="en-US" w:eastAsia="zh-CN"/>
        </w:rPr>
        <w:t>本年度在职在编职工有增加及</w:t>
      </w:r>
      <w:r>
        <w:rPr>
          <w:rFonts w:hint="eastAsia" w:ascii="仿宋_GB2312" w:hAnsi="仿宋_GB2312" w:eastAsia="仿宋_GB2312" w:cs="仿宋_GB2312"/>
          <w:kern w:val="0"/>
          <w:sz w:val="32"/>
          <w:szCs w:val="32"/>
        </w:rPr>
        <w:t>住房</w:t>
      </w:r>
      <w:r>
        <w:rPr>
          <w:rFonts w:hint="eastAsia" w:ascii="仿宋_GB2312" w:hAnsi="仿宋_GB2312" w:eastAsia="仿宋_GB2312" w:cs="仿宋_GB2312"/>
          <w:kern w:val="0"/>
          <w:sz w:val="32"/>
          <w:szCs w:val="32"/>
          <w:lang w:val="en-US" w:eastAsia="zh-CN"/>
        </w:rPr>
        <w:t>公积金基数调整导致。</w:t>
      </w:r>
    </w:p>
    <w:p w14:paraId="111D17DD">
      <w:pPr>
        <w:keepNext w:val="0"/>
        <w:keepLines w:val="0"/>
        <w:widowControl w:val="0"/>
        <w:suppressLineNumbers w:val="0"/>
        <w:spacing w:before="0" w:beforeAutospacing="0" w:after="0" w:afterAutospacing="0"/>
        <w:ind w:left="0" w:right="0" w:firstLine="640" w:firstLineChars="200"/>
        <w:jc w:val="left"/>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4.</w:t>
      </w:r>
      <w:r>
        <w:rPr>
          <w:rFonts w:ascii="仿宋_GB2312" w:hAnsi="仿宋_GB2312" w:eastAsia="仿宋_GB2312" w:cs="仿宋_GB2312"/>
          <w:kern w:val="0"/>
          <w:sz w:val="32"/>
          <w:szCs w:val="32"/>
        </w:rPr>
        <w:t>其他支出</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229</w:t>
      </w:r>
      <w:r>
        <w:rPr>
          <w:rFonts w:hint="eastAsia" w:ascii="仿宋_GB2312" w:hAnsi="仿宋_GB2312" w:eastAsia="仿宋_GB2312" w:cs="仿宋_GB2312"/>
          <w:kern w:val="0"/>
          <w:sz w:val="32"/>
          <w:szCs w:val="32"/>
        </w:rPr>
        <w:t>类）</w:t>
      </w:r>
      <w:r>
        <w:rPr>
          <w:rFonts w:hint="eastAsia" w:ascii="仿宋_GB2312" w:hAnsi="仿宋_GB2312" w:eastAsia="仿宋_GB2312" w:cs="仿宋_GB2312"/>
          <w:kern w:val="0"/>
          <w:sz w:val="32"/>
          <w:szCs w:val="32"/>
          <w:lang w:val="en-US" w:eastAsia="zh-CN"/>
        </w:rPr>
        <w:t>242.57</w:t>
      </w:r>
      <w:r>
        <w:rPr>
          <w:rFonts w:ascii="仿宋_GB2312" w:hAnsi="仿宋_GB2312" w:eastAsia="仿宋_GB2312" w:cs="仿宋_GB2312"/>
          <w:kern w:val="0"/>
          <w:sz w:val="32"/>
          <w:szCs w:val="32"/>
        </w:rPr>
        <w:t>万元</w:t>
      </w:r>
      <w:r>
        <w:rPr>
          <w:rFonts w:hint="eastAsia" w:ascii="仿宋_GB2312" w:hAnsi="仿宋_GB2312" w:eastAsia="仿宋_GB2312" w:cs="仿宋_GB2312"/>
          <w:kern w:val="0"/>
          <w:sz w:val="32"/>
          <w:szCs w:val="32"/>
        </w:rPr>
        <w:t>，主要用于</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上年在职职工</w:t>
      </w:r>
      <w:r>
        <w:rPr>
          <w:rFonts w:hint="eastAsia" w:ascii="仿宋_GB2312" w:hAnsi="仿宋_GB2312" w:eastAsia="仿宋_GB2312" w:cs="仿宋_GB2312"/>
          <w:kern w:val="0"/>
          <w:sz w:val="32"/>
          <w:szCs w:val="32"/>
          <w:lang w:val="en-US" w:eastAsia="zh-CN"/>
        </w:rPr>
        <w:t>奖励性补贴</w:t>
      </w:r>
      <w:r>
        <w:rPr>
          <w:rFonts w:hint="eastAsia" w:ascii="仿宋_GB2312" w:hAnsi="仿宋_GB2312" w:eastAsia="仿宋_GB2312" w:cs="仿宋_GB2312"/>
          <w:kern w:val="0"/>
          <w:sz w:val="32"/>
          <w:szCs w:val="32"/>
        </w:rPr>
        <w:t>支出。</w:t>
      </w:r>
      <w:r>
        <w:rPr>
          <w:rFonts w:hint="eastAsia" w:ascii="仿宋" w:hAnsi="仿宋" w:eastAsia="仿宋" w:cs="仿宋"/>
          <w:sz w:val="32"/>
          <w:szCs w:val="32"/>
          <w:highlight w:val="none"/>
        </w:rPr>
        <w:t>较2021年度决算数</w:t>
      </w:r>
      <w:r>
        <w:rPr>
          <w:rFonts w:hint="eastAsia" w:ascii="仿宋" w:hAnsi="仿宋" w:eastAsia="仿宋" w:cs="仿宋"/>
          <w:sz w:val="32"/>
          <w:szCs w:val="32"/>
          <w:highlight w:val="none"/>
          <w:lang w:val="en-US" w:eastAsia="zh-CN" w:bidi="ar"/>
        </w:rPr>
        <w:t>减少32.84</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val="en-US" w:eastAsia="zh-CN" w:bidi="ar"/>
        </w:rPr>
        <w:t>下降11.92</w:t>
      </w:r>
      <w:r>
        <w:rPr>
          <w:rFonts w:hint="eastAsia" w:ascii="仿宋" w:hAnsi="仿宋" w:eastAsia="仿宋" w:cs="仿宋"/>
          <w:sz w:val="32"/>
          <w:szCs w:val="32"/>
          <w:highlight w:val="none"/>
          <w:lang w:bidi="ar"/>
        </w:rPr>
        <w:t>%</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主要原因是：人员的变动及奖励性补贴发放政策的调整。</w:t>
      </w:r>
    </w:p>
    <w:p w14:paraId="1F81ECA6">
      <w:pPr>
        <w:keepNext w:val="0"/>
        <w:keepLines w:val="0"/>
        <w:widowControl w:val="0"/>
        <w:suppressLineNumbers w:val="0"/>
        <w:spacing w:before="0" w:beforeAutospacing="0" w:after="0" w:afterAutospacing="0"/>
        <w:ind w:right="0" w:firstLine="620" w:firstLineChars="200"/>
        <w:jc w:val="left"/>
        <w:rPr>
          <w:rFonts w:hint="eastAsia" w:ascii="仿宋_GB2312" w:hAnsi="微软雅黑" w:eastAsia="仿宋_GB2312" w:cs="仿宋_GB2312"/>
          <w:i w:val="0"/>
          <w:iCs w:val="0"/>
          <w:caps w:val="0"/>
          <w:color w:val="000000"/>
          <w:spacing w:val="0"/>
          <w:sz w:val="31"/>
          <w:szCs w:val="31"/>
          <w:highlight w:val="none"/>
          <w:shd w:val="clear" w:color="auto" w:fill="FFFFFF"/>
          <w:lang w:val="en-US" w:eastAsia="zh-CN"/>
        </w:rPr>
      </w:pPr>
      <w:r>
        <w:rPr>
          <w:rFonts w:hint="default" w:ascii="仿宋_GB2312" w:hAnsi="微软雅黑" w:eastAsia="仿宋_GB2312" w:cs="仿宋_GB2312"/>
          <w:i w:val="0"/>
          <w:iCs w:val="0"/>
          <w:caps w:val="0"/>
          <w:color w:val="000000"/>
          <w:spacing w:val="0"/>
          <w:sz w:val="31"/>
          <w:szCs w:val="31"/>
          <w:highlight w:val="none"/>
          <w:shd w:val="clear" w:color="auto" w:fill="FFFFFF"/>
        </w:rPr>
        <w:t>结余分配</w:t>
      </w:r>
      <w:r>
        <w:rPr>
          <w:rFonts w:hint="eastAsia" w:ascii="仿宋_GB2312" w:hAnsi="微软雅黑" w:eastAsia="仿宋_GB2312" w:cs="仿宋_GB2312"/>
          <w:color w:val="000000"/>
          <w:sz w:val="31"/>
          <w:szCs w:val="31"/>
          <w:highlight w:val="none"/>
          <w:shd w:val="clear" w:color="auto" w:fill="FFFFFF"/>
        </w:rPr>
        <w:t>0.00</w:t>
      </w:r>
      <w:r>
        <w:rPr>
          <w:rFonts w:hint="default" w:ascii="仿宋_GB2312" w:hAnsi="微软雅黑" w:eastAsia="仿宋_GB2312" w:cs="仿宋_GB2312"/>
          <w:i w:val="0"/>
          <w:iCs w:val="0"/>
          <w:caps w:val="0"/>
          <w:color w:val="000000"/>
          <w:spacing w:val="0"/>
          <w:sz w:val="31"/>
          <w:szCs w:val="31"/>
          <w:highlight w:val="none"/>
          <w:shd w:val="clear" w:color="auto" w:fill="FFFFFF"/>
        </w:rPr>
        <w:t>万元，为事业单位按规定提取的专用结余、缴纳所得税和转入非财政拨款结余等。较202</w:t>
      </w:r>
      <w:r>
        <w:rPr>
          <w:rFonts w:hint="eastAsia" w:ascii="仿宋_GB2312" w:hAnsi="微软雅黑" w:eastAsia="仿宋_GB2312" w:cs="仿宋_GB2312"/>
          <w:i w:val="0"/>
          <w:iCs w:val="0"/>
          <w:caps w:val="0"/>
          <w:color w:val="000000"/>
          <w:spacing w:val="0"/>
          <w:sz w:val="31"/>
          <w:szCs w:val="31"/>
          <w:highlight w:val="none"/>
          <w:shd w:val="clear" w:color="auto" w:fill="FFFFFF"/>
          <w:lang w:val="en-US" w:eastAsia="zh-CN"/>
        </w:rPr>
        <w:t>1</w:t>
      </w:r>
      <w:r>
        <w:rPr>
          <w:rFonts w:hint="default" w:ascii="仿宋_GB2312" w:hAnsi="微软雅黑" w:eastAsia="仿宋_GB2312" w:cs="仿宋_GB2312"/>
          <w:i w:val="0"/>
          <w:iCs w:val="0"/>
          <w:caps w:val="0"/>
          <w:color w:val="000000"/>
          <w:spacing w:val="0"/>
          <w:sz w:val="31"/>
          <w:szCs w:val="31"/>
          <w:highlight w:val="none"/>
          <w:shd w:val="clear" w:color="auto" w:fill="FFFFFF"/>
        </w:rPr>
        <w:t>年决算</w:t>
      </w:r>
      <w:r>
        <w:rPr>
          <w:rFonts w:hint="eastAsia" w:ascii="仿宋_GB2312" w:hAnsi="微软雅黑" w:eastAsia="仿宋_GB2312" w:cs="仿宋_GB2312"/>
          <w:i w:val="0"/>
          <w:iCs w:val="0"/>
          <w:caps w:val="0"/>
          <w:color w:val="000000"/>
          <w:spacing w:val="0"/>
          <w:sz w:val="31"/>
          <w:szCs w:val="31"/>
          <w:highlight w:val="none"/>
          <w:shd w:val="clear" w:color="auto" w:fill="FFFFFF"/>
          <w:lang w:val="en-US" w:eastAsia="zh-CN"/>
        </w:rPr>
        <w:t>无变化。</w:t>
      </w:r>
    </w:p>
    <w:p w14:paraId="42D733F0">
      <w:pPr>
        <w:keepNext w:val="0"/>
        <w:keepLines w:val="0"/>
        <w:widowControl w:val="0"/>
        <w:suppressLineNumbers w:val="0"/>
        <w:spacing w:before="0" w:beforeAutospacing="0" w:after="0" w:afterAutospacing="0"/>
        <w:ind w:right="0"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年末结转和结余</w:t>
      </w:r>
      <w:r>
        <w:rPr>
          <w:rFonts w:hint="eastAsia" w:ascii="仿宋" w:hAnsi="仿宋" w:eastAsia="仿宋" w:cs="仿宋"/>
          <w:sz w:val="32"/>
          <w:u w:color="auto"/>
          <w:lang w:val="en-US" w:eastAsia="zh-CN"/>
        </w:rPr>
        <w:t>0.00</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为本年度或以前年度预算安排、因客观条件发生变化无法按原计划实施，需要延迟到以后年度按有关规定继续使用的资金。</w:t>
      </w:r>
      <w:r>
        <w:rPr>
          <w:rFonts w:hint="default" w:ascii="仿宋" w:hAnsi="仿宋" w:eastAsia="仿宋" w:cs="仿宋"/>
          <w:color w:val="000000" w:themeColor="text1"/>
          <w:sz w:val="32"/>
          <w:szCs w:val="32"/>
          <w:highlight w:val="none"/>
          <w14:textFill>
            <w14:solidFill>
              <w14:schemeClr w14:val="tx1"/>
            </w14:solidFill>
          </w14:textFill>
        </w:rPr>
        <w:t>较202</w:t>
      </w:r>
      <w:r>
        <w:rPr>
          <w:rFonts w:hint="eastAsia" w:ascii="仿宋" w:hAnsi="仿宋" w:eastAsia="仿宋" w:cs="仿宋"/>
          <w:color w:val="000000" w:themeColor="text1"/>
          <w:sz w:val="32"/>
          <w:szCs w:val="32"/>
          <w:highlight w:val="none"/>
          <w:lang w:val="en-US" w:eastAsia="zh-CN"/>
          <w14:textFill>
            <w14:solidFill>
              <w14:schemeClr w14:val="tx1"/>
            </w14:solidFill>
          </w14:textFill>
        </w:rPr>
        <w:t>1</w:t>
      </w:r>
      <w:r>
        <w:rPr>
          <w:rFonts w:hint="default" w:ascii="仿宋" w:hAnsi="仿宋" w:eastAsia="仿宋" w:cs="仿宋"/>
          <w:color w:val="000000" w:themeColor="text1"/>
          <w:sz w:val="32"/>
          <w:szCs w:val="32"/>
          <w:highlight w:val="none"/>
          <w14:textFill>
            <w14:solidFill>
              <w14:schemeClr w14:val="tx1"/>
            </w14:solidFill>
          </w14:textFill>
        </w:rPr>
        <w:t>年决算</w:t>
      </w:r>
      <w:r>
        <w:rPr>
          <w:rFonts w:hint="eastAsia" w:ascii="仿宋" w:hAnsi="仿宋" w:eastAsia="仿宋" w:cs="仿宋"/>
          <w:color w:val="000000" w:themeColor="text1"/>
          <w:sz w:val="32"/>
          <w:szCs w:val="32"/>
          <w:highlight w:val="none"/>
          <w:lang w:val="en-US" w:eastAsia="zh-CN"/>
          <w14:textFill>
            <w14:solidFill>
              <w14:schemeClr w14:val="tx1"/>
            </w14:solidFill>
          </w14:textFill>
        </w:rPr>
        <w:t>无变化。</w:t>
      </w:r>
    </w:p>
    <w:p w14:paraId="2CAA4CDD">
      <w:pPr>
        <w:ind w:firstLine="640" w:firstLineChars="200"/>
        <w:jc w:val="center"/>
        <w:rPr>
          <w:rFonts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5080000" cy="3022600"/>
            <wp:effectExtent l="4445" t="4445" r="20955" b="20955"/>
            <wp:docPr id="3" name="图表 3" title="{{img_zcjs}}"/>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7B6CFA3D">
      <w:pPr>
        <w:jc w:val="left"/>
        <w:rPr>
          <w:rFonts w:ascii="黑体" w:hAnsi="黑体" w:eastAsia="黑体" w:cs="黑体"/>
          <w:sz w:val="32"/>
          <w:szCs w:val="32"/>
          <w:highlight w:val="none"/>
        </w:rPr>
      </w:pPr>
      <w:r>
        <w:rPr>
          <w:rFonts w:hint="eastAsia" w:ascii="黑体" w:hAnsi="黑体" w:eastAsia="黑体" w:cs="黑体"/>
          <w:sz w:val="32"/>
          <w:szCs w:val="32"/>
          <w:highlight w:val="none"/>
        </w:rPr>
        <w:t>二、2022 年度</w:t>
      </w:r>
      <w:bookmarkStart w:id="3" w:name="OLE_LINK1"/>
      <w:r>
        <w:rPr>
          <w:rFonts w:hint="eastAsia" w:ascii="黑体" w:hAnsi="黑体" w:eastAsia="黑体" w:cs="黑体"/>
          <w:sz w:val="32"/>
          <w:szCs w:val="32"/>
          <w:highlight w:val="none"/>
        </w:rPr>
        <w:t>一般公共预算财政拨款支出决算情况</w:t>
      </w:r>
      <w:bookmarkEnd w:id="3"/>
    </w:p>
    <w:p w14:paraId="759E2361">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2022年度一般公共预算财政拨款支出</w:t>
      </w:r>
      <w:r>
        <w:rPr>
          <w:rFonts w:hint="eastAsia" w:ascii="仿宋" w:hAnsi="仿宋" w:eastAsia="仿宋" w:cs="仿宋"/>
          <w:kern w:val="2"/>
          <w:sz w:val="32"/>
          <w:szCs w:val="32"/>
          <w:highlight w:val="none"/>
          <w:lang w:val="en-US" w:eastAsia="zh-CN" w:bidi="ar"/>
        </w:rPr>
        <w:t>1730.07</w:t>
      </w:r>
      <w:r>
        <w:rPr>
          <w:rFonts w:hint="eastAsia" w:ascii="仿宋" w:hAnsi="仿宋" w:eastAsia="仿宋" w:cs="仿宋"/>
          <w:sz w:val="32"/>
          <w:szCs w:val="32"/>
          <w:highlight w:val="none"/>
        </w:rPr>
        <w:t>万元，较2021年度决算数</w:t>
      </w:r>
      <w:r>
        <w:rPr>
          <w:rFonts w:hint="eastAsia" w:ascii="仿宋" w:hAnsi="仿宋" w:eastAsia="仿宋" w:cs="仿宋"/>
          <w:sz w:val="32"/>
          <w:szCs w:val="32"/>
          <w:highlight w:val="none"/>
          <w:lang w:val="en-US" w:eastAsia="zh-CN"/>
        </w:rPr>
        <w:t>增加192.18</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val="en-US" w:eastAsia="zh-CN"/>
        </w:rPr>
        <w:t>增长12.50</w:t>
      </w:r>
      <w:r>
        <w:rPr>
          <w:rFonts w:hint="eastAsia" w:ascii="仿宋" w:hAnsi="仿宋" w:eastAsia="仿宋" w:cs="仿宋"/>
          <w:sz w:val="32"/>
          <w:szCs w:val="32"/>
          <w:highlight w:val="none"/>
        </w:rPr>
        <w:t>%。其中：基本支出</w:t>
      </w:r>
      <w:r>
        <w:rPr>
          <w:rFonts w:hint="eastAsia" w:ascii="仿宋" w:hAnsi="仿宋" w:eastAsia="仿宋" w:cs="仿宋"/>
          <w:sz w:val="32"/>
          <w:szCs w:val="32"/>
          <w:highlight w:val="none"/>
          <w:lang w:val="en-US" w:eastAsia="zh-CN"/>
        </w:rPr>
        <w:t>1418.49</w:t>
      </w:r>
      <w:r>
        <w:rPr>
          <w:rFonts w:hint="eastAsia" w:ascii="仿宋" w:hAnsi="仿宋" w:eastAsia="仿宋" w:cs="仿宋"/>
          <w:sz w:val="32"/>
          <w:szCs w:val="32"/>
          <w:highlight w:val="none"/>
        </w:rPr>
        <w:t>万元，项目支出</w:t>
      </w:r>
      <w:r>
        <w:rPr>
          <w:rFonts w:hint="eastAsia" w:ascii="仿宋" w:hAnsi="仿宋" w:eastAsia="仿宋" w:cs="仿宋"/>
          <w:sz w:val="32"/>
          <w:u w:color="auto"/>
          <w:lang w:val="en-US" w:eastAsia="zh-CN"/>
        </w:rPr>
        <w:t>311.58</w:t>
      </w:r>
      <w:r>
        <w:rPr>
          <w:rFonts w:hint="eastAsia" w:ascii="仿宋" w:hAnsi="仿宋" w:eastAsia="仿宋" w:cs="仿宋"/>
          <w:sz w:val="32"/>
          <w:szCs w:val="32"/>
          <w:highlight w:val="none"/>
        </w:rPr>
        <w:t>万元。</w:t>
      </w:r>
    </w:p>
    <w:p w14:paraId="24EA9891">
      <w:pPr>
        <w:ind w:firstLine="640" w:firstLineChars="200"/>
        <w:jc w:val="left"/>
        <w:rPr>
          <w:rFonts w:ascii="仿宋" w:hAnsi="仿宋" w:eastAsia="仿宋"/>
          <w:sz w:val="32"/>
          <w:szCs w:val="32"/>
          <w:highlight w:val="none"/>
        </w:rPr>
      </w:pPr>
      <w:r>
        <w:rPr>
          <w:rFonts w:hint="eastAsia" w:ascii="仿宋" w:hAnsi="仿宋" w:eastAsia="仿宋" w:cs="仿宋"/>
          <w:sz w:val="32"/>
          <w:szCs w:val="32"/>
          <w:highlight w:val="none"/>
        </w:rPr>
        <w:t>2022 年度一般公共预算财政拨款支出年初预算为</w:t>
      </w:r>
      <w:r>
        <w:rPr>
          <w:rFonts w:hint="eastAsia" w:ascii="仿宋" w:hAnsi="仿宋" w:eastAsia="仿宋" w:cs="仿宋"/>
          <w:kern w:val="2"/>
          <w:sz w:val="32"/>
          <w:szCs w:val="32"/>
          <w:highlight w:val="none"/>
          <w:lang w:val="en-US" w:eastAsia="zh-CN" w:bidi="ar"/>
        </w:rPr>
        <w:t>1730.07</w:t>
      </w:r>
      <w:r>
        <w:rPr>
          <w:rFonts w:hint="eastAsia" w:ascii="仿宋" w:hAnsi="仿宋" w:eastAsia="仿宋" w:cs="仿宋"/>
          <w:sz w:val="32"/>
          <w:szCs w:val="32"/>
          <w:highlight w:val="none"/>
        </w:rPr>
        <w:t>万元，支出决算为</w:t>
      </w:r>
      <w:r>
        <w:rPr>
          <w:rFonts w:hint="eastAsia" w:ascii="仿宋" w:hAnsi="仿宋" w:eastAsia="仿宋" w:cs="仿宋"/>
          <w:kern w:val="2"/>
          <w:sz w:val="32"/>
          <w:szCs w:val="32"/>
          <w:highlight w:val="none"/>
          <w:lang w:val="en-US" w:eastAsia="zh-CN" w:bidi="ar"/>
        </w:rPr>
        <w:t>1730.07</w:t>
      </w:r>
      <w:r>
        <w:rPr>
          <w:rFonts w:hint="eastAsia" w:ascii="仿宋" w:hAnsi="仿宋" w:eastAsia="仿宋" w:cs="仿宋"/>
          <w:sz w:val="32"/>
          <w:szCs w:val="32"/>
          <w:highlight w:val="none"/>
        </w:rPr>
        <w:t>万元，完成年初预算的</w:t>
      </w:r>
      <w:r>
        <w:rPr>
          <w:rFonts w:hint="eastAsia" w:ascii="仿宋" w:hAnsi="仿宋" w:eastAsia="仿宋" w:cs="仿宋"/>
          <w:sz w:val="32"/>
          <w:u w:color="auto"/>
          <w:lang w:val="en-US" w:eastAsia="zh-CN"/>
        </w:rPr>
        <w:t>100</w:t>
      </w:r>
      <w:r>
        <w:rPr>
          <w:rFonts w:ascii="仿宋" w:hAnsi="仿宋" w:eastAsia="仿宋" w:cs="仿宋"/>
          <w:sz w:val="32"/>
          <w:u w:color="auto"/>
        </w:rPr>
        <w:t>%</w:t>
      </w:r>
      <w:r>
        <w:rPr>
          <w:rFonts w:hint="eastAsia" w:ascii="仿宋" w:hAnsi="仿宋" w:eastAsia="仿宋" w:cs="仿宋"/>
          <w:sz w:val="32"/>
          <w:szCs w:val="32"/>
          <w:highlight w:val="none"/>
        </w:rPr>
        <w:t>。</w:t>
      </w:r>
      <w:bookmarkStart w:id="4" w:name="OLE_LINK2"/>
      <w:bookmarkEnd w:id="4"/>
    </w:p>
    <w:p w14:paraId="2D1AC073">
      <w:pPr>
        <w:keepNext w:val="0"/>
        <w:keepLines w:val="0"/>
        <w:widowControl w:val="0"/>
        <w:numPr>
          <w:ilvl w:val="0"/>
          <w:numId w:val="2"/>
        </w:numPr>
        <w:suppressLineNumbers w:val="0"/>
        <w:spacing w:before="0" w:beforeAutospacing="0" w:after="0" w:afterAutospacing="0"/>
        <w:ind w:left="0" w:leftChars="0" w:right="0" w:rightChars="0" w:firstLine="420" w:firstLineChars="0"/>
        <w:jc w:val="left"/>
        <w:rPr>
          <w:rFonts w:hint="eastAsia" w:ascii="仿宋" w:hAnsi="仿宋" w:eastAsia="仿宋"/>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kern w:val="0"/>
          <w:sz w:val="32"/>
          <w:szCs w:val="32"/>
        </w:rPr>
        <w:t>一般公共服务支出（</w:t>
      </w:r>
      <w:r>
        <w:rPr>
          <w:rFonts w:hint="eastAsia" w:ascii="仿宋_GB2312" w:hAnsi="仿宋_GB2312" w:eastAsia="仿宋_GB2312" w:cs="仿宋_GB2312"/>
          <w:kern w:val="0"/>
          <w:sz w:val="32"/>
          <w:szCs w:val="32"/>
          <w:lang w:val="en-US" w:eastAsia="zh-CN"/>
        </w:rPr>
        <w:t>201</w:t>
      </w:r>
      <w:r>
        <w:rPr>
          <w:rFonts w:hint="eastAsia" w:ascii="仿宋_GB2312" w:hAnsi="仿宋_GB2312" w:eastAsia="仿宋_GB2312" w:cs="仿宋_GB2312"/>
          <w:kern w:val="0"/>
          <w:sz w:val="32"/>
          <w:szCs w:val="32"/>
        </w:rPr>
        <w:t>类）</w:t>
      </w:r>
      <w:r>
        <w:rPr>
          <w:rFonts w:hint="eastAsia" w:ascii="仿宋_GB2312" w:hAnsi="仿宋_GB2312" w:eastAsia="仿宋_GB2312" w:cs="仿宋_GB2312"/>
          <w:kern w:val="0"/>
          <w:sz w:val="32"/>
          <w:szCs w:val="32"/>
          <w:lang w:val="en-US" w:eastAsia="zh-CN"/>
        </w:rPr>
        <w:t>1098.52</w:t>
      </w:r>
      <w:r>
        <w:rPr>
          <w:rFonts w:hint="eastAsia" w:ascii="仿宋_GB2312" w:hAnsi="仿宋_GB2312" w:eastAsia="仿宋_GB2312" w:cs="仿宋_GB2312"/>
          <w:kern w:val="0"/>
          <w:sz w:val="32"/>
          <w:szCs w:val="32"/>
        </w:rPr>
        <w:t>万元</w:t>
      </w:r>
      <w:r>
        <w:rPr>
          <w:rFonts w:hint="eastAsia" w:ascii="仿宋_GB2312" w:hAnsi="仿宋_GB2312" w:eastAsia="仿宋_GB2312" w:cs="仿宋_GB2312"/>
          <w:kern w:val="0"/>
          <w:sz w:val="32"/>
          <w:szCs w:val="32"/>
          <w:lang w:eastAsia="zh-CN"/>
        </w:rPr>
        <w:t>，</w:t>
      </w:r>
      <w:r>
        <w:rPr>
          <w:rFonts w:hint="eastAsia" w:ascii="仿宋" w:hAnsi="仿宋" w:eastAsia="仿宋"/>
          <w:sz w:val="32"/>
          <w:szCs w:val="32"/>
          <w:highlight w:val="none"/>
        </w:rPr>
        <w:t>支出决算为</w:t>
      </w:r>
      <w:r>
        <w:rPr>
          <w:rFonts w:hint="eastAsia" w:ascii="仿宋" w:hAnsi="仿宋" w:eastAsia="仿宋"/>
          <w:sz w:val="32"/>
          <w:szCs w:val="32"/>
          <w:highlight w:val="none"/>
          <w:lang w:val="en-US" w:eastAsia="zh-CN"/>
        </w:rPr>
        <w:t>1254.94</w:t>
      </w:r>
      <w:r>
        <w:rPr>
          <w:rFonts w:hint="eastAsia" w:ascii="仿宋" w:hAnsi="仿宋" w:eastAsia="仿宋"/>
          <w:sz w:val="32"/>
          <w:szCs w:val="32"/>
          <w:highlight w:val="none"/>
        </w:rPr>
        <w:t>万元，完成年初预算</w:t>
      </w:r>
      <w:r>
        <w:rPr>
          <w:rFonts w:hint="eastAsia" w:ascii="仿宋_GB2312" w:hAnsi="仿宋_GB2312" w:eastAsia="仿宋_GB2312" w:cs="仿宋_GB2312"/>
          <w:kern w:val="0"/>
          <w:sz w:val="32"/>
          <w:szCs w:val="32"/>
          <w:lang w:val="en-US" w:eastAsia="zh-CN"/>
        </w:rPr>
        <w:t>的114.24%</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原因是：本年度单位人员的增加、工资正常增资以及工作调整导致。</w:t>
      </w:r>
    </w:p>
    <w:p w14:paraId="558CE96C">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7"/>
        <w:tblW w:w="8803" w:type="dxa"/>
        <w:tblInd w:w="-17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35"/>
        <w:gridCol w:w="1263"/>
        <w:gridCol w:w="994"/>
        <w:gridCol w:w="1088"/>
        <w:gridCol w:w="1050"/>
        <w:gridCol w:w="1548"/>
        <w:gridCol w:w="1825"/>
      </w:tblGrid>
      <w:tr w14:paraId="1981D2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103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52407EF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263"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07A4D0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7CB78A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1088"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3C63E6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50"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7BABA3A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548"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19C665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674AC9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14:paraId="1C0E1A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103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017DDC3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kern w:val="0"/>
                <w:sz w:val="20"/>
                <w:szCs w:val="20"/>
                <w:u w:val="none"/>
                <w:lang w:val="en-US" w:eastAsia="zh-CN" w:bidi="ar"/>
              </w:rPr>
              <w:t>2011101</w:t>
            </w:r>
          </w:p>
        </w:tc>
        <w:tc>
          <w:tcPr>
            <w:tcW w:w="1263"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70B2BE2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kern w:val="0"/>
                <w:sz w:val="20"/>
                <w:szCs w:val="20"/>
                <w:u w:val="none"/>
                <w:lang w:val="en-US" w:eastAsia="zh-CN" w:bidi="ar"/>
              </w:rPr>
              <w:t>行政运行</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2DE2EEA6">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938.05</w:t>
            </w:r>
          </w:p>
        </w:tc>
        <w:tc>
          <w:tcPr>
            <w:tcW w:w="1088"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4C651DE3">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1,172.12</w:t>
            </w:r>
          </w:p>
        </w:tc>
        <w:tc>
          <w:tcPr>
            <w:tcW w:w="1050"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41AA216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124.95%</w:t>
            </w:r>
          </w:p>
        </w:tc>
        <w:tc>
          <w:tcPr>
            <w:tcW w:w="1548"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5349553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职工工资福利的发放以及单位的日常运转</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092AD0C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本年度单位人员的增加以及工资正常增资导致</w:t>
            </w:r>
          </w:p>
        </w:tc>
      </w:tr>
      <w:tr w14:paraId="155DD0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103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266CBE5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kern w:val="0"/>
                <w:sz w:val="20"/>
                <w:szCs w:val="20"/>
                <w:u w:val="none"/>
                <w:lang w:val="en-US" w:eastAsia="zh-CN" w:bidi="ar"/>
              </w:rPr>
              <w:t>2011103</w:t>
            </w:r>
          </w:p>
        </w:tc>
        <w:tc>
          <w:tcPr>
            <w:tcW w:w="1263"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3C61C53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kern w:val="0"/>
                <w:sz w:val="20"/>
                <w:szCs w:val="20"/>
                <w:u w:val="none"/>
                <w:lang w:val="en-US" w:eastAsia="zh-CN" w:bidi="ar"/>
              </w:rPr>
              <w:t>机关服务</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39598AF9">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0.00</w:t>
            </w:r>
          </w:p>
        </w:tc>
        <w:tc>
          <w:tcPr>
            <w:tcW w:w="1088"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417D4AF6">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2.50</w:t>
            </w:r>
          </w:p>
        </w:tc>
        <w:tc>
          <w:tcPr>
            <w:tcW w:w="1050"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7AD114C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250%</w:t>
            </w:r>
          </w:p>
        </w:tc>
        <w:tc>
          <w:tcPr>
            <w:tcW w:w="1548"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73F08F4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2021年底新购置车辆的入户费、保险等费用</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3D27594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车辆购置在年底，2022年度预算已经编制完成</w:t>
            </w:r>
          </w:p>
        </w:tc>
      </w:tr>
      <w:tr w14:paraId="3EA5B4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03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54CB276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kern w:val="0"/>
                <w:sz w:val="20"/>
                <w:szCs w:val="20"/>
                <w:u w:val="none"/>
                <w:lang w:val="en-US" w:eastAsia="zh-CN" w:bidi="ar"/>
              </w:rPr>
              <w:t>2011105</w:t>
            </w:r>
          </w:p>
        </w:tc>
        <w:tc>
          <w:tcPr>
            <w:tcW w:w="1263"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78DEC4F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kern w:val="0"/>
                <w:sz w:val="20"/>
                <w:szCs w:val="20"/>
                <w:u w:val="none"/>
                <w:lang w:val="en-US" w:eastAsia="zh-CN" w:bidi="ar"/>
              </w:rPr>
              <w:t>派驻派出机构</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1656B84D">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5.00</w:t>
            </w:r>
          </w:p>
        </w:tc>
        <w:tc>
          <w:tcPr>
            <w:tcW w:w="1088"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4FE1A742">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4.85</w:t>
            </w:r>
          </w:p>
        </w:tc>
        <w:tc>
          <w:tcPr>
            <w:tcW w:w="1050"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3EC33F9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97%</w:t>
            </w:r>
          </w:p>
        </w:tc>
        <w:tc>
          <w:tcPr>
            <w:tcW w:w="1548"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034C33E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派驻组人员的办公费及差旅费等</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5F6557E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本年出差次数相对减少</w:t>
            </w:r>
          </w:p>
        </w:tc>
      </w:tr>
      <w:tr w14:paraId="088C7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103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7F015A0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kern w:val="0"/>
                <w:sz w:val="20"/>
                <w:szCs w:val="20"/>
                <w:u w:val="none"/>
                <w:lang w:val="en-US" w:eastAsia="zh-CN" w:bidi="ar"/>
              </w:rPr>
              <w:t>2011106</w:t>
            </w:r>
          </w:p>
        </w:tc>
        <w:tc>
          <w:tcPr>
            <w:tcW w:w="1263"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20EBCF9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kern w:val="0"/>
                <w:sz w:val="20"/>
                <w:szCs w:val="20"/>
                <w:u w:val="none"/>
                <w:lang w:val="en-US" w:eastAsia="zh-CN" w:bidi="ar"/>
              </w:rPr>
              <w:t>巡视工作</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71534329">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19.00</w:t>
            </w:r>
          </w:p>
        </w:tc>
        <w:tc>
          <w:tcPr>
            <w:tcW w:w="1088"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3E1A0BC5">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19.00</w:t>
            </w:r>
          </w:p>
        </w:tc>
        <w:tc>
          <w:tcPr>
            <w:tcW w:w="1050"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7C777F6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100.00%</w:t>
            </w:r>
          </w:p>
        </w:tc>
        <w:tc>
          <w:tcPr>
            <w:tcW w:w="1548"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0158310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县委巡察办每年两轮的巡察开支</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0724C40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按年初计划完成</w:t>
            </w:r>
          </w:p>
        </w:tc>
      </w:tr>
      <w:tr w14:paraId="65EF4F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103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7858325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kern w:val="0"/>
                <w:sz w:val="20"/>
                <w:szCs w:val="20"/>
                <w:u w:val="none"/>
                <w:lang w:val="en-US" w:eastAsia="zh-CN" w:bidi="ar"/>
              </w:rPr>
              <w:t>2011199</w:t>
            </w:r>
          </w:p>
        </w:tc>
        <w:tc>
          <w:tcPr>
            <w:tcW w:w="1263"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1C2FCBB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kern w:val="0"/>
                <w:sz w:val="20"/>
                <w:szCs w:val="20"/>
                <w:u w:val="none"/>
                <w:lang w:val="en-US" w:eastAsia="zh-CN" w:bidi="ar"/>
              </w:rPr>
              <w:t>其他纪检监察事务支出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1A2C31CE">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120.00</w:t>
            </w:r>
          </w:p>
        </w:tc>
        <w:tc>
          <w:tcPr>
            <w:tcW w:w="1088"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4407240C">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40.00</w:t>
            </w:r>
          </w:p>
        </w:tc>
        <w:tc>
          <w:tcPr>
            <w:tcW w:w="1050"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2E3B3EE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33.33%</w:t>
            </w:r>
          </w:p>
        </w:tc>
        <w:tc>
          <w:tcPr>
            <w:tcW w:w="1548"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6A8F80B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用于企业教育基地租金及办案支出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0172721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因未正式签署合同，故未支付</w:t>
            </w:r>
          </w:p>
        </w:tc>
      </w:tr>
      <w:tr w14:paraId="5EAAB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103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7BE1429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kern w:val="0"/>
                <w:sz w:val="20"/>
                <w:szCs w:val="20"/>
                <w:u w:val="none"/>
                <w:lang w:val="en-US" w:eastAsia="zh-CN" w:bidi="ar"/>
              </w:rPr>
              <w:t>2012999</w:t>
            </w:r>
          </w:p>
        </w:tc>
        <w:tc>
          <w:tcPr>
            <w:tcW w:w="1263"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2E99403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kern w:val="0"/>
                <w:sz w:val="20"/>
                <w:szCs w:val="20"/>
                <w:u w:val="none"/>
                <w:lang w:val="en-US" w:eastAsia="zh-CN" w:bidi="ar"/>
              </w:rPr>
              <w:t>其他群众团体事务支出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6284AC31">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16.47</w:t>
            </w:r>
          </w:p>
        </w:tc>
        <w:tc>
          <w:tcPr>
            <w:tcW w:w="1088"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5E17B5A9">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16.47</w:t>
            </w:r>
          </w:p>
        </w:tc>
        <w:tc>
          <w:tcPr>
            <w:tcW w:w="1050"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5C9B959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100.00%</w:t>
            </w:r>
          </w:p>
        </w:tc>
        <w:tc>
          <w:tcPr>
            <w:tcW w:w="1548"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148470A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工会活动经费</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65CD50A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按年初计划完成</w:t>
            </w:r>
          </w:p>
        </w:tc>
      </w:tr>
      <w:tr w14:paraId="46E121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103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27747B5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263"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13ED2ED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60B961F8">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1098.52</w:t>
            </w:r>
          </w:p>
        </w:tc>
        <w:tc>
          <w:tcPr>
            <w:tcW w:w="1088"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70D7E3A1">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2"/>
                <w:sz w:val="20"/>
                <w:szCs w:val="20"/>
                <w:highlight w:val="none"/>
                <w:u w:val="none"/>
                <w:lang w:val="en-US" w:eastAsia="zh-CN" w:bidi="ar-SA"/>
              </w:rPr>
              <w:t>1254.94</w:t>
            </w:r>
          </w:p>
        </w:tc>
        <w:tc>
          <w:tcPr>
            <w:tcW w:w="1050"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5AC39B0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eastAsia="zh-CN"/>
              </w:rPr>
            </w:pPr>
          </w:p>
        </w:tc>
        <w:tc>
          <w:tcPr>
            <w:tcW w:w="1548"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14352E9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0"/>
                <w:szCs w:val="20"/>
                <w:highlight w:val="none"/>
                <w:u w:val="none"/>
                <w:lang w:val="en-US" w:eastAsia="zh-CN"/>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184F217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0"/>
                <w:szCs w:val="20"/>
                <w:highlight w:val="none"/>
                <w:u w:val="none"/>
                <w:lang w:val="en-US" w:eastAsia="zh-CN"/>
              </w:rPr>
            </w:pPr>
          </w:p>
        </w:tc>
      </w:tr>
    </w:tbl>
    <w:p w14:paraId="7F3A209A">
      <w:pPr>
        <w:jc w:val="left"/>
        <w:rPr>
          <w:rFonts w:hint="eastAsia" w:ascii="仿宋" w:hAnsi="仿宋" w:eastAsia="仿宋"/>
          <w:sz w:val="32"/>
          <w:szCs w:val="32"/>
          <w:highlight w:val="none"/>
        </w:rPr>
      </w:pPr>
    </w:p>
    <w:p w14:paraId="7E5D5C52">
      <w:pPr>
        <w:jc w:val="center"/>
        <w:rPr>
          <w:rFonts w:ascii="仿宋" w:hAnsi="仿宋" w:eastAsia="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5715"/>
            <wp:docPr id="6"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B065175">
      <w:pPr>
        <w:keepNext w:val="0"/>
        <w:keepLines w:val="0"/>
        <w:pageBreakBefore w:val="0"/>
        <w:widowControl w:val="0"/>
        <w:numPr>
          <w:ilvl w:val="0"/>
          <w:numId w:val="2"/>
        </w:numPr>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420" w:firstLineChars="0"/>
        <w:jc w:val="left"/>
        <w:textAlignment w:val="auto"/>
        <w:rPr>
          <w:rFonts w:hint="eastAsia" w:eastAsia="仿宋"/>
          <w:color w:val="FF0000"/>
          <w:highlight w:val="none"/>
          <w:lang w:val="en-US" w:eastAsia="zh-CN"/>
        </w:rPr>
      </w:pPr>
      <w:r>
        <w:rPr>
          <w:rFonts w:hint="eastAsia" w:ascii="仿宋" w:hAnsi="仿宋" w:eastAsia="仿宋"/>
          <w:sz w:val="32"/>
          <w:szCs w:val="32"/>
          <w:highlight w:val="none"/>
        </w:rPr>
        <w:t>社会保障和就业支出</w:t>
      </w:r>
      <w:r>
        <w:rPr>
          <w:rFonts w:ascii="仿宋" w:hAnsi="仿宋" w:eastAsia="仿宋"/>
          <w:sz w:val="32"/>
          <w:u w:color="auto"/>
        </w:rPr>
        <w:t>（208</w:t>
      </w:r>
      <w:r>
        <w:rPr>
          <w:rFonts w:hint="eastAsia" w:ascii="仿宋" w:hAnsi="仿宋" w:eastAsia="仿宋"/>
          <w:sz w:val="32"/>
          <w:szCs w:val="32"/>
          <w:highlight w:val="none"/>
        </w:rPr>
        <w:t>类）年初预算为</w:t>
      </w:r>
      <w:r>
        <w:rPr>
          <w:rFonts w:hint="eastAsia" w:ascii="仿宋" w:hAnsi="仿宋" w:eastAsia="仿宋"/>
          <w:sz w:val="32"/>
          <w:szCs w:val="32"/>
          <w:highlight w:val="none"/>
          <w:lang w:val="en-US" w:eastAsia="zh-CN"/>
        </w:rPr>
        <w:t>131.74</w:t>
      </w:r>
      <w:r>
        <w:rPr>
          <w:rFonts w:hint="eastAsia" w:ascii="仿宋" w:hAnsi="仿宋" w:eastAsia="仿宋"/>
          <w:sz w:val="32"/>
          <w:szCs w:val="32"/>
          <w:highlight w:val="none"/>
        </w:rPr>
        <w:t>万元，支出决算为</w:t>
      </w:r>
      <w:r>
        <w:rPr>
          <w:rFonts w:hint="eastAsia" w:ascii="仿宋" w:hAnsi="仿宋" w:eastAsia="仿宋"/>
          <w:sz w:val="32"/>
          <w:szCs w:val="32"/>
          <w:highlight w:val="none"/>
          <w:lang w:val="en-US" w:eastAsia="zh-CN"/>
        </w:rPr>
        <w:t>132.32</w:t>
      </w:r>
      <w:r>
        <w:rPr>
          <w:rFonts w:hint="eastAsia" w:ascii="仿宋" w:hAnsi="仿宋" w:eastAsia="仿宋"/>
          <w:sz w:val="32"/>
          <w:szCs w:val="32"/>
          <w:highlight w:val="none"/>
        </w:rPr>
        <w:t>万元，完成年初预算的</w:t>
      </w:r>
      <w:r>
        <w:rPr>
          <w:rFonts w:hint="eastAsia" w:ascii="仿宋" w:hAnsi="仿宋" w:eastAsia="仿宋"/>
          <w:sz w:val="32"/>
          <w:szCs w:val="32"/>
          <w:highlight w:val="none"/>
          <w:lang w:val="en-US" w:eastAsia="zh-CN"/>
        </w:rPr>
        <w:t>100.44</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原因是：本年度在职在编人员有增加及养老基数调整导致</w:t>
      </w:r>
      <w:r>
        <w:rPr>
          <w:rFonts w:hint="eastAsia" w:ascii="仿宋" w:hAnsi="仿宋" w:eastAsia="仿宋" w:cs="仿宋"/>
          <w:color w:val="FF0000"/>
          <w:kern w:val="2"/>
          <w:sz w:val="32"/>
          <w:szCs w:val="32"/>
          <w:highlight w:val="none"/>
          <w:lang w:val="en-US" w:eastAsia="zh-CN" w:bidi="ar"/>
        </w:rPr>
        <w:t>。</w:t>
      </w:r>
    </w:p>
    <w:p w14:paraId="01C12C94">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7"/>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14:paraId="6B474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2CADCB2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63C02B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3EE637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48D781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4EFE620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531D98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193BBD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14:paraId="2977D7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7B011F6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2080505</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6301DB4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机关事业单位基本养老保险缴费支出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1D37F3D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131.74</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2C36CE8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132.32</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0EA26BD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100.44%</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402D96B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_GB2312" w:hAnsi="仿宋_GB2312" w:eastAsia="仿宋_GB2312" w:cs="仿宋_GB2312"/>
                <w:kern w:val="0"/>
                <w:sz w:val="20"/>
                <w:szCs w:val="20"/>
                <w:lang w:val="en-US" w:eastAsia="zh-CN"/>
              </w:rPr>
              <w:t>缴纳在职在编职工基本养老保险费</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11EEBB1C">
            <w:pPr>
              <w:keepNext w:val="0"/>
              <w:keepLines w:val="0"/>
              <w:widowControl w:val="0"/>
              <w:suppressLineNumbers w:val="0"/>
              <w:spacing w:before="0" w:beforeAutospacing="0" w:after="0" w:afterAutospacing="0"/>
              <w:ind w:left="0" w:right="0"/>
              <w:jc w:val="both"/>
              <w:rPr>
                <w:rFonts w:hint="default"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本年度在职在编人员有增加及养老保险基数调整导致。</w:t>
            </w:r>
          </w:p>
          <w:p w14:paraId="3EC6446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r w14:paraId="47F3B0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49F2C2F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04DD095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2158D024">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131.74</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4C173065">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132.32</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418A3AB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7F1A010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3ED6E51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bl>
    <w:p w14:paraId="6D692E25">
      <w:pPr>
        <w:jc w:val="left"/>
        <w:rPr>
          <w:rFonts w:hint="eastAsia" w:ascii="仿宋" w:hAnsi="仿宋" w:eastAsia="仿宋"/>
          <w:sz w:val="32"/>
          <w:szCs w:val="32"/>
          <w:highlight w:val="none"/>
        </w:rPr>
      </w:pPr>
    </w:p>
    <w:p w14:paraId="44371A4E">
      <w:pPr>
        <w:jc w:val="center"/>
        <w:rPr>
          <w:rFonts w:ascii="仿宋" w:hAnsi="仿宋" w:eastAsia="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5715"/>
            <wp:docPr id="8"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1D8848F">
      <w:pPr>
        <w:keepNext w:val="0"/>
        <w:keepLines w:val="0"/>
        <w:widowControl w:val="0"/>
        <w:numPr>
          <w:ilvl w:val="0"/>
          <w:numId w:val="2"/>
        </w:numPr>
        <w:suppressLineNumbers w:val="0"/>
        <w:spacing w:before="0" w:beforeAutospacing="0" w:after="0" w:afterAutospacing="0"/>
        <w:ind w:left="0" w:leftChars="0" w:right="0" w:rightChars="0" w:firstLine="420" w:firstLineChars="0"/>
        <w:jc w:val="left"/>
        <w:rPr>
          <w:rFonts w:hint="eastAsia" w:eastAsia="仿宋"/>
          <w:color w:val="FF0000"/>
          <w:highlight w:val="none"/>
          <w:lang w:val="en-US" w:eastAsia="zh-CN"/>
        </w:rPr>
      </w:pPr>
      <w:r>
        <w:rPr>
          <w:rFonts w:hint="eastAsia" w:ascii="仿宋" w:hAnsi="仿宋" w:eastAsia="仿宋" w:cs="仿宋"/>
          <w:sz w:val="32"/>
          <w:szCs w:val="32"/>
          <w:highlight w:val="none"/>
          <w:lang w:bidi="ar"/>
        </w:rPr>
        <w:t>住房保障支出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221</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sz w:val="32"/>
          <w:szCs w:val="32"/>
          <w:highlight w:val="none"/>
        </w:rPr>
        <w:t>年初预算为</w:t>
      </w:r>
      <w:r>
        <w:rPr>
          <w:rFonts w:hint="eastAsia" w:ascii="仿宋" w:hAnsi="仿宋" w:eastAsia="仿宋"/>
          <w:sz w:val="32"/>
          <w:szCs w:val="32"/>
          <w:highlight w:val="none"/>
          <w:lang w:val="en-US" w:eastAsia="zh-CN"/>
        </w:rPr>
        <w:t>98.81</w:t>
      </w:r>
      <w:r>
        <w:rPr>
          <w:rFonts w:hint="eastAsia" w:ascii="仿宋" w:hAnsi="仿宋" w:eastAsia="仿宋"/>
          <w:sz w:val="32"/>
          <w:szCs w:val="32"/>
          <w:highlight w:val="none"/>
        </w:rPr>
        <w:t>万元，支出决算为</w:t>
      </w:r>
      <w:r>
        <w:rPr>
          <w:rFonts w:hint="eastAsia" w:ascii="仿宋" w:hAnsi="仿宋" w:eastAsia="仿宋" w:cs="仿宋"/>
          <w:sz w:val="32"/>
          <w:szCs w:val="32"/>
          <w:highlight w:val="none"/>
          <w:lang w:val="en-US" w:eastAsia="zh-CN" w:bidi="ar"/>
        </w:rPr>
        <w:t>100.25</w:t>
      </w:r>
      <w:r>
        <w:rPr>
          <w:rFonts w:hint="eastAsia" w:ascii="仿宋" w:hAnsi="仿宋" w:eastAsia="仿宋"/>
          <w:sz w:val="32"/>
          <w:szCs w:val="32"/>
          <w:highlight w:val="none"/>
        </w:rPr>
        <w:t>万元，完成年初预算的</w:t>
      </w:r>
      <w:r>
        <w:rPr>
          <w:rFonts w:hint="eastAsia" w:ascii="仿宋" w:hAnsi="仿宋" w:eastAsia="仿宋"/>
          <w:sz w:val="32"/>
          <w:szCs w:val="32"/>
          <w:highlight w:val="none"/>
          <w:lang w:val="en-US" w:eastAsia="zh-CN"/>
        </w:rPr>
        <w:t>101.46</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w:t>
      </w:r>
      <w:r>
        <w:rPr>
          <w:rFonts w:hint="eastAsia" w:ascii="仿宋_GB2312" w:hAnsi="仿宋_GB2312" w:eastAsia="仿宋_GB2312" w:cs="仿宋_GB2312"/>
          <w:kern w:val="0"/>
          <w:sz w:val="32"/>
          <w:szCs w:val="32"/>
          <w:lang w:val="en-US" w:eastAsia="zh-CN"/>
        </w:rPr>
        <w:t>本年度在职在编职工有增加及</w:t>
      </w:r>
      <w:r>
        <w:rPr>
          <w:rFonts w:hint="eastAsia" w:ascii="仿宋_GB2312" w:hAnsi="仿宋_GB2312" w:eastAsia="仿宋_GB2312" w:cs="仿宋_GB2312"/>
          <w:kern w:val="0"/>
          <w:sz w:val="32"/>
          <w:szCs w:val="32"/>
        </w:rPr>
        <w:t>住房</w:t>
      </w:r>
      <w:r>
        <w:rPr>
          <w:rFonts w:hint="eastAsia" w:ascii="仿宋_GB2312" w:hAnsi="仿宋_GB2312" w:eastAsia="仿宋_GB2312" w:cs="仿宋_GB2312"/>
          <w:kern w:val="0"/>
          <w:sz w:val="32"/>
          <w:szCs w:val="32"/>
          <w:lang w:val="en-US" w:eastAsia="zh-CN"/>
        </w:rPr>
        <w:t>公积金基数调整导致。</w:t>
      </w:r>
    </w:p>
    <w:p w14:paraId="10F5DBA7">
      <w:pPr>
        <w:keepNext w:val="0"/>
        <w:keepLines w:val="0"/>
        <w:pageBreakBefore w:val="0"/>
        <w:widowControl w:val="0"/>
        <w:kinsoku/>
        <w:wordWrap/>
        <w:overflowPunct/>
        <w:topLinePunct w:val="0"/>
        <w:autoSpaceDE/>
        <w:autoSpaceDN/>
        <w:bidi w:val="0"/>
        <w:adjustRightInd/>
        <w:snapToGrid/>
        <w:spacing w:before="313" w:beforeLines="100" w:line="600" w:lineRule="exact"/>
        <w:jc w:val="left"/>
        <w:textAlignment w:val="auto"/>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7"/>
        <w:tblW w:w="8730" w:type="dxa"/>
        <w:tblInd w:w="-5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02"/>
        <w:gridCol w:w="1076"/>
        <w:gridCol w:w="994"/>
        <w:gridCol w:w="806"/>
        <w:gridCol w:w="1097"/>
        <w:gridCol w:w="1765"/>
        <w:gridCol w:w="1890"/>
      </w:tblGrid>
      <w:tr w14:paraId="666397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1102"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5D6B154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785332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7F5BE8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4C82EB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22000E9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6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3DBB9C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90"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1C41FD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14:paraId="0F374E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1" w:hRule="atLeast"/>
        </w:trPr>
        <w:tc>
          <w:tcPr>
            <w:tcW w:w="1102"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7092219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22102011</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5232975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仿宋" w:hAnsi="仿宋" w:eastAsia="仿宋" w:cs="仿宋"/>
                <w:sz w:val="20"/>
                <w:szCs w:val="20"/>
                <w:highlight w:val="none"/>
                <w:lang w:bidi="ar"/>
              </w:rPr>
              <w:t>住房保障支出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5508758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98.81</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38AA5E0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100.25</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04076A9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101.46%</w:t>
            </w:r>
          </w:p>
        </w:tc>
        <w:tc>
          <w:tcPr>
            <w:tcW w:w="176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2BCF28E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0"/>
                <w:szCs w:val="20"/>
                <w:highlight w:val="none"/>
                <w:u w:val="none"/>
                <w:lang w:val="en-US" w:eastAsia="zh-CN"/>
              </w:rPr>
            </w:pPr>
            <w:r>
              <w:rPr>
                <w:rFonts w:hint="eastAsia" w:ascii="仿宋_GB2312" w:hAnsi="仿宋_GB2312" w:eastAsia="仿宋_GB2312" w:cs="仿宋_GB2312"/>
                <w:kern w:val="0"/>
                <w:sz w:val="20"/>
                <w:szCs w:val="20"/>
              </w:rPr>
              <w:t>按照国家政策规定</w:t>
            </w:r>
            <w:r>
              <w:rPr>
                <w:rFonts w:hint="eastAsia" w:ascii="仿宋_GB2312" w:hAnsi="仿宋_GB2312" w:eastAsia="仿宋_GB2312" w:cs="仿宋_GB2312"/>
                <w:kern w:val="0"/>
                <w:sz w:val="20"/>
                <w:szCs w:val="20"/>
                <w:lang w:val="en-US" w:eastAsia="zh-CN"/>
              </w:rPr>
              <w:t>为在职在编职工缴纳</w:t>
            </w:r>
            <w:r>
              <w:rPr>
                <w:rFonts w:hint="eastAsia" w:ascii="仿宋_GB2312" w:hAnsi="仿宋_GB2312" w:eastAsia="仿宋_GB2312" w:cs="仿宋_GB2312"/>
                <w:kern w:val="0"/>
                <w:sz w:val="20"/>
                <w:szCs w:val="20"/>
              </w:rPr>
              <w:t>的住房公积金支出</w:t>
            </w:r>
          </w:p>
        </w:tc>
        <w:tc>
          <w:tcPr>
            <w:tcW w:w="1890"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3BA6AB6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0"/>
                <w:szCs w:val="20"/>
                <w:highlight w:val="none"/>
                <w:u w:val="none"/>
                <w:lang w:val="en-US" w:eastAsia="zh-CN"/>
              </w:rPr>
            </w:pPr>
            <w:r>
              <w:rPr>
                <w:rFonts w:hint="eastAsia" w:ascii="仿宋_GB2312" w:hAnsi="仿宋_GB2312" w:eastAsia="仿宋_GB2312" w:cs="仿宋_GB2312"/>
                <w:kern w:val="0"/>
                <w:sz w:val="20"/>
                <w:szCs w:val="20"/>
                <w:lang w:val="en-US" w:eastAsia="zh-CN"/>
              </w:rPr>
              <w:t>本年度在职在编职工有增加及</w:t>
            </w:r>
            <w:r>
              <w:rPr>
                <w:rFonts w:hint="eastAsia" w:ascii="仿宋_GB2312" w:hAnsi="仿宋_GB2312" w:eastAsia="仿宋_GB2312" w:cs="仿宋_GB2312"/>
                <w:kern w:val="0"/>
                <w:sz w:val="20"/>
                <w:szCs w:val="20"/>
              </w:rPr>
              <w:t>住房</w:t>
            </w:r>
            <w:r>
              <w:rPr>
                <w:rFonts w:hint="eastAsia" w:ascii="仿宋_GB2312" w:hAnsi="仿宋_GB2312" w:eastAsia="仿宋_GB2312" w:cs="仿宋_GB2312"/>
                <w:kern w:val="0"/>
                <w:sz w:val="20"/>
                <w:szCs w:val="20"/>
                <w:lang w:val="en-US" w:eastAsia="zh-CN"/>
              </w:rPr>
              <w:t>公积金基数调整导致</w:t>
            </w:r>
          </w:p>
        </w:tc>
      </w:tr>
      <w:tr w14:paraId="4A5C70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1102"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0DD40B5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31406F0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6B40BC66">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98.81</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21901700">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100.25</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186C6ED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76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20B9C99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1890"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6810CF3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bl>
    <w:p w14:paraId="6FDBB5D9">
      <w:pPr>
        <w:jc w:val="center"/>
        <w:rPr>
          <w:rFonts w:hint="eastAsia" w:ascii="仿宋" w:hAnsi="仿宋" w:eastAsia="仿宋" w:cs="仿宋"/>
          <w:sz w:val="32"/>
          <w:szCs w:val="32"/>
          <w:highlight w:val="none"/>
        </w:rPr>
      </w:pPr>
    </w:p>
    <w:p w14:paraId="30A38954">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5715"/>
            <wp:docPr id="10"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846BF38">
      <w:pPr>
        <w:pStyle w:val="2"/>
        <w:rPr>
          <w:rFonts w:hint="eastAsia" w:ascii="仿宋" w:hAnsi="仿宋" w:eastAsia="仿宋" w:cs="仿宋"/>
          <w:sz w:val="32"/>
          <w:szCs w:val="32"/>
          <w:highlight w:val="none"/>
        </w:rPr>
      </w:pPr>
    </w:p>
    <w:p w14:paraId="0A0A1439"/>
    <w:p w14:paraId="3AC8FAA6">
      <w:pPr>
        <w:keepNext w:val="0"/>
        <w:keepLines w:val="0"/>
        <w:widowControl w:val="0"/>
        <w:numPr>
          <w:ilvl w:val="0"/>
          <w:numId w:val="2"/>
        </w:numPr>
        <w:suppressLineNumbers w:val="0"/>
        <w:spacing w:before="0" w:beforeAutospacing="0" w:after="0" w:afterAutospacing="0"/>
        <w:ind w:left="0" w:leftChars="0" w:right="0" w:rightChars="0" w:firstLine="420" w:firstLineChars="0"/>
        <w:jc w:val="left"/>
        <w:rPr>
          <w:rFonts w:hint="default" w:eastAsia="仿宋"/>
          <w:color w:val="FF0000"/>
          <w:highlight w:val="none"/>
          <w:lang w:val="en-US" w:eastAsia="zh-CN"/>
        </w:rPr>
      </w:pPr>
      <w:r>
        <w:rPr>
          <w:rFonts w:hint="eastAsia" w:ascii="仿宋" w:hAnsi="仿宋" w:eastAsia="仿宋"/>
          <w:sz w:val="32"/>
          <w:szCs w:val="32"/>
          <w:highlight w:val="none"/>
          <w:lang w:val="en-US" w:eastAsia="zh-CN"/>
        </w:rPr>
        <w:t>其他</w:t>
      </w:r>
      <w:r>
        <w:rPr>
          <w:rFonts w:hint="eastAsia" w:ascii="仿宋" w:hAnsi="仿宋" w:eastAsia="仿宋"/>
          <w:sz w:val="32"/>
          <w:szCs w:val="32"/>
          <w:highlight w:val="none"/>
        </w:rPr>
        <w:t>支出</w:t>
      </w:r>
      <w:r>
        <w:rPr>
          <w:rFonts w:ascii="仿宋" w:hAnsi="仿宋" w:eastAsia="仿宋"/>
          <w:sz w:val="32"/>
          <w:u w:color="auto"/>
        </w:rPr>
        <w:t>（</w:t>
      </w:r>
      <w:r>
        <w:rPr>
          <w:rFonts w:hint="eastAsia" w:ascii="仿宋" w:hAnsi="仿宋" w:eastAsia="仿宋"/>
          <w:sz w:val="32"/>
          <w:u w:color="auto"/>
          <w:lang w:val="en-US" w:eastAsia="zh-CN"/>
        </w:rPr>
        <w:t>229</w:t>
      </w:r>
      <w:r>
        <w:rPr>
          <w:rFonts w:hint="eastAsia" w:ascii="仿宋" w:hAnsi="仿宋" w:eastAsia="仿宋"/>
          <w:sz w:val="32"/>
          <w:szCs w:val="32"/>
          <w:highlight w:val="none"/>
        </w:rPr>
        <w:t>类）年初预算为</w:t>
      </w:r>
      <w:r>
        <w:rPr>
          <w:rFonts w:ascii="仿宋" w:hAnsi="仿宋" w:eastAsia="仿宋"/>
          <w:sz w:val="32"/>
          <w:szCs w:val="32"/>
          <w:highlight w:val="none"/>
        </w:rPr>
        <w:t>0.00</w:t>
      </w:r>
      <w:r>
        <w:rPr>
          <w:rFonts w:hint="eastAsia" w:ascii="仿宋" w:hAnsi="仿宋" w:eastAsia="仿宋"/>
          <w:sz w:val="32"/>
          <w:szCs w:val="32"/>
          <w:highlight w:val="none"/>
        </w:rPr>
        <w:t>万元，支出决算为</w:t>
      </w:r>
      <w:r>
        <w:rPr>
          <w:rFonts w:hint="eastAsia" w:ascii="仿宋" w:hAnsi="仿宋" w:eastAsia="仿宋"/>
          <w:sz w:val="32"/>
          <w:szCs w:val="32"/>
          <w:highlight w:val="none"/>
          <w:lang w:val="en-US" w:eastAsia="zh-CN"/>
        </w:rPr>
        <w:t>242.57</w:t>
      </w:r>
      <w:r>
        <w:rPr>
          <w:rFonts w:hint="eastAsia" w:ascii="仿宋" w:hAnsi="仿宋" w:eastAsia="仿宋"/>
          <w:sz w:val="32"/>
          <w:szCs w:val="32"/>
          <w:highlight w:val="none"/>
        </w:rPr>
        <w:t>万元，</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原因是：根据工作需要年中追加</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奖励性补贴的发放。</w:t>
      </w:r>
    </w:p>
    <w:p w14:paraId="2CA5CCF1">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p w14:paraId="6432C3A5">
      <w:pPr>
        <w:pStyle w:val="2"/>
        <w:rPr>
          <w:rFonts w:hint="eastAsia" w:ascii="仿宋" w:hAnsi="仿宋" w:eastAsia="仿宋"/>
          <w:sz w:val="32"/>
          <w:szCs w:val="32"/>
          <w:highlight w:val="none"/>
        </w:rPr>
      </w:pPr>
    </w:p>
    <w:p w14:paraId="5DD3F006">
      <w:pPr>
        <w:rPr>
          <w:rFonts w:hint="eastAsia"/>
        </w:rPr>
      </w:pPr>
    </w:p>
    <w:tbl>
      <w:tblPr>
        <w:tblStyle w:val="7"/>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14:paraId="189072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1A09E4C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237E33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2325A6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6470D5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240FDE6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345822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379A3D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14:paraId="1C8986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1596772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2299999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091F692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其他支出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50A0230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0.00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3F44B44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242.57</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6D6D266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242.57%</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4E740CF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_GB2312" w:hAnsi="仿宋_GB2312" w:eastAsia="仿宋_GB2312" w:cs="仿宋_GB2312"/>
                <w:kern w:val="0"/>
                <w:sz w:val="20"/>
                <w:szCs w:val="20"/>
              </w:rPr>
              <w:t>上年在职职工</w:t>
            </w:r>
            <w:r>
              <w:rPr>
                <w:rFonts w:hint="eastAsia" w:ascii="仿宋_GB2312" w:hAnsi="仿宋_GB2312" w:eastAsia="仿宋_GB2312" w:cs="仿宋_GB2312"/>
                <w:kern w:val="0"/>
                <w:sz w:val="20"/>
                <w:szCs w:val="20"/>
                <w:lang w:val="en-US" w:eastAsia="zh-CN"/>
              </w:rPr>
              <w:t>奖励性补贴</w:t>
            </w:r>
            <w:r>
              <w:rPr>
                <w:rFonts w:hint="eastAsia" w:ascii="仿宋_GB2312" w:hAnsi="仿宋_GB2312" w:eastAsia="仿宋_GB2312" w:cs="仿宋_GB2312"/>
                <w:kern w:val="0"/>
                <w:sz w:val="20"/>
                <w:szCs w:val="20"/>
              </w:rPr>
              <w:t>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7E53A8A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_GB2312" w:hAnsi="仿宋_GB2312" w:eastAsia="仿宋_GB2312" w:cs="仿宋_GB2312"/>
                <w:kern w:val="0"/>
                <w:sz w:val="20"/>
                <w:szCs w:val="20"/>
                <w:lang w:val="en-US" w:eastAsia="zh-CN"/>
              </w:rPr>
              <w:t>根据工作需要年中追加奖励性补贴的发放</w:t>
            </w:r>
          </w:p>
        </w:tc>
      </w:tr>
      <w:tr w14:paraId="7F2A5B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5D3AC31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0A2C198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3115BAC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7688C33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242.57</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264CA39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79AE11D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67D36E5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bl>
    <w:p w14:paraId="6DBA00BC">
      <w:pPr>
        <w:jc w:val="left"/>
        <w:rPr>
          <w:rFonts w:hint="eastAsia" w:ascii="仿宋" w:hAnsi="仿宋" w:eastAsia="仿宋"/>
          <w:sz w:val="32"/>
          <w:szCs w:val="32"/>
          <w:highlight w:val="none"/>
        </w:rPr>
      </w:pPr>
    </w:p>
    <w:p w14:paraId="26530C10">
      <w:pPr>
        <w:jc w:val="center"/>
        <w:rPr>
          <w:rFonts w:ascii="仿宋" w:hAnsi="仿宋" w:eastAsia="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5715"/>
            <wp:docPr id="12"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166E4CC">
      <w:pPr>
        <w:jc w:val="left"/>
        <w:rPr>
          <w:rFonts w:ascii="仿宋" w:hAnsi="仿宋" w:eastAsia="仿宋" w:cs="仿宋"/>
          <w:sz w:val="32"/>
          <w:szCs w:val="32"/>
          <w:highlight w:val="none"/>
        </w:rPr>
      </w:pPr>
      <w:r>
        <w:rPr>
          <w:rFonts w:hint="eastAsia" w:ascii="黑体" w:hAnsi="黑体" w:eastAsia="黑体" w:cs="黑体"/>
          <w:sz w:val="32"/>
          <w:szCs w:val="32"/>
          <w:highlight w:val="none"/>
        </w:rPr>
        <w:t>三、2022年度一般公共预算财政拨款基本支出决算情况说明</w:t>
      </w:r>
    </w:p>
    <w:p w14:paraId="29AA2E66">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lang w:val="en-US" w:eastAsia="zh-CN"/>
        </w:rPr>
        <w:t>我</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2022年度一般公共预算财政拨款基本支出</w:t>
      </w:r>
      <w:r>
        <w:rPr>
          <w:rFonts w:hint="eastAsia" w:ascii="仿宋" w:hAnsi="仿宋" w:eastAsia="仿宋" w:cs="仿宋"/>
          <w:sz w:val="32"/>
          <w:u w:color="auto"/>
          <w:lang w:val="en-US" w:eastAsia="zh-CN"/>
        </w:rPr>
        <w:t>1418.49</w:t>
      </w:r>
      <w:r>
        <w:rPr>
          <w:rFonts w:hint="eastAsia" w:ascii="仿宋" w:hAnsi="仿宋" w:eastAsia="仿宋" w:cs="仿宋"/>
          <w:sz w:val="32"/>
          <w:szCs w:val="32"/>
          <w:highlight w:val="none"/>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其中：人员经费支出</w:t>
      </w:r>
      <w:r>
        <w:rPr>
          <w:rFonts w:hint="eastAsia" w:ascii="仿宋" w:hAnsi="仿宋" w:eastAsia="仿宋" w:cs="仿宋"/>
          <w:sz w:val="32"/>
          <w:szCs w:val="32"/>
          <w:highlight w:val="none"/>
          <w:lang w:val="en-US" w:eastAsia="zh-CN"/>
        </w:rPr>
        <w:t>1357.02</w:t>
      </w:r>
      <w:r>
        <w:rPr>
          <w:rFonts w:hint="default" w:ascii="仿宋_GB2312" w:hAnsi="微软雅黑" w:eastAsia="仿宋_GB2312" w:cs="仿宋_GB2312"/>
          <w:i w:val="0"/>
          <w:iCs w:val="0"/>
          <w:caps w:val="0"/>
          <w:color w:val="000000"/>
          <w:spacing w:val="0"/>
          <w:sz w:val="31"/>
          <w:szCs w:val="31"/>
          <w:highlight w:val="none"/>
          <w:shd w:val="clear" w:color="auto" w:fill="FFFFFF"/>
        </w:rPr>
        <w:t>万元，公用经费支出</w:t>
      </w:r>
      <w:r>
        <w:rPr>
          <w:rFonts w:hint="eastAsia" w:ascii="仿宋" w:hAnsi="仿宋" w:eastAsia="仿宋" w:cs="仿宋"/>
          <w:sz w:val="32"/>
          <w:szCs w:val="32"/>
          <w:highlight w:val="none"/>
          <w:lang w:val="en-US" w:eastAsia="zh-CN"/>
        </w:rPr>
        <w:t>61.46</w:t>
      </w:r>
      <w:r>
        <w:rPr>
          <w:rFonts w:hint="default" w:ascii="仿宋_GB2312" w:hAnsi="微软雅黑" w:eastAsia="仿宋_GB2312" w:cs="仿宋_GB2312"/>
          <w:i w:val="0"/>
          <w:iCs w:val="0"/>
          <w:caps w:val="0"/>
          <w:color w:val="000000"/>
          <w:spacing w:val="0"/>
          <w:sz w:val="31"/>
          <w:szCs w:val="31"/>
          <w:highlight w:val="none"/>
          <w:shd w:val="clear" w:color="auto" w:fill="FFFFFF"/>
        </w:rPr>
        <w:t>万元，</w:t>
      </w:r>
      <w:r>
        <w:rPr>
          <w:rFonts w:hint="eastAsia" w:ascii="仿宋" w:hAnsi="仿宋" w:eastAsia="仿宋" w:cs="仿宋"/>
          <w:sz w:val="32"/>
          <w:szCs w:val="32"/>
          <w:highlight w:val="none"/>
        </w:rPr>
        <w:t>支出具体情况如下：</w:t>
      </w:r>
    </w:p>
    <w:p w14:paraId="1C1F135D">
      <w:pPr>
        <w:keepNext w:val="0"/>
        <w:keepLines w:val="0"/>
        <w:widowControl w:val="0"/>
        <w:numPr>
          <w:ilvl w:val="0"/>
          <w:numId w:val="3"/>
        </w:numPr>
        <w:suppressLineNumbers w:val="0"/>
        <w:spacing w:before="0" w:beforeAutospacing="0" w:after="0" w:afterAutospacing="0"/>
        <w:ind w:left="0" w:leftChars="0" w:right="0" w:firstLine="420" w:firstLineChars="0"/>
        <w:jc w:val="left"/>
        <w:rPr>
          <w:rFonts w:hint="default" w:ascii="仿宋" w:hAnsi="仿宋" w:eastAsia="仿宋" w:cs="仿宋"/>
          <w:color w:val="auto"/>
          <w:sz w:val="32"/>
          <w:szCs w:val="32"/>
          <w:highlight w:val="none"/>
          <w:lang w:val="en-US"/>
        </w:rPr>
      </w:pPr>
      <w:r>
        <w:rPr>
          <w:rFonts w:hint="eastAsia" w:ascii="仿宋" w:hAnsi="仿宋" w:eastAsia="仿宋" w:cs="仿宋"/>
          <w:sz w:val="32"/>
          <w:szCs w:val="32"/>
          <w:highlight w:val="none"/>
        </w:rPr>
        <w:t>工资福利支出</w:t>
      </w:r>
      <w:r>
        <w:rPr>
          <w:rFonts w:hint="eastAsia" w:ascii="仿宋" w:hAnsi="仿宋" w:eastAsia="仿宋" w:cs="仿宋"/>
          <w:sz w:val="32"/>
          <w:u w:color="auto"/>
          <w:lang w:val="en-US" w:eastAsia="zh-CN"/>
        </w:rPr>
        <w:t>1315.20</w:t>
      </w:r>
      <w:r>
        <w:rPr>
          <w:rFonts w:ascii="仿宋" w:hAnsi="仿宋" w:eastAsia="仿宋" w:cs="仿宋"/>
          <w:sz w:val="32"/>
          <w:u w:color="auto"/>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lang w:val="en-US" w:eastAsia="zh-CN"/>
        </w:rPr>
        <w:t>136.69</w:t>
      </w:r>
      <w:r>
        <w:rPr>
          <w:rFonts w:hint="eastAsia" w:ascii="仿宋" w:hAnsi="仿宋" w:eastAsia="仿宋" w:cs="仿宋"/>
          <w:sz w:val="32"/>
          <w:szCs w:val="32"/>
          <w:highlight w:val="none"/>
        </w:rPr>
        <w:t>%</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本年度在职在编职工的增加、工资正常调资及职工养老、公积金基数调整等导致的。</w:t>
      </w:r>
    </w:p>
    <w:p w14:paraId="67EAB645">
      <w:pPr>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30101基本工资372.57万元，30102津贴补贴287.96万元，30103奖金341.13万元，30106伙食补助费15.30万元，30107绩效工资3.03万元，30108机关事业单位基本养老保险缴费132.32万元，30110职工基本医疗保险缴费54.14万元，30112其他社会保障缴费6.81万元，30114医疗费0.5万元，30113住房公积金100.25万元，30199其他工资福利支出1.19万元。</w:t>
      </w:r>
    </w:p>
    <w:p w14:paraId="4C52300F">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16"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4B5885F">
      <w:pPr>
        <w:jc w:val="both"/>
        <w:rPr>
          <w:rFonts w:hint="eastAsia" w:ascii="仿宋" w:hAnsi="仿宋" w:eastAsia="仿宋" w:cs="仿宋"/>
          <w:sz w:val="32"/>
          <w:szCs w:val="32"/>
          <w:highlight w:val="none"/>
        </w:rPr>
      </w:pPr>
    </w:p>
    <w:p w14:paraId="71EF09FC">
      <w:pPr>
        <w:keepNext w:val="0"/>
        <w:keepLines w:val="0"/>
        <w:widowControl w:val="0"/>
        <w:numPr>
          <w:ilvl w:val="0"/>
          <w:numId w:val="3"/>
        </w:numPr>
        <w:suppressLineNumbers w:val="0"/>
        <w:spacing w:before="0" w:beforeAutospacing="0" w:after="0" w:afterAutospacing="0"/>
        <w:ind w:left="0" w:leftChars="0" w:right="0" w:firstLine="420" w:firstLineChars="0"/>
        <w:jc w:val="left"/>
        <w:rPr>
          <w:rFonts w:hint="default" w:ascii="仿宋" w:hAnsi="仿宋" w:eastAsia="仿宋" w:cs="仿宋"/>
          <w:color w:val="000000" w:themeColor="text1"/>
          <w:kern w:val="2"/>
          <w:sz w:val="32"/>
          <w:szCs w:val="32"/>
          <w:highlight w:val="none"/>
          <w:lang w:val="en-US" w:eastAsia="zh-CN" w:bidi="ar"/>
          <w14:textFill>
            <w14:solidFill>
              <w14:schemeClr w14:val="tx1"/>
            </w14:solidFill>
          </w14:textFill>
        </w:rPr>
      </w:pPr>
      <w:r>
        <w:rPr>
          <w:rFonts w:hint="eastAsia" w:ascii="仿宋" w:hAnsi="仿宋" w:eastAsia="仿宋" w:cs="仿宋"/>
          <w:sz w:val="32"/>
          <w:szCs w:val="32"/>
          <w:highlight w:val="none"/>
        </w:rPr>
        <w:t>商品和服务支出</w:t>
      </w:r>
      <w:r>
        <w:rPr>
          <w:rFonts w:hint="eastAsia" w:ascii="仿宋" w:hAnsi="仿宋" w:eastAsia="仿宋" w:cs="仿宋"/>
          <w:sz w:val="32"/>
          <w:u w:color="auto"/>
          <w:lang w:val="en-US" w:eastAsia="zh-CN"/>
        </w:rPr>
        <w:t>61.46</w:t>
      </w:r>
      <w:r>
        <w:rPr>
          <w:rFonts w:ascii="仿宋" w:hAnsi="仿宋" w:eastAsia="仿宋" w:cs="仿宋"/>
          <w:sz w:val="32"/>
          <w:u w:color="auto"/>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lang w:val="en-US" w:eastAsia="zh-CN"/>
        </w:rPr>
        <w:t>104.22</w:t>
      </w:r>
      <w:r>
        <w:rPr>
          <w:rFonts w:hint="eastAsia" w:ascii="仿宋" w:hAnsi="仿宋" w:eastAsia="仿宋" w:cs="仿宋"/>
          <w:sz w:val="32"/>
          <w:szCs w:val="32"/>
          <w:highlight w:val="none"/>
        </w:rPr>
        <w:t>%</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主要原因是：因工作需要，年中追加经费。</w:t>
      </w:r>
    </w:p>
    <w:p w14:paraId="27927A57">
      <w:pPr>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30201办公费4.20万元，30202印刷费0.44万元，30205水费0.07万元，30206电费0.11万元，30207邮电费11.87万元，30209物业管理费0.69万元，30211差旅费6.37万元，30218专用材料费0.44万元，30226劳务费3.22万元，30228工会经费17.64万元，30231公务用车运行维护费14.32万元，30239其他交通费1.78万元，30299其他商品和服务支出0.32万元。</w:t>
      </w:r>
    </w:p>
    <w:p w14:paraId="4EA4558B">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2911475"/>
            <wp:effectExtent l="4445" t="4445" r="16510" b="17780"/>
            <wp:docPr id="18"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810FB4C">
      <w:pPr>
        <w:keepNext w:val="0"/>
        <w:keepLines w:val="0"/>
        <w:pageBreakBefore w:val="0"/>
        <w:widowControl w:val="0"/>
        <w:numPr>
          <w:ilvl w:val="0"/>
          <w:numId w:val="3"/>
        </w:numPr>
        <w:suppressLineNumbers w:val="0"/>
        <w:kinsoku/>
        <w:wordWrap/>
        <w:overflowPunct/>
        <w:topLinePunct w:val="0"/>
        <w:autoSpaceDE/>
        <w:autoSpaceDN/>
        <w:bidi w:val="0"/>
        <w:adjustRightInd/>
        <w:snapToGrid/>
        <w:spacing w:before="0" w:beforeAutospacing="0" w:after="0" w:afterAutospacing="0" w:line="600" w:lineRule="exact"/>
        <w:ind w:left="0" w:leftChars="0" w:right="0" w:firstLine="420" w:firstLineChars="0"/>
        <w:jc w:val="left"/>
        <w:textAlignment w:val="auto"/>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pPr>
      <w:r>
        <w:rPr>
          <w:rFonts w:hint="eastAsia" w:ascii="仿宋" w:hAnsi="仿宋" w:eastAsia="仿宋" w:cs="仿宋"/>
          <w:sz w:val="32"/>
          <w:szCs w:val="32"/>
          <w:highlight w:val="none"/>
        </w:rPr>
        <w:t>对个人和家庭的补助</w:t>
      </w:r>
      <w:r>
        <w:rPr>
          <w:rFonts w:hint="eastAsia" w:ascii="仿宋" w:hAnsi="仿宋" w:eastAsia="仿宋" w:cs="仿宋"/>
          <w:sz w:val="32"/>
          <w:u w:color="auto"/>
          <w:lang w:val="en-US" w:eastAsia="zh-CN"/>
        </w:rPr>
        <w:t>41.83</w:t>
      </w:r>
      <w:r>
        <w:rPr>
          <w:rFonts w:ascii="仿宋" w:hAnsi="仿宋" w:eastAsia="仿宋" w:cs="仿宋"/>
          <w:sz w:val="32"/>
          <w:u w:color="auto"/>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lang w:val="en-US" w:eastAsia="zh-CN"/>
        </w:rPr>
        <w:t>344.28</w:t>
      </w:r>
      <w:r>
        <w:rPr>
          <w:rFonts w:hint="eastAsia" w:ascii="仿宋" w:hAnsi="仿宋" w:eastAsia="仿宋" w:cs="仿宋"/>
          <w:sz w:val="32"/>
          <w:szCs w:val="32"/>
          <w:highlight w:val="none"/>
        </w:rPr>
        <w:t>%</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主要原因是：本年度有一名病逝的退休人员，增加了抚恤金导致。</w:t>
      </w:r>
    </w:p>
    <w:p w14:paraId="10D601CC">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30304抚恤金26.76万元，30305生活补助13.74万元，30309奖励金0.04万元，30399其他对个人和家庭的补助1.29万元。</w:t>
      </w:r>
    </w:p>
    <w:p w14:paraId="4BD54B2C">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044190"/>
            <wp:effectExtent l="4445" t="4445" r="16510" b="18415"/>
            <wp:docPr id="20"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F6AC440">
      <w:pPr>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四</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债务利息及费用支出</w:t>
      </w:r>
      <w:r>
        <w:rPr>
          <w:rFonts w:ascii="仿宋" w:hAnsi="仿宋" w:eastAsia="仿宋" w:cs="仿宋"/>
          <w:sz w:val="32"/>
          <w:u w:color="auto"/>
        </w:rPr>
        <w:t>0.00万元，</w:t>
      </w:r>
      <w:r>
        <w:rPr>
          <w:rFonts w:hint="eastAsia" w:ascii="仿宋" w:hAnsi="仿宋" w:eastAsia="仿宋" w:cs="仿宋"/>
          <w:sz w:val="32"/>
          <w:u w:color="auto"/>
          <w:lang w:val="en-US" w:eastAsia="zh-CN"/>
        </w:rPr>
        <w:t>较</w:t>
      </w:r>
      <w:r>
        <w:rPr>
          <w:rFonts w:hint="default" w:ascii="仿宋_GB2312" w:hAnsi="微软雅黑" w:eastAsia="仿宋_GB2312" w:cs="仿宋_GB2312"/>
          <w:i w:val="0"/>
          <w:iCs w:val="0"/>
          <w:caps w:val="0"/>
          <w:color w:val="000000"/>
          <w:spacing w:val="0"/>
          <w:sz w:val="31"/>
          <w:szCs w:val="31"/>
          <w:highlight w:val="none"/>
          <w:shd w:val="clear" w:color="auto" w:fill="FFFFFF"/>
        </w:rPr>
        <w:t>年初预算</w:t>
      </w:r>
      <w:r>
        <w:rPr>
          <w:rFonts w:hint="eastAsia" w:ascii="仿宋_GB2312" w:hAnsi="微软雅黑" w:eastAsia="仿宋_GB2312" w:cs="仿宋_GB2312"/>
          <w:i w:val="0"/>
          <w:iCs w:val="0"/>
          <w:caps w:val="0"/>
          <w:color w:val="000000"/>
          <w:spacing w:val="0"/>
          <w:sz w:val="31"/>
          <w:szCs w:val="31"/>
          <w:highlight w:val="none"/>
          <w:shd w:val="clear" w:color="auto" w:fill="FFFFFF"/>
          <w:lang w:val="en-US" w:eastAsia="zh-CN"/>
        </w:rPr>
        <w:t>无变化。</w:t>
      </w:r>
    </w:p>
    <w:p w14:paraId="1DE96093">
      <w:pPr>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五</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资本性支出</w:t>
      </w:r>
      <w:r>
        <w:rPr>
          <w:rFonts w:ascii="仿宋" w:hAnsi="仿宋" w:eastAsia="仿宋" w:cs="仿宋"/>
          <w:sz w:val="32"/>
          <w:u w:color="auto"/>
        </w:rPr>
        <w:t>0.00万元，</w:t>
      </w:r>
      <w:r>
        <w:rPr>
          <w:rFonts w:hint="eastAsia" w:ascii="仿宋" w:hAnsi="仿宋" w:eastAsia="仿宋" w:cs="仿宋"/>
          <w:sz w:val="32"/>
          <w:u w:color="auto"/>
          <w:lang w:val="en-US" w:eastAsia="zh-CN"/>
        </w:rPr>
        <w:t>较</w:t>
      </w:r>
      <w:r>
        <w:rPr>
          <w:rFonts w:hint="default" w:ascii="仿宋_GB2312" w:hAnsi="微软雅黑" w:eastAsia="仿宋_GB2312" w:cs="仿宋_GB2312"/>
          <w:i w:val="0"/>
          <w:iCs w:val="0"/>
          <w:caps w:val="0"/>
          <w:color w:val="000000"/>
          <w:spacing w:val="0"/>
          <w:sz w:val="31"/>
          <w:szCs w:val="31"/>
          <w:highlight w:val="none"/>
          <w:shd w:val="clear" w:color="auto" w:fill="FFFFFF"/>
        </w:rPr>
        <w:t>年初预算</w:t>
      </w:r>
      <w:r>
        <w:rPr>
          <w:rFonts w:hint="eastAsia" w:ascii="仿宋_GB2312" w:hAnsi="微软雅黑" w:eastAsia="仿宋_GB2312" w:cs="仿宋_GB2312"/>
          <w:i w:val="0"/>
          <w:iCs w:val="0"/>
          <w:caps w:val="0"/>
          <w:color w:val="000000"/>
          <w:spacing w:val="0"/>
          <w:sz w:val="31"/>
          <w:szCs w:val="31"/>
          <w:highlight w:val="none"/>
          <w:shd w:val="clear" w:color="auto" w:fill="FFFFFF"/>
          <w:lang w:val="en-US" w:eastAsia="zh-CN"/>
        </w:rPr>
        <w:t>无变化。</w:t>
      </w:r>
    </w:p>
    <w:p w14:paraId="558E122D">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六</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其他支出</w:t>
      </w:r>
      <w:r>
        <w:rPr>
          <w:rFonts w:ascii="仿宋" w:hAnsi="仿宋" w:eastAsia="仿宋" w:cs="仿宋"/>
          <w:sz w:val="32"/>
          <w:u w:color="auto"/>
        </w:rPr>
        <w:t>0.00万元，</w:t>
      </w:r>
      <w:r>
        <w:rPr>
          <w:rFonts w:hint="eastAsia" w:ascii="仿宋" w:hAnsi="仿宋" w:eastAsia="仿宋" w:cs="仿宋"/>
          <w:sz w:val="32"/>
          <w:u w:color="auto"/>
          <w:lang w:val="en-US" w:eastAsia="zh-CN"/>
        </w:rPr>
        <w:t>较</w:t>
      </w:r>
      <w:r>
        <w:rPr>
          <w:rFonts w:hint="default" w:ascii="仿宋_GB2312" w:hAnsi="微软雅黑" w:eastAsia="仿宋_GB2312" w:cs="仿宋_GB2312"/>
          <w:i w:val="0"/>
          <w:iCs w:val="0"/>
          <w:caps w:val="0"/>
          <w:color w:val="000000"/>
          <w:spacing w:val="0"/>
          <w:sz w:val="31"/>
          <w:szCs w:val="31"/>
          <w:highlight w:val="none"/>
          <w:shd w:val="clear" w:color="auto" w:fill="FFFFFF"/>
        </w:rPr>
        <w:t>年初预算</w:t>
      </w:r>
      <w:r>
        <w:rPr>
          <w:rFonts w:hint="eastAsia" w:ascii="仿宋_GB2312" w:hAnsi="微软雅黑" w:eastAsia="仿宋_GB2312" w:cs="仿宋_GB2312"/>
          <w:i w:val="0"/>
          <w:iCs w:val="0"/>
          <w:caps w:val="0"/>
          <w:color w:val="000000"/>
          <w:spacing w:val="0"/>
          <w:sz w:val="31"/>
          <w:szCs w:val="31"/>
          <w:highlight w:val="none"/>
          <w:shd w:val="clear" w:color="auto" w:fill="FFFFFF"/>
          <w:lang w:val="en-US" w:eastAsia="zh-CN"/>
        </w:rPr>
        <w:t>无变化。</w:t>
      </w:r>
    </w:p>
    <w:p w14:paraId="1E5FBEB6">
      <w:pPr>
        <w:jc w:val="left"/>
        <w:rPr>
          <w:rFonts w:ascii="黑体" w:hAnsi="黑体" w:eastAsia="黑体" w:cs="黑体"/>
          <w:sz w:val="32"/>
          <w:szCs w:val="32"/>
          <w:highlight w:val="none"/>
        </w:rPr>
      </w:pPr>
      <w:r>
        <w:rPr>
          <w:rFonts w:hint="eastAsia" w:ascii="黑体" w:hAnsi="黑体" w:eastAsia="黑体" w:cs="黑体"/>
          <w:sz w:val="32"/>
          <w:szCs w:val="32"/>
          <w:highlight w:val="none"/>
        </w:rPr>
        <w:t>四、2022年度政府性基金支出决算情况</w:t>
      </w:r>
    </w:p>
    <w:p w14:paraId="70101DD8">
      <w:pPr>
        <w:ind w:firstLine="640" w:firstLineChars="200"/>
        <w:jc w:val="left"/>
        <w:rPr>
          <w:rFonts w:hint="eastAsia" w:ascii="仿宋" w:hAnsi="仿宋" w:eastAsia="仿宋" w:cs="仿宋"/>
          <w:color w:val="auto"/>
          <w:sz w:val="32"/>
          <w:szCs w:val="32"/>
          <w:highlight w:val="none"/>
        </w:rPr>
      </w:pPr>
      <w:r>
        <w:rPr>
          <w:rFonts w:hint="eastAsia" w:ascii="仿宋_GB2312" w:hAnsi="Times New Roman" w:eastAsia="仿宋_GB2312" w:cs="Times New Roman"/>
          <w:color w:val="auto"/>
          <w:sz w:val="32"/>
          <w:szCs w:val="32"/>
          <w:lang w:val="en-US" w:eastAsia="zh-CN"/>
        </w:rPr>
        <w:t>我单位</w:t>
      </w:r>
      <w:r>
        <w:rPr>
          <w:rFonts w:ascii="仿宋_GB2312" w:hAnsi="仿宋_GB2312" w:eastAsia="仿宋_GB2312" w:cs="仿宋_GB2312"/>
          <w:color w:val="auto"/>
          <w:sz w:val="32"/>
          <w:u w:color="auto"/>
        </w:rPr>
        <w:t>没有政府性基金收入，也没有政府性基金收入安排的支出</w:t>
      </w:r>
      <w:r>
        <w:rPr>
          <w:rFonts w:hint="eastAsia" w:ascii="仿宋_GB2312" w:hAnsi="Times New Roman" w:eastAsia="仿宋_GB2312" w:cs="Times New Roman"/>
          <w:color w:val="auto"/>
          <w:sz w:val="32"/>
          <w:szCs w:val="32"/>
          <w:lang w:eastAsia="zh-CN"/>
        </w:rPr>
        <w:t>。</w:t>
      </w:r>
      <w:r>
        <w:rPr>
          <w:rFonts w:hint="eastAsia" w:ascii="仿宋_GB2312" w:hAnsi="Times New Roman" w:eastAsia="仿宋_GB2312" w:cs="Times New Roman"/>
          <w:color w:val="auto"/>
          <w:sz w:val="32"/>
          <w:szCs w:val="32"/>
        </w:rPr>
        <w:t>故本段落无表述。</w:t>
      </w:r>
    </w:p>
    <w:p w14:paraId="750A162F">
      <w:pPr>
        <w:jc w:val="left"/>
        <w:rPr>
          <w:rFonts w:ascii="仿宋" w:hAnsi="仿宋" w:eastAsia="仿宋" w:cs="仿宋"/>
          <w:sz w:val="32"/>
          <w:szCs w:val="32"/>
          <w:highlight w:val="none"/>
        </w:rPr>
      </w:pPr>
      <w:r>
        <w:rPr>
          <w:rFonts w:hint="eastAsia" w:ascii="黑体" w:hAnsi="黑体" w:eastAsia="黑体" w:cs="黑体"/>
          <w:sz w:val="32"/>
          <w:szCs w:val="32"/>
          <w:highlight w:val="none"/>
        </w:rPr>
        <w:t>五、2022年度国有资本经营预算支出决算情况</w:t>
      </w:r>
    </w:p>
    <w:p w14:paraId="0A35410E">
      <w:pPr>
        <w:ind w:firstLine="640" w:firstLineChars="200"/>
        <w:jc w:val="left"/>
        <w:rPr>
          <w:rFonts w:hint="eastAsia" w:ascii="仿宋" w:hAnsi="仿宋" w:eastAsia="仿宋" w:cs="仿宋"/>
          <w:color w:val="auto"/>
          <w:sz w:val="32"/>
          <w:szCs w:val="32"/>
          <w:highlight w:val="none"/>
        </w:rPr>
      </w:pPr>
      <w:bookmarkStart w:id="5" w:name="PO_part3A5B1C1DiffReason1"/>
      <w:r>
        <w:rPr>
          <w:rFonts w:hint="eastAsia" w:ascii="仿宋_GB2312" w:hAnsi="Times New Roman" w:eastAsia="仿宋_GB2312" w:cs="Times New Roman"/>
          <w:color w:val="auto"/>
          <w:sz w:val="32"/>
          <w:szCs w:val="32"/>
          <w:lang w:val="en-US" w:eastAsia="zh-CN"/>
        </w:rPr>
        <w:t>我单位</w:t>
      </w:r>
      <w:r>
        <w:rPr>
          <w:rFonts w:ascii="仿宋_GB2312" w:hAnsi="仿宋_GB2312" w:eastAsia="仿宋_GB2312" w:cs="仿宋_GB2312"/>
          <w:color w:val="auto"/>
          <w:sz w:val="32"/>
          <w:u w:color="auto"/>
        </w:rPr>
        <w:t>没有国有资本经营预算收入，也没有国有资本经营预算收入</w:t>
      </w:r>
      <w:r>
        <w:rPr>
          <w:rFonts w:hint="eastAsia" w:ascii="仿宋_GB2312" w:hAnsi="Times New Roman" w:eastAsia="仿宋_GB2312" w:cs="Times New Roman"/>
          <w:color w:val="auto"/>
          <w:sz w:val="32"/>
          <w:szCs w:val="32"/>
          <w:lang w:eastAsia="zh-CN"/>
        </w:rPr>
        <w:t>。</w:t>
      </w:r>
      <w:r>
        <w:rPr>
          <w:rFonts w:hint="eastAsia" w:ascii="仿宋_GB2312" w:hAnsi="Times New Roman" w:eastAsia="仿宋_GB2312" w:cs="Times New Roman"/>
          <w:color w:val="auto"/>
          <w:sz w:val="32"/>
          <w:szCs w:val="32"/>
        </w:rPr>
        <w:t>安排的支出，故本段落无表述。</w:t>
      </w:r>
      <w:bookmarkEnd w:id="5"/>
    </w:p>
    <w:p w14:paraId="4A879861">
      <w:pPr>
        <w:jc w:val="left"/>
        <w:rPr>
          <w:rFonts w:ascii="仿宋" w:hAnsi="仿宋" w:eastAsia="仿宋" w:cs="仿宋"/>
          <w:sz w:val="32"/>
          <w:szCs w:val="32"/>
          <w:highlight w:val="none"/>
        </w:rPr>
      </w:pPr>
      <w:r>
        <w:rPr>
          <w:rFonts w:hint="eastAsia" w:ascii="黑体" w:hAnsi="黑体" w:eastAsia="黑体" w:cs="黑体"/>
          <w:sz w:val="32"/>
          <w:szCs w:val="32"/>
          <w:highlight w:val="none"/>
        </w:rPr>
        <w:t>六、一般公共预算财政拨款安排的“三公”经费支出决算情况说明</w:t>
      </w:r>
    </w:p>
    <w:p w14:paraId="06C920F7">
      <w:pPr>
        <w:autoSpaceDE w:val="0"/>
        <w:autoSpaceDN w:val="0"/>
        <w:adjustRightInd w:val="0"/>
        <w:spacing w:line="560" w:lineRule="exact"/>
        <w:ind w:firstLine="640" w:firstLineChars="200"/>
        <w:rPr>
          <w:rFonts w:hint="eastAsia" w:ascii="仿宋" w:hAnsi="仿宋" w:eastAsia="仿宋" w:cs="仿宋"/>
          <w:color w:val="FF0000"/>
          <w:sz w:val="32"/>
          <w:szCs w:val="32"/>
        </w:rPr>
      </w:pPr>
      <w:r>
        <w:rPr>
          <w:rFonts w:hint="eastAsia" w:ascii="仿宋" w:hAnsi="仿宋" w:eastAsia="仿宋" w:cs="仿宋"/>
          <w:sz w:val="32"/>
          <w:szCs w:val="32"/>
          <w:highlight w:val="none"/>
        </w:rPr>
        <w:t>2022年度一般公共预算财政拨款安排的“三公”经费支出</w:t>
      </w:r>
      <w:r>
        <w:rPr>
          <w:rFonts w:hint="eastAsia" w:ascii="仿宋" w:hAnsi="仿宋" w:eastAsia="仿宋" w:cs="仿宋"/>
          <w:sz w:val="32"/>
          <w:szCs w:val="32"/>
          <w:highlight w:val="none"/>
          <w:lang w:val="en-US" w:eastAsia="zh-CN"/>
        </w:rPr>
        <w:t>49.07</w:t>
      </w:r>
      <w:r>
        <w:rPr>
          <w:rFonts w:hint="eastAsia" w:ascii="仿宋" w:hAnsi="仿宋" w:eastAsia="仿宋" w:cs="仿宋"/>
          <w:sz w:val="32"/>
          <w:szCs w:val="32"/>
          <w:highlight w:val="none"/>
        </w:rPr>
        <w:t>万元，完成年初预算的</w:t>
      </w:r>
      <w:r>
        <w:rPr>
          <w:rFonts w:hint="eastAsia" w:ascii="仿宋" w:hAnsi="仿宋" w:eastAsia="仿宋" w:cs="仿宋"/>
          <w:sz w:val="32"/>
          <w:szCs w:val="32"/>
          <w:highlight w:val="none"/>
          <w:lang w:val="en-US" w:eastAsia="zh-CN"/>
        </w:rPr>
        <w:t>100</w:t>
      </w:r>
      <w:r>
        <w:rPr>
          <w:rFonts w:ascii="仿宋" w:hAnsi="仿宋" w:eastAsia="仿宋" w:cs="仿宋"/>
          <w:sz w:val="32"/>
          <w:szCs w:val="32"/>
          <w:highlight w:val="none"/>
        </w:rPr>
        <w:t>%</w:t>
      </w:r>
      <w:r>
        <w:rPr>
          <w:rFonts w:hint="eastAsia" w:ascii="仿宋" w:hAnsi="仿宋" w:eastAsia="仿宋" w:cs="仿宋"/>
          <w:sz w:val="32"/>
          <w:szCs w:val="32"/>
          <w:highlight w:val="none"/>
        </w:rPr>
        <w:t>，比上年</w:t>
      </w:r>
      <w:r>
        <w:rPr>
          <w:rFonts w:ascii="仿宋" w:hAnsi="仿宋" w:eastAsia="仿宋" w:cs="仿宋"/>
          <w:sz w:val="32"/>
          <w:szCs w:val="32"/>
          <w:highlight w:val="none"/>
        </w:rPr>
        <w:t>增加</w:t>
      </w:r>
      <w:r>
        <w:rPr>
          <w:rFonts w:hint="eastAsia" w:ascii="仿宋" w:hAnsi="仿宋" w:eastAsia="仿宋" w:cs="仿宋"/>
          <w:sz w:val="32"/>
          <w:szCs w:val="32"/>
          <w:highlight w:val="none"/>
          <w:lang w:val="en-US" w:eastAsia="zh-CN"/>
        </w:rPr>
        <w:t>13.69</w:t>
      </w:r>
      <w:r>
        <w:rPr>
          <w:rFonts w:hint="eastAsia" w:ascii="仿宋" w:hAnsi="仿宋" w:eastAsia="仿宋" w:cs="仿宋"/>
          <w:sz w:val="32"/>
          <w:szCs w:val="32"/>
          <w:highlight w:val="none"/>
        </w:rPr>
        <w:t>万元，</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_GB2312" w:hAnsi="仿宋_GB2312" w:eastAsia="仿宋_GB2312" w:cs="仿宋_GB2312"/>
          <w:bCs/>
          <w:spacing w:val="6"/>
          <w:kern w:val="0"/>
          <w:sz w:val="32"/>
          <w:szCs w:val="32"/>
        </w:rPr>
        <w:t>本年</w:t>
      </w:r>
      <w:r>
        <w:rPr>
          <w:rFonts w:hint="eastAsia" w:ascii="仿宋_GB2312" w:hAnsi="仿宋_GB2312" w:eastAsia="仿宋_GB2312" w:cs="仿宋_GB2312"/>
          <w:bCs/>
          <w:spacing w:val="6"/>
          <w:kern w:val="0"/>
          <w:sz w:val="32"/>
          <w:szCs w:val="32"/>
          <w:lang w:val="en-US" w:eastAsia="zh-CN"/>
        </w:rPr>
        <w:t>度</w:t>
      </w:r>
      <w:r>
        <w:rPr>
          <w:rFonts w:hint="eastAsia" w:ascii="仿宋_GB2312" w:hAnsi="仿宋_GB2312" w:eastAsia="仿宋_GB2312" w:cs="仿宋_GB2312"/>
          <w:bCs/>
          <w:spacing w:val="6"/>
          <w:kern w:val="0"/>
          <w:sz w:val="32"/>
          <w:szCs w:val="32"/>
        </w:rPr>
        <w:t>更新购置</w:t>
      </w:r>
      <w:r>
        <w:rPr>
          <w:rFonts w:hint="eastAsia" w:ascii="仿宋_GB2312" w:hAnsi="仿宋_GB2312" w:eastAsia="仿宋_GB2312" w:cs="仿宋_GB2312"/>
          <w:bCs/>
          <w:spacing w:val="6"/>
          <w:kern w:val="0"/>
          <w:sz w:val="32"/>
          <w:szCs w:val="32"/>
          <w:lang w:val="en-US" w:eastAsia="zh-CN"/>
        </w:rPr>
        <w:t>了一辆混合动力新能源车</w:t>
      </w:r>
      <w:r>
        <w:rPr>
          <w:rFonts w:hint="eastAsia" w:ascii="仿宋_GB2312" w:hAnsi="仿宋_GB2312" w:eastAsia="仿宋_GB2312" w:cs="仿宋_GB2312"/>
          <w:bCs/>
          <w:spacing w:val="6"/>
          <w:kern w:val="0"/>
          <w:sz w:val="32"/>
          <w:szCs w:val="32"/>
        </w:rPr>
        <w:t>。</w:t>
      </w:r>
    </w:p>
    <w:p w14:paraId="23DB7875">
      <w:pPr>
        <w:keepNext w:val="0"/>
        <w:keepLines w:val="0"/>
        <w:widowControl w:val="0"/>
        <w:suppressLineNumbers w:val="0"/>
        <w:spacing w:before="0" w:beforeAutospacing="0" w:after="0" w:afterAutospacing="0"/>
        <w:ind w:right="0"/>
        <w:jc w:val="left"/>
        <w:rPr>
          <w:rFonts w:ascii="仿宋" w:hAnsi="仿宋" w:eastAsia="仿宋" w:cs="仿宋"/>
          <w:sz w:val="32"/>
          <w:szCs w:val="32"/>
          <w:highlight w:val="none"/>
        </w:rPr>
      </w:pPr>
      <w:r>
        <w:rPr>
          <w:rFonts w:hint="eastAsia" w:ascii="仿宋" w:hAnsi="仿宋" w:eastAsia="仿宋" w:cs="仿宋"/>
          <w:color w:val="000000" w:themeColor="text1"/>
          <w:sz w:val="32"/>
          <w:szCs w:val="32"/>
          <w:highlight w:val="none"/>
          <w14:textFill>
            <w14:solidFill>
              <w14:schemeClr w14:val="tx1"/>
            </w14:solidFill>
          </w14:textFill>
        </w:rPr>
        <w:t>其中：因公出国（境）费支出决算</w:t>
      </w:r>
      <w:r>
        <w:rPr>
          <w:rFonts w:ascii="仿宋" w:hAnsi="仿宋" w:eastAsia="仿宋" w:cs="仿宋"/>
          <w:color w:val="000000" w:themeColor="text1"/>
          <w:sz w:val="32"/>
          <w:szCs w:val="32"/>
          <w:highlight w:val="none"/>
          <w14:textFill>
            <w14:solidFill>
              <w14:schemeClr w14:val="tx1"/>
            </w14:solidFill>
          </w14:textFill>
        </w:rPr>
        <w:t>0.00</w:t>
      </w:r>
      <w:r>
        <w:rPr>
          <w:rFonts w:hint="eastAsia" w:ascii="仿宋" w:hAnsi="仿宋" w:eastAsia="仿宋" w:cs="仿宋"/>
          <w:sz w:val="32"/>
          <w:szCs w:val="32"/>
          <w:highlight w:val="none"/>
        </w:rPr>
        <w:t>万元，公务用车购置及运行费支出决算</w:t>
      </w:r>
      <w:r>
        <w:rPr>
          <w:rFonts w:hint="eastAsia" w:ascii="仿宋" w:hAnsi="仿宋" w:eastAsia="仿宋" w:cs="仿宋"/>
          <w:sz w:val="32"/>
          <w:szCs w:val="32"/>
          <w:highlight w:val="none"/>
          <w:lang w:val="en-US" w:eastAsia="zh-CN"/>
        </w:rPr>
        <w:t>45.04</w:t>
      </w:r>
      <w:r>
        <w:rPr>
          <w:rFonts w:hint="eastAsia" w:ascii="仿宋" w:hAnsi="仿宋" w:eastAsia="仿宋" w:cs="仿宋"/>
          <w:sz w:val="32"/>
          <w:szCs w:val="32"/>
          <w:highlight w:val="none"/>
        </w:rPr>
        <w:t>万元，公务接待费支出决算</w:t>
      </w:r>
      <w:r>
        <w:rPr>
          <w:rFonts w:hint="eastAsia" w:ascii="仿宋" w:hAnsi="仿宋" w:eastAsia="仿宋" w:cs="仿宋"/>
          <w:sz w:val="32"/>
          <w:szCs w:val="32"/>
          <w:highlight w:val="none"/>
          <w:lang w:val="en-US" w:eastAsia="zh-CN"/>
        </w:rPr>
        <w:t>4.03</w:t>
      </w:r>
      <w:r>
        <w:rPr>
          <w:rFonts w:hint="eastAsia" w:ascii="仿宋" w:hAnsi="仿宋" w:eastAsia="仿宋" w:cs="仿宋"/>
          <w:sz w:val="32"/>
          <w:szCs w:val="32"/>
          <w:highlight w:val="none"/>
        </w:rPr>
        <w:t>万元。</w:t>
      </w:r>
    </w:p>
    <w:p w14:paraId="305F539B">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具体情况如下：</w:t>
      </w:r>
    </w:p>
    <w:p w14:paraId="4ABF1B83">
      <w:pPr>
        <w:numPr>
          <w:ilvl w:val="0"/>
          <w:numId w:val="4"/>
        </w:numPr>
        <w:ind w:firstLine="640" w:firstLineChars="200"/>
        <w:jc w:val="left"/>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因公出国（境）费支出</w:t>
      </w:r>
      <w:r>
        <w:rPr>
          <w:rFonts w:ascii="仿宋" w:hAnsi="仿宋" w:eastAsia="仿宋" w:cs="仿宋"/>
          <w:sz w:val="32"/>
          <w:szCs w:val="32"/>
          <w:highlight w:val="none"/>
        </w:rPr>
        <w:t>0.00</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w:t>
      </w:r>
    </w:p>
    <w:p w14:paraId="75DED4C0">
      <w:pPr>
        <w:autoSpaceDE w:val="0"/>
        <w:autoSpaceDN w:val="0"/>
        <w:adjustRightInd w:val="0"/>
        <w:spacing w:line="560" w:lineRule="exact"/>
        <w:ind w:firstLine="640" w:firstLineChars="200"/>
        <w:rPr>
          <w:rFonts w:hint="eastAsia" w:ascii="仿宋" w:hAnsi="仿宋" w:eastAsia="仿宋" w:cs="仿宋"/>
          <w:color w:val="FF0000"/>
          <w:sz w:val="32"/>
          <w:szCs w:val="32"/>
        </w:rPr>
      </w:pPr>
      <w:r>
        <w:rPr>
          <w:rFonts w:hint="eastAsia" w:ascii="仿宋" w:hAnsi="仿宋" w:eastAsia="仿宋" w:cs="仿宋"/>
          <w:sz w:val="32"/>
          <w:szCs w:val="32"/>
          <w:highlight w:val="none"/>
        </w:rPr>
        <w:t>（二）公务用车购置及运行维护费</w:t>
      </w:r>
      <w:r>
        <w:rPr>
          <w:rFonts w:hint="eastAsia" w:ascii="仿宋" w:hAnsi="仿宋" w:eastAsia="仿宋" w:cs="仿宋"/>
          <w:sz w:val="32"/>
          <w:u w:color="auto"/>
          <w:lang w:val="en-US" w:eastAsia="zh-CN"/>
        </w:rPr>
        <w:t>45.04</w:t>
      </w:r>
      <w:r>
        <w:rPr>
          <w:rFonts w:hint="eastAsia" w:ascii="仿宋" w:hAnsi="仿宋" w:eastAsia="仿宋" w:cs="仿宋"/>
          <w:sz w:val="32"/>
          <w:szCs w:val="32"/>
          <w:highlight w:val="none"/>
        </w:rPr>
        <w:t>万元。其中：公务用车购置支出</w:t>
      </w:r>
      <w:r>
        <w:rPr>
          <w:rFonts w:hint="eastAsia" w:ascii="仿宋" w:hAnsi="仿宋" w:eastAsia="仿宋" w:cs="仿宋"/>
          <w:sz w:val="32"/>
          <w:u w:color="auto"/>
          <w:lang w:val="en-US" w:eastAsia="zh-CN"/>
        </w:rPr>
        <w:t>26.46</w:t>
      </w:r>
      <w:r>
        <w:rPr>
          <w:rFonts w:hint="eastAsia" w:ascii="仿宋" w:hAnsi="仿宋" w:eastAsia="仿宋" w:cs="仿宋"/>
          <w:sz w:val="32"/>
          <w:szCs w:val="32"/>
          <w:highlight w:val="none"/>
        </w:rPr>
        <w:t>万元，完成年初预算的</w:t>
      </w:r>
      <w:r>
        <w:rPr>
          <w:rFonts w:hint="eastAsia" w:ascii="仿宋" w:hAnsi="仿宋" w:eastAsia="仿宋" w:cs="仿宋"/>
          <w:sz w:val="32"/>
          <w:szCs w:val="32"/>
          <w:highlight w:val="none"/>
          <w:lang w:val="en-US" w:eastAsia="zh-CN"/>
        </w:rPr>
        <w:t>10</w:t>
      </w:r>
      <w:r>
        <w:rPr>
          <w:rFonts w:ascii="仿宋" w:hAnsi="仿宋" w:eastAsia="仿宋" w:cs="仿宋"/>
          <w:sz w:val="32"/>
          <w:u w:color="auto"/>
        </w:rPr>
        <w:t>0%</w:t>
      </w:r>
      <w:r>
        <w:rPr>
          <w:rFonts w:hint="eastAsia" w:ascii="仿宋" w:hAnsi="仿宋" w:eastAsia="仿宋" w:cs="仿宋"/>
          <w:sz w:val="32"/>
          <w:szCs w:val="32"/>
          <w:highlight w:val="none"/>
        </w:rPr>
        <w:t>，比上年</w:t>
      </w:r>
      <w:r>
        <w:rPr>
          <w:rFonts w:ascii="仿宋" w:hAnsi="仿宋" w:eastAsia="仿宋" w:cs="仿宋"/>
          <w:sz w:val="32"/>
          <w:u w:color="auto"/>
        </w:rPr>
        <w:t>增加</w:t>
      </w:r>
      <w:r>
        <w:rPr>
          <w:rFonts w:hint="eastAsia" w:ascii="仿宋" w:hAnsi="仿宋" w:eastAsia="仿宋" w:cs="仿宋"/>
          <w:sz w:val="32"/>
          <w:u w:color="auto"/>
          <w:lang w:val="en-US" w:eastAsia="zh-CN"/>
        </w:rPr>
        <w:t>14.16</w:t>
      </w:r>
      <w:r>
        <w:rPr>
          <w:rFonts w:hint="eastAsia" w:ascii="仿宋" w:hAnsi="仿宋" w:eastAsia="仿宋" w:cs="仿宋"/>
          <w:sz w:val="32"/>
          <w:szCs w:val="32"/>
          <w:highlight w:val="none"/>
        </w:rPr>
        <w:t>万元。</w:t>
      </w:r>
      <w:r>
        <w:rPr>
          <w:rFonts w:hint="eastAsia" w:ascii="仿宋_GB2312" w:hAnsi="仿宋_GB2312" w:eastAsia="仿宋_GB2312" w:cs="仿宋_GB2312"/>
          <w:bCs/>
          <w:spacing w:val="6"/>
          <w:kern w:val="0"/>
          <w:sz w:val="32"/>
          <w:szCs w:val="32"/>
        </w:rPr>
        <w:t>主要原因是本年更新购置的车型</w:t>
      </w:r>
      <w:r>
        <w:rPr>
          <w:rFonts w:hint="eastAsia" w:ascii="仿宋_GB2312" w:hAnsi="仿宋_GB2312" w:eastAsia="仿宋_GB2312" w:cs="仿宋_GB2312"/>
          <w:bCs/>
          <w:spacing w:val="6"/>
          <w:kern w:val="0"/>
          <w:sz w:val="32"/>
          <w:szCs w:val="32"/>
          <w:lang w:val="en-US" w:eastAsia="zh-CN"/>
        </w:rPr>
        <w:t>为混合动力新能源车，与上年</w:t>
      </w:r>
      <w:r>
        <w:rPr>
          <w:rFonts w:hint="eastAsia" w:ascii="仿宋_GB2312" w:hAnsi="仿宋_GB2312" w:eastAsia="仿宋_GB2312" w:cs="仿宋_GB2312"/>
          <w:bCs/>
          <w:spacing w:val="6"/>
          <w:kern w:val="0"/>
          <w:sz w:val="32"/>
          <w:szCs w:val="32"/>
        </w:rPr>
        <w:t>不同。</w:t>
      </w:r>
    </w:p>
    <w:p w14:paraId="401CD490">
      <w:pPr>
        <w:keepNext w:val="0"/>
        <w:keepLines w:val="0"/>
        <w:widowControl w:val="0"/>
        <w:suppressLineNumbers w:val="0"/>
        <w:spacing w:before="0" w:beforeAutospacing="0" w:after="0" w:afterAutospacing="0"/>
        <w:ind w:left="0" w:right="0" w:firstLine="640" w:firstLineChars="200"/>
        <w:jc w:val="left"/>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rPr>
        <w:t>公务用车运行维护支出</w:t>
      </w:r>
      <w:r>
        <w:rPr>
          <w:rFonts w:hint="eastAsia" w:ascii="仿宋" w:hAnsi="仿宋" w:eastAsia="仿宋" w:cs="仿宋"/>
          <w:sz w:val="32"/>
          <w:u w:color="auto"/>
          <w:lang w:val="en-US" w:eastAsia="zh-CN"/>
        </w:rPr>
        <w:t>18.58</w:t>
      </w:r>
      <w:r>
        <w:rPr>
          <w:rFonts w:hint="eastAsia" w:ascii="仿宋" w:hAnsi="仿宋" w:eastAsia="仿宋" w:cs="仿宋"/>
          <w:sz w:val="32"/>
          <w:szCs w:val="32"/>
          <w:highlight w:val="none"/>
        </w:rPr>
        <w:t>万元，完成年初预算的</w:t>
      </w:r>
      <w:r>
        <w:rPr>
          <w:rFonts w:hint="eastAsia" w:ascii="仿宋" w:hAnsi="仿宋" w:eastAsia="仿宋" w:cs="仿宋"/>
          <w:sz w:val="32"/>
          <w:szCs w:val="32"/>
          <w:highlight w:val="none"/>
          <w:lang w:val="en-US" w:eastAsia="zh-CN"/>
        </w:rPr>
        <w:t>10</w:t>
      </w:r>
      <w:r>
        <w:rPr>
          <w:rFonts w:ascii="仿宋" w:hAnsi="仿宋" w:eastAsia="仿宋" w:cs="仿宋"/>
          <w:sz w:val="32"/>
          <w:u w:color="auto"/>
        </w:rPr>
        <w:t>0%</w:t>
      </w:r>
      <w:r>
        <w:rPr>
          <w:rFonts w:hint="eastAsia" w:ascii="仿宋" w:hAnsi="仿宋" w:eastAsia="仿宋" w:cs="仿宋"/>
          <w:sz w:val="32"/>
          <w:szCs w:val="32"/>
          <w:highlight w:val="none"/>
        </w:rPr>
        <w:t>，比上年</w:t>
      </w:r>
      <w:r>
        <w:rPr>
          <w:rFonts w:ascii="仿宋" w:hAnsi="仿宋" w:eastAsia="仿宋" w:cs="仿宋"/>
          <w:sz w:val="32"/>
          <w:u w:color="auto"/>
        </w:rPr>
        <w:t>增加</w:t>
      </w:r>
      <w:r>
        <w:rPr>
          <w:rFonts w:hint="eastAsia" w:ascii="仿宋" w:hAnsi="仿宋" w:eastAsia="仿宋" w:cs="仿宋"/>
          <w:sz w:val="32"/>
          <w:u w:color="auto"/>
          <w:lang w:val="en-US" w:eastAsia="zh-CN"/>
        </w:rPr>
        <w:t>2.96</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主要原因是：</w:t>
      </w:r>
      <w:r>
        <w:rPr>
          <w:rFonts w:hint="eastAsia" w:ascii="仿宋" w:hAnsi="仿宋" w:eastAsia="仿宋" w:cs="仿宋"/>
          <w:sz w:val="32"/>
          <w:szCs w:val="32"/>
          <w:highlight w:val="none"/>
          <w:lang w:val="en-US" w:eastAsia="zh-CN"/>
        </w:rPr>
        <w:t>外出办案及监督检查的次数增多。</w:t>
      </w:r>
    </w:p>
    <w:p w14:paraId="1BDF5692">
      <w:pPr>
        <w:keepNext w:val="0"/>
        <w:keepLines w:val="0"/>
        <w:widowControl w:val="0"/>
        <w:suppressLineNumbers w:val="0"/>
        <w:spacing w:before="0" w:beforeAutospacing="0" w:after="0" w:afterAutospacing="0"/>
        <w:ind w:left="0" w:right="0" w:firstLine="640" w:firstLineChars="200"/>
        <w:jc w:val="left"/>
        <w:rPr>
          <w:rFonts w:hint="default" w:ascii="仿宋" w:hAnsi="仿宋" w:eastAsia="仿宋" w:cs="仿宋"/>
          <w:sz w:val="32"/>
          <w:szCs w:val="32"/>
          <w:highlight w:val="none"/>
          <w:lang w:val="en-US"/>
        </w:rPr>
      </w:pPr>
      <w:r>
        <w:rPr>
          <w:rFonts w:hint="eastAsia" w:ascii="仿宋" w:hAnsi="仿宋" w:eastAsia="仿宋" w:cs="仿宋"/>
          <w:sz w:val="32"/>
          <w:szCs w:val="32"/>
          <w:highlight w:val="none"/>
        </w:rPr>
        <w:t>（三）公务接待费支出</w:t>
      </w:r>
      <w:r>
        <w:rPr>
          <w:rFonts w:hint="eastAsia" w:ascii="仿宋" w:hAnsi="仿宋" w:eastAsia="仿宋" w:cs="仿宋"/>
          <w:sz w:val="32"/>
          <w:szCs w:val="32"/>
          <w:highlight w:val="none"/>
          <w:lang w:val="en-US" w:eastAsia="zh-CN"/>
        </w:rPr>
        <w:t>4.03</w:t>
      </w:r>
      <w:r>
        <w:rPr>
          <w:rFonts w:hint="eastAsia" w:ascii="仿宋" w:hAnsi="仿宋" w:eastAsia="仿宋" w:cs="仿宋"/>
          <w:sz w:val="32"/>
          <w:szCs w:val="32"/>
          <w:highlight w:val="none"/>
        </w:rPr>
        <w:t>万元，完成年初预算的</w:t>
      </w:r>
      <w:r>
        <w:rPr>
          <w:rFonts w:hint="eastAsia" w:ascii="仿宋" w:hAnsi="仿宋" w:eastAsia="仿宋" w:cs="仿宋"/>
          <w:sz w:val="32"/>
          <w:szCs w:val="32"/>
          <w:highlight w:val="none"/>
          <w:lang w:val="en-US" w:eastAsia="zh-CN"/>
        </w:rPr>
        <w:t>95.95</w:t>
      </w:r>
      <w:r>
        <w:rPr>
          <w:rFonts w:hint="eastAsia" w:ascii="仿宋" w:hAnsi="仿宋" w:eastAsia="仿宋" w:cs="仿宋"/>
          <w:sz w:val="32"/>
          <w:szCs w:val="32"/>
          <w:highlight w:val="none"/>
        </w:rPr>
        <w:t>%， 比上年增加</w:t>
      </w:r>
      <w:r>
        <w:rPr>
          <w:rFonts w:hint="eastAsia" w:ascii="仿宋" w:hAnsi="仿宋" w:eastAsia="仿宋" w:cs="仿宋"/>
          <w:sz w:val="32"/>
          <w:szCs w:val="32"/>
          <w:highlight w:val="none"/>
          <w:lang w:val="en-US" w:eastAsia="zh-CN"/>
        </w:rPr>
        <w:t>1.33</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val="en-US" w:eastAsia="zh-CN"/>
        </w:rPr>
        <w:t>主要原因是：上级督察检查的次数增多以及结算上年未能支付的款项。</w:t>
      </w:r>
    </w:p>
    <w:p w14:paraId="3BB83267">
      <w:pPr>
        <w:jc w:val="left"/>
        <w:rPr>
          <w:rFonts w:ascii="仿宋" w:hAnsi="仿宋" w:eastAsia="仿宋" w:cs="仿宋"/>
          <w:sz w:val="32"/>
          <w:szCs w:val="32"/>
          <w:highlight w:val="none"/>
        </w:rPr>
      </w:pPr>
      <w:r>
        <w:rPr>
          <w:rFonts w:hint="eastAsia" w:ascii="黑体" w:hAnsi="黑体" w:eastAsia="黑体" w:cs="黑体"/>
          <w:sz w:val="32"/>
          <w:szCs w:val="32"/>
          <w:highlight w:val="none"/>
        </w:rPr>
        <w:t>七、其他重要事项情况说明</w:t>
      </w:r>
    </w:p>
    <w:p w14:paraId="33B49812">
      <w:pPr>
        <w:jc w:val="left"/>
        <w:rPr>
          <w:rFonts w:ascii="黑体" w:hAnsi="黑体" w:eastAsia="黑体" w:cs="黑体"/>
          <w:sz w:val="32"/>
          <w:szCs w:val="32"/>
          <w:highlight w:val="none"/>
        </w:rPr>
      </w:pPr>
      <w:r>
        <w:rPr>
          <w:rFonts w:hint="eastAsia" w:ascii="黑体" w:hAnsi="黑体" w:eastAsia="黑体" w:cs="黑体"/>
          <w:sz w:val="32"/>
          <w:szCs w:val="32"/>
          <w:highlight w:val="none"/>
        </w:rPr>
        <w:t>（一） 机关运行经费支出情况说明</w:t>
      </w:r>
    </w:p>
    <w:p w14:paraId="1F23352B">
      <w:pPr>
        <w:autoSpaceDE w:val="0"/>
        <w:autoSpaceDN w:val="0"/>
        <w:adjustRightInd w:val="0"/>
        <w:spacing w:line="560" w:lineRule="exact"/>
        <w:ind w:firstLine="640" w:firstLineChars="200"/>
        <w:rPr>
          <w:rFonts w:hint="eastAsia" w:ascii="仿宋_GB2312" w:hAnsi="仿宋_GB2312" w:eastAsia="仿宋_GB2312" w:cs="仿宋_GB2312"/>
          <w:bCs/>
          <w:spacing w:val="6"/>
          <w:kern w:val="0"/>
          <w:sz w:val="32"/>
          <w:szCs w:val="32"/>
        </w:rPr>
      </w:pPr>
      <w:r>
        <w:rPr>
          <w:rFonts w:hint="eastAsia" w:ascii="仿宋" w:hAnsi="仿宋" w:eastAsia="仿宋" w:cs="仿宋"/>
          <w:sz w:val="32"/>
          <w:szCs w:val="32"/>
          <w:highlight w:val="none"/>
        </w:rPr>
        <w:t>本部门2022年度机关运行经费支出</w:t>
      </w:r>
      <w:r>
        <w:rPr>
          <w:rFonts w:hint="eastAsia" w:ascii="仿宋" w:hAnsi="仿宋" w:eastAsia="仿宋" w:cs="仿宋"/>
          <w:sz w:val="32"/>
          <w:szCs w:val="32"/>
          <w:highlight w:val="none"/>
          <w:lang w:val="en-US" w:eastAsia="zh-CN"/>
        </w:rPr>
        <w:t>61.46</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val="en-US" w:eastAsia="zh-CN"/>
        </w:rPr>
        <w:t>与</w:t>
      </w:r>
      <w:r>
        <w:rPr>
          <w:rFonts w:hint="eastAsia" w:ascii="仿宋" w:hAnsi="仿宋" w:eastAsia="仿宋" w:cs="仿宋"/>
          <w:sz w:val="32"/>
          <w:szCs w:val="32"/>
          <w:highlight w:val="none"/>
        </w:rPr>
        <w:t>年初预算数</w:t>
      </w:r>
      <w:r>
        <w:rPr>
          <w:rFonts w:hint="eastAsia" w:ascii="仿宋" w:hAnsi="仿宋" w:eastAsia="仿宋" w:cs="仿宋"/>
          <w:sz w:val="32"/>
          <w:szCs w:val="32"/>
          <w:highlight w:val="none"/>
          <w:lang w:val="en-US" w:eastAsia="zh-CN"/>
        </w:rPr>
        <w:t>无增减变动</w:t>
      </w:r>
      <w:r>
        <w:rPr>
          <w:rFonts w:hint="eastAsia" w:ascii="仿宋" w:hAnsi="仿宋" w:eastAsia="仿宋" w:cs="仿宋"/>
          <w:sz w:val="32"/>
          <w:szCs w:val="32"/>
          <w:highlight w:val="none"/>
        </w:rPr>
        <w:t>，比上年决算数</w:t>
      </w:r>
      <w:r>
        <w:rPr>
          <w:rFonts w:ascii="仿宋" w:hAnsi="仿宋" w:eastAsia="仿宋" w:cs="仿宋"/>
          <w:sz w:val="32"/>
          <w:szCs w:val="32"/>
          <w:highlight w:val="none"/>
        </w:rPr>
        <w:t>增加</w:t>
      </w:r>
      <w:r>
        <w:rPr>
          <w:rFonts w:hint="eastAsia" w:ascii="仿宋" w:hAnsi="仿宋" w:eastAsia="仿宋" w:cs="仿宋"/>
          <w:sz w:val="32"/>
          <w:szCs w:val="32"/>
          <w:highlight w:val="none"/>
          <w:lang w:val="en-US" w:eastAsia="zh-CN"/>
        </w:rPr>
        <w:t>26.65</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val="en-US" w:eastAsia="zh-CN"/>
        </w:rPr>
        <w:t>增长76.55</w:t>
      </w:r>
      <w:r>
        <w:rPr>
          <w:rFonts w:ascii="仿宋" w:hAnsi="仿宋" w:eastAsia="仿宋" w:cs="仿宋"/>
          <w:sz w:val="32"/>
          <w:szCs w:val="32"/>
          <w:highlight w:val="none"/>
        </w:rPr>
        <w:t>%</w:t>
      </w:r>
      <w:r>
        <w:rPr>
          <w:rFonts w:hint="eastAsia" w:ascii="仿宋" w:hAnsi="仿宋" w:eastAsia="仿宋" w:cs="仿宋"/>
          <w:sz w:val="32"/>
          <w:szCs w:val="32"/>
          <w:highlight w:val="none"/>
        </w:rPr>
        <w:t>。</w:t>
      </w:r>
      <w:r>
        <w:rPr>
          <w:rFonts w:hint="eastAsia" w:ascii="仿宋_GB2312" w:hAnsi="仿宋_GB2312" w:eastAsia="仿宋_GB2312" w:cs="仿宋_GB2312"/>
          <w:bCs/>
          <w:spacing w:val="6"/>
          <w:kern w:val="0"/>
          <w:sz w:val="32"/>
          <w:szCs w:val="32"/>
        </w:rPr>
        <w:t>主要原因是：人员的变动及根据办案工作需要。</w:t>
      </w:r>
    </w:p>
    <w:p w14:paraId="4172FD39">
      <w:pPr>
        <w:jc w:val="left"/>
        <w:rPr>
          <w:rFonts w:ascii="黑体" w:hAnsi="黑体" w:eastAsia="黑体" w:cs="黑体"/>
          <w:sz w:val="32"/>
          <w:szCs w:val="32"/>
          <w:highlight w:val="none"/>
        </w:rPr>
      </w:pPr>
      <w:r>
        <w:rPr>
          <w:rFonts w:hint="eastAsia" w:ascii="黑体" w:hAnsi="黑体" w:eastAsia="黑体" w:cs="黑体"/>
          <w:sz w:val="32"/>
          <w:szCs w:val="32"/>
          <w:highlight w:val="none"/>
        </w:rPr>
        <w:t>（二）政府采购支出情况说明</w:t>
      </w:r>
    </w:p>
    <w:p w14:paraId="2AF3B489">
      <w:pPr>
        <w:ind w:firstLine="640" w:firstLineChars="200"/>
        <w:jc w:val="left"/>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本部门2022年度政府采购支出总额</w:t>
      </w:r>
      <w:r>
        <w:rPr>
          <w:rFonts w:hint="eastAsia" w:ascii="仿宋" w:hAnsi="仿宋" w:eastAsia="仿宋" w:cs="仿宋"/>
          <w:sz w:val="32"/>
          <w:szCs w:val="32"/>
          <w:highlight w:val="none"/>
          <w:lang w:val="en-US" w:eastAsia="zh-CN"/>
        </w:rPr>
        <w:t>50.97</w:t>
      </w:r>
      <w:r>
        <w:rPr>
          <w:rFonts w:hint="eastAsia" w:ascii="仿宋" w:hAnsi="仿宋" w:eastAsia="仿宋" w:cs="仿宋"/>
          <w:sz w:val="32"/>
          <w:szCs w:val="32"/>
          <w:highlight w:val="none"/>
        </w:rPr>
        <w:t>万元，其中：政府采购货物支出</w:t>
      </w:r>
      <w:r>
        <w:rPr>
          <w:rFonts w:hint="eastAsia" w:ascii="仿宋" w:hAnsi="仿宋" w:eastAsia="仿宋" w:cs="仿宋"/>
          <w:sz w:val="32"/>
          <w:szCs w:val="32"/>
          <w:highlight w:val="none"/>
          <w:lang w:val="en-US" w:eastAsia="zh-CN"/>
        </w:rPr>
        <w:t>49.80</w:t>
      </w:r>
      <w:r>
        <w:rPr>
          <w:rFonts w:hint="eastAsia" w:ascii="仿宋" w:hAnsi="仿宋" w:eastAsia="仿宋" w:cs="仿宋"/>
          <w:sz w:val="32"/>
          <w:szCs w:val="32"/>
          <w:highlight w:val="none"/>
        </w:rPr>
        <w:t>万元、政府采购工程支出</w:t>
      </w:r>
      <w:r>
        <w:rPr>
          <w:rFonts w:ascii="仿宋" w:hAnsi="仿宋" w:eastAsia="仿宋" w:cs="仿宋"/>
          <w:sz w:val="32"/>
          <w:szCs w:val="32"/>
          <w:highlight w:val="none"/>
        </w:rPr>
        <w:t>0.00</w:t>
      </w:r>
      <w:r>
        <w:rPr>
          <w:rFonts w:hint="eastAsia" w:ascii="仿宋" w:hAnsi="仿宋" w:eastAsia="仿宋" w:cs="仿宋"/>
          <w:sz w:val="32"/>
          <w:szCs w:val="32"/>
          <w:highlight w:val="none"/>
        </w:rPr>
        <w:t>万元、政府采购服务支出</w:t>
      </w:r>
      <w:r>
        <w:rPr>
          <w:rFonts w:hint="eastAsia" w:ascii="仿宋" w:hAnsi="仿宋" w:eastAsia="仿宋" w:cs="仿宋"/>
          <w:sz w:val="32"/>
          <w:szCs w:val="32"/>
          <w:highlight w:val="none"/>
          <w:lang w:val="en-US" w:eastAsia="zh-CN"/>
        </w:rPr>
        <w:t>1.17</w:t>
      </w:r>
      <w:r>
        <w:rPr>
          <w:rFonts w:hint="eastAsia" w:ascii="仿宋" w:hAnsi="仿宋" w:eastAsia="仿宋" w:cs="仿宋"/>
          <w:sz w:val="32"/>
          <w:szCs w:val="32"/>
          <w:highlight w:val="none"/>
        </w:rPr>
        <w:t>万元。授予中小企业合同金额</w:t>
      </w:r>
      <w:r>
        <w:rPr>
          <w:rFonts w:hint="eastAsia" w:ascii="仿宋" w:hAnsi="仿宋" w:eastAsia="仿宋" w:cs="仿宋"/>
          <w:sz w:val="32"/>
          <w:szCs w:val="32"/>
          <w:highlight w:val="none"/>
          <w:lang w:val="en-US" w:eastAsia="zh-CN"/>
        </w:rPr>
        <w:t>50.97</w:t>
      </w:r>
      <w:r>
        <w:rPr>
          <w:rFonts w:hint="eastAsia" w:ascii="仿宋" w:hAnsi="仿宋" w:eastAsia="仿宋" w:cs="仿宋"/>
          <w:sz w:val="32"/>
          <w:szCs w:val="32"/>
          <w:highlight w:val="none"/>
        </w:rPr>
        <w:t>万元，占政府采购支出总额的</w:t>
      </w:r>
      <w:r>
        <w:rPr>
          <w:rFonts w:hint="eastAsia" w:ascii="仿宋" w:hAnsi="仿宋" w:eastAsia="仿宋" w:cs="仿宋"/>
          <w:sz w:val="32"/>
          <w:szCs w:val="32"/>
          <w:highlight w:val="none"/>
          <w:lang w:val="en-US" w:eastAsia="zh-CN"/>
        </w:rPr>
        <w:t>100</w:t>
      </w:r>
      <w:r>
        <w:rPr>
          <w:rFonts w:ascii="仿宋" w:hAnsi="仿宋" w:eastAsia="仿宋" w:cs="仿宋"/>
          <w:sz w:val="32"/>
          <w:szCs w:val="32"/>
          <w:highlight w:val="none"/>
        </w:rPr>
        <w:t>%</w:t>
      </w:r>
      <w:r>
        <w:rPr>
          <w:rFonts w:hint="eastAsia" w:ascii="仿宋" w:hAnsi="仿宋" w:eastAsia="仿宋" w:cs="仿宋"/>
          <w:sz w:val="32"/>
          <w:szCs w:val="32"/>
          <w:highlight w:val="none"/>
          <w:lang w:eastAsia="zh-CN"/>
        </w:rPr>
        <w:t>。</w:t>
      </w:r>
    </w:p>
    <w:p w14:paraId="7F273AA9">
      <w:pPr>
        <w:jc w:val="left"/>
        <w:rPr>
          <w:rFonts w:ascii="仿宋" w:hAnsi="仿宋" w:eastAsia="仿宋" w:cs="仿宋"/>
          <w:sz w:val="32"/>
          <w:szCs w:val="32"/>
          <w:highlight w:val="none"/>
        </w:rPr>
      </w:pPr>
      <w:r>
        <w:rPr>
          <w:rFonts w:hint="eastAsia" w:ascii="黑体" w:hAnsi="黑体" w:eastAsia="黑体" w:cs="黑体"/>
          <w:sz w:val="32"/>
          <w:szCs w:val="32"/>
          <w:highlight w:val="none"/>
        </w:rPr>
        <w:t>（三）国有资产占用情况说明</w:t>
      </w:r>
    </w:p>
    <w:p w14:paraId="36194A3B">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截至2022年12月31日，本部门共有车辆</w:t>
      </w:r>
      <w:r>
        <w:rPr>
          <w:rFonts w:hint="eastAsia" w:ascii="仿宋" w:hAnsi="仿宋" w:eastAsia="仿宋" w:cs="仿宋"/>
          <w:sz w:val="32"/>
          <w:szCs w:val="32"/>
          <w:highlight w:val="none"/>
          <w:lang w:val="en-US" w:eastAsia="zh-CN"/>
        </w:rPr>
        <w:t>6</w:t>
      </w:r>
      <w:r>
        <w:rPr>
          <w:rFonts w:hint="eastAsia" w:ascii="仿宋" w:hAnsi="仿宋" w:eastAsia="仿宋" w:cs="仿宋"/>
          <w:sz w:val="32"/>
          <w:szCs w:val="32"/>
          <w:highlight w:val="none"/>
        </w:rPr>
        <w:t>辆，</w:t>
      </w:r>
      <w:r>
        <w:rPr>
          <w:rFonts w:hint="eastAsia" w:ascii="仿宋" w:hAnsi="仿宋" w:eastAsia="仿宋" w:cs="仿宋"/>
          <w:sz w:val="32"/>
          <w:szCs w:val="32"/>
          <w:highlight w:val="none"/>
          <w:lang w:val="en-US" w:eastAsia="zh-CN"/>
        </w:rPr>
        <w:t>均为</w:t>
      </w:r>
      <w:r>
        <w:rPr>
          <w:rFonts w:hint="eastAsia" w:ascii="仿宋" w:hAnsi="仿宋" w:eastAsia="仿宋" w:cs="仿宋"/>
          <w:sz w:val="32"/>
          <w:szCs w:val="32"/>
          <w:highlight w:val="none"/>
        </w:rPr>
        <w:t>执法执勤用车；单位价值50万元以上通用设备</w:t>
      </w:r>
      <w:r>
        <w:rPr>
          <w:rFonts w:ascii="仿宋" w:hAnsi="仿宋" w:eastAsia="仿宋" w:cs="仿宋"/>
          <w:sz w:val="32"/>
          <w:szCs w:val="32"/>
          <w:highlight w:val="none"/>
        </w:rPr>
        <w:t>0</w:t>
      </w:r>
      <w:r>
        <w:rPr>
          <w:rFonts w:hint="eastAsia" w:ascii="仿宋" w:hAnsi="仿宋" w:eastAsia="仿宋" w:cs="仿宋"/>
          <w:sz w:val="32"/>
          <w:szCs w:val="32"/>
          <w:highlight w:val="none"/>
        </w:rPr>
        <w:t>台（套）；单位价值</w:t>
      </w:r>
      <w:r>
        <w:rPr>
          <w:rFonts w:hint="eastAsia" w:ascii="仿宋" w:hAnsi="仿宋" w:eastAsia="仿宋" w:cs="仿宋"/>
          <w:sz w:val="32"/>
          <w:szCs w:val="32"/>
          <w:highlight w:val="none"/>
          <w:lang w:val="en-US" w:eastAsia="zh-CN"/>
        </w:rPr>
        <w:t>100万</w:t>
      </w:r>
      <w:r>
        <w:rPr>
          <w:rFonts w:hint="eastAsia" w:ascii="仿宋" w:hAnsi="仿宋" w:eastAsia="仿宋" w:cs="仿宋"/>
          <w:sz w:val="32"/>
          <w:szCs w:val="32"/>
          <w:highlight w:val="none"/>
        </w:rPr>
        <w:t>元以上专用设备</w:t>
      </w:r>
      <w:r>
        <w:rPr>
          <w:rFonts w:ascii="仿宋" w:hAnsi="仿宋" w:eastAsia="仿宋" w:cs="仿宋"/>
          <w:sz w:val="32"/>
          <w:szCs w:val="32"/>
          <w:highlight w:val="none"/>
        </w:rPr>
        <w:t>0</w:t>
      </w:r>
      <w:r>
        <w:rPr>
          <w:rFonts w:hint="eastAsia" w:ascii="仿宋" w:hAnsi="仿宋" w:eastAsia="仿宋" w:cs="仿宋"/>
          <w:sz w:val="32"/>
          <w:szCs w:val="32"/>
          <w:highlight w:val="none"/>
        </w:rPr>
        <w:t>台（套）。</w:t>
      </w:r>
    </w:p>
    <w:p w14:paraId="1F0BB2A5">
      <w:pPr>
        <w:jc w:val="left"/>
        <w:rPr>
          <w:rFonts w:ascii="仿宋" w:hAnsi="仿宋" w:eastAsia="仿宋" w:cs="仿宋"/>
          <w:sz w:val="32"/>
          <w:szCs w:val="32"/>
          <w:highlight w:val="none"/>
        </w:rPr>
      </w:pPr>
      <w:r>
        <w:rPr>
          <w:rFonts w:hint="eastAsia" w:ascii="黑体" w:hAnsi="黑体" w:eastAsia="黑体" w:cs="黑体"/>
          <w:sz w:val="32"/>
          <w:szCs w:val="32"/>
          <w:highlight w:val="none"/>
        </w:rPr>
        <w:t>（四）预算绩效管理工作开展情况</w:t>
      </w:r>
    </w:p>
    <w:p w14:paraId="7366BDB4">
      <w:pPr>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1.绩效管理工作开展情况。</w:t>
      </w:r>
    </w:p>
    <w:p w14:paraId="02BCB7B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20"/>
        <w:jc w:val="left"/>
        <w:textAlignment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根据财政预算管理要求，本部门组织对</w:t>
      </w:r>
      <w:r>
        <w:rPr>
          <w:rFonts w:hint="eastAsia" w:ascii="仿宋" w:hAnsi="仿宋" w:eastAsia="仿宋" w:cs="仿宋"/>
          <w:color w:val="000000" w:themeColor="text1"/>
          <w:sz w:val="32"/>
          <w:szCs w:val="32"/>
          <w:lang w:eastAsia="zh-CN"/>
          <w14:textFill>
            <w14:solidFill>
              <w14:schemeClr w14:val="tx1"/>
            </w14:solidFill>
          </w14:textFill>
        </w:rPr>
        <w:t>2022年</w:t>
      </w:r>
      <w:r>
        <w:rPr>
          <w:rFonts w:hint="eastAsia" w:ascii="仿宋" w:hAnsi="仿宋" w:eastAsia="仿宋" w:cs="仿宋"/>
          <w:color w:val="000000" w:themeColor="text1"/>
          <w:sz w:val="32"/>
          <w:szCs w:val="32"/>
          <w14:textFill>
            <w14:solidFill>
              <w14:schemeClr w14:val="tx1"/>
            </w14:solidFill>
          </w14:textFill>
        </w:rPr>
        <w:t>度一般公共预算项目支出全面开展绩效自评。</w:t>
      </w:r>
      <w:r>
        <w:rPr>
          <w:rFonts w:hint="eastAsia" w:ascii="仿宋_GB2312" w:hAnsi="仿宋_GB2312" w:eastAsia="仿宋_GB2312" w:cs="仿宋_GB2312"/>
          <w:i w:val="0"/>
          <w:iCs w:val="0"/>
          <w:caps w:val="0"/>
          <w:color w:val="auto"/>
          <w:spacing w:val="0"/>
          <w:sz w:val="32"/>
          <w:szCs w:val="32"/>
        </w:rPr>
        <w:t>2022年本单位</w:t>
      </w:r>
      <w:r>
        <w:rPr>
          <w:rFonts w:hint="eastAsia" w:ascii="仿宋_GB2312" w:hAnsi="仿宋_GB2312" w:eastAsia="仿宋_GB2312" w:cs="仿宋_GB2312"/>
          <w:color w:val="auto"/>
          <w:sz w:val="32"/>
          <w:szCs w:val="32"/>
          <w:lang w:eastAsia="zh-CN"/>
        </w:rPr>
        <w:t>项目资金有</w:t>
      </w:r>
      <w:r>
        <w:rPr>
          <w:rFonts w:hint="eastAsia" w:ascii="仿宋_GB2312" w:hAnsi="仿宋_GB2312" w:eastAsia="仿宋_GB2312" w:cs="仿宋_GB2312"/>
          <w:color w:val="auto"/>
          <w:sz w:val="32"/>
          <w:szCs w:val="32"/>
          <w:lang w:val="en-US" w:eastAsia="zh-CN"/>
        </w:rPr>
        <w:t>12个项目，</w:t>
      </w:r>
      <w:r>
        <w:rPr>
          <w:rFonts w:hint="eastAsia" w:ascii="仿宋_GB2312" w:hAnsi="仿宋_GB2312" w:eastAsia="仿宋_GB2312" w:cs="仿宋_GB2312"/>
          <w:color w:val="auto"/>
          <w:sz w:val="32"/>
          <w:szCs w:val="32"/>
          <w:lang w:eastAsia="zh-CN"/>
        </w:rPr>
        <w:t>年初预算数</w:t>
      </w:r>
      <w:r>
        <w:rPr>
          <w:rFonts w:hint="eastAsia" w:ascii="仿宋_GB2312" w:hAnsi="仿宋_GB2312" w:eastAsia="仿宋_GB2312" w:cs="仿宋_GB2312"/>
          <w:color w:val="auto"/>
          <w:sz w:val="32"/>
          <w:szCs w:val="32"/>
          <w:lang w:val="en-US" w:eastAsia="zh-CN"/>
        </w:rPr>
        <w:t>214.40</w:t>
      </w:r>
      <w:r>
        <w:rPr>
          <w:rFonts w:hint="eastAsia" w:ascii="仿宋_GB2312" w:hAnsi="仿宋_GB2312" w:eastAsia="仿宋_GB2312" w:cs="仿宋_GB2312"/>
          <w:i w:val="0"/>
          <w:iCs w:val="0"/>
          <w:caps w:val="0"/>
          <w:color w:val="auto"/>
          <w:spacing w:val="0"/>
          <w:sz w:val="32"/>
          <w:szCs w:val="32"/>
        </w:rPr>
        <w:t>万元</w:t>
      </w:r>
      <w:r>
        <w:rPr>
          <w:rFonts w:hint="eastAsia" w:ascii="仿宋_GB2312" w:hAnsi="仿宋_GB2312" w:eastAsia="仿宋_GB2312" w:cs="仿宋_GB2312"/>
          <w:i w:val="0"/>
          <w:iCs w:val="0"/>
          <w:caps w:val="0"/>
          <w:color w:val="auto"/>
          <w:spacing w:val="0"/>
          <w:sz w:val="32"/>
          <w:szCs w:val="32"/>
          <w:lang w:eastAsia="zh-CN"/>
        </w:rPr>
        <w:t>，</w:t>
      </w:r>
      <w:r>
        <w:rPr>
          <w:rFonts w:hint="eastAsia" w:ascii="仿宋_GB2312" w:hAnsi="仿宋_GB2312" w:eastAsia="仿宋_GB2312" w:cs="仿宋_GB2312"/>
          <w:i w:val="0"/>
          <w:iCs w:val="0"/>
          <w:caps w:val="0"/>
          <w:color w:val="auto"/>
          <w:spacing w:val="0"/>
          <w:sz w:val="32"/>
          <w:szCs w:val="32"/>
        </w:rPr>
        <w:t>年中预算</w:t>
      </w:r>
      <w:r>
        <w:rPr>
          <w:rFonts w:hint="eastAsia" w:ascii="仿宋_GB2312" w:hAnsi="仿宋_GB2312" w:eastAsia="仿宋_GB2312" w:cs="仿宋_GB2312"/>
          <w:i w:val="0"/>
          <w:iCs w:val="0"/>
          <w:caps w:val="0"/>
          <w:color w:val="auto"/>
          <w:spacing w:val="0"/>
          <w:sz w:val="32"/>
          <w:szCs w:val="32"/>
          <w:lang w:eastAsia="zh-CN"/>
        </w:rPr>
        <w:t>调整数</w:t>
      </w:r>
      <w:r>
        <w:rPr>
          <w:rFonts w:hint="eastAsia" w:ascii="仿宋_GB2312" w:hAnsi="仿宋_GB2312" w:eastAsia="仿宋_GB2312" w:cs="仿宋_GB2312"/>
          <w:i w:val="0"/>
          <w:iCs w:val="0"/>
          <w:caps w:val="0"/>
          <w:color w:val="auto"/>
          <w:spacing w:val="0"/>
          <w:sz w:val="32"/>
          <w:szCs w:val="32"/>
          <w:lang w:val="en-US" w:eastAsia="zh-CN"/>
        </w:rPr>
        <w:t>316.52</w:t>
      </w:r>
      <w:r>
        <w:rPr>
          <w:rFonts w:hint="eastAsia" w:ascii="仿宋_GB2312" w:hAnsi="仿宋_GB2312" w:eastAsia="仿宋_GB2312" w:cs="仿宋_GB2312"/>
          <w:i w:val="0"/>
          <w:iCs w:val="0"/>
          <w:caps w:val="0"/>
          <w:color w:val="auto"/>
          <w:spacing w:val="0"/>
          <w:sz w:val="32"/>
          <w:szCs w:val="32"/>
        </w:rPr>
        <w:t>万元</w:t>
      </w:r>
      <w:r>
        <w:rPr>
          <w:rFonts w:hint="eastAsia" w:ascii="仿宋_GB2312" w:hAnsi="仿宋_GB2312" w:eastAsia="仿宋_GB2312" w:cs="仿宋_GB2312"/>
          <w:i w:val="0"/>
          <w:iCs w:val="0"/>
          <w:caps w:val="0"/>
          <w:color w:val="auto"/>
          <w:spacing w:val="0"/>
          <w:sz w:val="32"/>
          <w:szCs w:val="32"/>
          <w:lang w:eastAsia="zh-CN"/>
        </w:rPr>
        <w:t>，调整后预算数</w:t>
      </w:r>
      <w:r>
        <w:rPr>
          <w:rFonts w:hint="eastAsia" w:ascii="仿宋_GB2312" w:hAnsi="仿宋_GB2312" w:eastAsia="仿宋_GB2312" w:cs="仿宋_GB2312"/>
          <w:i w:val="0"/>
          <w:iCs w:val="0"/>
          <w:caps w:val="0"/>
          <w:color w:val="auto"/>
          <w:spacing w:val="0"/>
          <w:sz w:val="32"/>
          <w:szCs w:val="32"/>
          <w:lang w:val="en-US" w:eastAsia="zh-CN"/>
        </w:rPr>
        <w:t>530.92万元，全年执行数395.60万元，平均预算执行率74.51%</w:t>
      </w:r>
      <w:r>
        <w:rPr>
          <w:rFonts w:hint="eastAsia" w:ascii="仿宋_GB2312" w:hAnsi="仿宋_GB2312" w:eastAsia="仿宋_GB2312" w:cs="仿宋_GB2312"/>
          <w:i w:val="0"/>
          <w:iCs w:val="0"/>
          <w:caps w:val="0"/>
          <w:color w:val="auto"/>
          <w:spacing w:val="0"/>
          <w:sz w:val="32"/>
          <w:szCs w:val="32"/>
        </w:rPr>
        <w:t>。</w:t>
      </w:r>
      <w:r>
        <w:rPr>
          <w:rFonts w:hint="eastAsia" w:ascii="仿宋" w:hAnsi="仿宋" w:eastAsia="仿宋" w:cs="仿宋"/>
          <w:color w:val="000000" w:themeColor="text1"/>
          <w:sz w:val="32"/>
          <w:szCs w:val="32"/>
          <w14:textFill>
            <w14:solidFill>
              <w14:schemeClr w14:val="tx1"/>
            </w14:solidFill>
          </w14:textFill>
        </w:rPr>
        <w:t>其中，一</w:t>
      </w:r>
      <w:r>
        <w:rPr>
          <w:rFonts w:hint="eastAsia" w:ascii="仿宋" w:hAnsi="仿宋" w:eastAsia="仿宋" w:cs="仿宋"/>
          <w:color w:val="000000" w:themeColor="text1"/>
          <w:sz w:val="32"/>
          <w:szCs w:val="32"/>
          <w:lang w:val="en-US" w:eastAsia="zh-CN"/>
          <w14:textFill>
            <w14:solidFill>
              <w14:schemeClr w14:val="tx1"/>
            </w14:solidFill>
          </w14:textFill>
        </w:rPr>
        <w:t>等</w:t>
      </w:r>
      <w:r>
        <w:rPr>
          <w:rFonts w:hint="eastAsia" w:ascii="仿宋" w:hAnsi="仿宋" w:eastAsia="仿宋" w:cs="仿宋"/>
          <w:color w:val="000000" w:themeColor="text1"/>
          <w:sz w:val="32"/>
          <w:szCs w:val="32"/>
          <w14:textFill>
            <w14:solidFill>
              <w14:schemeClr w14:val="tx1"/>
            </w14:solidFill>
          </w14:textFill>
        </w:rPr>
        <w:t>项目</w:t>
      </w:r>
      <w:r>
        <w:rPr>
          <w:rFonts w:hint="eastAsia" w:ascii="仿宋" w:hAnsi="仿宋" w:eastAsia="仿宋" w:cs="仿宋"/>
          <w:color w:val="000000" w:themeColor="text1"/>
          <w:sz w:val="32"/>
          <w:szCs w:val="32"/>
          <w:lang w:val="en-US" w:eastAsia="zh-CN"/>
          <w14:textFill>
            <w14:solidFill>
              <w14:schemeClr w14:val="tx1"/>
            </w14:solidFill>
          </w14:textFill>
        </w:rPr>
        <w:t>10</w:t>
      </w:r>
      <w:r>
        <w:rPr>
          <w:rFonts w:hint="eastAsia" w:ascii="仿宋" w:hAnsi="仿宋" w:eastAsia="仿宋" w:cs="仿宋"/>
          <w:color w:val="000000" w:themeColor="text1"/>
          <w:sz w:val="32"/>
          <w:szCs w:val="32"/>
          <w14:textFill>
            <w14:solidFill>
              <w14:schemeClr w14:val="tx1"/>
            </w14:solidFill>
          </w14:textFill>
        </w:rPr>
        <w:t>个，二</w:t>
      </w:r>
      <w:r>
        <w:rPr>
          <w:rFonts w:hint="eastAsia" w:ascii="仿宋" w:hAnsi="仿宋" w:eastAsia="仿宋" w:cs="仿宋"/>
          <w:color w:val="000000" w:themeColor="text1"/>
          <w:sz w:val="32"/>
          <w:szCs w:val="32"/>
          <w:lang w:val="en-US" w:eastAsia="zh-CN"/>
          <w14:textFill>
            <w14:solidFill>
              <w14:schemeClr w14:val="tx1"/>
            </w14:solidFill>
          </w14:textFill>
        </w:rPr>
        <w:t>等</w:t>
      </w:r>
      <w:r>
        <w:rPr>
          <w:rFonts w:hint="eastAsia" w:ascii="仿宋" w:hAnsi="仿宋" w:eastAsia="仿宋" w:cs="仿宋"/>
          <w:color w:val="000000" w:themeColor="text1"/>
          <w:sz w:val="32"/>
          <w:szCs w:val="32"/>
          <w14:textFill>
            <w14:solidFill>
              <w14:schemeClr w14:val="tx1"/>
            </w14:solidFill>
          </w14:textFill>
        </w:rPr>
        <w:t>项目</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个，</w:t>
      </w:r>
      <w:r>
        <w:rPr>
          <w:rFonts w:hint="eastAsia" w:ascii="仿宋" w:hAnsi="仿宋" w:eastAsia="仿宋" w:cs="仿宋"/>
          <w:color w:val="000000" w:themeColor="text1"/>
          <w:sz w:val="32"/>
          <w:szCs w:val="32"/>
          <w:lang w:val="en-US" w:eastAsia="zh-CN"/>
          <w14:textFill>
            <w14:solidFill>
              <w14:schemeClr w14:val="tx1"/>
            </w14:solidFill>
          </w14:textFill>
        </w:rPr>
        <w:t>三等项目2个</w:t>
      </w:r>
      <w:r>
        <w:rPr>
          <w:rFonts w:hint="eastAsia" w:ascii="仿宋" w:hAnsi="仿宋" w:eastAsia="仿宋" w:cs="仿宋"/>
          <w:color w:val="000000" w:themeColor="text1"/>
          <w:sz w:val="32"/>
          <w:szCs w:val="32"/>
          <w14:textFill>
            <w14:solidFill>
              <w14:schemeClr w14:val="tx1"/>
            </w14:solidFill>
          </w14:textFill>
        </w:rPr>
        <w:t>。</w:t>
      </w:r>
    </w:p>
    <w:p w14:paraId="1FAD699B">
      <w:pPr>
        <w:keepNext w:val="0"/>
        <w:keepLines w:val="0"/>
        <w:pageBreakBefore w:val="0"/>
        <w:widowControl w:val="0"/>
        <w:kinsoku/>
        <w:wordWrap/>
        <w:overflowPunct/>
        <w:topLinePunct w:val="0"/>
        <w:autoSpaceDE/>
        <w:autoSpaceDN/>
        <w:bidi w:val="0"/>
        <w:adjustRightInd/>
        <w:snapToGrid/>
        <w:spacing w:before="0" w:beforeLines="0" w:after="0" w:afterLines="0" w:line="420" w:lineRule="atLeast"/>
        <w:ind w:left="0" w:leftChars="0" w:right="0" w:rightChars="0" w:firstLine="640" w:firstLineChars="200"/>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组织对</w:t>
      </w:r>
      <w:r>
        <w:rPr>
          <w:rFonts w:hint="eastAsia" w:ascii="仿宋" w:hAnsi="仿宋" w:eastAsia="仿宋" w:cs="仿宋"/>
          <w:color w:val="000000" w:themeColor="text1"/>
          <w:sz w:val="32"/>
          <w:szCs w:val="32"/>
          <w:lang w:val="en-US" w:eastAsia="zh-CN"/>
          <w14:textFill>
            <w14:solidFill>
              <w14:schemeClr w14:val="tx1"/>
            </w14:solidFill>
          </w14:textFill>
        </w:rPr>
        <w:t>本部门</w:t>
      </w:r>
      <w:r>
        <w:rPr>
          <w:rFonts w:hint="eastAsia" w:ascii="仿宋" w:hAnsi="仿宋" w:eastAsia="仿宋" w:cs="仿宋"/>
          <w:color w:val="000000" w:themeColor="text1"/>
          <w:sz w:val="32"/>
          <w:szCs w:val="32"/>
          <w14:textFill>
            <w14:solidFill>
              <w14:schemeClr w14:val="tx1"/>
            </w14:solidFill>
          </w14:textFill>
        </w:rPr>
        <w:t>开展整体支出绩效评价试点，涉及一般公共预算支出</w:t>
      </w:r>
      <w:r>
        <w:rPr>
          <w:rFonts w:hint="eastAsia" w:ascii="仿宋" w:hAnsi="仿宋" w:eastAsia="仿宋" w:cs="仿宋"/>
          <w:color w:val="000000" w:themeColor="text1"/>
          <w:sz w:val="32"/>
          <w:szCs w:val="32"/>
          <w:lang w:val="en-US" w:eastAsia="zh-CN"/>
          <w14:textFill>
            <w14:solidFill>
              <w14:schemeClr w14:val="tx1"/>
            </w14:solidFill>
          </w14:textFill>
        </w:rPr>
        <w:t>395.60</w:t>
      </w:r>
      <w:r>
        <w:rPr>
          <w:rFonts w:hint="eastAsia" w:ascii="仿宋" w:hAnsi="仿宋" w:eastAsia="仿宋" w:cs="仿宋"/>
          <w:color w:val="000000" w:themeColor="text1"/>
          <w:sz w:val="32"/>
          <w:szCs w:val="32"/>
          <w14:textFill>
            <w14:solidFill>
              <w14:schemeClr w14:val="tx1"/>
            </w14:solidFill>
          </w14:textFill>
        </w:rPr>
        <w:t>万元，政府性基金预算支出</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万元。从评价情况来看，</w:t>
      </w:r>
      <w:r>
        <w:rPr>
          <w:rFonts w:hint="eastAsia" w:ascii="仿宋_GB2312" w:hAnsi="仿宋_GB2312" w:eastAsia="仿宋_GB2312" w:cs="仿宋_GB2312"/>
          <w:i w:val="0"/>
          <w:iCs w:val="0"/>
          <w:caps w:val="0"/>
          <w:color w:val="333333"/>
          <w:spacing w:val="0"/>
          <w:sz w:val="32"/>
          <w:szCs w:val="32"/>
        </w:rPr>
        <w:t>通过这次自评，进一步提高了我</w:t>
      </w:r>
      <w:r>
        <w:rPr>
          <w:rFonts w:hint="eastAsia" w:ascii="仿宋_GB2312" w:hAnsi="仿宋_GB2312" w:eastAsia="仿宋_GB2312" w:cs="仿宋_GB2312"/>
          <w:i w:val="0"/>
          <w:iCs w:val="0"/>
          <w:caps w:val="0"/>
          <w:color w:val="333333"/>
          <w:spacing w:val="0"/>
          <w:sz w:val="32"/>
          <w:szCs w:val="32"/>
          <w:lang w:eastAsia="zh-CN"/>
        </w:rPr>
        <w:t>单位</w:t>
      </w:r>
      <w:r>
        <w:rPr>
          <w:rFonts w:hint="eastAsia" w:ascii="仿宋_GB2312" w:hAnsi="仿宋_GB2312" w:eastAsia="仿宋_GB2312" w:cs="仿宋_GB2312"/>
          <w:i w:val="0"/>
          <w:iCs w:val="0"/>
          <w:caps w:val="0"/>
          <w:color w:val="333333"/>
          <w:spacing w:val="0"/>
          <w:sz w:val="32"/>
          <w:szCs w:val="32"/>
        </w:rPr>
        <w:t>的</w:t>
      </w:r>
      <w:r>
        <w:rPr>
          <w:rFonts w:hint="eastAsia" w:ascii="仿宋_GB2312" w:hAnsi="仿宋_GB2312" w:eastAsia="仿宋_GB2312" w:cs="仿宋_GB2312"/>
          <w:i w:val="0"/>
          <w:iCs w:val="0"/>
          <w:caps w:val="0"/>
          <w:color w:val="333333"/>
          <w:spacing w:val="0"/>
          <w:sz w:val="32"/>
          <w:szCs w:val="32"/>
          <w:lang w:val="en-US" w:eastAsia="zh-CN"/>
        </w:rPr>
        <w:t>预算</w:t>
      </w:r>
      <w:r>
        <w:rPr>
          <w:rFonts w:hint="eastAsia" w:ascii="仿宋_GB2312" w:hAnsi="仿宋_GB2312" w:eastAsia="仿宋_GB2312" w:cs="仿宋_GB2312"/>
          <w:i w:val="0"/>
          <w:iCs w:val="0"/>
          <w:caps w:val="0"/>
          <w:color w:val="333333"/>
          <w:spacing w:val="0"/>
          <w:sz w:val="32"/>
          <w:szCs w:val="32"/>
        </w:rPr>
        <w:t>绩效管理水平</w:t>
      </w:r>
      <w:r>
        <w:rPr>
          <w:rFonts w:hint="eastAsia" w:ascii="仿宋_GB2312" w:hAnsi="仿宋_GB2312" w:eastAsia="仿宋_GB2312" w:cs="仿宋_GB2312"/>
          <w:i w:val="0"/>
          <w:iCs w:val="0"/>
          <w:caps w:val="0"/>
          <w:color w:val="333333"/>
          <w:spacing w:val="0"/>
          <w:sz w:val="32"/>
          <w:szCs w:val="32"/>
          <w:lang w:eastAsia="zh-CN"/>
        </w:rPr>
        <w:t>，</w:t>
      </w:r>
      <w:r>
        <w:rPr>
          <w:rFonts w:hint="eastAsia" w:ascii="仿宋_GB2312" w:hAnsi="仿宋_GB2312" w:eastAsia="仿宋_GB2312" w:cs="仿宋_GB2312"/>
          <w:i w:val="0"/>
          <w:iCs w:val="0"/>
          <w:caps w:val="0"/>
          <w:color w:val="333333"/>
          <w:spacing w:val="0"/>
          <w:sz w:val="32"/>
          <w:szCs w:val="32"/>
          <w:lang w:val="en-US" w:eastAsia="zh-CN"/>
        </w:rPr>
        <w:t>我们将</w:t>
      </w:r>
      <w:r>
        <w:rPr>
          <w:rFonts w:hint="eastAsia" w:ascii="仿宋_GB2312" w:hAnsi="仿宋_GB2312" w:eastAsia="仿宋_GB2312" w:cs="仿宋_GB2312"/>
          <w:i w:val="0"/>
          <w:iCs w:val="0"/>
          <w:caps w:val="0"/>
          <w:color w:val="333333"/>
          <w:spacing w:val="0"/>
          <w:sz w:val="32"/>
          <w:szCs w:val="32"/>
        </w:rPr>
        <w:t>吸取经验，改进工作，</w:t>
      </w:r>
      <w:r>
        <w:rPr>
          <w:rFonts w:hint="eastAsia" w:ascii="仿宋_GB2312" w:hAnsi="仿宋_GB2312" w:eastAsia="仿宋_GB2312" w:cs="仿宋_GB2312"/>
          <w:i w:val="0"/>
          <w:iCs w:val="0"/>
          <w:caps w:val="0"/>
          <w:color w:val="333333"/>
          <w:spacing w:val="0"/>
          <w:sz w:val="32"/>
          <w:szCs w:val="32"/>
          <w:lang w:val="en-US" w:eastAsia="zh-CN"/>
        </w:rPr>
        <w:t>让以后的预算编制工作更加精准合理，</w:t>
      </w:r>
      <w:r>
        <w:rPr>
          <w:rFonts w:hint="eastAsia" w:ascii="仿宋_GB2312" w:hAnsi="仿宋_GB2312" w:eastAsia="仿宋_GB2312" w:cs="仿宋_GB2312"/>
          <w:i w:val="0"/>
          <w:iCs w:val="0"/>
          <w:caps w:val="0"/>
          <w:color w:val="333333"/>
          <w:spacing w:val="0"/>
          <w:sz w:val="32"/>
          <w:szCs w:val="32"/>
        </w:rPr>
        <w:t>让工作与绩效目标匹配。</w:t>
      </w:r>
    </w:p>
    <w:p w14:paraId="7994BBC5">
      <w:pPr>
        <w:ind w:firstLine="640" w:firstLineChars="200"/>
        <w:jc w:val="left"/>
        <w:rPr>
          <w:rFonts w:hint="eastAsia" w:ascii="仿宋" w:hAnsi="仿宋" w:eastAsia="仿宋" w:cs="仿宋"/>
          <w:color w:val="FF0000"/>
          <w:sz w:val="32"/>
          <w:szCs w:val="32"/>
        </w:rPr>
      </w:pPr>
      <w:r>
        <w:rPr>
          <w:rFonts w:hint="eastAsia" w:ascii="仿宋" w:hAnsi="仿宋" w:eastAsia="仿宋" w:cs="仿宋"/>
          <w:color w:val="000000" w:themeColor="text1"/>
          <w:sz w:val="32"/>
          <w:szCs w:val="32"/>
          <w14:textFill>
            <w14:solidFill>
              <w14:schemeClr w14:val="tx1"/>
            </w14:solidFill>
          </w14:textFill>
        </w:rPr>
        <w:t>2.部门决算中项目绩效自评结果</w:t>
      </w:r>
    </w:p>
    <w:p w14:paraId="172BF6A6">
      <w:pPr>
        <w:keepNext w:val="0"/>
        <w:keepLines w:val="0"/>
        <w:pageBreakBefore w:val="0"/>
        <w:widowControl w:val="0"/>
        <w:kinsoku/>
        <w:wordWrap/>
        <w:overflowPunct/>
        <w:topLinePunct w:val="0"/>
        <w:autoSpaceDE/>
        <w:autoSpaceDN/>
        <w:bidi w:val="0"/>
        <w:adjustRightInd/>
        <w:snapToGrid/>
        <w:spacing w:before="0" w:beforeLines="0" w:after="0" w:afterLines="0" w:line="420" w:lineRule="atLeast"/>
        <w:ind w:left="0" w:leftChars="0" w:right="0" w:rightChars="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 w:hAnsi="仿宋" w:eastAsia="仿宋" w:cs="仿宋"/>
          <w:color w:val="000000" w:themeColor="text1"/>
          <w:sz w:val="32"/>
          <w:szCs w:val="32"/>
          <w14:textFill>
            <w14:solidFill>
              <w14:schemeClr w14:val="tx1"/>
            </w14:solidFill>
          </w14:textFill>
        </w:rPr>
        <w:t>我部门根据年初设定的绩效目标，</w:t>
      </w:r>
      <w:r>
        <w:rPr>
          <w:rFonts w:hint="eastAsia" w:ascii="仿宋" w:hAnsi="仿宋" w:eastAsia="仿宋" w:cs="仿宋"/>
          <w:color w:val="000000" w:themeColor="text1"/>
          <w:sz w:val="32"/>
          <w:szCs w:val="32"/>
          <w:lang w:val="en-US" w:eastAsia="zh-CN"/>
          <w14:textFill>
            <w14:solidFill>
              <w14:schemeClr w14:val="tx1"/>
            </w14:solidFill>
          </w14:textFill>
        </w:rPr>
        <w:t>12个</w:t>
      </w:r>
      <w:r>
        <w:rPr>
          <w:rFonts w:hint="eastAsia" w:ascii="仿宋" w:hAnsi="仿宋" w:eastAsia="仿宋" w:cs="仿宋"/>
          <w:color w:val="000000" w:themeColor="text1"/>
          <w:sz w:val="32"/>
          <w:szCs w:val="32"/>
          <w14:textFill>
            <w14:solidFill>
              <w14:schemeClr w14:val="tx1"/>
            </w14:solidFill>
          </w14:textFill>
        </w:rPr>
        <w:t>项目自评得分为</w:t>
      </w:r>
      <w:r>
        <w:rPr>
          <w:rFonts w:hint="eastAsia" w:ascii="仿宋" w:hAnsi="仿宋" w:eastAsia="仿宋" w:cs="仿宋"/>
          <w:color w:val="000000" w:themeColor="text1"/>
          <w:sz w:val="32"/>
          <w:szCs w:val="32"/>
          <w:lang w:val="en-US" w:eastAsia="zh-CN"/>
          <w14:textFill>
            <w14:solidFill>
              <w14:schemeClr w14:val="tx1"/>
            </w14:solidFill>
          </w14:textFill>
        </w:rPr>
        <w:t>99.27</w:t>
      </w:r>
      <w:r>
        <w:rPr>
          <w:rFonts w:hint="eastAsia" w:ascii="仿宋" w:hAnsi="仿宋" w:eastAsia="仿宋" w:cs="仿宋"/>
          <w:color w:val="000000" w:themeColor="text1"/>
          <w:sz w:val="32"/>
          <w:szCs w:val="32"/>
          <w14:textFill>
            <w14:solidFill>
              <w14:schemeClr w14:val="tx1"/>
            </w14:solidFill>
          </w14:textFill>
        </w:rPr>
        <w:t>分。发现的主要问题及原因：</w:t>
      </w:r>
      <w:r>
        <w:rPr>
          <w:rFonts w:hint="eastAsia" w:ascii="仿宋_GB2312" w:hAnsi="仿宋_GB2312" w:eastAsia="仿宋_GB2312" w:cs="仿宋_GB2312"/>
          <w:i w:val="0"/>
          <w:iCs w:val="0"/>
          <w:caps w:val="0"/>
          <w:color w:val="333333"/>
          <w:spacing w:val="0"/>
          <w:sz w:val="32"/>
          <w:szCs w:val="32"/>
          <w:lang w:val="en-US" w:eastAsia="zh-CN"/>
        </w:rPr>
        <w:t>一是</w:t>
      </w:r>
      <w:r>
        <w:rPr>
          <w:rFonts w:hint="eastAsia" w:ascii="仿宋_GB2312" w:hAnsi="仿宋_GB2312" w:eastAsia="仿宋_GB2312" w:cs="仿宋_GB2312"/>
          <w:i w:val="0"/>
          <w:iCs w:val="0"/>
          <w:caps w:val="0"/>
          <w:color w:val="333333"/>
          <w:spacing w:val="0"/>
          <w:sz w:val="32"/>
          <w:szCs w:val="32"/>
        </w:rPr>
        <w:t>年初部门预算编制</w:t>
      </w:r>
      <w:r>
        <w:rPr>
          <w:rFonts w:hint="eastAsia" w:ascii="仿宋_GB2312" w:hAnsi="仿宋_GB2312" w:eastAsia="仿宋_GB2312" w:cs="仿宋_GB2312"/>
          <w:i w:val="0"/>
          <w:iCs w:val="0"/>
          <w:caps w:val="0"/>
          <w:color w:val="333333"/>
          <w:spacing w:val="0"/>
          <w:sz w:val="32"/>
          <w:szCs w:val="32"/>
          <w:lang w:val="en-US" w:eastAsia="zh-CN"/>
        </w:rPr>
        <w:t>精准度、</w:t>
      </w:r>
      <w:r>
        <w:rPr>
          <w:rFonts w:hint="eastAsia" w:ascii="仿宋_GB2312" w:hAnsi="仿宋_GB2312" w:eastAsia="仿宋_GB2312" w:cs="仿宋_GB2312"/>
          <w:i w:val="0"/>
          <w:iCs w:val="0"/>
          <w:caps w:val="0"/>
          <w:color w:val="333333"/>
          <w:spacing w:val="0"/>
          <w:sz w:val="32"/>
          <w:szCs w:val="32"/>
        </w:rPr>
        <w:t>细化程度不够，导致在执行总体绩效目标是部分存在偏差，致使项目预算存在年中、年末追加追减的现象。</w:t>
      </w:r>
      <w:r>
        <w:rPr>
          <w:rFonts w:hint="eastAsia" w:ascii="仿宋" w:hAnsi="仿宋" w:eastAsia="仿宋" w:cs="仿宋"/>
          <w:color w:val="000000" w:themeColor="text1"/>
          <w:sz w:val="32"/>
          <w:szCs w:val="32"/>
          <w:lang w:val="en-US" w:eastAsia="zh-CN"/>
          <w14:textFill>
            <w14:solidFill>
              <w14:schemeClr w14:val="tx1"/>
            </w14:solidFill>
          </w14:textFill>
        </w:rPr>
        <w:t>二是</w:t>
      </w:r>
      <w:r>
        <w:rPr>
          <w:rFonts w:hint="eastAsia" w:ascii="仿宋_GB2312" w:hAnsi="仿宋_GB2312" w:eastAsia="仿宋_GB2312" w:cs="仿宋_GB2312"/>
          <w:i w:val="0"/>
          <w:iCs w:val="0"/>
          <w:caps w:val="0"/>
          <w:color w:val="333333"/>
          <w:spacing w:val="0"/>
          <w:sz w:val="32"/>
          <w:szCs w:val="32"/>
          <w:lang w:eastAsia="zh-CN"/>
        </w:rPr>
        <w:t>指标完成情况</w:t>
      </w:r>
      <w:r>
        <w:rPr>
          <w:rFonts w:hint="eastAsia" w:ascii="仿宋_GB2312" w:hAnsi="仿宋_GB2312" w:eastAsia="仿宋_GB2312" w:cs="仿宋_GB2312"/>
          <w:i w:val="0"/>
          <w:iCs w:val="0"/>
          <w:caps w:val="0"/>
          <w:color w:val="333333"/>
          <w:spacing w:val="0"/>
          <w:sz w:val="32"/>
          <w:szCs w:val="32"/>
        </w:rPr>
        <w:t>中的数量指标、质量指标、成本指标很难确定，经济效益、社会效益、生态效益等难以量化，绩效目标的设定和执行之间难免出现偏差。</w:t>
      </w:r>
      <w:r>
        <w:rPr>
          <w:rFonts w:hint="eastAsia" w:ascii="仿宋" w:hAnsi="仿宋" w:eastAsia="仿宋" w:cs="仿宋"/>
          <w:color w:val="000000" w:themeColor="text1"/>
          <w:sz w:val="32"/>
          <w:szCs w:val="32"/>
          <w14:textFill>
            <w14:solidFill>
              <w14:schemeClr w14:val="tx1"/>
            </w14:solidFill>
          </w14:textFill>
        </w:rPr>
        <w:t>下一步改进措施：一是</w:t>
      </w:r>
      <w:r>
        <w:rPr>
          <w:rFonts w:hint="eastAsia" w:ascii="仿宋_GB2312" w:hAnsi="仿宋_GB2312" w:eastAsia="仿宋_GB2312" w:cs="仿宋_GB2312"/>
          <w:i w:val="0"/>
          <w:iCs w:val="0"/>
          <w:caps w:val="0"/>
          <w:color w:val="333333"/>
          <w:spacing w:val="0"/>
          <w:sz w:val="32"/>
          <w:szCs w:val="32"/>
        </w:rPr>
        <w:t>加强预算编制的合理性。严格按</w:t>
      </w:r>
      <w:r>
        <w:rPr>
          <w:rFonts w:hint="eastAsia" w:ascii="仿宋_GB2312" w:hAnsi="仿宋_GB2312" w:eastAsia="仿宋_GB2312" w:cs="仿宋_GB2312"/>
          <w:i w:val="0"/>
          <w:iCs w:val="0"/>
          <w:caps w:val="0"/>
          <w:color w:val="333333"/>
          <w:spacing w:val="0"/>
          <w:sz w:val="32"/>
          <w:szCs w:val="32"/>
          <w:lang w:eastAsia="zh-CN"/>
        </w:rPr>
        <w:t>县</w:t>
      </w:r>
      <w:r>
        <w:rPr>
          <w:rFonts w:hint="eastAsia" w:ascii="仿宋_GB2312" w:hAnsi="仿宋_GB2312" w:eastAsia="仿宋_GB2312" w:cs="仿宋_GB2312"/>
          <w:i w:val="0"/>
          <w:iCs w:val="0"/>
          <w:caps w:val="0"/>
          <w:color w:val="333333"/>
          <w:spacing w:val="0"/>
          <w:sz w:val="32"/>
          <w:szCs w:val="32"/>
        </w:rPr>
        <w:t>本级部门预算编报程序进行编制，基本支出预算按照单位的基础信息和核定的标准编制，保证单位的正常运转；项目支出预算根据单位发展规划和年度计划，结合财政部门预算安排情况，科学细化项目。</w:t>
      </w:r>
      <w:r>
        <w:rPr>
          <w:rFonts w:hint="eastAsia" w:ascii="仿宋" w:hAnsi="仿宋" w:eastAsia="仿宋" w:cs="仿宋"/>
          <w:color w:val="000000" w:themeColor="text1"/>
          <w:sz w:val="32"/>
          <w:szCs w:val="32"/>
          <w:lang w:val="en-US" w:eastAsia="zh-CN"/>
          <w14:textFill>
            <w14:solidFill>
              <w14:schemeClr w14:val="tx1"/>
            </w14:solidFill>
          </w14:textFill>
        </w:rPr>
        <w:t>二是</w:t>
      </w:r>
      <w:r>
        <w:rPr>
          <w:rFonts w:hint="eastAsia" w:ascii="仿宋_GB2312" w:hAnsi="仿宋_GB2312" w:eastAsia="仿宋_GB2312" w:cs="仿宋_GB2312"/>
          <w:i w:val="0"/>
          <w:iCs w:val="0"/>
          <w:caps w:val="0"/>
          <w:color w:val="333333"/>
          <w:spacing w:val="0"/>
          <w:sz w:val="32"/>
          <w:szCs w:val="32"/>
          <w:lang w:val="en-US" w:eastAsia="zh-CN"/>
        </w:rPr>
        <w:t>加强</w:t>
      </w:r>
      <w:r>
        <w:rPr>
          <w:rFonts w:hint="eastAsia" w:ascii="仿宋_GB2312" w:hAnsi="仿宋_GB2312" w:eastAsia="仿宋_GB2312" w:cs="仿宋_GB2312"/>
          <w:i w:val="0"/>
          <w:iCs w:val="0"/>
          <w:caps w:val="0"/>
          <w:color w:val="333333"/>
          <w:spacing w:val="0"/>
          <w:sz w:val="32"/>
          <w:szCs w:val="32"/>
        </w:rPr>
        <w:t>预算绩效管理工作。</w:t>
      </w:r>
      <w:r>
        <w:rPr>
          <w:rFonts w:hint="eastAsia" w:ascii="仿宋_GB2312" w:hAnsi="仿宋_GB2312" w:eastAsia="仿宋_GB2312" w:cs="仿宋_GB2312"/>
          <w:i w:val="0"/>
          <w:iCs w:val="0"/>
          <w:caps w:val="0"/>
          <w:color w:val="333333"/>
          <w:spacing w:val="0"/>
          <w:sz w:val="32"/>
          <w:szCs w:val="32"/>
          <w:lang w:val="en-US" w:eastAsia="zh-CN"/>
        </w:rPr>
        <w:t>做好</w:t>
      </w:r>
      <w:r>
        <w:rPr>
          <w:rFonts w:hint="eastAsia" w:ascii="仿宋_GB2312" w:hAnsi="仿宋_GB2312" w:eastAsia="仿宋_GB2312" w:cs="仿宋_GB2312"/>
          <w:i w:val="0"/>
          <w:iCs w:val="0"/>
          <w:caps w:val="0"/>
          <w:color w:val="333333"/>
          <w:spacing w:val="0"/>
          <w:sz w:val="32"/>
          <w:szCs w:val="32"/>
        </w:rPr>
        <w:t>事前评价</w:t>
      </w:r>
      <w:r>
        <w:rPr>
          <w:rFonts w:hint="eastAsia" w:ascii="仿宋_GB2312" w:hAnsi="仿宋_GB2312" w:eastAsia="仿宋_GB2312" w:cs="仿宋_GB2312"/>
          <w:i w:val="0"/>
          <w:iCs w:val="0"/>
          <w:caps w:val="0"/>
          <w:color w:val="333333"/>
          <w:spacing w:val="0"/>
          <w:sz w:val="32"/>
          <w:szCs w:val="32"/>
          <w:lang w:val="en-US" w:eastAsia="zh-CN"/>
        </w:rPr>
        <w:t>分析</w:t>
      </w:r>
      <w:r>
        <w:rPr>
          <w:rFonts w:hint="eastAsia" w:ascii="仿宋_GB2312" w:hAnsi="仿宋_GB2312" w:eastAsia="仿宋_GB2312" w:cs="仿宋_GB2312"/>
          <w:i w:val="0"/>
          <w:iCs w:val="0"/>
          <w:caps w:val="0"/>
          <w:color w:val="333333"/>
          <w:spacing w:val="0"/>
          <w:sz w:val="32"/>
          <w:szCs w:val="32"/>
        </w:rPr>
        <w:t>，</w:t>
      </w:r>
      <w:r>
        <w:rPr>
          <w:rFonts w:hint="eastAsia" w:ascii="仿宋_GB2312" w:hAnsi="仿宋_GB2312" w:eastAsia="仿宋_GB2312" w:cs="仿宋_GB2312"/>
          <w:i w:val="0"/>
          <w:iCs w:val="0"/>
          <w:caps w:val="0"/>
          <w:color w:val="333333"/>
          <w:spacing w:val="0"/>
          <w:sz w:val="32"/>
          <w:szCs w:val="32"/>
          <w:lang w:val="en-US" w:eastAsia="zh-CN"/>
        </w:rPr>
        <w:t>事中严格遵守自查，事后评价总结。</w:t>
      </w:r>
      <w:r>
        <w:rPr>
          <w:rFonts w:hint="eastAsia" w:ascii="仿宋_GB2312" w:hAnsi="仿宋_GB2312" w:eastAsia="仿宋_GB2312" w:cs="仿宋_GB2312"/>
          <w:i w:val="0"/>
          <w:iCs w:val="0"/>
          <w:caps w:val="0"/>
          <w:color w:val="333333"/>
          <w:spacing w:val="0"/>
          <w:sz w:val="32"/>
          <w:szCs w:val="32"/>
        </w:rPr>
        <w:t>做到预算财务分析常态化，定期做好预算支出财务分析，做好部门整体支出预算评价工作。</w:t>
      </w:r>
    </w:p>
    <w:p w14:paraId="1CCAA4FB">
      <w:pPr>
        <w:pStyle w:val="2"/>
        <w:rPr>
          <w:rFonts w:hint="eastAsia" w:ascii="仿宋_GB2312" w:hAnsi="仿宋_GB2312" w:eastAsia="仿宋_GB2312" w:cs="仿宋_GB2312"/>
          <w:i w:val="0"/>
          <w:iCs w:val="0"/>
          <w:caps w:val="0"/>
          <w:color w:val="333333"/>
          <w:spacing w:val="0"/>
          <w:sz w:val="32"/>
          <w:szCs w:val="32"/>
        </w:rPr>
      </w:pPr>
    </w:p>
    <w:p w14:paraId="7817F46C">
      <w:pPr>
        <w:rPr>
          <w:rFonts w:hint="eastAsia" w:eastAsia="仿宋_GB2312"/>
          <w:lang w:eastAsia="zh-CN"/>
        </w:rPr>
      </w:pPr>
      <w:r>
        <w:rPr>
          <w:rFonts w:hint="eastAsia" w:eastAsia="仿宋_GB2312"/>
          <w:lang w:eastAsia="zh-CN"/>
        </w:rPr>
        <w:object>
          <v:shape id="_x0000_i1025" o:spt="75" type="#_x0000_t75" style="height:40.25pt;width:135.55pt;" o:ole="t" filled="f" o:preferrelative="t" stroked="f" coordsize="21600,21600">
            <v:path/>
            <v:fill on="f" focussize="0,0"/>
            <v:stroke on="f"/>
            <v:imagedata r:id="rId16" o:title=""/>
            <o:lock v:ext="edit" aspectratio="t"/>
            <w10:wrap type="none"/>
            <w10:anchorlock/>
          </v:shape>
          <o:OLEObject Type="Embed" ProgID="Package" ShapeID="_x0000_i1025" DrawAspect="Content" ObjectID="_1468075725" r:id="rId15">
            <o:LockedField>false</o:LockedField>
          </o:OLEObject>
        </w:object>
      </w:r>
    </w:p>
    <w:p w14:paraId="1AC5D5BC">
      <w:pPr>
        <w:jc w:val="left"/>
        <w:rPr>
          <w:rFonts w:hint="eastAsia" w:ascii="仿宋" w:hAnsi="仿宋" w:eastAsia="仿宋" w:cs="仿宋"/>
          <w:sz w:val="32"/>
          <w:szCs w:val="32"/>
          <w:highlight w:val="none"/>
        </w:rPr>
      </w:pPr>
    </w:p>
    <w:p w14:paraId="7B670EEA">
      <w:pPr>
        <w:jc w:val="center"/>
        <w:rPr>
          <w:rFonts w:ascii="黑体" w:hAnsi="黑体" w:eastAsia="黑体" w:cs="黑体"/>
          <w:sz w:val="32"/>
          <w:szCs w:val="32"/>
          <w:highlight w:val="none"/>
        </w:rPr>
      </w:pPr>
      <w:r>
        <w:rPr>
          <w:rFonts w:hint="eastAsia" w:ascii="黑体" w:hAnsi="黑体" w:eastAsia="黑体" w:cs="黑体"/>
          <w:sz w:val="32"/>
          <w:szCs w:val="32"/>
          <w:highlight w:val="none"/>
        </w:rPr>
        <w:t>第四部分  名词解释</w:t>
      </w:r>
    </w:p>
    <w:p w14:paraId="464AE0F1">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一、财政拨款收入：指</w:t>
      </w:r>
      <w:r>
        <w:rPr>
          <w:rFonts w:ascii="仿宋" w:hAnsi="仿宋" w:eastAsia="仿宋" w:cs="仿宋"/>
          <w:sz w:val="32"/>
          <w:u w:color="auto"/>
        </w:rPr>
        <w:t>河池市财政部门当年拨付的资金。</w:t>
      </w:r>
    </w:p>
    <w:p w14:paraId="35A7D687">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二、事业收入：指事业单位开展专业业务活动及辅助活动所取得的收入。</w:t>
      </w:r>
    </w:p>
    <w:p w14:paraId="104CA7BD">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三、经营收入：指事业单位在专业业务活动及其辅助活动之外开展非独立核算经营活动取得的收入。</w:t>
      </w:r>
    </w:p>
    <w:p w14:paraId="083E1144">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四、其他收入：指除上述“财政拨款收入”“事业收入”“经营收入”等以外的收入。</w:t>
      </w:r>
    </w:p>
    <w:p w14:paraId="4D109BBC">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五、用事业基金弥补收支差额指事业单位在当年的“财政拨款收入”“事业收入”“经营收入”“其他收入”不足以安排当年支出的情况下，使用非财政拨款结余弥补本年度收支缺口的资金。 </w:t>
      </w:r>
    </w:p>
    <w:p w14:paraId="7C2051A7">
      <w:pPr>
        <w:ind w:firstLine="640" w:firstLineChars="200"/>
        <w:jc w:val="left"/>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六、年初结转和结余：指以前年度尚未完成、结转到本年 按有关规定继续使用的资金</w:t>
      </w:r>
      <w:r>
        <w:rPr>
          <w:rFonts w:hint="eastAsia" w:ascii="仿宋" w:hAnsi="仿宋" w:eastAsia="仿宋" w:cs="仿宋"/>
          <w:sz w:val="32"/>
          <w:szCs w:val="32"/>
          <w:highlight w:val="none"/>
          <w:lang w:eastAsia="zh-CN"/>
        </w:rPr>
        <w:t>。</w:t>
      </w:r>
    </w:p>
    <w:p w14:paraId="336D9ED6">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七、结余分配：指事业单位按规定提取的职工福利基金、事业基金和缴纳的所得税，以及建设单位按规定应交回的基本建设竣工项目结余资金。 </w:t>
      </w:r>
    </w:p>
    <w:p w14:paraId="6E42909D">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八、年末结转和结余：指本年度或以前年度预算安排、因客观条件发生变化无法按原计划实施，需要延迟到以后年度按有关规定继续使用的资金。 </w:t>
      </w:r>
    </w:p>
    <w:p w14:paraId="29FBF6EA">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九、基本支出：指为保障机构正常运转、完成日常工作任务而发生的人员支出和公用支出。 </w:t>
      </w:r>
    </w:p>
    <w:p w14:paraId="4BA21529">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十、项目支出：指在基本支出之外为完成特定行政任务和事业发展目标所发生的支出。 </w:t>
      </w:r>
    </w:p>
    <w:p w14:paraId="24054A89">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十一、经营支出：指事业单位在专业业务活动及其辅助活动之外开展非独立核算经营活动发生的支出。</w:t>
      </w:r>
    </w:p>
    <w:p w14:paraId="613B5B2D">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十二、“三公”经费：纳入</w:t>
      </w:r>
      <w:r>
        <w:rPr>
          <w:rFonts w:ascii="仿宋" w:hAnsi="仿宋" w:eastAsia="仿宋" w:cs="仿宋"/>
          <w:sz w:val="32"/>
          <w:u w:color="auto"/>
        </w:rPr>
        <w:t>河池市财政预决算管理的“三公”经费，是指河池市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14:paraId="5CF5B1AF">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1440" w:right="1800" w:bottom="1440" w:left="1800" w:header="851" w:footer="992" w:gutter="0"/>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decorative"/>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75C280">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8328B1">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E8328B1">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3D63AF"/>
    <w:multiLevelType w:val="singleLevel"/>
    <w:tmpl w:val="953D63AF"/>
    <w:lvl w:ilvl="0" w:tentative="0">
      <w:start w:val="1"/>
      <w:numFmt w:val="chineseCounting"/>
      <w:suff w:val="nothing"/>
      <w:lvlText w:val="%1、"/>
      <w:lvlJc w:val="left"/>
      <w:rPr>
        <w:rFonts w:hint="eastAsia"/>
      </w:rPr>
    </w:lvl>
  </w:abstractNum>
  <w:abstractNum w:abstractNumId="1">
    <w:nsid w:val="9BF86D39"/>
    <w:multiLevelType w:val="singleLevel"/>
    <w:tmpl w:val="9BF86D39"/>
    <w:lvl w:ilvl="0" w:tentative="0">
      <w:start w:val="1"/>
      <w:numFmt w:val="chineseCounting"/>
      <w:suff w:val="nothing"/>
      <w:lvlText w:val="（%1）"/>
      <w:lvlJc w:val="left"/>
      <w:pPr>
        <w:ind w:left="0" w:firstLine="420"/>
      </w:pPr>
      <w:rPr>
        <w:rFonts w:hint="eastAsia"/>
        <w:color w:val="auto"/>
        <w:sz w:val="32"/>
        <w:szCs w:val="32"/>
      </w:rPr>
    </w:lvl>
  </w:abstractNum>
  <w:abstractNum w:abstractNumId="2">
    <w:nsid w:val="DB743884"/>
    <w:multiLevelType w:val="singleLevel"/>
    <w:tmpl w:val="DB743884"/>
    <w:lvl w:ilvl="0" w:tentative="0">
      <w:start w:val="1"/>
      <w:numFmt w:val="chineseCounting"/>
      <w:suff w:val="nothing"/>
      <w:lvlText w:val="（%1）"/>
      <w:lvlJc w:val="left"/>
      <w:pPr>
        <w:ind w:left="0" w:firstLine="420"/>
      </w:pPr>
      <w:rPr>
        <w:rFonts w:hint="eastAsia"/>
        <w:color w:val="auto"/>
      </w:rPr>
    </w:lvl>
  </w:abstractNum>
  <w:abstractNum w:abstractNumId="3">
    <w:nsid w:val="E1912437"/>
    <w:multiLevelType w:val="singleLevel"/>
    <w:tmpl w:val="E1912437"/>
    <w:lvl w:ilvl="0" w:tentative="0">
      <w:start w:val="1"/>
      <w:numFmt w:val="chineseCounting"/>
      <w:suff w:val="nothing"/>
      <w:lvlText w:val="（%1）"/>
      <w:lvlJc w:val="left"/>
      <w:rPr>
        <w:rFonts w:hint="eastAsia"/>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FiOTZkYjkwN2Q1MTBhY2U1NDI3ZmEwNzcyMDM4OGMifQ=="/>
  </w:docVars>
  <w:rsids>
    <w:rsidRoot w:val="637D7558"/>
    <w:rsid w:val="00002C84"/>
    <w:rsid w:val="00022149"/>
    <w:rsid w:val="00047F6C"/>
    <w:rsid w:val="00093C26"/>
    <w:rsid w:val="00094B91"/>
    <w:rsid w:val="000B06D8"/>
    <w:rsid w:val="000E5855"/>
    <w:rsid w:val="001418A5"/>
    <w:rsid w:val="00147D40"/>
    <w:rsid w:val="00156EF2"/>
    <w:rsid w:val="001D7B97"/>
    <w:rsid w:val="00210E20"/>
    <w:rsid w:val="00223F38"/>
    <w:rsid w:val="00233613"/>
    <w:rsid w:val="00254DBE"/>
    <w:rsid w:val="00275CAB"/>
    <w:rsid w:val="0028709C"/>
    <w:rsid w:val="0029328F"/>
    <w:rsid w:val="002B2731"/>
    <w:rsid w:val="00382867"/>
    <w:rsid w:val="003A4973"/>
    <w:rsid w:val="003C1C96"/>
    <w:rsid w:val="003C69F8"/>
    <w:rsid w:val="003E40BA"/>
    <w:rsid w:val="003E7165"/>
    <w:rsid w:val="0041579D"/>
    <w:rsid w:val="00427074"/>
    <w:rsid w:val="00434D04"/>
    <w:rsid w:val="004C4D73"/>
    <w:rsid w:val="004D7D0E"/>
    <w:rsid w:val="005234F5"/>
    <w:rsid w:val="00531745"/>
    <w:rsid w:val="00574196"/>
    <w:rsid w:val="006123AD"/>
    <w:rsid w:val="00645B83"/>
    <w:rsid w:val="0066173C"/>
    <w:rsid w:val="006D677A"/>
    <w:rsid w:val="007640BB"/>
    <w:rsid w:val="00771953"/>
    <w:rsid w:val="00776E0B"/>
    <w:rsid w:val="007A0641"/>
    <w:rsid w:val="007C52E7"/>
    <w:rsid w:val="007C54EA"/>
    <w:rsid w:val="007C776D"/>
    <w:rsid w:val="007D7CE3"/>
    <w:rsid w:val="007E2F6C"/>
    <w:rsid w:val="00817C69"/>
    <w:rsid w:val="00823A94"/>
    <w:rsid w:val="00824151"/>
    <w:rsid w:val="008315A9"/>
    <w:rsid w:val="00834354"/>
    <w:rsid w:val="008F1B95"/>
    <w:rsid w:val="008F4AE2"/>
    <w:rsid w:val="008F6882"/>
    <w:rsid w:val="00934C72"/>
    <w:rsid w:val="00946CCF"/>
    <w:rsid w:val="0097721B"/>
    <w:rsid w:val="009831F8"/>
    <w:rsid w:val="009B3E00"/>
    <w:rsid w:val="009D1667"/>
    <w:rsid w:val="00A07CCE"/>
    <w:rsid w:val="00A27624"/>
    <w:rsid w:val="00A358E6"/>
    <w:rsid w:val="00AA78EE"/>
    <w:rsid w:val="00AB53E1"/>
    <w:rsid w:val="00AE5F66"/>
    <w:rsid w:val="00B07A0B"/>
    <w:rsid w:val="00B22F28"/>
    <w:rsid w:val="00B37453"/>
    <w:rsid w:val="00B45479"/>
    <w:rsid w:val="00B60171"/>
    <w:rsid w:val="00B837AC"/>
    <w:rsid w:val="00BB4FB8"/>
    <w:rsid w:val="00BD315D"/>
    <w:rsid w:val="00C3279E"/>
    <w:rsid w:val="00C34857"/>
    <w:rsid w:val="00CA2E26"/>
    <w:rsid w:val="00D00918"/>
    <w:rsid w:val="00D14326"/>
    <w:rsid w:val="00D772CC"/>
    <w:rsid w:val="00D84F30"/>
    <w:rsid w:val="00D878A6"/>
    <w:rsid w:val="00DE74BD"/>
    <w:rsid w:val="00DE7D07"/>
    <w:rsid w:val="00EB7822"/>
    <w:rsid w:val="00EC50A9"/>
    <w:rsid w:val="00ED04DB"/>
    <w:rsid w:val="00F21455"/>
    <w:rsid w:val="00F5354B"/>
    <w:rsid w:val="00F95135"/>
    <w:rsid w:val="00F9658C"/>
    <w:rsid w:val="00F978FD"/>
    <w:rsid w:val="00FA738E"/>
    <w:rsid w:val="00FC438B"/>
    <w:rsid w:val="01234E98"/>
    <w:rsid w:val="015F1951"/>
    <w:rsid w:val="020C171D"/>
    <w:rsid w:val="0216715F"/>
    <w:rsid w:val="02E0291A"/>
    <w:rsid w:val="04E54546"/>
    <w:rsid w:val="05992762"/>
    <w:rsid w:val="07A17621"/>
    <w:rsid w:val="07B0770E"/>
    <w:rsid w:val="09105FBE"/>
    <w:rsid w:val="0942143F"/>
    <w:rsid w:val="0D100297"/>
    <w:rsid w:val="0D202B45"/>
    <w:rsid w:val="0DEE4E3E"/>
    <w:rsid w:val="0F8D4C87"/>
    <w:rsid w:val="10505FAA"/>
    <w:rsid w:val="105F7E7E"/>
    <w:rsid w:val="11E56B5B"/>
    <w:rsid w:val="125C77AB"/>
    <w:rsid w:val="14CB726E"/>
    <w:rsid w:val="17D72E94"/>
    <w:rsid w:val="17E92249"/>
    <w:rsid w:val="18D304F1"/>
    <w:rsid w:val="191F211A"/>
    <w:rsid w:val="19F32577"/>
    <w:rsid w:val="19F45B80"/>
    <w:rsid w:val="1B0C078D"/>
    <w:rsid w:val="1B2B31E2"/>
    <w:rsid w:val="1B4C295A"/>
    <w:rsid w:val="1B973C63"/>
    <w:rsid w:val="1BA1001E"/>
    <w:rsid w:val="1D317259"/>
    <w:rsid w:val="1E664F5B"/>
    <w:rsid w:val="1EB34BE1"/>
    <w:rsid w:val="215E639F"/>
    <w:rsid w:val="21EC3183"/>
    <w:rsid w:val="225E72CD"/>
    <w:rsid w:val="246E2F77"/>
    <w:rsid w:val="254B4E2B"/>
    <w:rsid w:val="26717E1E"/>
    <w:rsid w:val="269E4AB2"/>
    <w:rsid w:val="283D7C94"/>
    <w:rsid w:val="29480E03"/>
    <w:rsid w:val="2983634D"/>
    <w:rsid w:val="2BB02055"/>
    <w:rsid w:val="2C575A56"/>
    <w:rsid w:val="2F257714"/>
    <w:rsid w:val="2F3275E5"/>
    <w:rsid w:val="30AA08EF"/>
    <w:rsid w:val="30D23D1C"/>
    <w:rsid w:val="31221CF5"/>
    <w:rsid w:val="31400178"/>
    <w:rsid w:val="321E3342"/>
    <w:rsid w:val="327759C8"/>
    <w:rsid w:val="33185FE3"/>
    <w:rsid w:val="343D1CFA"/>
    <w:rsid w:val="34EE2E36"/>
    <w:rsid w:val="36777241"/>
    <w:rsid w:val="38A951DB"/>
    <w:rsid w:val="38B31605"/>
    <w:rsid w:val="39003F4F"/>
    <w:rsid w:val="3C07002B"/>
    <w:rsid w:val="3D0D152A"/>
    <w:rsid w:val="3DF62756"/>
    <w:rsid w:val="3F1B7587"/>
    <w:rsid w:val="41E57B4F"/>
    <w:rsid w:val="432F26F6"/>
    <w:rsid w:val="43880F63"/>
    <w:rsid w:val="44054248"/>
    <w:rsid w:val="441C5A6F"/>
    <w:rsid w:val="44C44FCC"/>
    <w:rsid w:val="44CC7369"/>
    <w:rsid w:val="457F5108"/>
    <w:rsid w:val="46951B6B"/>
    <w:rsid w:val="49A34401"/>
    <w:rsid w:val="4A3E30AB"/>
    <w:rsid w:val="4AC14DAC"/>
    <w:rsid w:val="4D154C85"/>
    <w:rsid w:val="4EC8553A"/>
    <w:rsid w:val="508F4E24"/>
    <w:rsid w:val="51461E90"/>
    <w:rsid w:val="51463753"/>
    <w:rsid w:val="52553A93"/>
    <w:rsid w:val="53521F8B"/>
    <w:rsid w:val="53E22F47"/>
    <w:rsid w:val="54522FF8"/>
    <w:rsid w:val="55450629"/>
    <w:rsid w:val="56692963"/>
    <w:rsid w:val="568B0F48"/>
    <w:rsid w:val="5786217B"/>
    <w:rsid w:val="59337A15"/>
    <w:rsid w:val="59810274"/>
    <w:rsid w:val="5CA96A00"/>
    <w:rsid w:val="5CF730BC"/>
    <w:rsid w:val="5E5F0DCE"/>
    <w:rsid w:val="5FA40A7B"/>
    <w:rsid w:val="5FD56D29"/>
    <w:rsid w:val="5FEC7F3F"/>
    <w:rsid w:val="60014249"/>
    <w:rsid w:val="60F74BC3"/>
    <w:rsid w:val="617D3BF8"/>
    <w:rsid w:val="61841F6A"/>
    <w:rsid w:val="623007A9"/>
    <w:rsid w:val="637D7558"/>
    <w:rsid w:val="644F19AC"/>
    <w:rsid w:val="658B51AD"/>
    <w:rsid w:val="65AA4920"/>
    <w:rsid w:val="67694F1E"/>
    <w:rsid w:val="68E66189"/>
    <w:rsid w:val="69597934"/>
    <w:rsid w:val="6B964DDC"/>
    <w:rsid w:val="6C783074"/>
    <w:rsid w:val="6D9E65C6"/>
    <w:rsid w:val="6DA81947"/>
    <w:rsid w:val="6EB66DE2"/>
    <w:rsid w:val="6ED3075F"/>
    <w:rsid w:val="6F2A2D4B"/>
    <w:rsid w:val="6F870752"/>
    <w:rsid w:val="6F8A0C1E"/>
    <w:rsid w:val="703F45D4"/>
    <w:rsid w:val="715D6546"/>
    <w:rsid w:val="71BE069E"/>
    <w:rsid w:val="739103E7"/>
    <w:rsid w:val="73953409"/>
    <w:rsid w:val="73E069A3"/>
    <w:rsid w:val="77C844C8"/>
    <w:rsid w:val="78104AA8"/>
    <w:rsid w:val="78E257C5"/>
    <w:rsid w:val="794B35BE"/>
    <w:rsid w:val="7B0A3A31"/>
    <w:rsid w:val="7B3360ED"/>
    <w:rsid w:val="7B5319F3"/>
    <w:rsid w:val="7BDF037E"/>
    <w:rsid w:val="7BF50948"/>
    <w:rsid w:val="7CE66A78"/>
    <w:rsid w:val="7D23564C"/>
    <w:rsid w:val="7D5E062D"/>
    <w:rsid w:val="7DF76CD8"/>
    <w:rsid w:val="7F695C26"/>
    <w:rsid w:val="7FCF62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2">
    <w:name w:val="heading 3"/>
    <w:basedOn w:val="1"/>
    <w:next w:val="1"/>
    <w:qFormat/>
    <w:uiPriority w:val="0"/>
    <w:pPr>
      <w:keepNext/>
      <w:keepLines/>
      <w:autoSpaceDE/>
      <w:autoSpaceDN/>
      <w:adjustRightInd/>
      <w:snapToGrid/>
      <w:spacing w:line="360" w:lineRule="auto"/>
      <w:ind w:firstLine="600" w:firstLineChars="200"/>
      <w:outlineLvl w:val="2"/>
    </w:pPr>
    <w:rPr>
      <w:rFonts w:ascii="Times New Roman" w:hAnsi="仿宋" w:eastAsia="黑体" w:cs="Times New Roman"/>
      <w:bCs/>
      <w:spacing w:val="0"/>
      <w:kern w:val="0"/>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Emphasis"/>
    <w:basedOn w:val="8"/>
    <w:qFormat/>
    <w:uiPriority w:val="0"/>
    <w:rPr>
      <w:i/>
    </w:rPr>
  </w:style>
  <w:style w:type="character" w:customStyle="1" w:styleId="10">
    <w:name w:val="页眉 Char"/>
    <w:basedOn w:val="8"/>
    <w:link w:val="5"/>
    <w:qFormat/>
    <w:uiPriority w:val="0"/>
    <w:rPr>
      <w:rFonts w:asciiTheme="minorHAnsi" w:hAnsiTheme="minorHAnsi" w:eastAsiaTheme="minorEastAsia" w:cstheme="minorBidi"/>
      <w:kern w:val="2"/>
      <w:sz w:val="18"/>
      <w:szCs w:val="18"/>
    </w:rPr>
  </w:style>
  <w:style w:type="character" w:customStyle="1" w:styleId="11">
    <w:name w:val="页脚 Char"/>
    <w:basedOn w:val="8"/>
    <w:link w:val="4"/>
    <w:qFormat/>
    <w:uiPriority w:val="0"/>
    <w:rPr>
      <w:rFonts w:asciiTheme="minorHAnsi" w:hAnsiTheme="minorHAnsi" w:eastAsiaTheme="minorEastAsia" w:cstheme="minorBidi"/>
      <w:kern w:val="2"/>
      <w:sz w:val="18"/>
      <w:szCs w:val="18"/>
    </w:rPr>
  </w:style>
  <w:style w:type="paragraph" w:styleId="1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emf"/><Relationship Id="rId15" Type="http://schemas.openxmlformats.org/officeDocument/2006/relationships/oleObject" Target="embeddings/oleObject1.bin"/><Relationship Id="rId14" Type="http://schemas.openxmlformats.org/officeDocument/2006/relationships/chart" Target="charts/chart8.xml"/><Relationship Id="rId13" Type="http://schemas.openxmlformats.org/officeDocument/2006/relationships/chart" Target="charts/chart7.xml"/><Relationship Id="rId12" Type="http://schemas.openxmlformats.org/officeDocument/2006/relationships/chart" Target="charts/chart6.xml"/><Relationship Id="rId11" Type="http://schemas.openxmlformats.org/officeDocument/2006/relationships/chart" Target="charts/chart5.xml"/><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2.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7.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8.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8.xml.rels><?xml version="1.0" encoding="UTF-8" standalone="yes"?>
<Relationships xmlns="http://schemas.openxmlformats.org/package/2006/relationships"><Relationship Id="rId1" Type="http://schemas.openxmlformats.org/officeDocument/2006/relationships/package" Target="../embeddings/Workbook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支出决算图表</a:t>
            </a:r>
            <a:endParaRPr lang="zh-CN" altLang="en-US"/>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2021年</c:v>
                </c:pt>
              </c:strCache>
            </c:strRef>
          </c:tx>
          <c:spPr>
            <a:solidFill>
              <a:schemeClr val="accent1"/>
            </a:solidFill>
            <a:ln>
              <a:noFill/>
            </a:ln>
            <a:effectLst/>
          </c:spPr>
          <c:invertIfNegative val="0"/>
          <c:dLbls>
            <c:delete val="1"/>
          </c:dLbls>
          <c:cat>
            <c:strRef>
              <c:f>Sheet1!$A$2:$A$5</c:f>
              <c:strCache>
                <c:ptCount val="4"/>
                <c:pt idx="0">
                  <c:v>一般公共服务支出</c:v>
                </c:pt>
                <c:pt idx="1">
                  <c:v>社会保障和就业支出</c:v>
                </c:pt>
                <c:pt idx="2">
                  <c:v>住房保障支出</c:v>
                </c:pt>
                <c:pt idx="3">
                  <c:v>其他支出</c:v>
                </c:pt>
              </c:strCache>
            </c:strRef>
          </c:cat>
          <c:val>
            <c:numRef>
              <c:f>Sheet1!$B$2:$B$5</c:f>
              <c:numCache>
                <c:formatCode>#,##0.00</c:formatCode>
                <c:ptCount val="4"/>
                <c:pt idx="0">
                  <c:v>1254.93</c:v>
                </c:pt>
                <c:pt idx="1">
                  <c:v>132.32</c:v>
                </c:pt>
                <c:pt idx="2">
                  <c:v>100.25</c:v>
                </c:pt>
                <c:pt idx="3">
                  <c:v>242.57</c:v>
                </c:pt>
              </c:numCache>
            </c:numRef>
          </c:val>
        </c:ser>
        <c:ser>
          <c:idx val="1"/>
          <c:order val="1"/>
          <c:tx>
            <c:strRef>
              <c:f>Sheet1!$C$1</c:f>
              <c:strCache>
                <c:ptCount val="1"/>
                <c:pt idx="0">
                  <c:v>2022年</c:v>
                </c:pt>
              </c:strCache>
            </c:strRef>
          </c:tx>
          <c:spPr>
            <a:solidFill>
              <a:schemeClr val="accent2"/>
            </a:solidFill>
            <a:ln>
              <a:noFill/>
            </a:ln>
            <a:effectLst/>
          </c:spPr>
          <c:invertIfNegative val="0"/>
          <c:dLbls>
            <c:delete val="1"/>
          </c:dLbls>
          <c:cat>
            <c:strRef>
              <c:f>Sheet1!$A$2:$A$5</c:f>
              <c:strCache>
                <c:ptCount val="4"/>
                <c:pt idx="0">
                  <c:v>一般公共服务支出</c:v>
                </c:pt>
                <c:pt idx="1">
                  <c:v>社会保障和就业支出</c:v>
                </c:pt>
                <c:pt idx="2">
                  <c:v>住房保障支出</c:v>
                </c:pt>
                <c:pt idx="3">
                  <c:v>其他支出</c:v>
                </c:pt>
              </c:strCache>
            </c:strRef>
          </c:cat>
          <c:val>
            <c:numRef>
              <c:f>Sheet1!$C$2:$C$5</c:f>
              <c:numCache>
                <c:formatCode>#,##0.00</c:formatCode>
                <c:ptCount val="4"/>
                <c:pt idx="0">
                  <c:v>1048.25</c:v>
                </c:pt>
                <c:pt idx="1">
                  <c:v>121.41</c:v>
                </c:pt>
                <c:pt idx="2">
                  <c:v>90.85</c:v>
                </c:pt>
                <c:pt idx="3">
                  <c:v>275.41</c:v>
                </c:pt>
              </c:numCache>
            </c:numRef>
          </c:val>
        </c:ser>
        <c:dLbls>
          <c:showLegendKey val="0"/>
          <c:showVal val="0"/>
          <c:showCatName val="0"/>
          <c:showSerName val="0"/>
          <c:showPercent val="0"/>
          <c:showBubbleSize val="0"/>
        </c:dLbls>
        <c:gapWidth val="219"/>
        <c:overlap val="-27"/>
        <c:axId val="-172443552"/>
        <c:axId val="-172442464"/>
      </c:barChart>
      <c:catAx>
        <c:axId val="-17244355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2464"/>
        <c:crosses val="autoZero"/>
        <c:auto val="1"/>
        <c:lblAlgn val="ctr"/>
        <c:lblOffset val="100"/>
        <c:noMultiLvlLbl val="0"/>
      </c:catAx>
      <c:valAx>
        <c:axId val="-17244246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55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1e69a20f-b90e-416a-a06f-7253ffb75785}"/>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altLang="en-US"/>
              <a:t>一般公共服务支出</a:t>
            </a:r>
            <a:endParaRPr lang="en-US" sz="1100"/>
          </a:p>
        </c:rich>
      </c:tx>
      <c:layout/>
      <c:overlay val="0"/>
      <c:spPr>
        <a:noFill/>
        <a:ln>
          <a:noFill/>
        </a:ln>
        <a:effectLst/>
      </c:spPr>
    </c:title>
    <c:autoTitleDeleted val="0"/>
    <c:plotArea>
      <c:layout>
        <c:manualLayout>
          <c:layoutTarget val="inner"/>
          <c:xMode val="edge"/>
          <c:yMode val="edge"/>
          <c:x val="0.0872144174826167"/>
          <c:y val="0.184241706161137"/>
          <c:w val="0.879438058748404"/>
          <c:h val="0.645616113744076"/>
        </c:manualLayout>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Sheet1!$A$2:$A$7</c:f>
              <c:numCache>
                <c:formatCode>General</c:formatCode>
                <c:ptCount val="6"/>
                <c:pt idx="0">
                  <c:v>2011101</c:v>
                </c:pt>
                <c:pt idx="1">
                  <c:v>2011103</c:v>
                </c:pt>
                <c:pt idx="2">
                  <c:v>2011105</c:v>
                </c:pt>
                <c:pt idx="3">
                  <c:v>2011106</c:v>
                </c:pt>
                <c:pt idx="4">
                  <c:v>2011199</c:v>
                </c:pt>
                <c:pt idx="5">
                  <c:v>2012999</c:v>
                </c:pt>
              </c:numCache>
            </c:numRef>
          </c:cat>
          <c:val>
            <c:numRef>
              <c:f>Sheet1!$B$2:$B$7</c:f>
              <c:numCache>
                <c:formatCode>General</c:formatCode>
                <c:ptCount val="6"/>
                <c:pt idx="0">
                  <c:v>1172.12</c:v>
                </c:pt>
                <c:pt idx="1">
                  <c:v>2.5</c:v>
                </c:pt>
                <c:pt idx="2">
                  <c:v>4.85</c:v>
                </c:pt>
                <c:pt idx="3">
                  <c:v>19</c:v>
                </c:pt>
                <c:pt idx="4">
                  <c:v>40</c:v>
                </c:pt>
                <c:pt idx="5">
                  <c:v>16.47</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eafd8ad5-b5e8-4f92-980c-89d01d6fd481}"/>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社会保障和就业支出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c:f>
              <c:numCache>
                <c:formatCode>General</c:formatCode>
                <c:ptCount val="1"/>
                <c:pt idx="0">
                  <c:v>2080505</c:v>
                </c:pt>
              </c:numCache>
            </c:numRef>
          </c:cat>
          <c:val>
            <c:numRef>
              <c:f>Sheet1!$B$2</c:f>
              <c:numCache>
                <c:formatCode>General</c:formatCode>
                <c:ptCount val="1"/>
                <c:pt idx="0">
                  <c:v>132.32</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0fd5c683-62d7-4b07-9e1c-5177592f3506}"/>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altLang="en-US"/>
              <a:t>住房保障</a:t>
            </a:r>
            <a:r>
              <a:rPr lang="en-US"/>
              <a:t>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c:f>
              <c:numCache>
                <c:formatCode>General</c:formatCode>
                <c:ptCount val="1"/>
                <c:pt idx="0">
                  <c:v>2210201</c:v>
                </c:pt>
              </c:numCache>
            </c:numRef>
          </c:cat>
          <c:val>
            <c:numRef>
              <c:f>Sheet1!$B$2</c:f>
              <c:numCache>
                <c:formatCode>General</c:formatCode>
                <c:ptCount val="1"/>
                <c:pt idx="0">
                  <c:v>100.25</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dc72c562-6218-4766-8f8f-f33f6e565229}"/>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altLang="en-US"/>
              <a:t>其他</a:t>
            </a:r>
            <a:r>
              <a:rPr lang="en-US"/>
              <a:t>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c:f>
              <c:numCache>
                <c:formatCode>General</c:formatCode>
                <c:ptCount val="1"/>
                <c:pt idx="0">
                  <c:v>2299999</c:v>
                </c:pt>
              </c:numCache>
            </c:numRef>
          </c:cat>
          <c:val>
            <c:numRef>
              <c:f>Sheet1!$B$2</c:f>
              <c:numCache>
                <c:formatCode>General</c:formatCode>
                <c:ptCount val="1"/>
                <c:pt idx="0">
                  <c:v>242.57</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dd890df0-c7f3-4c05-a33d-334c3d303b48}"/>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工资福利支出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Sheet1!$A$2:$A$14</c:f>
              <c:numCache>
                <c:formatCode>General</c:formatCode>
                <c:ptCount val="13"/>
                <c:pt idx="0">
                  <c:v>30101</c:v>
                </c:pt>
                <c:pt idx="1">
                  <c:v>30102</c:v>
                </c:pt>
                <c:pt idx="2">
                  <c:v>30103</c:v>
                </c:pt>
                <c:pt idx="3">
                  <c:v>30106</c:v>
                </c:pt>
                <c:pt idx="4">
                  <c:v>30107</c:v>
                </c:pt>
                <c:pt idx="5">
                  <c:v>30108</c:v>
                </c:pt>
                <c:pt idx="6">
                  <c:v>30109</c:v>
                </c:pt>
                <c:pt idx="7">
                  <c:v>30110</c:v>
                </c:pt>
                <c:pt idx="8">
                  <c:v>30111</c:v>
                </c:pt>
                <c:pt idx="9">
                  <c:v>30112</c:v>
                </c:pt>
                <c:pt idx="10">
                  <c:v>30113</c:v>
                </c:pt>
                <c:pt idx="11">
                  <c:v>30114</c:v>
                </c:pt>
                <c:pt idx="12">
                  <c:v>30199</c:v>
                </c:pt>
              </c:numCache>
            </c:numRef>
          </c:cat>
          <c:val>
            <c:numRef>
              <c:f>Sheet1!$B$2:$B$14</c:f>
              <c:numCache>
                <c:formatCode>#,##0.00</c:formatCode>
                <c:ptCount val="13"/>
                <c:pt idx="0">
                  <c:v>372.57</c:v>
                </c:pt>
                <c:pt idx="1">
                  <c:v>287.96</c:v>
                </c:pt>
                <c:pt idx="2">
                  <c:v>341.13</c:v>
                </c:pt>
                <c:pt idx="3">
                  <c:v>15.3</c:v>
                </c:pt>
                <c:pt idx="4">
                  <c:v>3.03</c:v>
                </c:pt>
                <c:pt idx="5">
                  <c:v>132.32</c:v>
                </c:pt>
                <c:pt idx="6">
                  <c:v>0</c:v>
                </c:pt>
                <c:pt idx="7">
                  <c:v>54.14</c:v>
                </c:pt>
                <c:pt idx="8">
                  <c:v>0</c:v>
                </c:pt>
                <c:pt idx="9">
                  <c:v>6.81</c:v>
                </c:pt>
                <c:pt idx="10">
                  <c:v>100.25</c:v>
                </c:pt>
                <c:pt idx="11">
                  <c:v>0.5</c:v>
                </c:pt>
                <c:pt idx="12">
                  <c:v>1.19</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0.00"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e7c534fa-bee5-452c-86ae-a1942a5d2975}"/>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商品和服务支出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Sheet1!$A$2:$A$28</c:f>
              <c:numCache>
                <c:formatCode>General</c:formatCode>
                <c:ptCount val="27"/>
                <c:pt idx="0">
                  <c:v>30201</c:v>
                </c:pt>
                <c:pt idx="1">
                  <c:v>30202</c:v>
                </c:pt>
                <c:pt idx="2">
                  <c:v>30203</c:v>
                </c:pt>
                <c:pt idx="3">
                  <c:v>30204</c:v>
                </c:pt>
                <c:pt idx="4">
                  <c:v>30205</c:v>
                </c:pt>
                <c:pt idx="5">
                  <c:v>30206</c:v>
                </c:pt>
                <c:pt idx="6">
                  <c:v>30207</c:v>
                </c:pt>
                <c:pt idx="7">
                  <c:v>30208</c:v>
                </c:pt>
                <c:pt idx="8">
                  <c:v>30209</c:v>
                </c:pt>
                <c:pt idx="9">
                  <c:v>30211</c:v>
                </c:pt>
                <c:pt idx="10">
                  <c:v>30212</c:v>
                </c:pt>
                <c:pt idx="11">
                  <c:v>30213</c:v>
                </c:pt>
                <c:pt idx="12">
                  <c:v>30214</c:v>
                </c:pt>
                <c:pt idx="13">
                  <c:v>30215</c:v>
                </c:pt>
                <c:pt idx="14">
                  <c:v>30216</c:v>
                </c:pt>
                <c:pt idx="15">
                  <c:v>30217</c:v>
                </c:pt>
                <c:pt idx="16">
                  <c:v>30218</c:v>
                </c:pt>
                <c:pt idx="17">
                  <c:v>30224</c:v>
                </c:pt>
                <c:pt idx="18">
                  <c:v>30225</c:v>
                </c:pt>
                <c:pt idx="19">
                  <c:v>30226</c:v>
                </c:pt>
                <c:pt idx="20">
                  <c:v>30227</c:v>
                </c:pt>
                <c:pt idx="21">
                  <c:v>30228</c:v>
                </c:pt>
                <c:pt idx="22">
                  <c:v>30229</c:v>
                </c:pt>
                <c:pt idx="23">
                  <c:v>30231</c:v>
                </c:pt>
                <c:pt idx="24">
                  <c:v>30239</c:v>
                </c:pt>
                <c:pt idx="25">
                  <c:v>30240</c:v>
                </c:pt>
                <c:pt idx="26">
                  <c:v>30299</c:v>
                </c:pt>
              </c:numCache>
            </c:numRef>
          </c:cat>
          <c:val>
            <c:numRef>
              <c:f>Sheet1!$B$2:$B$28</c:f>
              <c:numCache>
                <c:formatCode>#,##0.00</c:formatCode>
                <c:ptCount val="27"/>
                <c:pt idx="0">
                  <c:v>4.2</c:v>
                </c:pt>
                <c:pt idx="1">
                  <c:v>0.44</c:v>
                </c:pt>
                <c:pt idx="2">
                  <c:v>0</c:v>
                </c:pt>
                <c:pt idx="3">
                  <c:v>0</c:v>
                </c:pt>
                <c:pt idx="4">
                  <c:v>0.07</c:v>
                </c:pt>
                <c:pt idx="5">
                  <c:v>0.11</c:v>
                </c:pt>
                <c:pt idx="6">
                  <c:v>11.87</c:v>
                </c:pt>
                <c:pt idx="7">
                  <c:v>0</c:v>
                </c:pt>
                <c:pt idx="8">
                  <c:v>0.69</c:v>
                </c:pt>
                <c:pt idx="9">
                  <c:v>6.37</c:v>
                </c:pt>
                <c:pt idx="10">
                  <c:v>0</c:v>
                </c:pt>
                <c:pt idx="11">
                  <c:v>0</c:v>
                </c:pt>
                <c:pt idx="12">
                  <c:v>0</c:v>
                </c:pt>
                <c:pt idx="13">
                  <c:v>0</c:v>
                </c:pt>
                <c:pt idx="14">
                  <c:v>0</c:v>
                </c:pt>
                <c:pt idx="15">
                  <c:v>0</c:v>
                </c:pt>
                <c:pt idx="16">
                  <c:v>0.44</c:v>
                </c:pt>
                <c:pt idx="17">
                  <c:v>0</c:v>
                </c:pt>
                <c:pt idx="18">
                  <c:v>0</c:v>
                </c:pt>
                <c:pt idx="19">
                  <c:v>3.22</c:v>
                </c:pt>
                <c:pt idx="20">
                  <c:v>0</c:v>
                </c:pt>
                <c:pt idx="21">
                  <c:v>17.64</c:v>
                </c:pt>
                <c:pt idx="22">
                  <c:v>0</c:v>
                </c:pt>
                <c:pt idx="23">
                  <c:v>14.32</c:v>
                </c:pt>
                <c:pt idx="24">
                  <c:v>1.78</c:v>
                </c:pt>
                <c:pt idx="25">
                  <c:v>0</c:v>
                </c:pt>
                <c:pt idx="26">
                  <c:v>0.32</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0.00"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3e3e4fcd-9752-4230-bbdd-dd4cd2eaa4fd}"/>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对个人和家庭的补助</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Sheet1!$A$2:$A$13</c:f>
              <c:strCache>
                <c:ptCount val="12"/>
                <c:pt idx="0">
                  <c:v>30301</c:v>
                </c:pt>
                <c:pt idx="1">
                  <c:v>30302</c:v>
                </c:pt>
                <c:pt idx="2">
                  <c:v>30303</c:v>
                </c:pt>
                <c:pt idx="3">
                  <c:v>30304</c:v>
                </c:pt>
                <c:pt idx="4">
                  <c:v>30305</c:v>
                </c:pt>
                <c:pt idx="5">
                  <c:v>30306</c:v>
                </c:pt>
                <c:pt idx="6">
                  <c:v>30307</c:v>
                </c:pt>
                <c:pt idx="7">
                  <c:v>30308</c:v>
                </c:pt>
                <c:pt idx="8">
                  <c:v>30309</c:v>
                </c:pt>
                <c:pt idx="9">
                  <c:v>30310</c:v>
                </c:pt>
                <c:pt idx="10">
                  <c:v>30311</c:v>
                </c:pt>
                <c:pt idx="11">
                  <c:v>30399</c:v>
                </c:pt>
              </c:strCache>
            </c:strRef>
          </c:cat>
          <c:val>
            <c:numRef>
              <c:f>Sheet1!$B$2:$B$13</c:f>
              <c:numCache>
                <c:formatCode>General</c:formatCode>
                <c:ptCount val="12"/>
                <c:pt idx="0">
                  <c:v>15.22</c:v>
                </c:pt>
                <c:pt idx="1">
                  <c:v>0.76</c:v>
                </c:pt>
                <c:pt idx="2">
                  <c:v>0</c:v>
                </c:pt>
                <c:pt idx="3">
                  <c:v>0</c:v>
                </c:pt>
                <c:pt idx="4">
                  <c:v>3.75</c:v>
                </c:pt>
                <c:pt idx="5">
                  <c:v>0</c:v>
                </c:pt>
                <c:pt idx="6">
                  <c:v>0</c:v>
                </c:pt>
                <c:pt idx="7">
                  <c:v>0</c:v>
                </c:pt>
                <c:pt idx="8">
                  <c:v>0</c:v>
                </c:pt>
                <c:pt idx="9">
                  <c:v>0</c:v>
                </c:pt>
                <c:pt idx="10">
                  <c:v>0</c:v>
                </c:pt>
                <c:pt idx="11">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3efdb1e9-48fc-47be-9a3a-2d9159a53c7f}"/>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A0CACF-E88F-4774-9588-59B2C8C8876C}">
  <ds:schemaRefs/>
</ds:datastoreItem>
</file>

<file path=docProps/app.xml><?xml version="1.0" encoding="utf-8"?>
<Properties xmlns="http://schemas.openxmlformats.org/officeDocument/2006/extended-properties" xmlns:vt="http://schemas.openxmlformats.org/officeDocument/2006/docPropsVTypes">
  <Template>Normal.dotm</Template>
  <Pages>32</Pages>
  <Words>2634</Words>
  <Characters>3765</Characters>
  <Lines>90</Lines>
  <Paragraphs>25</Paragraphs>
  <TotalTime>14</TotalTime>
  <ScaleCrop>false</ScaleCrop>
  <LinksUpToDate>false</LinksUpToDate>
  <CharactersWithSpaces>3814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2023-08-17T02:06:00Z</dcterms:created>
  <dc:creator>C D D</dc:creator>
  <cp:lastModifiedBy>WPS_1688032121</cp:lastModifiedBy>
  <dcterms:modified xsi:type="dcterms:W3CDTF">2025-01-20T08:23:49Z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1EDD3126127D4A409006C615CCAEFDC1</vt:lpwstr>
  </property>
  <property fmtid="{D5CDD505-2E9C-101B-9397-08002B2CF9AE}" pid="4" name="KSOTemplateDocerSaveRecord">
    <vt:lpwstr>eyJoZGlkIjoiNDk4YmI2MTU3YjQ5NGM1NGE3NDFiZTVhMWYwZDRiNDciLCJ1c2VySWQiOiIxNTA2MTczMDY4In0=</vt:lpwstr>
  </property>
</Properties>
</file>