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lang w:val="en-US" w:eastAsia="zh-CN"/>
        </w:rPr>
        <w:t>环江毛南族自治县司法局</w:t>
      </w:r>
      <w:r>
        <w:rPr>
          <w:rFonts w:hint="eastAsia" w:ascii="黑体" w:hAnsi="黑体" w:eastAsia="黑体" w:cs="黑体"/>
          <w:b/>
          <w:bCs/>
          <w:sz w:val="52"/>
          <w:szCs w:val="52"/>
          <w:highlight w:val="none"/>
        </w:rPr>
        <w:t>202</w:t>
      </w:r>
      <w:r>
        <w:rPr>
          <w:rFonts w:hint="eastAsia" w:ascii="黑体" w:hAnsi="黑体" w:eastAsia="黑体" w:cs="黑体"/>
          <w:b/>
          <w:bCs/>
          <w:sz w:val="52"/>
          <w:szCs w:val="52"/>
          <w:highlight w:val="none"/>
          <w:lang w:val="en-US" w:eastAsia="zh-CN"/>
        </w:rPr>
        <w:t>3</w:t>
      </w:r>
      <w:r>
        <w:rPr>
          <w:rFonts w:hint="eastAsia" w:ascii="黑体" w:hAnsi="黑体" w:eastAsia="黑体" w:cs="黑体"/>
          <w:b/>
          <w:bCs/>
          <w:sz w:val="52"/>
          <w:szCs w:val="52"/>
          <w:highlight w:val="none"/>
        </w:rPr>
        <w:t>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202</w:t>
      </w:r>
      <w:r>
        <w:rPr>
          <w:rFonts w:hint="eastAsia" w:ascii="黑体" w:hAnsi="黑体" w:eastAsia="黑体" w:cs="黑体"/>
          <w:b/>
          <w:bCs/>
          <w:sz w:val="36"/>
          <w:szCs w:val="36"/>
          <w:highlight w:val="none"/>
          <w:lang w:val="en-US" w:eastAsia="zh-CN"/>
        </w:rPr>
        <w:t>4</w:t>
      </w:r>
      <w:r>
        <w:rPr>
          <w:rFonts w:hint="eastAsia" w:ascii="黑体" w:hAnsi="黑体" w:eastAsia="黑体" w:cs="黑体"/>
          <w:b/>
          <w:bCs/>
          <w:sz w:val="36"/>
          <w:szCs w:val="36"/>
          <w:highlight w:val="none"/>
        </w:rPr>
        <w:t>年</w:t>
      </w:r>
      <w:r>
        <w:rPr>
          <w:rFonts w:hint="eastAsia" w:ascii="黑体" w:hAnsi="黑体" w:eastAsia="黑体" w:cs="黑体"/>
          <w:b/>
          <w:bCs/>
          <w:sz w:val="36"/>
          <w:szCs w:val="36"/>
          <w:highlight w:val="none"/>
          <w:lang w:val="en-US" w:eastAsia="zh-CN"/>
        </w:rPr>
        <w:t>12</w:t>
      </w:r>
      <w:r>
        <w:rPr>
          <w:rFonts w:hint="eastAsia" w:ascii="黑体" w:hAnsi="黑体" w:eastAsia="黑体" w:cs="黑体"/>
          <w:b/>
          <w:bCs/>
          <w:sz w:val="36"/>
          <w:szCs w:val="36"/>
          <w:highlight w:val="none"/>
        </w:rPr>
        <w:t>月</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hint="eastAsia" w:ascii="黑体" w:hAnsi="黑体" w:eastAsia="黑体" w:cs="黑体"/>
          <w:sz w:val="32"/>
          <w:szCs w:val="32"/>
          <w:highlight w:val="none"/>
          <w:lang w:val="en-US" w:eastAsia="zh-CN"/>
        </w:rPr>
        <w:t>环江毛南族自治县司法局</w:t>
      </w:r>
      <w:r>
        <w:rPr>
          <w:rFonts w:hint="eastAsia" w:ascii="黑体" w:hAnsi="黑体" w:eastAsia="黑体" w:cs="黑体"/>
          <w:sz w:val="32"/>
          <w:szCs w:val="32"/>
          <w:highlight w:val="none"/>
        </w:rPr>
        <w:t>概况</w:t>
      </w:r>
    </w:p>
    <w:p>
      <w:pPr>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一、</w:t>
      </w:r>
      <w:r>
        <w:rPr>
          <w:rFonts w:hint="eastAsia" w:ascii="仿宋" w:hAnsi="仿宋" w:eastAsia="仿宋" w:cs="仿宋"/>
          <w:sz w:val="32"/>
          <w:szCs w:val="32"/>
          <w:highlight w:val="none"/>
          <w:lang w:val="en-US" w:eastAsia="zh-CN"/>
        </w:rPr>
        <w:t xml:space="preserve">本部门职责 </w:t>
      </w:r>
    </w:p>
    <w:p>
      <w:pPr>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二、</w:t>
      </w:r>
      <w:r>
        <w:rPr>
          <w:rFonts w:hint="eastAsia" w:ascii="仿宋" w:hAnsi="仿宋" w:eastAsia="仿宋" w:cs="仿宋"/>
          <w:sz w:val="32"/>
          <w:szCs w:val="32"/>
          <w:highlight w:val="none"/>
          <w:lang w:val="en-US" w:eastAsia="zh-CN"/>
        </w:rPr>
        <w:t>机构设置情况</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val="en-US" w:eastAsia="zh-CN"/>
        </w:rPr>
        <w:t>环江毛南族自治县司法局</w:t>
      </w:r>
      <w:r>
        <w:rPr>
          <w:rFonts w:hint="eastAsia" w:ascii="黑体" w:hAnsi="黑体" w:eastAsia="黑体" w:cs="黑体"/>
          <w:sz w:val="32"/>
          <w:szCs w:val="32"/>
          <w:highlight w:val="none"/>
        </w:rPr>
        <w:t>2022年度部门决算报表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表九：财政拨款安排的“三公”经费支出决算表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val="en-US" w:eastAsia="zh-CN"/>
        </w:rPr>
        <w:t>环江毛南族自治县司法局</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3</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23</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三、20</w:t>
      </w:r>
      <w:r>
        <w:rPr>
          <w:rFonts w:hint="eastAsia" w:ascii="仿宋_GB2312" w:eastAsia="仿宋_GB2312" w:cs="仿宋_GB2312"/>
          <w:kern w:val="0"/>
          <w:sz w:val="32"/>
          <w:szCs w:val="32"/>
          <w:highlight w:val="none"/>
          <w:lang w:val="en-US" w:eastAsia="zh-CN"/>
        </w:rPr>
        <w:t>23</w:t>
      </w:r>
      <w:r>
        <w:rPr>
          <w:rFonts w:hint="eastAsia" w:ascii="仿宋_GB2312" w:eastAsia="仿宋_GB2312" w:cs="仿宋_GB2312"/>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23</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五、20</w:t>
      </w:r>
      <w:r>
        <w:rPr>
          <w:rFonts w:hint="eastAsia" w:ascii="仿宋_GB2312" w:eastAsia="仿宋_GB2312" w:cs="仿宋_GB2312"/>
          <w:kern w:val="0"/>
          <w:sz w:val="32"/>
          <w:szCs w:val="32"/>
          <w:highlight w:val="none"/>
          <w:lang w:val="en-US" w:eastAsia="zh-CN"/>
        </w:rPr>
        <w:t>23</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六、财政拨款安排的“三公”经费支出决算情况说明。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jc w:val="left"/>
        <w:rPr>
          <w:rFonts w:hint="eastAsia" w:ascii="仿宋_GB2312" w:eastAsia="仿宋_GB2312" w:cs="仿宋_GB2312"/>
          <w:kern w:val="0"/>
          <w:sz w:val="32"/>
          <w:szCs w:val="32"/>
          <w:highlight w:val="none"/>
          <w:lang w:eastAsia="zh-CN"/>
        </w:rPr>
      </w:pPr>
      <w:r>
        <w:rPr>
          <w:rFonts w:hint="default" w:ascii="仿宋_GB2312" w:eastAsia="仿宋_GB2312" w:cs="仿宋_GB2312"/>
          <w:kern w:val="0"/>
          <w:sz w:val="32"/>
          <w:szCs w:val="32"/>
          <w:highlight w:val="none"/>
        </w:rPr>
        <w:t>八、预算绩效管理工作开展情况</w:t>
      </w:r>
      <w:r>
        <w:rPr>
          <w:rFonts w:hint="eastAsia" w:ascii="仿宋_GB2312" w:eastAsia="仿宋_GB2312" w:cs="仿宋_GB2312"/>
          <w:kern w:val="0"/>
          <w:sz w:val="32"/>
          <w:szCs w:val="32"/>
          <w:highlight w:val="none"/>
          <w:lang w:eastAsia="zh-CN"/>
        </w:rPr>
        <w:t>。</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hint="eastAsia" w:ascii="黑体" w:hAnsi="黑体" w:eastAsia="黑体" w:cs="黑体"/>
          <w:b/>
          <w:sz w:val="32"/>
          <w:u w:color="auto"/>
          <w:lang w:val="en-US" w:eastAsia="zh-CN"/>
        </w:rPr>
        <w:t>环江毛南族自治县司法局</w:t>
      </w:r>
      <w:r>
        <w:rPr>
          <w:rFonts w:hint="eastAsia" w:ascii="黑体" w:hAnsi="黑体" w:eastAsia="黑体" w:cs="黑体"/>
          <w:b/>
          <w:bCs/>
          <w:sz w:val="32"/>
          <w:szCs w:val="32"/>
          <w:highlight w:val="none"/>
        </w:rPr>
        <w:t>概况</w:t>
      </w:r>
    </w:p>
    <w:p>
      <w:pPr>
        <w:jc w:val="left"/>
        <w:rPr>
          <w:rFonts w:hint="default" w:ascii="仿宋" w:hAnsi="仿宋" w:eastAsia="黑体" w:cs="仿宋"/>
          <w:sz w:val="32"/>
          <w:szCs w:val="32"/>
          <w:highlight w:val="none"/>
          <w:lang w:val="en-US" w:eastAsia="zh-CN"/>
        </w:rPr>
      </w:pPr>
      <w:r>
        <w:rPr>
          <w:rFonts w:hint="eastAsia" w:ascii="黑体" w:hAnsi="黑体" w:eastAsia="黑体" w:cs="黑体"/>
          <w:sz w:val="32"/>
          <w:szCs w:val="32"/>
          <w:highlight w:val="none"/>
        </w:rPr>
        <w:t>一、</w:t>
      </w:r>
      <w:r>
        <w:rPr>
          <w:rFonts w:hint="eastAsia" w:ascii="黑体" w:hAnsi="黑体" w:eastAsia="黑体" w:cs="黑体"/>
          <w:sz w:val="32"/>
          <w:szCs w:val="32"/>
          <w:highlight w:val="none"/>
          <w:lang w:val="en-US" w:eastAsia="zh-CN"/>
        </w:rPr>
        <w:t>本部门职责</w:t>
      </w:r>
    </w:p>
    <w:p>
      <w:pPr>
        <w:ind w:left="645"/>
        <w:rPr>
          <w:rFonts w:hint="eastAsia" w:ascii="仿宋_GB2312" w:eastAsia="仿宋_GB2312" w:cs="Times New Roman"/>
          <w:sz w:val="32"/>
          <w:szCs w:val="32"/>
        </w:rPr>
      </w:pPr>
      <w:r>
        <w:rPr>
          <w:rFonts w:hint="eastAsia" w:ascii="仿宋_GB2312" w:eastAsia="仿宋_GB2312" w:cs="Times New Roman"/>
          <w:sz w:val="32"/>
          <w:szCs w:val="32"/>
          <w:lang w:val="en-US" w:eastAsia="zh-CN"/>
        </w:rPr>
        <w:t>1、</w:t>
      </w:r>
      <w:r>
        <w:rPr>
          <w:rFonts w:hint="eastAsia" w:ascii="仿宋_GB2312" w:eastAsia="仿宋_GB2312" w:cs="Times New Roman"/>
          <w:sz w:val="32"/>
          <w:szCs w:val="32"/>
        </w:rPr>
        <w:t>贯彻执行国家司法行政工作的方针、政策和法律、法规规定的工作职责，研究制定全县司法行政工作的中长期发展规划、年度工作计划并组织实施。</w:t>
      </w:r>
    </w:p>
    <w:p>
      <w:pPr>
        <w:ind w:left="645"/>
        <w:rPr>
          <w:rFonts w:hint="eastAsia" w:ascii="仿宋_GB2312" w:eastAsia="仿宋_GB2312" w:cs="Times New Roman"/>
          <w:sz w:val="32"/>
          <w:szCs w:val="32"/>
        </w:rPr>
      </w:pPr>
      <w:r>
        <w:rPr>
          <w:rFonts w:hint="eastAsia" w:ascii="仿宋_GB2312" w:eastAsia="仿宋_GB2312" w:cs="Times New Roman"/>
          <w:sz w:val="32"/>
          <w:szCs w:val="32"/>
          <w:lang w:val="en-US" w:eastAsia="zh-CN"/>
        </w:rPr>
        <w:t>2、</w:t>
      </w:r>
      <w:r>
        <w:rPr>
          <w:rFonts w:hint="eastAsia" w:ascii="仿宋_GB2312" w:eastAsia="仿宋_GB2312" w:cs="Times New Roman"/>
          <w:sz w:val="32"/>
          <w:szCs w:val="32"/>
        </w:rPr>
        <w:t>拟订本县普法依法治理工作规划报党委、政府通过后组织实施，承担县依法治县领导小组办公室的日常工作。</w:t>
      </w:r>
    </w:p>
    <w:p>
      <w:pPr>
        <w:ind w:left="645"/>
        <w:rPr>
          <w:rFonts w:hint="eastAsia" w:ascii="仿宋_GB2312" w:eastAsia="仿宋_GB2312" w:cs="Times New Roman"/>
          <w:sz w:val="32"/>
          <w:szCs w:val="32"/>
        </w:rPr>
      </w:pPr>
      <w:r>
        <w:rPr>
          <w:rFonts w:hint="eastAsia" w:ascii="仿宋_GB2312" w:eastAsia="仿宋_GB2312" w:cs="Times New Roman"/>
          <w:sz w:val="32"/>
          <w:szCs w:val="32"/>
          <w:lang w:val="en-US" w:eastAsia="zh-CN"/>
        </w:rPr>
        <w:t>3、</w:t>
      </w:r>
      <w:r>
        <w:rPr>
          <w:rFonts w:hint="eastAsia" w:ascii="仿宋_GB2312" w:eastAsia="仿宋_GB2312" w:cs="Times New Roman"/>
          <w:sz w:val="32"/>
          <w:szCs w:val="32"/>
        </w:rPr>
        <w:t>指导管理全县基层司法所、人民调解和基层法律服务工作，参与重大疑难民间纠纷调解处理工作。</w:t>
      </w:r>
    </w:p>
    <w:p>
      <w:pPr>
        <w:ind w:left="645"/>
        <w:rPr>
          <w:rFonts w:hint="eastAsia" w:ascii="仿宋_GB2312" w:eastAsia="仿宋_GB2312" w:cs="Times New Roman"/>
          <w:sz w:val="32"/>
          <w:szCs w:val="32"/>
        </w:rPr>
      </w:pPr>
      <w:r>
        <w:rPr>
          <w:rFonts w:hint="eastAsia" w:ascii="仿宋_GB2312" w:eastAsia="仿宋_GB2312" w:cs="Times New Roman"/>
          <w:sz w:val="32"/>
          <w:szCs w:val="32"/>
          <w:lang w:val="en-US" w:eastAsia="zh-CN"/>
        </w:rPr>
        <w:t>4、</w:t>
      </w:r>
      <w:r>
        <w:rPr>
          <w:rFonts w:hint="eastAsia" w:ascii="仿宋_GB2312" w:eastAsia="仿宋_GB2312" w:cs="Times New Roman"/>
          <w:sz w:val="32"/>
          <w:szCs w:val="32"/>
        </w:rPr>
        <w:t>指导、监督、管理全县社区矫正工作，承担县社区矫正工作领导小组办公室的日常工作。</w:t>
      </w:r>
    </w:p>
    <w:p>
      <w:pPr>
        <w:ind w:left="645"/>
        <w:rPr>
          <w:rFonts w:hint="eastAsia" w:ascii="仿宋_GB2312" w:eastAsia="仿宋_GB2312" w:cs="Times New Roman"/>
          <w:sz w:val="32"/>
          <w:szCs w:val="32"/>
        </w:rPr>
      </w:pPr>
      <w:r>
        <w:rPr>
          <w:rFonts w:hint="eastAsia" w:ascii="仿宋_GB2312" w:eastAsia="仿宋_GB2312" w:cs="Times New Roman"/>
          <w:sz w:val="32"/>
          <w:szCs w:val="32"/>
          <w:lang w:val="en-US" w:eastAsia="zh-CN"/>
        </w:rPr>
        <w:t>5、</w:t>
      </w:r>
      <w:r>
        <w:rPr>
          <w:rFonts w:hint="eastAsia" w:ascii="仿宋_GB2312" w:eastAsia="仿宋_GB2312" w:cs="Times New Roman"/>
          <w:sz w:val="32"/>
          <w:szCs w:val="32"/>
        </w:rPr>
        <w:t>指导管理全县刑释解教人员的安置帮教工作，承担县刑释解教人员安置帮教工作领导小组办公室的日常工作。</w:t>
      </w:r>
    </w:p>
    <w:p>
      <w:pPr>
        <w:ind w:left="645"/>
        <w:rPr>
          <w:rFonts w:hint="eastAsia" w:ascii="仿宋_GB2312" w:eastAsia="仿宋_GB2312" w:cs="Times New Roman"/>
          <w:sz w:val="32"/>
          <w:szCs w:val="32"/>
        </w:rPr>
      </w:pPr>
      <w:r>
        <w:rPr>
          <w:rFonts w:hint="eastAsia" w:ascii="仿宋_GB2312" w:eastAsia="仿宋_GB2312" w:cs="Times New Roman"/>
          <w:sz w:val="32"/>
          <w:szCs w:val="32"/>
          <w:lang w:val="en-US" w:eastAsia="zh-CN"/>
        </w:rPr>
        <w:t>6、</w:t>
      </w:r>
      <w:r>
        <w:rPr>
          <w:rFonts w:hint="eastAsia" w:ascii="仿宋_GB2312" w:eastAsia="仿宋_GB2312" w:cs="Times New Roman"/>
          <w:sz w:val="32"/>
          <w:szCs w:val="32"/>
        </w:rPr>
        <w:t>指导管理全县公证机构和公证业务工作。</w:t>
      </w:r>
    </w:p>
    <w:p>
      <w:pPr>
        <w:ind w:left="645"/>
        <w:rPr>
          <w:rFonts w:hint="eastAsia" w:ascii="仿宋_GB2312" w:eastAsia="仿宋_GB2312" w:cs="Times New Roman"/>
          <w:sz w:val="32"/>
          <w:szCs w:val="32"/>
        </w:rPr>
      </w:pPr>
      <w:r>
        <w:rPr>
          <w:rFonts w:hint="eastAsia" w:ascii="仿宋_GB2312" w:eastAsia="仿宋_GB2312" w:cs="Times New Roman"/>
          <w:sz w:val="32"/>
          <w:szCs w:val="32"/>
          <w:lang w:val="en-US" w:eastAsia="zh-CN"/>
        </w:rPr>
        <w:t>7、</w:t>
      </w:r>
      <w:r>
        <w:rPr>
          <w:rFonts w:hint="eastAsia" w:ascii="仿宋_GB2312" w:eastAsia="仿宋_GB2312" w:cs="Times New Roman"/>
          <w:sz w:val="32"/>
          <w:szCs w:val="32"/>
        </w:rPr>
        <w:t>指导管理全县律师和律师事务所的工作。</w:t>
      </w:r>
    </w:p>
    <w:p>
      <w:pPr>
        <w:ind w:left="645"/>
        <w:rPr>
          <w:rFonts w:hint="eastAsia" w:ascii="仿宋_GB2312" w:eastAsia="仿宋_GB2312" w:cs="Times New Roman"/>
          <w:sz w:val="32"/>
          <w:szCs w:val="32"/>
        </w:rPr>
      </w:pPr>
      <w:r>
        <w:rPr>
          <w:rFonts w:hint="eastAsia" w:ascii="仿宋_GB2312" w:eastAsia="仿宋_GB2312" w:cs="Times New Roman"/>
          <w:sz w:val="32"/>
          <w:szCs w:val="32"/>
          <w:lang w:val="en-US" w:eastAsia="zh-CN"/>
        </w:rPr>
        <w:t>8、</w:t>
      </w:r>
      <w:r>
        <w:rPr>
          <w:rFonts w:hint="eastAsia" w:ascii="仿宋_GB2312" w:eastAsia="仿宋_GB2312" w:cs="Times New Roman"/>
          <w:sz w:val="32"/>
          <w:szCs w:val="32"/>
        </w:rPr>
        <w:t>指导管理全县法律援助工作。　　</w:t>
      </w:r>
    </w:p>
    <w:p>
      <w:pPr>
        <w:ind w:left="645"/>
        <w:rPr>
          <w:rFonts w:hint="eastAsia" w:ascii="仿宋_GB2312" w:eastAsia="仿宋_GB2312" w:cs="Times New Roman"/>
          <w:sz w:val="32"/>
          <w:szCs w:val="32"/>
        </w:rPr>
      </w:pPr>
      <w:r>
        <w:rPr>
          <w:rFonts w:hint="eastAsia" w:ascii="仿宋_GB2312" w:eastAsia="仿宋_GB2312" w:cs="Times New Roman"/>
          <w:sz w:val="32"/>
          <w:szCs w:val="32"/>
          <w:lang w:val="en-US" w:eastAsia="zh-CN"/>
        </w:rPr>
        <w:t>9、</w:t>
      </w:r>
      <w:r>
        <w:rPr>
          <w:rFonts w:hint="eastAsia" w:ascii="仿宋_GB2312" w:eastAsia="仿宋_GB2312" w:cs="Times New Roman"/>
          <w:sz w:val="32"/>
          <w:szCs w:val="32"/>
        </w:rPr>
        <w:t>指导管理全县面向社会服务的司法鉴定工作。</w:t>
      </w:r>
    </w:p>
    <w:p>
      <w:pPr>
        <w:ind w:left="645"/>
        <w:rPr>
          <w:rFonts w:hint="eastAsia" w:ascii="仿宋_GB2312" w:eastAsia="仿宋_GB2312" w:cs="Times New Roman"/>
          <w:sz w:val="32"/>
          <w:szCs w:val="32"/>
        </w:rPr>
      </w:pPr>
      <w:r>
        <w:rPr>
          <w:rFonts w:hint="eastAsia" w:ascii="仿宋_GB2312" w:eastAsia="仿宋_GB2312" w:cs="Times New Roman"/>
          <w:sz w:val="32"/>
          <w:szCs w:val="32"/>
          <w:lang w:val="en-US" w:eastAsia="zh-CN"/>
        </w:rPr>
        <w:t>10、</w:t>
      </w:r>
      <w:r>
        <w:rPr>
          <w:rFonts w:hint="eastAsia" w:ascii="仿宋_GB2312" w:eastAsia="仿宋_GB2312" w:cs="Times New Roman"/>
          <w:sz w:val="32"/>
          <w:szCs w:val="32"/>
        </w:rPr>
        <w:t>参与地方性法规、规章的草拟工作，管理系统内部法制建设，承担司法行政应诉工作。</w:t>
      </w:r>
    </w:p>
    <w:p>
      <w:pPr>
        <w:ind w:left="645"/>
        <w:rPr>
          <w:rFonts w:hint="eastAsia" w:ascii="仿宋_GB2312" w:eastAsia="仿宋_GB2312" w:cs="Times New Roman"/>
          <w:sz w:val="32"/>
          <w:szCs w:val="32"/>
        </w:rPr>
      </w:pPr>
      <w:r>
        <w:rPr>
          <w:rFonts w:hint="eastAsia" w:ascii="仿宋_GB2312" w:eastAsia="仿宋_GB2312" w:cs="Times New Roman"/>
          <w:sz w:val="32"/>
          <w:szCs w:val="32"/>
          <w:lang w:val="en-US" w:eastAsia="zh-CN"/>
        </w:rPr>
        <w:t>11、</w:t>
      </w:r>
      <w:r>
        <w:rPr>
          <w:rFonts w:hint="eastAsia" w:ascii="仿宋_GB2312" w:eastAsia="仿宋_GB2312" w:cs="Times New Roman"/>
          <w:sz w:val="32"/>
          <w:szCs w:val="32"/>
        </w:rPr>
        <w:t>负责全县司法行政系统的队伍建设和思想政治工作，管理机关和直属单位的人事工作，负责全县司法行政系统警务管理和警务督察工作。</w:t>
      </w:r>
    </w:p>
    <w:p>
      <w:pPr>
        <w:ind w:left="645"/>
        <w:rPr>
          <w:rFonts w:hint="eastAsia" w:ascii="仿宋_GB2312" w:eastAsia="仿宋_GB2312" w:cs="Times New Roman"/>
          <w:sz w:val="32"/>
          <w:szCs w:val="32"/>
        </w:rPr>
      </w:pPr>
      <w:r>
        <w:rPr>
          <w:rFonts w:hint="eastAsia" w:ascii="仿宋_GB2312" w:eastAsia="仿宋_GB2312" w:cs="Times New Roman"/>
          <w:sz w:val="32"/>
          <w:szCs w:val="32"/>
          <w:lang w:val="en-US" w:eastAsia="zh-CN"/>
        </w:rPr>
        <w:t>12、</w:t>
      </w:r>
      <w:r>
        <w:rPr>
          <w:rFonts w:hint="eastAsia" w:ascii="仿宋_GB2312" w:eastAsia="仿宋_GB2312" w:cs="Times New Roman"/>
          <w:sz w:val="32"/>
          <w:szCs w:val="32"/>
        </w:rPr>
        <w:t>承办县人民政府和上级业务主管部门交办的其他工作事项。</w:t>
      </w:r>
    </w:p>
    <w:p>
      <w:pPr>
        <w:jc w:val="left"/>
        <w:rPr>
          <w:rFonts w:hint="eastAsia" w:ascii="仿宋_GB2312" w:eastAsia="仿宋_GB2312" w:cs="Times New Roman"/>
          <w:sz w:val="32"/>
          <w:szCs w:val="32"/>
        </w:rPr>
      </w:pPr>
      <w:r>
        <w:rPr>
          <w:rFonts w:hint="eastAsia" w:ascii="仿宋_GB2312" w:eastAsia="仿宋_GB2312" w:cs="Times New Roman"/>
          <w:sz w:val="32"/>
          <w:szCs w:val="32"/>
          <w:lang w:val="en-US" w:eastAsia="zh-CN"/>
        </w:rPr>
        <w:t>13、</w:t>
      </w:r>
      <w:r>
        <w:rPr>
          <w:rFonts w:hint="eastAsia" w:ascii="仿宋_GB2312" w:eastAsia="仿宋_GB2312" w:cs="Times New Roman"/>
          <w:sz w:val="32"/>
          <w:szCs w:val="32"/>
        </w:rPr>
        <w:t>承办自治区人民政府交办的其他事项。</w:t>
      </w:r>
    </w:p>
    <w:p>
      <w:pPr>
        <w:jc w:val="left"/>
        <w:rPr>
          <w:rFonts w:hint="default" w:ascii="仿宋" w:hAnsi="仿宋" w:eastAsia="黑体" w:cs="仿宋"/>
          <w:sz w:val="32"/>
          <w:szCs w:val="32"/>
          <w:highlight w:val="none"/>
          <w:lang w:val="en-US" w:eastAsia="zh-CN"/>
        </w:rPr>
      </w:pPr>
      <w:r>
        <w:rPr>
          <w:rFonts w:hint="eastAsia" w:ascii="黑体" w:hAnsi="黑体" w:eastAsia="黑体" w:cs="黑体"/>
          <w:sz w:val="32"/>
          <w:szCs w:val="32"/>
          <w:highlight w:val="none"/>
        </w:rPr>
        <w:t>二、</w:t>
      </w:r>
      <w:r>
        <w:rPr>
          <w:rFonts w:hint="eastAsia" w:ascii="黑体" w:hAnsi="黑体" w:eastAsia="黑体" w:cs="黑体"/>
          <w:sz w:val="32"/>
          <w:szCs w:val="32"/>
          <w:highlight w:val="none"/>
          <w:lang w:val="en-US" w:eastAsia="zh-CN"/>
        </w:rPr>
        <w:t>机构设置情况</w:t>
      </w:r>
    </w:p>
    <w:p>
      <w:pPr>
        <w:spacing w:line="568" w:lineRule="exact"/>
        <w:ind w:firstLine="640" w:firstLineChars="200"/>
        <w:rPr>
          <w:rFonts w:hint="eastAsia" w:ascii="仿宋_GB2312" w:eastAsia="仿宋_GB2312"/>
          <w:color w:val="auto"/>
          <w:sz w:val="32"/>
          <w:szCs w:val="32"/>
          <w:lang w:eastAsia="zh-CN"/>
        </w:rPr>
      </w:pPr>
      <w:r>
        <w:rPr>
          <w:rFonts w:hint="eastAsia" w:ascii="仿宋_GB2312" w:eastAsia="仿宋_GB2312"/>
          <w:sz w:val="32"/>
          <w:szCs w:val="32"/>
        </w:rPr>
        <w:t>根据上述职责，司法局设5个内设机构。</w:t>
      </w:r>
      <w:r>
        <w:rPr>
          <w:rFonts w:hint="eastAsia" w:ascii="仿宋_GB2312" w:eastAsia="仿宋_GB2312"/>
          <w:color w:val="auto"/>
          <w:sz w:val="32"/>
          <w:szCs w:val="32"/>
        </w:rPr>
        <w:t>实有财政供养在职在编人数4</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人，其中行政在职3</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人，参公在职2人，事业在职</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人；离退休3</w:t>
      </w:r>
      <w:r>
        <w:rPr>
          <w:rFonts w:hint="eastAsia" w:ascii="仿宋_GB2312"/>
          <w:color w:val="auto"/>
          <w:sz w:val="32"/>
          <w:szCs w:val="32"/>
          <w:lang w:val="en-US" w:eastAsia="zh-CN"/>
        </w:rPr>
        <w:t>7</w:t>
      </w:r>
      <w:r>
        <w:rPr>
          <w:rFonts w:hint="eastAsia" w:ascii="仿宋_GB2312" w:eastAsia="仿宋_GB2312"/>
          <w:color w:val="auto"/>
          <w:sz w:val="32"/>
          <w:szCs w:val="32"/>
        </w:rPr>
        <w:t>人</w:t>
      </w:r>
      <w:r>
        <w:rPr>
          <w:rFonts w:hint="eastAsia" w:ascii="仿宋_GB2312"/>
          <w:color w:val="auto"/>
          <w:sz w:val="32"/>
          <w:szCs w:val="32"/>
          <w:lang w:eastAsia="zh-CN"/>
        </w:rPr>
        <w:t>。</w:t>
      </w:r>
    </w:p>
    <w:p>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社区矫正管理科。</w:t>
      </w:r>
    </w:p>
    <w:p>
      <w:pPr>
        <w:spacing w:line="560" w:lineRule="exact"/>
        <w:ind w:firstLine="643" w:firstLineChars="200"/>
        <w:rPr>
          <w:rFonts w:hint="eastAsia" w:ascii="黑体" w:hAnsi="黑体" w:eastAsia="黑体" w:cs="黑体"/>
          <w:sz w:val="32"/>
          <w:szCs w:val="32"/>
        </w:rPr>
      </w:pPr>
      <w:r>
        <w:rPr>
          <w:rFonts w:hint="eastAsia" w:ascii="仿宋" w:hAnsi="仿宋" w:eastAsia="仿宋" w:cs="仿宋"/>
          <w:b/>
          <w:bCs/>
          <w:sz w:val="32"/>
          <w:szCs w:val="32"/>
        </w:rPr>
        <w:t>工作职责：</w:t>
      </w:r>
      <w:r>
        <w:rPr>
          <w:rFonts w:hint="eastAsia" w:ascii="仿宋" w:hAnsi="仿宋" w:eastAsia="仿宋" w:cs="仿宋"/>
          <w:sz w:val="32"/>
          <w:szCs w:val="32"/>
        </w:rPr>
        <w:t>负责监督检查社区矫正法律法规和政策的执行工作，拟定社区矫正工作发展规划、管理制度和相关政策并组织实施。指导、监督社区矫正对象的刑罚执行、管理教育和帮扶工作。指导社会力量和志愿者参与社区矫正工作。指导社区矫正场所建设和管理工作。负责自治县社区矫正工作领导小组办公室的日常工作。</w:t>
      </w:r>
    </w:p>
    <w:p>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w:t>
      </w:r>
      <w:r>
        <w:rPr>
          <w:rFonts w:hint="eastAsia" w:ascii="黑体" w:hAnsi="黑体" w:eastAsia="黑体" w:cs="黑体"/>
          <w:sz w:val="32"/>
          <w:szCs w:val="32"/>
        </w:rPr>
        <w:t>二</w:t>
      </w:r>
      <w:r>
        <w:rPr>
          <w:rFonts w:hint="eastAsia" w:ascii="黑体" w:hAnsi="黑体" w:eastAsia="黑体" w:cs="黑体"/>
          <w:sz w:val="32"/>
          <w:szCs w:val="32"/>
          <w:lang w:eastAsia="zh-CN"/>
        </w:rPr>
        <w:t>）</w:t>
      </w:r>
      <w:r>
        <w:rPr>
          <w:rFonts w:hint="eastAsia" w:ascii="黑体" w:hAnsi="黑体" w:eastAsia="黑体" w:cs="黑体"/>
          <w:sz w:val="32"/>
          <w:szCs w:val="32"/>
        </w:rPr>
        <w:t>政府法律事务科</w:t>
      </w:r>
    </w:p>
    <w:p>
      <w:pPr>
        <w:spacing w:line="560" w:lineRule="exact"/>
        <w:ind w:firstLine="643" w:firstLineChars="200"/>
        <w:rPr>
          <w:rFonts w:hint="eastAsia" w:ascii="黑体" w:hAnsi="黑体" w:eastAsia="黑体" w:cs="黑体"/>
          <w:sz w:val="32"/>
          <w:szCs w:val="32"/>
        </w:rPr>
      </w:pPr>
      <w:r>
        <w:rPr>
          <w:rFonts w:hint="eastAsia" w:ascii="仿宋" w:hAnsi="仿宋" w:eastAsia="仿宋" w:cs="仿宋"/>
          <w:b/>
          <w:bCs/>
          <w:sz w:val="32"/>
          <w:szCs w:val="32"/>
        </w:rPr>
        <w:t>工作职责：</w:t>
      </w:r>
      <w:r>
        <w:rPr>
          <w:rFonts w:hint="eastAsia" w:ascii="仿宋" w:hAnsi="仿宋" w:eastAsia="仿宋" w:cs="仿宋"/>
          <w:sz w:val="32"/>
          <w:szCs w:val="32"/>
        </w:rPr>
        <w:t>承办自治县人民政府行政规范性文件合法性审查工作。负责行政执法的综合协调工作。指导、监督各乡镇、各部门依法行政工作，推进严格规范公正文明执法。负责协调行政执法体制改革和行政执法的普遍性重要性问题。指导行政执法示范点建设。组织开展行政执法监督工作。负责自</w:t>
      </w:r>
      <w:bookmarkStart w:id="4" w:name="_GoBack"/>
      <w:bookmarkEnd w:id="4"/>
      <w:r>
        <w:rPr>
          <w:rFonts w:hint="eastAsia" w:ascii="仿宋" w:hAnsi="仿宋" w:eastAsia="仿宋" w:cs="仿宋"/>
          <w:sz w:val="32"/>
          <w:szCs w:val="32"/>
        </w:rPr>
        <w:t>治县人民政府职能转变、“放管服”改革措施的法制协调工作。指导行政执法队伍规范化、制度化建设。指导行政裁决工作。承办向自治县人民政府申请的行政复议和行政赔偿案件。负责办理自治县人民政府的行政应诉案件。承办因不服自治县人民政府行政复议决定依法向河池市人民政府申请裁决案件的答复工作。指导、监督全县行政复议、行政应诉工作。承办自治县司法局的行政复议、行政应诉和国家赔偿案件。</w:t>
      </w:r>
    </w:p>
    <w:p>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公共法律服务管理科</w:t>
      </w:r>
    </w:p>
    <w:p>
      <w:pPr>
        <w:spacing w:line="560" w:lineRule="exact"/>
        <w:ind w:firstLine="643" w:firstLineChars="200"/>
        <w:rPr>
          <w:rFonts w:hint="eastAsia" w:ascii="黑体" w:hAnsi="黑体" w:eastAsia="黑体" w:cs="黑体"/>
          <w:sz w:val="32"/>
          <w:szCs w:val="32"/>
        </w:rPr>
      </w:pPr>
      <w:r>
        <w:rPr>
          <w:rFonts w:hint="eastAsia" w:ascii="仿宋" w:hAnsi="仿宋" w:eastAsia="仿宋" w:cs="仿宋"/>
          <w:b/>
          <w:bCs/>
          <w:sz w:val="32"/>
          <w:szCs w:val="32"/>
        </w:rPr>
        <w:t>工作职责：</w:t>
      </w:r>
      <w:r>
        <w:rPr>
          <w:rFonts w:hint="eastAsia" w:ascii="仿宋" w:hAnsi="仿宋" w:eastAsia="仿宋" w:cs="仿宋"/>
          <w:sz w:val="32"/>
          <w:szCs w:val="32"/>
        </w:rPr>
        <w:t>制定保障人民群众参与、促进、监督法治建设的制度措施。指导人民团体、群众自治组织和社会组织参与、支持法治社会建设工作。指导人民调解、行政调解、行业性专业性调解工作。指导人民陪审员和人民监督员选任管理工作。指导全县刑满释放人员安置帮教工作。负责自治县刑释人员安置帮教工作领导小组办公室的日常工作。负责规划和推进公共法律服务体系和平台建设。指导、监督、管理律师、公证、法律援助、基层法律服务、仲裁等工作。指导、监督律师公证、法律援助、基层法律服务、仲裁等方面的法律法规和规章政策的执行。指导、监督律师、公证、法律援助、基层法律服务、仲裁及从业人员执业许可。组织实施我县法律援助工作。牵头指导律师行业党建工作。指导、监督党政机关、企事业单位、村(居)法律顾问工作。指导社会组织和志愿者开展法律服务工作。指导公职律师和公司律师工作。</w:t>
      </w:r>
    </w:p>
    <w:p>
      <w:pPr>
        <w:spacing w:line="560" w:lineRule="exact"/>
        <w:ind w:firstLine="640" w:firstLineChars="200"/>
        <w:rPr>
          <w:rFonts w:hint="eastAsia" w:ascii="仿宋" w:hAnsi="仿宋" w:eastAsia="仿宋" w:cs="仿宋"/>
          <w:b/>
          <w:bCs/>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普法依法治理科</w:t>
      </w:r>
    </w:p>
    <w:p>
      <w:pPr>
        <w:spacing w:line="560" w:lineRule="exact"/>
        <w:ind w:firstLine="643" w:firstLineChars="200"/>
        <w:rPr>
          <w:rFonts w:hint="eastAsia" w:ascii="黑体" w:hAnsi="黑体" w:eastAsia="黑体" w:cs="黑体"/>
          <w:sz w:val="32"/>
          <w:szCs w:val="32"/>
        </w:rPr>
      </w:pPr>
      <w:r>
        <w:rPr>
          <w:rFonts w:hint="eastAsia" w:ascii="仿宋" w:hAnsi="仿宋" w:eastAsia="仿宋" w:cs="仿宋"/>
          <w:b/>
          <w:bCs/>
          <w:sz w:val="32"/>
          <w:szCs w:val="32"/>
        </w:rPr>
        <w:t>工作职责：</w:t>
      </w:r>
      <w:r>
        <w:rPr>
          <w:rFonts w:hint="eastAsia" w:ascii="仿宋" w:hAnsi="仿宋" w:eastAsia="仿宋" w:cs="仿宋"/>
          <w:sz w:val="32"/>
          <w:szCs w:val="32"/>
        </w:rPr>
        <w:t>负责处理自治县党委全面依法治县委员会办公室日常事务。承担全面依法治县工作规划建议的协调工作。组织起草全面依法治县有关重要文件。研究提出建设法治政府、法治社会的意见和措施，对应完成法治调研、法治督察工作任务。负责拟订法治宣传教育规划并组织实施。指导、监督各部门各单位“谁执法谁普法”的普法责任制落实工作，推进全民普法。指导、监督国家工作人员学法用法工作。指导、监督各乡镇、各部门、各行业依法治理和法治创建工作。组织、指导对外法治宣传、新闻宣传工作。指导、推进社会主义法治文化建设工作。</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综合科</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办公室负责机关日常运转工作。承担机关文电、会务、机要、档案、督查督办、政务公开、统计、保密、信访、外事、安全、应急管理等工作。负责机关重要文稿、公文的组织起草、审核工作和信息报送工作。负责本系统舆情监控。负责本系统车辆的管理，保养、维护、修理、出差用车安排、加油、使用人员登记等工作。</w:t>
      </w:r>
    </w:p>
    <w:p>
      <w:pPr>
        <w:spacing w:line="560" w:lineRule="exact"/>
        <w:ind w:firstLine="640" w:firstLineChars="200"/>
        <w:rPr>
          <w:rFonts w:hint="eastAsia" w:ascii="楷体" w:hAnsi="楷体" w:eastAsia="楷体" w:cs="楷体"/>
          <w:b/>
          <w:bCs/>
          <w:sz w:val="32"/>
          <w:szCs w:val="32"/>
        </w:rPr>
      </w:pPr>
      <w:r>
        <w:rPr>
          <w:rFonts w:hint="eastAsia" w:ascii="仿宋" w:hAnsi="仿宋" w:eastAsia="仿宋" w:cs="仿宋"/>
          <w:sz w:val="32"/>
          <w:szCs w:val="32"/>
        </w:rPr>
        <w:t>政工科负责负责本系统思想政治和组织、人事和纪检监察工作，指导、监督党的建设和干部队伍建设。负责机关离退休人员工作。负责机关和直属事业单位的党群工作。推进司法所及队伍建设。</w:t>
      </w:r>
    </w:p>
    <w:p>
      <w:pPr>
        <w:spacing w:line="560" w:lineRule="exact"/>
        <w:ind w:firstLine="640" w:firstLineChars="200"/>
        <w:rPr>
          <w:rFonts w:hint="eastAsia" w:ascii="楷体" w:hAnsi="楷体" w:eastAsia="楷体" w:cs="楷体"/>
          <w:b/>
          <w:bCs/>
          <w:sz w:val="32"/>
          <w:szCs w:val="32"/>
        </w:rPr>
      </w:pPr>
      <w:r>
        <w:rPr>
          <w:rFonts w:hint="eastAsia" w:ascii="仿宋" w:hAnsi="仿宋" w:eastAsia="仿宋" w:cs="仿宋"/>
          <w:sz w:val="32"/>
          <w:szCs w:val="32"/>
        </w:rPr>
        <w:t>财务科负责指导本系统财务、物资装备和基本建设管理工作，拟定建设标准、经费保障、物资装备和财务管理办法。指导、监督本系统政法补助专款和基建投资的使用工作。负责全系统服装和警车等业务装备的管理工作。负责机关、基层司法所、直属事业单位的预决算和机关的财务管理、国有资产管理、政府采购等工作。开展审计监督工作。指导、管理本系统信息化建设。承担机关电子政务工作的具体实施和技术保障。承担机关综合政务管理、公共法律服务网络平台及其相关业务系统的建设、维护和系统信息数据资源集成共享及应用工作。负责机关官网的建设和维护。</w:t>
      </w:r>
    </w:p>
    <w:p>
      <w:pPr>
        <w:spacing w:line="560" w:lineRule="exact"/>
        <w:ind w:firstLine="640" w:firstLineChars="200"/>
        <w:rPr>
          <w:rFonts w:hint="eastAsia" w:ascii="黑体" w:hAnsi="黑体" w:eastAsia="黑体" w:cs="黑体"/>
          <w:sz w:val="32"/>
          <w:szCs w:val="32"/>
        </w:rPr>
      </w:pPr>
      <w:r>
        <w:rPr>
          <w:rFonts w:hint="eastAsia" w:ascii="仿宋" w:hAnsi="仿宋" w:eastAsia="仿宋" w:cs="仿宋"/>
          <w:sz w:val="32"/>
          <w:szCs w:val="32"/>
        </w:rPr>
        <w:t>调处办负责</w:t>
      </w:r>
      <w:r>
        <w:rPr>
          <w:rFonts w:eastAsia="仿宋_GB2312"/>
          <w:color w:val="000000"/>
          <w:sz w:val="32"/>
          <w:szCs w:val="32"/>
        </w:rPr>
        <w:t>组织协调、督促指导全县“三大纠纷”调处工作；总结交流调处工作经验，做好调处人员的业务培训和业务统计工作；负责自治县人民政府直接交办的重大、疑难“三大纠纷”案件的调处工作；完成自治县人民政府交办的其他工作任务。</w:t>
      </w:r>
    </w:p>
    <w:p>
      <w:pPr>
        <w:spacing w:line="560" w:lineRule="exact"/>
        <w:rPr>
          <w:rFonts w:ascii="黑体" w:hAnsi="黑体" w:eastAsia="黑体" w:cs="黑体"/>
          <w:sz w:val="32"/>
          <w:szCs w:val="32"/>
        </w:rPr>
      </w:pPr>
    </w:p>
    <w:p>
      <w:pPr>
        <w:ind w:firstLine="640" w:firstLineChars="200"/>
        <w:jc w:val="left"/>
        <w:rPr>
          <w:rFonts w:hint="eastAsia" w:ascii="仿宋" w:hAnsi="仿宋" w:eastAsia="仿宋" w:cs="仿宋"/>
          <w:color w:val="FF0000"/>
          <w:sz w:val="32"/>
          <w:szCs w:val="32"/>
        </w:rPr>
      </w:pPr>
    </w:p>
    <w:p>
      <w:pPr>
        <w:jc w:val="center"/>
        <w:rPr>
          <w:rFonts w:hint="eastAsia" w:ascii="仿宋" w:hAnsi="仿宋" w:eastAsia="仿宋" w:cs="仿宋"/>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jc w:val="both"/>
        <w:rPr>
          <w:rFonts w:hint="eastAsia" w:ascii="黑体" w:hAnsi="黑体" w:eastAsia="黑体" w:cs="黑体"/>
          <w:sz w:val="32"/>
          <w:szCs w:val="32"/>
          <w:highlight w:val="none"/>
          <w:lang w:val="en-US" w:eastAsia="zh-CN"/>
        </w:rPr>
      </w:pPr>
    </w:p>
    <w:p>
      <w:pPr>
        <w:jc w:val="both"/>
        <w:rPr>
          <w:rFonts w:hint="default"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szCs w:val="32"/>
          <w:highlight w:val="none"/>
          <w:lang w:val="en-US" w:eastAsia="zh-CN"/>
        </w:rPr>
        <w:t>环江毛南族自治县司法局</w:t>
      </w:r>
      <w:r>
        <w:rPr>
          <w:rFonts w:hint="eastAsia" w:ascii="黑体" w:hAnsi="黑体" w:eastAsia="黑体" w:cs="黑体"/>
          <w:sz w:val="32"/>
          <w:szCs w:val="32"/>
          <w:highlight w:val="none"/>
        </w:rPr>
        <w:t xml:space="preserve"> 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p>
      <w:pPr>
        <w:keepNext w:val="0"/>
        <w:keepLines w:val="0"/>
        <w:widowControl/>
        <w:suppressLineNumbers w:val="0"/>
        <w:jc w:val="left"/>
        <w:rPr>
          <w:rFonts w:hint="eastAsia" w:ascii="黑体" w:hAnsi="黑体" w:eastAsia="黑体" w:cs="黑体"/>
          <w:sz w:val="32"/>
          <w:szCs w:val="32"/>
          <w:highlight w:val="none"/>
        </w:rPr>
      </w:pPr>
      <w:r>
        <w:rPr>
          <w:rFonts w:ascii="仿宋" w:hAnsi="仿宋" w:eastAsia="仿宋" w:cs="仿宋"/>
          <w:color w:val="000000"/>
          <w:kern w:val="0"/>
          <w:sz w:val="24"/>
          <w:szCs w:val="24"/>
          <w:lang w:val="en-US" w:eastAsia="zh-CN" w:bidi="ar"/>
        </w:rPr>
        <w:t>表一：收入支出决算总表</w:t>
      </w:r>
    </w:p>
    <w:tbl>
      <w:tblPr>
        <w:tblStyle w:val="8"/>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75"/>
        <w:gridCol w:w="845"/>
        <w:gridCol w:w="1378"/>
        <w:gridCol w:w="2872"/>
        <w:gridCol w:w="435"/>
        <w:gridCol w:w="209"/>
        <w:gridCol w:w="297"/>
        <w:gridCol w:w="620"/>
        <w:gridCol w:w="2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7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8666"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47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47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47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47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488"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8666" w:type="dxa"/>
            <w:gridSpan w:val="3"/>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部门：环江毛南族自治县司法局</w:t>
            </w:r>
          </w:p>
        </w:tc>
        <w:tc>
          <w:tcPr>
            <w:tcW w:w="47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47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47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47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488"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13" w:type="dxa"/>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13" w:type="dxa"/>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13" w:type="dxa"/>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13" w:type="dxa"/>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1,014.95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13" w:type="dxa"/>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13" w:type="dxa"/>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13" w:type="dxa"/>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13" w:type="dxa"/>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13" w:type="dxa"/>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13" w:type="dxa"/>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13" w:type="dxa"/>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13" w:type="dxa"/>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13" w:type="dxa"/>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13" w:type="dxa"/>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13" w:type="dxa"/>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13" w:type="dxa"/>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13" w:type="dxa"/>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13" w:type="dxa"/>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13" w:type="dxa"/>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13" w:type="dxa"/>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13" w:type="dxa"/>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13" w:type="dxa"/>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13" w:type="dxa"/>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13" w:type="dxa"/>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13" w:type="dxa"/>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13" w:type="dxa"/>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13" w:type="dxa"/>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13" w:type="dxa"/>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13" w:type="dxa"/>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13" w:type="dxa"/>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1,142.95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13" w:type="dxa"/>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13" w:type="dxa"/>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13" w:type="dxa"/>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13" w:type="dxa"/>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1,142.95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13" w:type="dxa"/>
          <w:trHeight w:val="300" w:hRule="atLeast"/>
        </w:trPr>
        <w:tc>
          <w:tcPr>
            <w:tcW w:w="0" w:type="auto"/>
            <w:gridSpan w:val="8"/>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13" w:type="dxa"/>
          <w:trHeight w:val="300" w:hRule="atLeast"/>
        </w:trPr>
        <w:tc>
          <w:tcPr>
            <w:tcW w:w="0" w:type="auto"/>
            <w:gridSpan w:val="8"/>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keepNext w:val="0"/>
        <w:keepLines w:val="0"/>
        <w:widowControl/>
        <w:suppressLineNumbers w:val="0"/>
        <w:ind w:firstLine="480" w:firstLineChars="200"/>
        <w:jc w:val="left"/>
        <w:rPr>
          <w:rFonts w:ascii="仿宋" w:hAnsi="仿宋" w:eastAsia="仿宋" w:cs="仿宋"/>
          <w:color w:val="000000"/>
          <w:kern w:val="0"/>
          <w:sz w:val="24"/>
          <w:szCs w:val="24"/>
          <w:lang w:val="en-US" w:eastAsia="zh-CN" w:bidi="ar"/>
        </w:rPr>
      </w:pPr>
    </w:p>
    <w:p>
      <w:pPr>
        <w:keepNext w:val="0"/>
        <w:keepLines w:val="0"/>
        <w:widowControl/>
        <w:suppressLineNumbers w:val="0"/>
        <w:jc w:val="left"/>
        <w:rPr>
          <w:rFonts w:ascii="仿宋" w:hAnsi="仿宋" w:eastAsia="仿宋" w:cs="仿宋"/>
          <w:color w:val="000000"/>
          <w:kern w:val="0"/>
          <w:sz w:val="24"/>
          <w:szCs w:val="24"/>
          <w:lang w:val="en-US" w:eastAsia="zh-CN" w:bidi="ar"/>
        </w:rPr>
      </w:pPr>
    </w:p>
    <w:p>
      <w:pPr>
        <w:keepNext w:val="0"/>
        <w:keepLines w:val="0"/>
        <w:widowControl/>
        <w:suppressLineNumbers w:val="0"/>
        <w:jc w:val="left"/>
        <w:rPr>
          <w:rFonts w:ascii="仿宋" w:hAnsi="仿宋" w:eastAsia="仿宋" w:cs="仿宋"/>
          <w:color w:val="000000"/>
          <w:kern w:val="0"/>
          <w:sz w:val="24"/>
          <w:szCs w:val="24"/>
          <w:lang w:val="en-US" w:eastAsia="zh-CN" w:bidi="ar"/>
        </w:rPr>
      </w:pPr>
    </w:p>
    <w:p>
      <w:pPr>
        <w:keepNext w:val="0"/>
        <w:keepLines w:val="0"/>
        <w:widowControl/>
        <w:suppressLineNumbers w:val="0"/>
        <w:jc w:val="left"/>
        <w:rPr>
          <w:rFonts w:ascii="仿宋" w:hAnsi="仿宋" w:eastAsia="仿宋" w:cs="仿宋"/>
          <w:color w:val="000000"/>
          <w:kern w:val="0"/>
          <w:sz w:val="24"/>
          <w:szCs w:val="24"/>
          <w:lang w:val="en-US" w:eastAsia="zh-CN" w:bidi="ar"/>
        </w:rPr>
      </w:pPr>
    </w:p>
    <w:p>
      <w:pPr>
        <w:keepNext w:val="0"/>
        <w:keepLines w:val="0"/>
        <w:widowControl/>
        <w:suppressLineNumbers w:val="0"/>
        <w:jc w:val="left"/>
        <w:rPr>
          <w:rFonts w:ascii="仿宋" w:hAnsi="仿宋" w:eastAsia="仿宋" w:cs="仿宋"/>
          <w:color w:val="000000"/>
          <w:kern w:val="0"/>
          <w:sz w:val="24"/>
          <w:szCs w:val="24"/>
          <w:lang w:val="en-US" w:eastAsia="zh-CN" w:bidi="ar"/>
        </w:rPr>
      </w:pPr>
    </w:p>
    <w:p>
      <w:pPr>
        <w:keepNext w:val="0"/>
        <w:keepLines w:val="0"/>
        <w:widowControl/>
        <w:suppressLineNumbers w:val="0"/>
        <w:jc w:val="left"/>
        <w:rPr>
          <w:rFonts w:ascii="仿宋" w:hAnsi="仿宋" w:eastAsia="仿宋" w:cs="仿宋"/>
          <w:color w:val="000000"/>
          <w:kern w:val="0"/>
          <w:sz w:val="24"/>
          <w:szCs w:val="24"/>
          <w:lang w:val="en-US" w:eastAsia="zh-CN" w:bidi="ar"/>
        </w:rPr>
      </w:pPr>
      <w:r>
        <w:rPr>
          <w:rFonts w:ascii="仿宋" w:hAnsi="仿宋" w:eastAsia="仿宋" w:cs="仿宋"/>
          <w:color w:val="000000"/>
          <w:kern w:val="0"/>
          <w:sz w:val="24"/>
          <w:szCs w:val="24"/>
          <w:lang w:val="en-US" w:eastAsia="zh-CN" w:bidi="ar"/>
        </w:rPr>
        <w:t>表二：收入决算表</w:t>
      </w:r>
    </w:p>
    <w:p>
      <w:pPr>
        <w:pStyle w:val="2"/>
        <w:rPr>
          <w:rFonts w:hint="eastAsia" w:ascii="宋体" w:hAnsi="宋体" w:eastAsia="宋体" w:cs="宋体"/>
          <w:color w:val="000000"/>
          <w:kern w:val="0"/>
          <w:sz w:val="30"/>
          <w:szCs w:val="30"/>
          <w:lang w:val="en-US" w:eastAsia="zh-CN" w:bidi="ar"/>
        </w:rPr>
      </w:pPr>
      <w:r>
        <w:rPr>
          <w:rFonts w:hint="eastAsia" w:ascii="仿宋" w:hAnsi="仿宋" w:eastAsia="仿宋" w:cs="仿宋"/>
          <w:color w:val="000000"/>
          <w:kern w:val="0"/>
          <w:sz w:val="24"/>
          <w:szCs w:val="24"/>
          <w:lang w:val="en-US" w:eastAsia="zh-CN" w:bidi="ar"/>
        </w:rPr>
        <w:t xml:space="preserve">                                                  </w:t>
      </w:r>
      <w:r>
        <w:rPr>
          <w:rFonts w:hint="eastAsia" w:ascii="宋体" w:hAnsi="宋体" w:eastAsia="宋体" w:cs="宋体"/>
          <w:color w:val="000000"/>
          <w:kern w:val="0"/>
          <w:sz w:val="30"/>
          <w:szCs w:val="30"/>
          <w:lang w:val="en-US" w:eastAsia="zh-CN" w:bidi="ar"/>
        </w:rPr>
        <w:t xml:space="preserve"> 收入决算表 </w:t>
      </w:r>
    </w:p>
    <w:p>
      <w:pPr>
        <w:rPr>
          <w:rFonts w:hint="default"/>
          <w:lang w:val="en-US"/>
        </w:rPr>
      </w:pPr>
      <w:r>
        <w:rPr>
          <w:rFonts w:hint="eastAsia" w:ascii="宋体" w:hAnsi="宋体" w:eastAsia="宋体" w:cs="宋体"/>
          <w:color w:val="000000"/>
          <w:kern w:val="0"/>
          <w:sz w:val="30"/>
          <w:szCs w:val="30"/>
          <w:lang w:val="en-US" w:eastAsia="zh-CN" w:bidi="ar"/>
        </w:rPr>
        <w:t xml:space="preserve">                                                                            </w:t>
      </w:r>
      <w:r>
        <w:rPr>
          <w:rFonts w:hint="eastAsia" w:ascii="宋体" w:hAnsi="宋体" w:eastAsia="宋体" w:cs="宋体"/>
          <w:color w:val="000000"/>
          <w:kern w:val="0"/>
          <w:sz w:val="20"/>
          <w:szCs w:val="20"/>
          <w:lang w:val="en-US" w:eastAsia="zh-CN" w:bidi="ar"/>
        </w:rPr>
        <w:t xml:space="preserve"> 公开02表</w:t>
      </w:r>
    </w:p>
    <w:p>
      <w:pPr>
        <w:rPr>
          <w:rFonts w:hint="default" w:ascii="宋体" w:hAnsi="宋体" w:eastAsia="宋体" w:cs="宋体"/>
          <w:color w:val="000000"/>
          <w:kern w:val="0"/>
          <w:sz w:val="30"/>
          <w:szCs w:val="30"/>
          <w:highlight w:val="none"/>
          <w:lang w:val="en-US" w:bidi="ar"/>
        </w:rPr>
      </w:pPr>
      <w:r>
        <w:rPr>
          <w:rFonts w:hint="eastAsia" w:ascii="宋体" w:hAnsi="宋体" w:eastAsia="宋体" w:cs="宋体"/>
          <w:i w:val="0"/>
          <w:iCs w:val="0"/>
          <w:color w:val="000000"/>
          <w:kern w:val="0"/>
          <w:sz w:val="20"/>
          <w:szCs w:val="20"/>
          <w:u w:val="none"/>
          <w:lang w:val="en-US" w:eastAsia="zh-CN" w:bidi="ar"/>
        </w:rPr>
        <w:t>部门：环江毛南族自治县司法局                                                                                       金额：万元</w:t>
      </w:r>
    </w:p>
    <w:tbl>
      <w:tblPr>
        <w:tblStyle w:val="8"/>
        <w:tblW w:w="1517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
        <w:gridCol w:w="436"/>
        <w:gridCol w:w="436"/>
        <w:gridCol w:w="3391"/>
        <w:gridCol w:w="2492"/>
        <w:gridCol w:w="1688"/>
        <w:gridCol w:w="1323"/>
        <w:gridCol w:w="1304"/>
        <w:gridCol w:w="1197"/>
        <w:gridCol w:w="1200"/>
        <w:gridCol w:w="12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08"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391" w:type="dxa"/>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492"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688"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32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197"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上缴收入</w:t>
            </w:r>
          </w:p>
        </w:tc>
        <w:tc>
          <w:tcPr>
            <w:tcW w:w="1272"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08"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391"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49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08"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391"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49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08"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391"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49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6" w:type="dxa"/>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39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492"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23"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04"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97"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72"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39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4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1,142.95</w:t>
            </w:r>
          </w:p>
        </w:tc>
        <w:tc>
          <w:tcPr>
            <w:tcW w:w="1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1,142.95</w:t>
            </w:r>
          </w:p>
        </w:tc>
        <w:tc>
          <w:tcPr>
            <w:tcW w:w="13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0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33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24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9.61</w:t>
            </w:r>
          </w:p>
        </w:tc>
        <w:tc>
          <w:tcPr>
            <w:tcW w:w="1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9.61</w:t>
            </w:r>
          </w:p>
        </w:tc>
        <w:tc>
          <w:tcPr>
            <w:tcW w:w="13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0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2040601</w:t>
            </w:r>
          </w:p>
        </w:tc>
        <w:tc>
          <w:tcPr>
            <w:tcW w:w="33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24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641.15</w:t>
            </w:r>
          </w:p>
        </w:tc>
        <w:tc>
          <w:tcPr>
            <w:tcW w:w="1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641.15</w:t>
            </w:r>
          </w:p>
        </w:tc>
        <w:tc>
          <w:tcPr>
            <w:tcW w:w="13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0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2040604</w:t>
            </w:r>
          </w:p>
        </w:tc>
        <w:tc>
          <w:tcPr>
            <w:tcW w:w="33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基层司法业务</w:t>
            </w:r>
          </w:p>
        </w:tc>
        <w:tc>
          <w:tcPr>
            <w:tcW w:w="24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29.92</w:t>
            </w:r>
          </w:p>
        </w:tc>
        <w:tc>
          <w:tcPr>
            <w:tcW w:w="1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29.92</w:t>
            </w:r>
          </w:p>
        </w:tc>
        <w:tc>
          <w:tcPr>
            <w:tcW w:w="13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0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2040607</w:t>
            </w:r>
          </w:p>
        </w:tc>
        <w:tc>
          <w:tcPr>
            <w:tcW w:w="33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公共法律服务</w:t>
            </w:r>
          </w:p>
        </w:tc>
        <w:tc>
          <w:tcPr>
            <w:tcW w:w="24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w:t>
            </w:r>
          </w:p>
        </w:tc>
        <w:tc>
          <w:tcPr>
            <w:tcW w:w="1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w:t>
            </w:r>
          </w:p>
        </w:tc>
        <w:tc>
          <w:tcPr>
            <w:tcW w:w="13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0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2040610</w:t>
            </w:r>
          </w:p>
        </w:tc>
        <w:tc>
          <w:tcPr>
            <w:tcW w:w="33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社区矫正</w:t>
            </w:r>
          </w:p>
        </w:tc>
        <w:tc>
          <w:tcPr>
            <w:tcW w:w="24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w:t>
            </w:r>
          </w:p>
        </w:tc>
        <w:tc>
          <w:tcPr>
            <w:tcW w:w="1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w:t>
            </w:r>
          </w:p>
        </w:tc>
        <w:tc>
          <w:tcPr>
            <w:tcW w:w="13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0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2040699</w:t>
            </w:r>
          </w:p>
        </w:tc>
        <w:tc>
          <w:tcPr>
            <w:tcW w:w="33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其他司法支出</w:t>
            </w:r>
          </w:p>
        </w:tc>
        <w:tc>
          <w:tcPr>
            <w:tcW w:w="24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79.55</w:t>
            </w:r>
          </w:p>
        </w:tc>
        <w:tc>
          <w:tcPr>
            <w:tcW w:w="1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79.55</w:t>
            </w:r>
          </w:p>
        </w:tc>
        <w:tc>
          <w:tcPr>
            <w:tcW w:w="13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0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2069999</w:t>
            </w:r>
          </w:p>
        </w:tc>
        <w:tc>
          <w:tcPr>
            <w:tcW w:w="33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其他科学技术支出</w:t>
            </w:r>
          </w:p>
        </w:tc>
        <w:tc>
          <w:tcPr>
            <w:tcW w:w="24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1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13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0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3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4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66.99</w:t>
            </w:r>
          </w:p>
        </w:tc>
        <w:tc>
          <w:tcPr>
            <w:tcW w:w="1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66.99</w:t>
            </w:r>
          </w:p>
        </w:tc>
        <w:tc>
          <w:tcPr>
            <w:tcW w:w="13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0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2121903</w:t>
            </w:r>
          </w:p>
        </w:tc>
        <w:tc>
          <w:tcPr>
            <w:tcW w:w="33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城市建设支出</w:t>
            </w:r>
          </w:p>
        </w:tc>
        <w:tc>
          <w:tcPr>
            <w:tcW w:w="24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128.00</w:t>
            </w:r>
          </w:p>
        </w:tc>
        <w:tc>
          <w:tcPr>
            <w:tcW w:w="1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128.00</w:t>
            </w:r>
          </w:p>
        </w:tc>
        <w:tc>
          <w:tcPr>
            <w:tcW w:w="13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0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3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24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50.24</w:t>
            </w:r>
          </w:p>
        </w:tc>
        <w:tc>
          <w:tcPr>
            <w:tcW w:w="1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50.24</w:t>
            </w:r>
          </w:p>
        </w:tc>
        <w:tc>
          <w:tcPr>
            <w:tcW w:w="13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0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33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24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88.38</w:t>
            </w:r>
          </w:p>
        </w:tc>
        <w:tc>
          <w:tcPr>
            <w:tcW w:w="1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88.38</w:t>
            </w:r>
          </w:p>
        </w:tc>
        <w:tc>
          <w:tcPr>
            <w:tcW w:w="13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175" w:type="dxa"/>
            <w:gridSpan w:val="11"/>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175" w:type="dxa"/>
            <w:gridSpan w:val="11"/>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175" w:type="dxa"/>
            <w:gridSpan w:val="11"/>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175" w:type="dxa"/>
            <w:gridSpan w:val="11"/>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p>
        </w:tc>
      </w:tr>
    </w:tbl>
    <w:p>
      <w:pPr>
        <w:rPr>
          <w:rFonts w:ascii="仿宋" w:hAnsi="仿宋" w:eastAsia="仿宋" w:cs="仿宋"/>
          <w:sz w:val="24"/>
          <w:highlight w:val="none"/>
        </w:rPr>
      </w:pP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8"/>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6"/>
        <w:gridCol w:w="1245"/>
        <w:gridCol w:w="1245"/>
        <w:gridCol w:w="1246"/>
        <w:gridCol w:w="1370"/>
        <w:gridCol w:w="1014"/>
        <w:gridCol w:w="1014"/>
        <w:gridCol w:w="1114"/>
        <w:gridCol w:w="843"/>
        <w:gridCol w:w="19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gridSpan w:val="10"/>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部门：环江毛南族自治县司法局</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0" w:type="auto"/>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0" w:type="auto"/>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0" w:type="auto"/>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0" w:type="auto"/>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0" w:type="auto"/>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1,142.95</w:t>
            </w: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838.72</w:t>
            </w: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304.24</w:t>
            </w: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9.61</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9.61</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2040601</w:t>
            </w:r>
          </w:p>
        </w:tc>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641.15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623.50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2040604</w:t>
            </w:r>
          </w:p>
        </w:tc>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基层司法业务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2040607</w:t>
            </w:r>
          </w:p>
        </w:tc>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公共法律服务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2040610</w:t>
            </w:r>
          </w:p>
        </w:tc>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社区矫正</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2040699</w:t>
            </w:r>
          </w:p>
        </w:tc>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其他司法支出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2069999</w:t>
            </w:r>
          </w:p>
        </w:tc>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其他科学技术支出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2121903</w:t>
            </w:r>
          </w:p>
        </w:tc>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城市建设支出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88.38</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88.38</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0"/>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rPr>
          <w:rFonts w:ascii="仿宋" w:hAnsi="仿宋" w:eastAsia="仿宋" w:cs="仿宋"/>
          <w:sz w:val="24"/>
          <w:highlight w:val="none"/>
        </w:rPr>
      </w:pP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pPr>
        <w:jc w:val="left"/>
        <w:rPr>
          <w:rFonts w:hint="eastAsia" w:ascii="仿宋" w:hAnsi="仿宋" w:eastAsia="仿宋" w:cs="仿宋"/>
          <w:sz w:val="24"/>
          <w:highlight w:val="none"/>
        </w:rPr>
      </w:pPr>
    </w:p>
    <w:tbl>
      <w:tblPr>
        <w:tblStyle w:val="8"/>
        <w:tblW w:w="1493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74"/>
        <w:gridCol w:w="632"/>
        <w:gridCol w:w="1155"/>
        <w:gridCol w:w="2476"/>
        <w:gridCol w:w="1231"/>
        <w:gridCol w:w="313"/>
        <w:gridCol w:w="313"/>
        <w:gridCol w:w="193"/>
        <w:gridCol w:w="385"/>
        <w:gridCol w:w="385"/>
        <w:gridCol w:w="193"/>
        <w:gridCol w:w="510"/>
        <w:gridCol w:w="1025"/>
        <w:gridCol w:w="1475"/>
        <w:gridCol w:w="11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7186" w:type="dxa"/>
            <w:gridSpan w:val="15"/>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016"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616"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4016" w:type="dxa"/>
            <w:gridSpan w:val="3"/>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部门：环江毛南族自治县司法局</w:t>
            </w: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616"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gridSpan w:val="4"/>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财政拨款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算财政拨款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gridSpan w:val="4"/>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1,014.95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782.73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782.73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88.38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1,142.95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1,142.95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1,014.95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1,142.95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1,142.95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1,014.95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4"/>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single" w:color="000000" w:sz="4" w:space="0"/>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bl>
    <w:p>
      <w:pPr>
        <w:rPr>
          <w:rFonts w:ascii="仿宋" w:hAnsi="仿宋" w:eastAsia="仿宋" w:cs="仿宋"/>
          <w:sz w:val="24"/>
          <w:highlight w:val="none"/>
        </w:rPr>
      </w:pP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pPr>
        <w:jc w:val="left"/>
        <w:rPr>
          <w:rFonts w:hint="eastAsia" w:ascii="仿宋" w:hAnsi="仿宋" w:eastAsia="仿宋" w:cs="仿宋"/>
          <w:sz w:val="24"/>
          <w:highlight w:val="none"/>
        </w:rPr>
      </w:pPr>
    </w:p>
    <w:tbl>
      <w:tblPr>
        <w:tblStyle w:val="8"/>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6"/>
        <w:gridCol w:w="3125"/>
        <w:gridCol w:w="222"/>
        <w:gridCol w:w="222"/>
        <w:gridCol w:w="222"/>
        <w:gridCol w:w="222"/>
        <w:gridCol w:w="222"/>
        <w:gridCol w:w="2034"/>
        <w:gridCol w:w="2592"/>
        <w:gridCol w:w="3399"/>
        <w:gridCol w:w="1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5" w:type="dxa"/>
          <w:trHeight w:val="390" w:hRule="atLeast"/>
        </w:trPr>
        <w:tc>
          <w:tcPr>
            <w:tcW w:w="13246" w:type="dxa"/>
            <w:gridSpan w:val="10"/>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5" w:type="dxa"/>
          <w:trHeight w:val="255" w:hRule="atLeast"/>
        </w:trPr>
        <w:tc>
          <w:tcPr>
            <w:tcW w:w="4111"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025" w:type="dxa"/>
            <w:gridSpan w:val="3"/>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5" w:type="dxa"/>
          <w:trHeight w:val="255" w:hRule="atLeast"/>
        </w:trPr>
        <w:tc>
          <w:tcPr>
            <w:tcW w:w="4111"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部门：环江毛南族自治县司法局</w:t>
            </w: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025" w:type="dxa"/>
            <w:gridSpan w:val="3"/>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55" w:type="dxa"/>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856" w:type="dxa"/>
            <w:gridSpan w:val="7"/>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569"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700" w:type="dxa"/>
            <w:gridSpan w:val="4"/>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592"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564"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569"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700" w:type="dxa"/>
            <w:gridSpan w:val="4"/>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59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564"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569"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700" w:type="dxa"/>
            <w:gridSpan w:val="4"/>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59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564"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555" w:type="dxa"/>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9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4555" w:type="dxa"/>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1,014.95</w:t>
            </w:r>
          </w:p>
        </w:tc>
        <w:tc>
          <w:tcPr>
            <w:tcW w:w="2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838.72</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356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9.61</w:t>
            </w:r>
          </w:p>
        </w:tc>
        <w:tc>
          <w:tcPr>
            <w:tcW w:w="2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9.61</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2040601</w:t>
            </w:r>
          </w:p>
        </w:tc>
        <w:tc>
          <w:tcPr>
            <w:tcW w:w="356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641.15</w:t>
            </w:r>
          </w:p>
        </w:tc>
        <w:tc>
          <w:tcPr>
            <w:tcW w:w="2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623.50</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2040604</w:t>
            </w:r>
          </w:p>
        </w:tc>
        <w:tc>
          <w:tcPr>
            <w:tcW w:w="356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基层司法业务</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29.92</w:t>
            </w:r>
          </w:p>
        </w:tc>
        <w:tc>
          <w:tcPr>
            <w:tcW w:w="2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2040607</w:t>
            </w:r>
          </w:p>
        </w:tc>
        <w:tc>
          <w:tcPr>
            <w:tcW w:w="356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公共法律服务</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w:t>
            </w:r>
          </w:p>
        </w:tc>
        <w:tc>
          <w:tcPr>
            <w:tcW w:w="2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2040610</w:t>
            </w:r>
          </w:p>
        </w:tc>
        <w:tc>
          <w:tcPr>
            <w:tcW w:w="356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社区矫正</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w:t>
            </w:r>
          </w:p>
        </w:tc>
        <w:tc>
          <w:tcPr>
            <w:tcW w:w="2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2040699</w:t>
            </w:r>
          </w:p>
        </w:tc>
        <w:tc>
          <w:tcPr>
            <w:tcW w:w="356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其他司法支出</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79.55</w:t>
            </w:r>
          </w:p>
        </w:tc>
        <w:tc>
          <w:tcPr>
            <w:tcW w:w="2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2069999</w:t>
            </w:r>
          </w:p>
        </w:tc>
        <w:tc>
          <w:tcPr>
            <w:tcW w:w="356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其他科学技术支出</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2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56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66.99</w:t>
            </w:r>
          </w:p>
        </w:tc>
        <w:tc>
          <w:tcPr>
            <w:tcW w:w="2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66.99</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56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50.24</w:t>
            </w:r>
          </w:p>
        </w:tc>
        <w:tc>
          <w:tcPr>
            <w:tcW w:w="2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50.24</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356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88.38</w:t>
            </w:r>
          </w:p>
        </w:tc>
        <w:tc>
          <w:tcPr>
            <w:tcW w:w="2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88.38</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411" w:type="dxa"/>
            <w:gridSpan w:val="11"/>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pPr>
        <w:jc w:val="left"/>
        <w:rPr>
          <w:rFonts w:hint="eastAsia" w:ascii="仿宋" w:hAnsi="仿宋" w:eastAsia="仿宋" w:cs="仿宋"/>
          <w:sz w:val="24"/>
          <w:highlight w:val="none"/>
        </w:rPr>
      </w:pPr>
    </w:p>
    <w:tbl>
      <w:tblPr>
        <w:tblStyle w:val="8"/>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3"/>
        <w:gridCol w:w="3077"/>
        <w:gridCol w:w="788"/>
        <w:gridCol w:w="693"/>
        <w:gridCol w:w="2123"/>
        <w:gridCol w:w="693"/>
        <w:gridCol w:w="693"/>
        <w:gridCol w:w="573"/>
        <w:gridCol w:w="573"/>
        <w:gridCol w:w="573"/>
        <w:gridCol w:w="573"/>
        <w:gridCol w:w="573"/>
        <w:gridCol w:w="573"/>
        <w:gridCol w:w="574"/>
        <w:gridCol w:w="13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gridSpan w:val="15"/>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gridSpan w:val="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gridSpan w:val="7"/>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部门：环江毛南族自治县司法局</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gridSpan w:val="7"/>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gridSpan w:val="7"/>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701.15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68.54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176.39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150.34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219.75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69.04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770.18</w:t>
            </w:r>
          </w:p>
        </w:tc>
        <w:tc>
          <w:tcPr>
            <w:tcW w:w="0" w:type="auto"/>
            <w:gridSpan w:val="11"/>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15"/>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pPr>
        <w:jc w:val="left"/>
        <w:rPr>
          <w:rFonts w:hint="eastAsia" w:ascii="仿宋" w:hAnsi="仿宋" w:eastAsia="仿宋" w:cs="仿宋"/>
          <w:sz w:val="24"/>
          <w:highlight w:val="none"/>
        </w:rPr>
      </w:pPr>
    </w:p>
    <w:tbl>
      <w:tblPr>
        <w:tblStyle w:val="8"/>
        <w:tblW w:w="13982" w:type="dxa"/>
        <w:tblInd w:w="96" w:type="dxa"/>
        <w:tblLayout w:type="fixed"/>
        <w:tblCellMar>
          <w:top w:w="0" w:type="dxa"/>
          <w:left w:w="108" w:type="dxa"/>
          <w:bottom w:w="0" w:type="dxa"/>
          <w:right w:w="108" w:type="dxa"/>
        </w:tblCellMar>
      </w:tblPr>
      <w:tblGrid>
        <w:gridCol w:w="1132"/>
        <w:gridCol w:w="165"/>
        <w:gridCol w:w="240"/>
        <w:gridCol w:w="236"/>
        <w:gridCol w:w="492"/>
        <w:gridCol w:w="1133"/>
        <w:gridCol w:w="1973"/>
        <w:gridCol w:w="551"/>
        <w:gridCol w:w="551"/>
        <w:gridCol w:w="551"/>
        <w:gridCol w:w="1593"/>
        <w:gridCol w:w="7"/>
        <w:gridCol w:w="1680"/>
        <w:gridCol w:w="20"/>
        <w:gridCol w:w="1708"/>
        <w:gridCol w:w="2"/>
        <w:gridCol w:w="647"/>
        <w:gridCol w:w="649"/>
        <w:gridCol w:w="170"/>
        <w:gridCol w:w="480"/>
        <w:gridCol w:w="2"/>
      </w:tblGrid>
      <w:tr>
        <w:tblPrEx>
          <w:tblCellMar>
            <w:top w:w="0" w:type="dxa"/>
            <w:left w:w="108" w:type="dxa"/>
            <w:bottom w:w="0" w:type="dxa"/>
            <w:right w:w="108" w:type="dxa"/>
          </w:tblCellMar>
        </w:tblPrEx>
        <w:trPr>
          <w:gridAfter w:val="1"/>
          <w:wAfter w:w="2" w:type="dxa"/>
          <w:trHeight w:val="536" w:hRule="atLeast"/>
        </w:trPr>
        <w:tc>
          <w:tcPr>
            <w:tcW w:w="13980" w:type="dxa"/>
            <w:gridSpan w:val="20"/>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5"/>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2" w:type="dxa"/>
          <w:trHeight w:val="268" w:hRule="atLeast"/>
        </w:trPr>
        <w:tc>
          <w:tcPr>
            <w:tcW w:w="8624" w:type="dxa"/>
            <w:gridSpan w:val="12"/>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eastAsia="宋体" w:cs="Arial"/>
                <w:color w:val="000000"/>
                <w:sz w:val="20"/>
                <w:szCs w:val="20"/>
                <w:highlight w:val="none"/>
                <w:lang w:val="en-US"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val="en-US" w:eastAsia="zh-CN"/>
              </w:rPr>
              <w:t>环江毛南族自治县司法局</w:t>
            </w:r>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gridSpan w:val="2"/>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5"/>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6"/>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科目代码</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科目名称</w:t>
            </w:r>
          </w:p>
        </w:tc>
        <w:tc>
          <w:tcPr>
            <w:tcW w:w="16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500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本年收入</w:t>
            </w:r>
          </w:p>
        </w:tc>
        <w:tc>
          <w:tcPr>
            <w:tcW w:w="194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本年支出</w:t>
            </w:r>
          </w:p>
        </w:tc>
      </w:tr>
      <w:tr>
        <w:tblPrEx>
          <w:tblCellMar>
            <w:top w:w="0" w:type="dxa"/>
            <w:left w:w="108" w:type="dxa"/>
            <w:bottom w:w="0" w:type="dxa"/>
            <w:right w:w="108" w:type="dxa"/>
          </w:tblCellMar>
        </w:tblPrEx>
        <w:trPr>
          <w:gridAfter w:val="1"/>
          <w:wAfter w:w="2" w:type="dxa"/>
          <w:trHeight w:val="312" w:hRule="atLeast"/>
        </w:trPr>
        <w:tc>
          <w:tcPr>
            <w:tcW w:w="3398" w:type="dxa"/>
            <w:gridSpan w:val="6"/>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合计</w:t>
            </w:r>
          </w:p>
        </w:tc>
        <w:tc>
          <w:tcPr>
            <w:tcW w:w="5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基本支出结转</w:t>
            </w:r>
          </w:p>
        </w:tc>
        <w:tc>
          <w:tcPr>
            <w:tcW w:w="5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项目支出结转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和结余</w:t>
            </w:r>
          </w:p>
        </w:tc>
        <w:tc>
          <w:tcPr>
            <w:tcW w:w="15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合计</w:t>
            </w:r>
          </w:p>
        </w:tc>
        <w:tc>
          <w:tcPr>
            <w:tcW w:w="1707"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基本支出</w:t>
            </w:r>
          </w:p>
        </w:tc>
        <w:tc>
          <w:tcPr>
            <w:tcW w:w="1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项目支出</w:t>
            </w:r>
          </w:p>
        </w:tc>
        <w:tc>
          <w:tcPr>
            <w:tcW w:w="64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合计</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基本支出</w:t>
            </w:r>
          </w:p>
        </w:tc>
        <w:tc>
          <w:tcPr>
            <w:tcW w:w="65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项目支出</w:t>
            </w:r>
          </w:p>
        </w:tc>
      </w:tr>
      <w:tr>
        <w:tblPrEx>
          <w:tblCellMar>
            <w:top w:w="0" w:type="dxa"/>
            <w:left w:w="108" w:type="dxa"/>
            <w:bottom w:w="0" w:type="dxa"/>
            <w:right w:w="108" w:type="dxa"/>
          </w:tblCellMar>
        </w:tblPrEx>
        <w:trPr>
          <w:gridAfter w:val="1"/>
          <w:wAfter w:w="2" w:type="dxa"/>
          <w:trHeight w:val="312" w:hRule="atLeast"/>
        </w:trPr>
        <w:tc>
          <w:tcPr>
            <w:tcW w:w="3398" w:type="dxa"/>
            <w:gridSpan w:val="6"/>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5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15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7"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4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6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r>
      <w:tr>
        <w:tblPrEx>
          <w:tblCellMar>
            <w:top w:w="0" w:type="dxa"/>
            <w:left w:w="108" w:type="dxa"/>
            <w:bottom w:w="0" w:type="dxa"/>
            <w:right w:w="108" w:type="dxa"/>
          </w:tblCellMar>
        </w:tblPrEx>
        <w:trPr>
          <w:gridAfter w:val="1"/>
          <w:wAfter w:w="2" w:type="dxa"/>
          <w:trHeight w:val="312" w:hRule="atLeast"/>
        </w:trPr>
        <w:tc>
          <w:tcPr>
            <w:tcW w:w="11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类</w:t>
            </w:r>
          </w:p>
        </w:tc>
        <w:tc>
          <w:tcPr>
            <w:tcW w:w="1133"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款</w:t>
            </w:r>
          </w:p>
        </w:tc>
        <w:tc>
          <w:tcPr>
            <w:tcW w:w="113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项</w:t>
            </w: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栏次</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w:t>
            </w:r>
          </w:p>
        </w:tc>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w:t>
            </w:r>
          </w:p>
        </w:tc>
        <w:tc>
          <w:tcPr>
            <w:tcW w:w="17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w:t>
            </w:r>
          </w:p>
        </w:tc>
        <w:tc>
          <w:tcPr>
            <w:tcW w:w="6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7</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8</w:t>
            </w:r>
          </w:p>
        </w:tc>
        <w:tc>
          <w:tcPr>
            <w:tcW w:w="6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9</w:t>
            </w:r>
          </w:p>
        </w:tc>
      </w:tr>
      <w:tr>
        <w:tblPrEx>
          <w:tblCellMar>
            <w:top w:w="0" w:type="dxa"/>
            <w:left w:w="108" w:type="dxa"/>
            <w:bottom w:w="0" w:type="dxa"/>
            <w:right w:w="108" w:type="dxa"/>
          </w:tblCellMar>
        </w:tblPrEx>
        <w:trPr>
          <w:gridAfter w:val="1"/>
          <w:wAfter w:w="2" w:type="dxa"/>
          <w:trHeight w:val="277" w:hRule="atLeast"/>
        </w:trPr>
        <w:tc>
          <w:tcPr>
            <w:tcW w:w="113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33"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rPr>
            </w:pPr>
          </w:p>
        </w:tc>
        <w:tc>
          <w:tcPr>
            <w:tcW w:w="113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合计</w:t>
            </w:r>
          </w:p>
        </w:tc>
        <w:tc>
          <w:tcPr>
            <w:tcW w:w="5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5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15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128.00</w:t>
            </w:r>
          </w:p>
        </w:tc>
        <w:tc>
          <w:tcPr>
            <w:tcW w:w="170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128.00</w:t>
            </w:r>
          </w:p>
        </w:tc>
        <w:tc>
          <w:tcPr>
            <w:tcW w:w="64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128.00</w:t>
            </w:r>
          </w:p>
        </w:tc>
        <w:tc>
          <w:tcPr>
            <w:tcW w:w="6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6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b/>
                <w:bCs/>
                <w:i w:val="0"/>
                <w:iCs w:val="0"/>
                <w:color w:val="000000"/>
                <w:kern w:val="0"/>
                <w:sz w:val="22"/>
                <w:szCs w:val="22"/>
                <w:u w:val="none"/>
                <w:lang w:val="en-US" w:eastAsia="zh-CN" w:bidi="ar"/>
              </w:rPr>
              <w:t>128.00</w:t>
            </w:r>
          </w:p>
        </w:tc>
      </w:tr>
      <w:tr>
        <w:tblPrEx>
          <w:tblCellMar>
            <w:top w:w="0" w:type="dxa"/>
            <w:left w:w="108" w:type="dxa"/>
            <w:bottom w:w="0" w:type="dxa"/>
            <w:right w:w="108" w:type="dxa"/>
          </w:tblCellMar>
        </w:tblPrEx>
        <w:trPr>
          <w:gridAfter w:val="1"/>
          <w:wAfter w:w="2" w:type="dxa"/>
          <w:trHeight w:val="277" w:hRule="atLeast"/>
        </w:trPr>
        <w:tc>
          <w:tcPr>
            <w:tcW w:w="339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2121903</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城市建设支出</w:t>
            </w:r>
          </w:p>
        </w:tc>
        <w:tc>
          <w:tcPr>
            <w:tcW w:w="5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5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15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128.00</w:t>
            </w:r>
          </w:p>
        </w:tc>
        <w:tc>
          <w:tcPr>
            <w:tcW w:w="170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128.00</w:t>
            </w:r>
          </w:p>
        </w:tc>
        <w:tc>
          <w:tcPr>
            <w:tcW w:w="64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128.00</w:t>
            </w:r>
          </w:p>
        </w:tc>
        <w:tc>
          <w:tcPr>
            <w:tcW w:w="6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6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128.00</w:t>
            </w:r>
          </w:p>
        </w:tc>
      </w:tr>
      <w:tr>
        <w:tblPrEx>
          <w:tblCellMar>
            <w:top w:w="0" w:type="dxa"/>
            <w:left w:w="108" w:type="dxa"/>
            <w:bottom w:w="0" w:type="dxa"/>
            <w:right w:w="108" w:type="dxa"/>
          </w:tblCellMar>
        </w:tblPrEx>
        <w:trPr>
          <w:gridAfter w:val="1"/>
          <w:wAfter w:w="2" w:type="dxa"/>
          <w:trHeight w:val="277" w:hRule="atLeast"/>
        </w:trPr>
        <w:tc>
          <w:tcPr>
            <w:tcW w:w="339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rPr>
            </w:pPr>
          </w:p>
        </w:tc>
        <w:tc>
          <w:tcPr>
            <w:tcW w:w="5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rPr>
            </w:pPr>
          </w:p>
        </w:tc>
        <w:tc>
          <w:tcPr>
            <w:tcW w:w="15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4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rPr>
            </w:pPr>
          </w:p>
        </w:tc>
        <w:tc>
          <w:tcPr>
            <w:tcW w:w="6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82" w:type="dxa"/>
          <w:trHeight w:val="300" w:hRule="atLeast"/>
        </w:trPr>
        <w:tc>
          <w:tcPr>
            <w:tcW w:w="13500" w:type="dxa"/>
            <w:gridSpan w:val="19"/>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pPr>
        <w:jc w:val="left"/>
        <w:rPr>
          <w:rFonts w:hint="eastAsia" w:ascii="仿宋" w:hAnsi="仿宋" w:eastAsia="仿宋" w:cs="仿宋"/>
          <w:sz w:val="24"/>
          <w:highlight w:val="none"/>
        </w:rPr>
      </w:pPr>
    </w:p>
    <w:tbl>
      <w:tblPr>
        <w:tblStyle w:val="8"/>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eastAsia="宋体" w:cs="Arial"/>
                <w:color w:val="000000"/>
                <w:sz w:val="20"/>
                <w:szCs w:val="20"/>
                <w:highlight w:val="none"/>
                <w:lang w:val="en-US"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kern w:val="0"/>
                <w:sz w:val="20"/>
                <w:szCs w:val="20"/>
                <w:highlight w:val="none"/>
                <w:lang w:val="en-US" w:eastAsia="zh-CN" w:bidi="ar"/>
              </w:rPr>
              <w:t>环江毛南族自治县司法局</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注：本表反映部门本年度国有资本经营预算财政拨款支出情况。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w:t>
      </w:r>
      <w:r>
        <w:rPr>
          <w:rFonts w:hint="eastAsia" w:ascii="Times New Roman" w:hAnsi="Times New Roman" w:eastAsia="宋体" w:cs="Times New Roman"/>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年度没有国有资本经营预算财政拨款收入，也没有国有资本经营预算财政拨款安排的支出，故本表无数据。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br w:type="page"/>
      </w:r>
    </w:p>
    <w:tbl>
      <w:tblPr>
        <w:tblStyle w:val="8"/>
        <w:tblW w:w="0" w:type="auto"/>
        <w:tblInd w:w="0" w:type="dxa"/>
        <w:tblLayout w:type="autofit"/>
        <w:tblCellMar>
          <w:top w:w="0" w:type="dxa"/>
          <w:left w:w="108" w:type="dxa"/>
          <w:bottom w:w="0" w:type="dxa"/>
          <w:right w:w="108" w:type="dxa"/>
        </w:tblCellMar>
      </w:tblPr>
      <w:tblGrid>
        <w:gridCol w:w="1134"/>
        <w:gridCol w:w="1403"/>
        <w:gridCol w:w="1403"/>
        <w:gridCol w:w="823"/>
        <w:gridCol w:w="333"/>
        <w:gridCol w:w="567"/>
        <w:gridCol w:w="567"/>
        <w:gridCol w:w="333"/>
        <w:gridCol w:w="824"/>
        <w:gridCol w:w="1028"/>
        <w:gridCol w:w="1028"/>
        <w:gridCol w:w="1028"/>
        <w:gridCol w:w="1028"/>
        <w:gridCol w:w="1028"/>
        <w:gridCol w:w="1647"/>
      </w:tblGrid>
      <w:tr>
        <w:tblPrEx>
          <w:tblCellMar>
            <w:top w:w="0" w:type="dxa"/>
            <w:left w:w="108" w:type="dxa"/>
            <w:bottom w:w="0" w:type="dxa"/>
            <w:right w:w="108" w:type="dxa"/>
          </w:tblCellMar>
        </w:tblPrEx>
        <w:trPr>
          <w:gridBefore w:val="1"/>
          <w:wBefore w:w="0" w:type="auto"/>
          <w:trHeight w:val="308" w:hRule="atLeast"/>
        </w:trPr>
        <w:tc>
          <w:tcPr>
            <w:tcW w:w="12172" w:type="dxa"/>
            <w:gridSpan w:val="14"/>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一般公共预算财政拨款安排的“三公”经费支出决算表</w:t>
            </w:r>
          </w:p>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632" w:hRule="atLeast"/>
        </w:trPr>
        <w:tc>
          <w:tcPr>
            <w:tcW w:w="0" w:type="auto"/>
            <w:gridSpan w:val="15"/>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i w:val="0"/>
                <w:iCs w:val="0"/>
                <w:color w:val="000000"/>
                <w:kern w:val="0"/>
                <w:sz w:val="44"/>
                <w:szCs w:val="44"/>
                <w:u w:val="none"/>
                <w:lang w:val="en-US" w:eastAsia="zh-CN" w:bidi="ar"/>
              </w:rPr>
              <w:t>财政拨款“三公”经费支出决算表</w:t>
            </w:r>
          </w:p>
        </w:tc>
      </w:tr>
      <w:tr>
        <w:tblPrEx>
          <w:tblCellMar>
            <w:top w:w="0" w:type="dxa"/>
            <w:left w:w="108" w:type="dxa"/>
            <w:bottom w:w="0" w:type="dxa"/>
            <w:right w:w="108" w:type="dxa"/>
          </w:tblCellMar>
        </w:tblPrEx>
        <w:trPr>
          <w:trHeight w:val="316" w:hRule="atLeast"/>
        </w:trPr>
        <w:tc>
          <w:tcPr>
            <w:tcW w:w="0" w:type="auto"/>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0" w:type="auto"/>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0" w:type="auto"/>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公开09表</w:t>
            </w:r>
          </w:p>
        </w:tc>
      </w:tr>
      <w:tr>
        <w:tblPrEx>
          <w:tblCellMar>
            <w:top w:w="0" w:type="dxa"/>
            <w:left w:w="108" w:type="dxa"/>
            <w:bottom w:w="0" w:type="dxa"/>
            <w:right w:w="108" w:type="dxa"/>
          </w:tblCellMar>
        </w:tblPrEx>
        <w:trPr>
          <w:trHeight w:val="316" w:hRule="atLeast"/>
        </w:trPr>
        <w:tc>
          <w:tcPr>
            <w:tcW w:w="0" w:type="auto"/>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Arial" w:hAnsi="Arial" w:eastAsia="宋体" w:cs="Arial"/>
                <w:color w:val="000000"/>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部门：环江毛南族自治县司法局</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0" w:type="auto"/>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0" w:type="auto"/>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CellMar>
            <w:top w:w="0" w:type="dxa"/>
            <w:left w:w="108" w:type="dxa"/>
            <w:bottom w:w="0" w:type="dxa"/>
            <w:right w:w="108" w:type="dxa"/>
          </w:tblCellMar>
        </w:tblPrEx>
        <w:trPr>
          <w:trHeight w:val="326" w:hRule="atLeast"/>
        </w:trPr>
        <w:tc>
          <w:tcPr>
            <w:tcW w:w="822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预算数</w:t>
            </w:r>
          </w:p>
        </w:tc>
        <w:tc>
          <w:tcPr>
            <w:tcW w:w="59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决算数</w:t>
            </w:r>
          </w:p>
        </w:tc>
      </w:tr>
      <w:tr>
        <w:tblPrEx>
          <w:tblCellMar>
            <w:top w:w="0" w:type="dxa"/>
            <w:left w:w="108" w:type="dxa"/>
            <w:bottom w:w="0" w:type="dxa"/>
            <w:right w:w="108" w:type="dxa"/>
          </w:tblCellMar>
        </w:tblPrEx>
        <w:trPr>
          <w:trHeight w:val="326" w:hRule="atLeast"/>
        </w:trPr>
        <w:tc>
          <w:tcPr>
            <w:tcW w:w="13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合计</w:t>
            </w:r>
          </w:p>
        </w:tc>
        <w:tc>
          <w:tcPr>
            <w:tcW w:w="13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因公出国（境）费</w:t>
            </w:r>
          </w:p>
        </w:tc>
        <w:tc>
          <w:tcPr>
            <w:tcW w:w="4110" w:type="dxa"/>
            <w:gridSpan w:val="5"/>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371"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公务接待费</w:t>
            </w:r>
          </w:p>
        </w:tc>
        <w:tc>
          <w:tcPr>
            <w:tcW w:w="99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合计</w:t>
            </w:r>
          </w:p>
        </w:tc>
        <w:tc>
          <w:tcPr>
            <w:tcW w:w="99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因公出国（境）费</w:t>
            </w:r>
          </w:p>
        </w:tc>
        <w:tc>
          <w:tcPr>
            <w:tcW w:w="297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CellMar>
            <w:top w:w="0" w:type="dxa"/>
            <w:left w:w="108" w:type="dxa"/>
            <w:bottom w:w="0" w:type="dxa"/>
            <w:right w:w="108" w:type="dxa"/>
          </w:tblCellMar>
        </w:tblPrEx>
        <w:trPr>
          <w:trHeight w:val="642" w:hRule="atLeast"/>
        </w:trPr>
        <w:tc>
          <w:tcPr>
            <w:tcW w:w="137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13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小计</w:t>
            </w:r>
          </w:p>
        </w:tc>
        <w:tc>
          <w:tcPr>
            <w:tcW w:w="137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37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371" w:type="dxa"/>
            <w:gridSpan w:val="2"/>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992"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992"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小计</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公务用车购置费</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959" w:hRule="atLeast"/>
        </w:trPr>
        <w:tc>
          <w:tcPr>
            <w:tcW w:w="13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w:t>
            </w:r>
          </w:p>
        </w:tc>
        <w:tc>
          <w:tcPr>
            <w:tcW w:w="13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w:t>
            </w:r>
          </w:p>
        </w:tc>
        <w:tc>
          <w:tcPr>
            <w:tcW w:w="137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w:t>
            </w:r>
          </w:p>
        </w:tc>
        <w:tc>
          <w:tcPr>
            <w:tcW w:w="137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w:t>
            </w:r>
          </w:p>
        </w:tc>
        <w:tc>
          <w:tcPr>
            <w:tcW w:w="1371"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6</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7</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8</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9</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10</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11</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12</w:t>
            </w:r>
          </w:p>
        </w:tc>
      </w:tr>
      <w:tr>
        <w:tblPrEx>
          <w:tblCellMar>
            <w:top w:w="0" w:type="dxa"/>
            <w:left w:w="108" w:type="dxa"/>
            <w:bottom w:w="0" w:type="dxa"/>
            <w:right w:w="108" w:type="dxa"/>
          </w:tblCellMar>
        </w:tblPrEx>
        <w:trPr>
          <w:trHeight w:val="642" w:hRule="atLeast"/>
        </w:trPr>
        <w:tc>
          <w:tcPr>
            <w:tcW w:w="13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10.39</w:t>
            </w:r>
          </w:p>
        </w:tc>
        <w:tc>
          <w:tcPr>
            <w:tcW w:w="13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13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9.12</w:t>
            </w:r>
          </w:p>
        </w:tc>
        <w:tc>
          <w:tcPr>
            <w:tcW w:w="1370"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37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9.12</w:t>
            </w:r>
          </w:p>
        </w:tc>
        <w:tc>
          <w:tcPr>
            <w:tcW w:w="137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1.27</w:t>
            </w:r>
          </w:p>
        </w:tc>
        <w:tc>
          <w:tcPr>
            <w:tcW w:w="9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10.39</w:t>
            </w:r>
          </w:p>
        </w:tc>
        <w:tc>
          <w:tcPr>
            <w:tcW w:w="99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9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9.12</w:t>
            </w:r>
          </w:p>
        </w:tc>
        <w:tc>
          <w:tcPr>
            <w:tcW w:w="99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9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9.12</w:t>
            </w:r>
          </w:p>
        </w:tc>
        <w:tc>
          <w:tcPr>
            <w:tcW w:w="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1.27</w:t>
            </w:r>
          </w:p>
        </w:tc>
      </w:tr>
      <w:tr>
        <w:tblPrEx>
          <w:tblCellMar>
            <w:top w:w="0" w:type="dxa"/>
            <w:left w:w="108" w:type="dxa"/>
            <w:bottom w:w="0" w:type="dxa"/>
            <w:right w:w="108" w:type="dxa"/>
          </w:tblCellMar>
        </w:tblPrEx>
        <w:trPr>
          <w:trHeight w:val="642" w:hRule="atLeast"/>
        </w:trPr>
        <w:tc>
          <w:tcPr>
            <w:tcW w:w="14174" w:type="dxa"/>
            <w:gridSpan w:val="15"/>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szCs w:val="32"/>
          <w:highlight w:val="none"/>
          <w:lang w:val="en-US" w:eastAsia="zh-CN"/>
        </w:rPr>
        <w:t>环江毛南族自治县司法局</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color w:val="auto"/>
          <w:sz w:val="32"/>
          <w:szCs w:val="32"/>
          <w:highlight w:val="none"/>
        </w:rPr>
        <w:t>（一）本部门202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年度总收入</w:t>
      </w:r>
      <w:r>
        <w:rPr>
          <w:rFonts w:hint="eastAsia" w:ascii="仿宋" w:hAnsi="仿宋" w:eastAsia="仿宋" w:cs="仿宋"/>
          <w:color w:val="auto"/>
          <w:sz w:val="32"/>
          <w:szCs w:val="32"/>
          <w:highlight w:val="none"/>
          <w:lang w:val="en-US" w:eastAsia="zh-CN"/>
        </w:rPr>
        <w:t>1142.95</w:t>
      </w:r>
      <w:r>
        <w:rPr>
          <w:rFonts w:hint="eastAsia" w:ascii="仿宋" w:hAnsi="仿宋" w:eastAsia="仿宋" w:cs="仿宋"/>
          <w:color w:val="auto"/>
          <w:sz w:val="32"/>
          <w:szCs w:val="32"/>
          <w:highlight w:val="none"/>
        </w:rPr>
        <w:t>万元，</w:t>
      </w:r>
      <w:r>
        <w:rPr>
          <w:rFonts w:hint="eastAsia" w:ascii="仿宋" w:hAnsi="仿宋" w:eastAsia="仿宋" w:cs="仿宋"/>
          <w:sz w:val="32"/>
          <w:szCs w:val="32"/>
          <w:highlight w:val="none"/>
        </w:rPr>
        <w:t>其中本年收入</w:t>
      </w:r>
      <w:r>
        <w:rPr>
          <w:rFonts w:hint="eastAsia" w:ascii="仿宋" w:hAnsi="仿宋" w:eastAsia="仿宋" w:cs="仿宋"/>
          <w:sz w:val="32"/>
          <w:szCs w:val="32"/>
          <w:highlight w:val="none"/>
          <w:lang w:val="en-US" w:eastAsia="zh-CN"/>
        </w:rPr>
        <w:t>1142.95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u w:color="auto"/>
        </w:rPr>
        <w:t>减少</w:t>
      </w:r>
      <w:r>
        <w:rPr>
          <w:rFonts w:hint="eastAsia" w:ascii="仿宋" w:hAnsi="仿宋" w:eastAsia="仿宋" w:cs="仿宋"/>
          <w:sz w:val="32"/>
          <w:u w:color="auto"/>
          <w:lang w:val="en-US" w:eastAsia="zh-CN"/>
        </w:rPr>
        <w:t>149.78</w:t>
      </w:r>
      <w:r>
        <w:rPr>
          <w:rFonts w:hint="eastAsia" w:ascii="仿宋" w:hAnsi="仿宋" w:eastAsia="仿宋" w:cs="仿宋"/>
          <w:sz w:val="32"/>
          <w:szCs w:val="32"/>
          <w:highlight w:val="none"/>
        </w:rPr>
        <w:t>万元，</w:t>
      </w:r>
      <w:r>
        <w:rPr>
          <w:rFonts w:ascii="仿宋" w:hAnsi="仿宋" w:eastAsia="仿宋" w:cs="仿宋"/>
          <w:sz w:val="32"/>
          <w:u w:color="auto"/>
        </w:rPr>
        <w:t>下降</w:t>
      </w:r>
      <w:r>
        <w:rPr>
          <w:rFonts w:hint="eastAsia" w:ascii="仿宋" w:hAnsi="仿宋" w:eastAsia="仿宋" w:cs="仿宋"/>
          <w:sz w:val="32"/>
          <w:u w:color="auto"/>
          <w:lang w:val="en-US" w:eastAsia="zh-CN"/>
        </w:rPr>
        <w:t>11.58</w:t>
      </w:r>
      <w:r>
        <w:rPr>
          <w:rFonts w:ascii="仿宋" w:hAnsi="仿宋" w:eastAsia="仿宋" w:cs="仿宋"/>
          <w:sz w:val="32"/>
          <w:u w:color="auto"/>
        </w:rPr>
        <w:t>%</w:t>
      </w:r>
      <w:r>
        <w:rPr>
          <w:rFonts w:hint="eastAsia" w:ascii="仿宋" w:hAnsi="仿宋" w:eastAsia="仿宋" w:cs="仿宋"/>
          <w:sz w:val="32"/>
          <w:szCs w:val="32"/>
          <w:highlight w:val="none"/>
        </w:rPr>
        <w:t>，收入具体情况如下。</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FF0000"/>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1.一般公共预算财政拨款收入1014.95万元，为本级财政当年拨付的资金。较2022年度决算数</w:t>
      </w:r>
      <w:r>
        <w:rPr>
          <w:rFonts w:ascii="仿宋" w:hAnsi="仿宋" w:eastAsia="仿宋" w:cs="仿宋"/>
          <w:sz w:val="32"/>
          <w:u w:color="auto"/>
        </w:rPr>
        <w:t>减少</w:t>
      </w:r>
      <w:r>
        <w:rPr>
          <w:rFonts w:hint="eastAsia" w:ascii="仿宋" w:hAnsi="仿宋" w:eastAsia="仿宋" w:cs="仿宋"/>
          <w:sz w:val="32"/>
          <w:u w:color="auto"/>
          <w:lang w:val="en-US" w:eastAsia="zh-CN"/>
        </w:rPr>
        <w:t>277.78</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下降</w:t>
      </w:r>
      <w:r>
        <w:rPr>
          <w:rFonts w:hint="eastAsia" w:ascii="仿宋" w:hAnsi="仿宋" w:eastAsia="仿宋" w:cs="仿宋"/>
          <w:sz w:val="32"/>
          <w:u w:color="auto"/>
          <w:lang w:val="en-US" w:eastAsia="zh-CN"/>
        </w:rPr>
        <w:t>21.49</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auto"/>
          <w:kern w:val="2"/>
          <w:sz w:val="32"/>
          <w:szCs w:val="32"/>
          <w:highlight w:val="none"/>
          <w:lang w:val="en-US" w:eastAsia="zh-CN" w:bidi="ar"/>
        </w:rPr>
        <w:t>：2023年内有人员调出，经费减少。</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kern w:val="2"/>
          <w:sz w:val="32"/>
          <w:szCs w:val="32"/>
          <w:highlight w:val="none"/>
          <w:lang w:val="en-US" w:eastAsia="zh-CN" w:bidi="ar"/>
        </w:rPr>
        <w:t>2.政府性基金预算财政拨款收入</w:t>
      </w:r>
      <w:r>
        <w:rPr>
          <w:rFonts w:hint="eastAsia" w:ascii="仿宋" w:hAnsi="仿宋" w:eastAsia="仿宋" w:cs="仿宋"/>
          <w:sz w:val="32"/>
          <w:u w:color="auto"/>
          <w:lang w:val="en-US" w:eastAsia="zh-CN"/>
        </w:rPr>
        <w:t>128.00</w:t>
      </w:r>
      <w:r>
        <w:rPr>
          <w:rFonts w:hint="eastAsia" w:ascii="仿宋" w:hAnsi="仿宋" w:eastAsia="仿宋" w:cs="仿宋"/>
          <w:kern w:val="2"/>
          <w:sz w:val="32"/>
          <w:szCs w:val="32"/>
          <w:highlight w:val="none"/>
          <w:lang w:val="en-US" w:eastAsia="zh-CN" w:bidi="ar"/>
        </w:rPr>
        <w:t>万元，为本级财政当年拨付的资金。较2022年度决算数</w:t>
      </w:r>
      <w:r>
        <w:rPr>
          <w:rFonts w:ascii="仿宋" w:hAnsi="仿宋" w:eastAsia="仿宋" w:cs="仿宋"/>
          <w:sz w:val="32"/>
          <w:u w:color="auto"/>
        </w:rPr>
        <w:t>增加</w:t>
      </w:r>
      <w:r>
        <w:rPr>
          <w:rFonts w:hint="eastAsia" w:ascii="仿宋" w:hAnsi="仿宋" w:eastAsia="仿宋" w:cs="仿宋"/>
          <w:sz w:val="32"/>
          <w:u w:color="auto"/>
          <w:lang w:val="en-US" w:eastAsia="zh-CN"/>
        </w:rPr>
        <w:t>128</w:t>
      </w:r>
      <w:r>
        <w:rPr>
          <w:rFonts w:ascii="仿宋" w:hAnsi="仿宋" w:eastAsia="仿宋" w:cs="仿宋"/>
          <w:sz w:val="32"/>
          <w:u w:color="auto"/>
        </w:rPr>
        <w:t>.00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w:t>
      </w:r>
      <w:r>
        <w:rPr>
          <w:rFonts w:hint="eastAsia" w:ascii="仿宋" w:hAnsi="仿宋" w:eastAsia="仿宋" w:cs="仿宋"/>
          <w:sz w:val="32"/>
          <w:u w:color="auto"/>
          <w:lang w:val="en-US" w:eastAsia="zh-CN"/>
        </w:rPr>
        <w:t>100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。原因为：2023年新增了债务专项经费。</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kern w:val="2"/>
          <w:sz w:val="32"/>
          <w:szCs w:val="32"/>
          <w:highlight w:val="none"/>
          <w:lang w:val="en-US" w:eastAsia="zh-CN" w:bidi="ar"/>
        </w:rPr>
        <w:t>3.国有资本经营预算财政拨款收入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河池市</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4.事业收入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万元，为事业单位开展业务活动取得的收入。较2022年度决算数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kern w:val="2"/>
          <w:sz w:val="32"/>
          <w:szCs w:val="32"/>
          <w:highlight w:val="none"/>
          <w:lang w:val="en-US" w:eastAsia="zh-CN" w:bidi="ar"/>
        </w:rPr>
        <w:t>5.经营收入0.00万,为事业单位在业务活动之外开展非独立核算经营活动取得的收入。较2022年度决算数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kern w:val="2"/>
          <w:sz w:val="32"/>
          <w:szCs w:val="32"/>
          <w:highlight w:val="none"/>
          <w:lang w:val="en-US" w:eastAsia="zh-CN" w:bidi="ar"/>
        </w:rPr>
        <w:t>6.其他收入0万元,为预算单位在“财政拨款收入”“事业收入”“经营收入”之外取得的收入。较2022年度决算数</w:t>
      </w:r>
      <w:r>
        <w:rPr>
          <w:rFonts w:ascii="仿宋" w:hAnsi="仿宋" w:eastAsia="仿宋" w:cs="仿宋"/>
          <w:sz w:val="32"/>
          <w:u w:color="auto"/>
        </w:rPr>
        <w:t>减少</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下降</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kern w:val="2"/>
          <w:sz w:val="32"/>
          <w:szCs w:val="32"/>
          <w:highlight w:val="none"/>
          <w:lang w:val="en-US" w:eastAsia="zh-CN" w:bidi="ar"/>
        </w:rPr>
        <w:t>7.使用非财政拨款结余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8.上年结转和结余0万元，为以前年度支出预算因客观条件变化未执行完毕、结转到本年度按有关规定继续使用的资金。较2022年度决算数</w:t>
      </w:r>
      <w:r>
        <w:rPr>
          <w:rFonts w:ascii="仿宋" w:hAnsi="仿宋" w:eastAsia="仿宋" w:cs="仿宋"/>
          <w:sz w:val="32"/>
          <w:u w:color="auto"/>
        </w:rPr>
        <w:t>减少</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下降</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420" w:firstLineChars="200"/>
        <w:jc w:val="left"/>
        <w:rPr>
          <w:rFonts w:hint="default" w:ascii="仿宋" w:hAnsi="仿宋" w:eastAsia="仿宋" w:cs="仿宋"/>
          <w:color w:val="FF0000"/>
          <w:kern w:val="2"/>
          <w:sz w:val="32"/>
          <w:szCs w:val="32"/>
          <w:highlight w:val="none"/>
          <w:lang w:val="en-US" w:eastAsia="zh-CN" w:bidi="ar"/>
        </w:rPr>
      </w:pPr>
      <w:r>
        <w:drawing>
          <wp:inline distT="0" distB="0" distL="114300" distR="114300">
            <wp:extent cx="4572000" cy="2743200"/>
            <wp:effectExtent l="4445" t="4445" r="10795" b="10795"/>
            <wp:docPr id="10"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jc w:val="center"/>
        <w:rPr>
          <w:rFonts w:ascii="仿宋" w:hAnsi="仿宋" w:eastAsia="仿宋" w:cs="仿宋"/>
          <w:sz w:val="32"/>
          <w:szCs w:val="32"/>
          <w:highlight w:val="none"/>
        </w:rPr>
      </w:pP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年度总支出</w:t>
      </w:r>
      <w:r>
        <w:rPr>
          <w:rFonts w:hint="eastAsia" w:ascii="仿宋" w:hAnsi="仿宋" w:eastAsia="仿宋" w:cs="仿宋"/>
          <w:sz w:val="32"/>
          <w:szCs w:val="32"/>
          <w:highlight w:val="none"/>
          <w:lang w:val="en-US" w:eastAsia="zh-CN"/>
        </w:rPr>
        <w:t>1142.95</w:t>
      </w:r>
      <w:r>
        <w:rPr>
          <w:rFonts w:hint="eastAsia" w:ascii="仿宋" w:hAnsi="仿宋" w:eastAsia="仿宋" w:cs="仿宋"/>
          <w:sz w:val="32"/>
          <w:szCs w:val="32"/>
          <w:highlight w:val="none"/>
        </w:rPr>
        <w:t>万元，其中本年支出</w:t>
      </w:r>
      <w:r>
        <w:rPr>
          <w:rFonts w:hint="eastAsia" w:ascii="仿宋" w:hAnsi="仿宋" w:eastAsia="仿宋" w:cs="仿宋"/>
          <w:sz w:val="32"/>
          <w:szCs w:val="32"/>
          <w:highlight w:val="none"/>
          <w:lang w:val="en-US" w:eastAsia="zh-CN"/>
        </w:rPr>
        <w:t>1142.95</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u w:color="auto"/>
        </w:rPr>
        <w:t>减少</w:t>
      </w:r>
      <w:r>
        <w:rPr>
          <w:rFonts w:hint="eastAsia" w:ascii="仿宋" w:hAnsi="仿宋" w:eastAsia="仿宋" w:cs="仿宋"/>
          <w:sz w:val="32"/>
          <w:u w:color="auto"/>
          <w:lang w:val="en-US" w:eastAsia="zh-CN"/>
        </w:rPr>
        <w:t>149.78</w:t>
      </w:r>
      <w:r>
        <w:rPr>
          <w:rFonts w:hint="eastAsia" w:ascii="仿宋" w:hAnsi="仿宋" w:eastAsia="仿宋" w:cs="仿宋"/>
          <w:sz w:val="32"/>
          <w:szCs w:val="32"/>
          <w:highlight w:val="none"/>
        </w:rPr>
        <w:t>万元，</w:t>
      </w:r>
      <w:r>
        <w:rPr>
          <w:rFonts w:ascii="仿宋" w:hAnsi="仿宋" w:eastAsia="仿宋" w:cs="仿宋"/>
          <w:sz w:val="32"/>
          <w:u w:color="auto"/>
        </w:rPr>
        <w:t>下降</w:t>
      </w:r>
      <w:r>
        <w:rPr>
          <w:rFonts w:hint="eastAsia" w:ascii="仿宋" w:hAnsi="仿宋" w:eastAsia="仿宋" w:cs="仿宋"/>
          <w:sz w:val="32"/>
          <w:u w:color="auto"/>
          <w:lang w:val="en-US" w:eastAsia="zh-CN"/>
        </w:rPr>
        <w:t>11.58</w:t>
      </w:r>
      <w:r>
        <w:rPr>
          <w:rFonts w:ascii="仿宋" w:hAnsi="仿宋" w:eastAsia="仿宋" w:cs="仿宋"/>
          <w:sz w:val="32"/>
          <w:u w:color="auto"/>
        </w:rPr>
        <w:t>%</w:t>
      </w:r>
      <w:r>
        <w:rPr>
          <w:rFonts w:hint="eastAsia" w:ascii="仿宋" w:hAnsi="仿宋" w:eastAsia="仿宋" w:cs="仿宋"/>
          <w:sz w:val="32"/>
          <w:szCs w:val="32"/>
          <w:highlight w:val="none"/>
        </w:rPr>
        <w:t>。支出具体情况如下：</w:t>
      </w:r>
    </w:p>
    <w:p>
      <w:pPr>
        <w:autoSpaceDE w:val="0"/>
        <w:autoSpaceDN w:val="0"/>
        <w:adjustRightInd w:val="0"/>
        <w:spacing w:line="560" w:lineRule="exact"/>
        <w:ind w:firstLine="627" w:firstLineChars="196"/>
        <w:jc w:val="left"/>
        <w:rPr>
          <w:rFonts w:hint="default" w:ascii="仿宋_GB2312" w:eastAsia="仿宋_GB2312" w:cs="仿宋_GB2312"/>
          <w:kern w:val="0"/>
          <w:sz w:val="32"/>
          <w:szCs w:val="32"/>
          <w:lang w:val="en-US"/>
        </w:rPr>
      </w:pPr>
      <w:r>
        <w:rPr>
          <w:rFonts w:hint="eastAsia" w:ascii="仿宋_GB2312" w:eastAsia="仿宋_GB2312" w:cs="仿宋_GB2312"/>
          <w:kern w:val="0"/>
          <w:sz w:val="32"/>
          <w:szCs w:val="32"/>
        </w:rPr>
        <w:t>1. 一般公共服务支出（</w:t>
      </w:r>
      <w:r>
        <w:rPr>
          <w:rFonts w:hint="eastAsia" w:ascii="仿宋_GB2312" w:eastAsia="仿宋_GB2312" w:cs="仿宋_GB2312"/>
          <w:kern w:val="0"/>
          <w:sz w:val="32"/>
          <w:szCs w:val="32"/>
          <w:lang w:val="en-US" w:eastAsia="zh-CN"/>
        </w:rPr>
        <w:t>201</w:t>
      </w:r>
      <w:r>
        <w:rPr>
          <w:rFonts w:hint="eastAsia" w:ascii="仿宋_GB2312" w:eastAsia="仿宋_GB2312" w:cs="仿宋_GB2312"/>
          <w:kern w:val="0"/>
          <w:sz w:val="32"/>
          <w:szCs w:val="32"/>
        </w:rPr>
        <w:t>类）</w:t>
      </w:r>
      <w:r>
        <w:rPr>
          <w:rFonts w:hint="eastAsia" w:ascii="仿宋_GB2312" w:eastAsia="仿宋_GB2312" w:cs="仿宋_GB2312"/>
          <w:kern w:val="0"/>
          <w:sz w:val="32"/>
          <w:szCs w:val="32"/>
          <w:lang w:val="en-US" w:eastAsia="zh-CN"/>
        </w:rPr>
        <w:t>9.61</w:t>
      </w:r>
      <w:r>
        <w:rPr>
          <w:rFonts w:hint="eastAsia" w:ascii="仿宋_GB2312" w:eastAsia="仿宋_GB2312" w:cs="仿宋_GB2312"/>
          <w:kern w:val="0"/>
          <w:sz w:val="32"/>
          <w:szCs w:val="32"/>
        </w:rPr>
        <w:t>万元，主要用于</w:t>
      </w:r>
      <w:r>
        <w:rPr>
          <w:rFonts w:hint="eastAsia" w:ascii="仿宋_GB2312" w:eastAsia="仿宋_GB2312" w:cs="仿宋_GB2312"/>
          <w:kern w:val="0"/>
          <w:sz w:val="32"/>
          <w:szCs w:val="32"/>
          <w:lang w:val="en-US" w:eastAsia="zh-CN"/>
        </w:rPr>
        <w:t>2023年工会经费支出</w:t>
      </w:r>
      <w:r>
        <w:rPr>
          <w:rFonts w:hint="eastAsia" w:ascii="仿宋_GB2312" w:eastAsia="仿宋_GB2312" w:cs="仿宋_GB2312"/>
          <w:kern w:val="0"/>
          <w:sz w:val="32"/>
          <w:szCs w:val="32"/>
        </w:rPr>
        <w:t>。较202</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年度决算数</w:t>
      </w:r>
      <w:r>
        <w:rPr>
          <w:rFonts w:hint="eastAsia" w:ascii="仿宋_GB2312" w:eastAsia="仿宋_GB2312" w:cs="仿宋_GB2312"/>
          <w:kern w:val="0"/>
          <w:sz w:val="32"/>
          <w:szCs w:val="32"/>
          <w:lang w:val="en-US" w:eastAsia="zh-CN"/>
        </w:rPr>
        <w:t>减少0.83</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val="en-US" w:eastAsia="zh-CN"/>
        </w:rPr>
        <w:t>下降7.95</w:t>
      </w:r>
      <w:r>
        <w:rPr>
          <w:rFonts w:hint="eastAsia" w:ascii="仿宋_GB2312" w:eastAsia="仿宋_GB2312" w:cs="仿宋_GB2312"/>
          <w:kern w:val="0"/>
          <w:sz w:val="32"/>
          <w:szCs w:val="32"/>
        </w:rPr>
        <w:t>%，主要原因是</w:t>
      </w:r>
      <w:r>
        <w:rPr>
          <w:rFonts w:hint="eastAsia" w:ascii="仿宋_GB2312" w:eastAsia="仿宋_GB2312" w:cs="仿宋_GB2312"/>
          <w:kern w:val="0"/>
          <w:sz w:val="32"/>
          <w:szCs w:val="32"/>
          <w:lang w:val="en-US" w:eastAsia="zh-CN"/>
        </w:rPr>
        <w:t>2023年人员比2022年人员减少，基数减少。</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highlight w:val="yellow"/>
          <w:lang w:val="en-US" w:eastAsia="zh-CN"/>
        </w:rPr>
      </w:pPr>
      <w:r>
        <w:rPr>
          <w:rFonts w:hint="eastAsia" w:ascii="仿宋_GB2312" w:eastAsia="仿宋_GB2312" w:cs="仿宋_GB2312"/>
          <w:kern w:val="0"/>
          <w:sz w:val="32"/>
          <w:szCs w:val="32"/>
        </w:rPr>
        <w:t>2.公共安全支出（</w:t>
      </w:r>
      <w:r>
        <w:rPr>
          <w:rFonts w:hint="eastAsia" w:ascii="仿宋_GB2312" w:eastAsia="仿宋_GB2312" w:cs="仿宋_GB2312"/>
          <w:kern w:val="0"/>
          <w:sz w:val="32"/>
          <w:szCs w:val="32"/>
          <w:lang w:val="en-US" w:eastAsia="zh-CN"/>
        </w:rPr>
        <w:t>204</w:t>
      </w:r>
      <w:r>
        <w:rPr>
          <w:rFonts w:hint="eastAsia" w:ascii="仿宋_GB2312" w:eastAsia="仿宋_GB2312" w:cs="仿宋_GB2312"/>
          <w:kern w:val="0"/>
          <w:sz w:val="32"/>
          <w:szCs w:val="32"/>
        </w:rPr>
        <w:t>类）</w:t>
      </w:r>
      <w:r>
        <w:rPr>
          <w:rFonts w:hint="eastAsia" w:ascii="仿宋_GB2312" w:eastAsia="仿宋_GB2312" w:cs="仿宋_GB2312"/>
          <w:kern w:val="0"/>
          <w:sz w:val="32"/>
          <w:szCs w:val="32"/>
          <w:lang w:val="en-US" w:eastAsia="zh-CN"/>
        </w:rPr>
        <w:t>782.74</w:t>
      </w:r>
      <w:r>
        <w:rPr>
          <w:rFonts w:hint="eastAsia" w:ascii="仿宋_GB2312" w:eastAsia="仿宋_GB2312" w:cs="仿宋_GB2312"/>
          <w:kern w:val="0"/>
          <w:sz w:val="32"/>
          <w:szCs w:val="32"/>
        </w:rPr>
        <w:t>万元，主要用于本部门为保证日常运转发生的基本支出和为完成各项工作任务、保障单位事业发展而发生的项目支出。较202</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年度决算数</w:t>
      </w:r>
      <w:r>
        <w:rPr>
          <w:rFonts w:hint="eastAsia" w:ascii="仿宋_GB2312" w:eastAsia="仿宋_GB2312" w:cs="仿宋_GB2312"/>
          <w:kern w:val="0"/>
          <w:sz w:val="32"/>
          <w:szCs w:val="32"/>
          <w:lang w:val="en-US" w:eastAsia="zh-CN"/>
        </w:rPr>
        <w:t>减少263.82</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val="en-US" w:eastAsia="zh-CN"/>
        </w:rPr>
        <w:t>下降25.21</w:t>
      </w:r>
      <w:r>
        <w:rPr>
          <w:rFonts w:hint="eastAsia" w:ascii="仿宋_GB2312" w:eastAsia="仿宋_GB2312" w:cs="仿宋_GB2312"/>
          <w:kern w:val="0"/>
          <w:sz w:val="32"/>
          <w:szCs w:val="32"/>
        </w:rPr>
        <w:t>%，</w:t>
      </w:r>
      <w:r>
        <w:rPr>
          <w:rFonts w:hint="eastAsia" w:ascii="仿宋_GB2312" w:eastAsia="仿宋_GB2312" w:cs="仿宋_GB2312"/>
          <w:kern w:val="0"/>
          <w:sz w:val="32"/>
          <w:szCs w:val="32"/>
          <w:highlight w:val="yellow"/>
        </w:rPr>
        <w:t>主要原因是</w:t>
      </w:r>
      <w:r>
        <w:rPr>
          <w:rFonts w:hint="eastAsia" w:ascii="仿宋_GB2312" w:eastAsia="仿宋_GB2312" w:cs="仿宋_GB2312"/>
          <w:kern w:val="0"/>
          <w:sz w:val="32"/>
          <w:szCs w:val="32"/>
          <w:highlight w:val="yellow"/>
          <w:lang w:val="en-US" w:eastAsia="zh-CN"/>
        </w:rPr>
        <w:t>经费紧张，压减项目经费。</w:t>
      </w:r>
    </w:p>
    <w:p>
      <w:pPr>
        <w:autoSpaceDE w:val="0"/>
        <w:autoSpaceDN w:val="0"/>
        <w:adjustRightInd w:val="0"/>
        <w:spacing w:line="560" w:lineRule="exact"/>
        <w:ind w:firstLine="627" w:firstLineChars="196"/>
        <w:jc w:val="left"/>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3.其他科学技术支出（206类）17万元，主要用于宣传方面的经费支出，较2022年决算数增加17万元，增长100%，</w:t>
      </w:r>
      <w:r>
        <w:rPr>
          <w:rFonts w:hint="eastAsia" w:ascii="仿宋_GB2312" w:eastAsia="仿宋_GB2312" w:cs="仿宋_GB2312"/>
          <w:kern w:val="0"/>
          <w:sz w:val="32"/>
          <w:szCs w:val="32"/>
          <w:highlight w:val="yellow"/>
          <w:lang w:val="en-US" w:eastAsia="zh-CN"/>
        </w:rPr>
        <w:t>主要原因为按财政决算要求，调整支出功能分类</w:t>
      </w:r>
      <w:r>
        <w:rPr>
          <w:rFonts w:hint="eastAsia" w:ascii="仿宋_GB2312" w:eastAsia="仿宋_GB2312" w:cs="仿宋_GB2312"/>
          <w:kern w:val="0"/>
          <w:sz w:val="32"/>
          <w:szCs w:val="32"/>
          <w:lang w:val="en-US"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rPr>
        <w:t>社会保障和就业支出（</w:t>
      </w:r>
      <w:r>
        <w:rPr>
          <w:rFonts w:hint="eastAsia" w:ascii="仿宋_GB2312" w:eastAsia="仿宋_GB2312" w:cs="仿宋_GB2312"/>
          <w:kern w:val="0"/>
          <w:sz w:val="32"/>
          <w:szCs w:val="32"/>
          <w:lang w:val="en-US" w:eastAsia="zh-CN"/>
        </w:rPr>
        <w:t>208</w:t>
      </w:r>
      <w:r>
        <w:rPr>
          <w:rFonts w:hint="eastAsia" w:ascii="仿宋_GB2312" w:eastAsia="仿宋_GB2312" w:cs="仿宋_GB2312"/>
          <w:kern w:val="0"/>
          <w:sz w:val="32"/>
          <w:szCs w:val="32"/>
        </w:rPr>
        <w:t>类）</w:t>
      </w:r>
      <w:r>
        <w:rPr>
          <w:rFonts w:hint="eastAsia" w:ascii="仿宋_GB2312" w:eastAsia="仿宋_GB2312" w:cs="仿宋_GB2312"/>
          <w:kern w:val="0"/>
          <w:sz w:val="32"/>
          <w:szCs w:val="32"/>
          <w:lang w:val="en-US" w:eastAsia="zh-CN"/>
        </w:rPr>
        <w:t>66.99</w:t>
      </w:r>
      <w:r>
        <w:rPr>
          <w:rFonts w:hint="eastAsia" w:ascii="仿宋_GB2312" w:eastAsia="仿宋_GB2312" w:cs="仿宋_GB2312"/>
          <w:kern w:val="0"/>
          <w:sz w:val="32"/>
          <w:szCs w:val="32"/>
        </w:rPr>
        <w:t>万元。主要为机关养老缴费支出。较202</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年度决算数</w:t>
      </w:r>
      <w:r>
        <w:rPr>
          <w:rFonts w:hint="eastAsia" w:ascii="仿宋_GB2312" w:eastAsia="仿宋_GB2312" w:cs="仿宋_GB2312"/>
          <w:kern w:val="0"/>
          <w:sz w:val="32"/>
          <w:szCs w:val="32"/>
          <w:lang w:val="en-US" w:eastAsia="zh-CN"/>
        </w:rPr>
        <w:t>增加0.2</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val="en-US" w:eastAsia="zh-CN"/>
        </w:rPr>
        <w:t>增长0.3</w:t>
      </w:r>
      <w:r>
        <w:rPr>
          <w:rFonts w:hint="eastAsia" w:ascii="仿宋_GB2312" w:eastAsia="仿宋_GB2312" w:cs="仿宋_GB2312"/>
          <w:kern w:val="0"/>
          <w:sz w:val="32"/>
          <w:szCs w:val="32"/>
        </w:rPr>
        <w:t>%，主要原因是</w:t>
      </w:r>
      <w:r>
        <w:rPr>
          <w:rFonts w:hint="eastAsia" w:ascii="仿宋_GB2312" w:eastAsia="仿宋_GB2312" w:cs="仿宋_GB2312"/>
          <w:kern w:val="0"/>
          <w:sz w:val="32"/>
          <w:szCs w:val="32"/>
          <w:lang w:val="en-US" w:eastAsia="zh-CN"/>
        </w:rPr>
        <w:t>养老基数有所调整及人员有所调整</w:t>
      </w:r>
      <w:r>
        <w:rPr>
          <w:rFonts w:hint="eastAsia" w:ascii="仿宋_GB2312" w:eastAsia="仿宋_GB2312" w:cs="仿宋_GB2312"/>
          <w:kern w:val="0"/>
          <w:sz w:val="32"/>
          <w:szCs w:val="32"/>
        </w:rPr>
        <w:t>。</w:t>
      </w:r>
    </w:p>
    <w:p>
      <w:pPr>
        <w:autoSpaceDE w:val="0"/>
        <w:autoSpaceDN w:val="0"/>
        <w:adjustRightInd w:val="0"/>
        <w:spacing w:line="560" w:lineRule="exact"/>
        <w:ind w:firstLine="627" w:firstLineChars="196"/>
        <w:jc w:val="left"/>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5.城市建设支出（212类）128万，主要用于债务专项支出，较2022年决算数增加128万元，增长100%，主要原因为2023年新增债务专项经费。</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6</w:t>
      </w:r>
      <w:r>
        <w:rPr>
          <w:rFonts w:hint="eastAsia" w:ascii="仿宋_GB2312" w:eastAsia="仿宋_GB2312" w:cs="仿宋_GB2312"/>
          <w:kern w:val="0"/>
          <w:sz w:val="32"/>
          <w:szCs w:val="32"/>
        </w:rPr>
        <w:t>.住房保障支出（</w:t>
      </w:r>
      <w:r>
        <w:rPr>
          <w:rFonts w:hint="eastAsia" w:ascii="仿宋_GB2312" w:eastAsia="仿宋_GB2312" w:cs="仿宋_GB2312"/>
          <w:kern w:val="0"/>
          <w:sz w:val="32"/>
          <w:szCs w:val="32"/>
          <w:lang w:val="en-US" w:eastAsia="zh-CN"/>
        </w:rPr>
        <w:t>221</w:t>
      </w:r>
      <w:r>
        <w:rPr>
          <w:rFonts w:hint="eastAsia" w:ascii="仿宋_GB2312" w:eastAsia="仿宋_GB2312" w:cs="仿宋_GB2312"/>
          <w:kern w:val="0"/>
          <w:sz w:val="32"/>
          <w:szCs w:val="32"/>
        </w:rPr>
        <w:t>类）</w:t>
      </w:r>
      <w:r>
        <w:rPr>
          <w:rFonts w:hint="eastAsia" w:ascii="仿宋_GB2312" w:eastAsia="仿宋_GB2312" w:cs="仿宋_GB2312"/>
          <w:kern w:val="0"/>
          <w:sz w:val="32"/>
          <w:szCs w:val="32"/>
          <w:lang w:val="en-US" w:eastAsia="zh-CN"/>
        </w:rPr>
        <w:t>50.24</w:t>
      </w:r>
      <w:r>
        <w:rPr>
          <w:rFonts w:hint="eastAsia" w:ascii="仿宋_GB2312" w:eastAsia="仿宋_GB2312" w:cs="仿宋_GB2312"/>
          <w:kern w:val="0"/>
          <w:sz w:val="32"/>
          <w:szCs w:val="32"/>
        </w:rPr>
        <w:t>万元</w:t>
      </w:r>
      <w:r>
        <w:rPr>
          <w:rFonts w:hint="eastAsia" w:ascii="仿宋_GB2312" w:eastAsia="仿宋_GB2312" w:cs="仿宋_GB2312"/>
          <w:kern w:val="0"/>
          <w:sz w:val="32"/>
          <w:szCs w:val="32"/>
        </w:rPr>
        <w:tab/>
      </w:r>
      <w:r>
        <w:rPr>
          <w:rFonts w:hint="eastAsia" w:ascii="仿宋_GB2312" w:eastAsia="仿宋_GB2312" w:cs="仿宋_GB2312"/>
          <w:kern w:val="0"/>
          <w:sz w:val="32"/>
          <w:szCs w:val="32"/>
        </w:rPr>
        <w:t>，比上年</w:t>
      </w:r>
      <w:r>
        <w:rPr>
          <w:rFonts w:hint="eastAsia" w:ascii="仿宋_GB2312" w:eastAsia="仿宋_GB2312" w:cs="仿宋_GB2312"/>
          <w:kern w:val="0"/>
          <w:sz w:val="32"/>
          <w:szCs w:val="32"/>
          <w:lang w:val="en-US" w:eastAsia="zh-CN"/>
        </w:rPr>
        <w:t>减少5.72</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val="en-US" w:eastAsia="zh-CN"/>
        </w:rPr>
        <w:t>下降</w:t>
      </w:r>
      <w:r>
        <w:rPr>
          <w:rFonts w:hint="eastAsia" w:ascii="仿宋_GB2312" w:eastAsia="仿宋_GB2312" w:cs="仿宋_GB2312"/>
          <w:kern w:val="0"/>
          <w:sz w:val="32"/>
          <w:szCs w:val="32"/>
        </w:rPr>
        <w:t>1</w:t>
      </w:r>
      <w:r>
        <w:rPr>
          <w:rFonts w:hint="eastAsia" w:ascii="仿宋_GB2312" w:eastAsia="仿宋_GB2312" w:cs="仿宋_GB2312"/>
          <w:kern w:val="0"/>
          <w:sz w:val="32"/>
          <w:szCs w:val="32"/>
          <w:lang w:val="en-US" w:eastAsia="zh-CN"/>
        </w:rPr>
        <w:t>0.22</w:t>
      </w:r>
      <w:r>
        <w:rPr>
          <w:rFonts w:hint="eastAsia" w:ascii="仿宋_GB2312" w:eastAsia="仿宋_GB2312" w:cs="仿宋_GB2312"/>
          <w:kern w:val="0"/>
          <w:sz w:val="32"/>
          <w:szCs w:val="32"/>
        </w:rPr>
        <w:t>%，主要原因为</w:t>
      </w:r>
      <w:r>
        <w:rPr>
          <w:rFonts w:hint="eastAsia" w:ascii="仿宋_GB2312" w:eastAsia="仿宋_GB2312" w:cs="仿宋_GB2312"/>
          <w:kern w:val="0"/>
          <w:sz w:val="32"/>
          <w:szCs w:val="32"/>
          <w:lang w:val="en-US" w:eastAsia="zh-CN"/>
        </w:rPr>
        <w:t>2023年度有在职人员退休及人员调出</w:t>
      </w:r>
      <w:r>
        <w:rPr>
          <w:rFonts w:hint="eastAsia" w:ascii="仿宋_GB2312" w:eastAsia="仿宋_GB2312" w:cs="仿宋_GB2312"/>
          <w:kern w:val="0"/>
          <w:sz w:val="32"/>
          <w:szCs w:val="32"/>
        </w:rPr>
        <w:t>。住房保障支出（类）主要用于按照国家政策规定向职工发放的住房公积金、提租补贴、购房补贴等住房改革方面的支出。</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7</w:t>
      </w:r>
      <w:r>
        <w:rPr>
          <w:rFonts w:hint="eastAsia" w:ascii="仿宋_GB2312" w:eastAsia="仿宋_GB2312" w:cs="仿宋_GB2312"/>
          <w:kern w:val="0"/>
          <w:sz w:val="32"/>
          <w:szCs w:val="32"/>
        </w:rPr>
        <w:t>、农林水支出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万元，较202</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年减少</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万元，下降</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8</w:t>
      </w:r>
      <w:r>
        <w:rPr>
          <w:rFonts w:hint="eastAsia" w:ascii="仿宋_GB2312" w:eastAsia="仿宋_GB2312" w:cs="仿宋_GB2312"/>
          <w:kern w:val="0"/>
          <w:sz w:val="32"/>
          <w:szCs w:val="32"/>
        </w:rPr>
        <w:t>.其他支出（</w:t>
      </w:r>
      <w:r>
        <w:rPr>
          <w:rFonts w:hint="eastAsia" w:ascii="仿宋_GB2312" w:eastAsia="仿宋_GB2312" w:cs="仿宋_GB2312"/>
          <w:kern w:val="0"/>
          <w:sz w:val="32"/>
          <w:szCs w:val="32"/>
          <w:lang w:val="en-US" w:eastAsia="zh-CN"/>
        </w:rPr>
        <w:t>229</w:t>
      </w:r>
      <w:r>
        <w:rPr>
          <w:rFonts w:hint="eastAsia" w:ascii="仿宋_GB2312" w:eastAsia="仿宋_GB2312" w:cs="仿宋_GB2312"/>
          <w:kern w:val="0"/>
          <w:sz w:val="32"/>
          <w:szCs w:val="32"/>
        </w:rPr>
        <w:t>类）</w:t>
      </w:r>
      <w:r>
        <w:rPr>
          <w:rFonts w:hint="eastAsia" w:ascii="仿宋_GB2312" w:eastAsia="仿宋_GB2312" w:cs="仿宋_GB2312"/>
          <w:kern w:val="0"/>
          <w:sz w:val="32"/>
          <w:szCs w:val="32"/>
          <w:lang w:val="en-US" w:eastAsia="zh-CN"/>
        </w:rPr>
        <w:t>88.38</w:t>
      </w:r>
      <w:r>
        <w:rPr>
          <w:rFonts w:hint="eastAsia" w:ascii="仿宋_GB2312" w:eastAsia="仿宋_GB2312" w:cs="仿宋_GB2312"/>
          <w:kern w:val="0"/>
          <w:sz w:val="32"/>
          <w:szCs w:val="32"/>
        </w:rPr>
        <w:t>万元，主要用于在职人员绩效补助等。较202</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年</w:t>
      </w:r>
      <w:r>
        <w:rPr>
          <w:rFonts w:hint="eastAsia" w:ascii="仿宋_GB2312" w:eastAsia="仿宋_GB2312" w:cs="仿宋_GB2312"/>
          <w:kern w:val="0"/>
          <w:sz w:val="32"/>
          <w:szCs w:val="32"/>
          <w:lang w:val="en-US" w:eastAsia="zh-CN"/>
        </w:rPr>
        <w:t>减少24.6</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val="en-US" w:eastAsia="zh-CN"/>
        </w:rPr>
        <w:t>下降21.77</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val="en-US" w:eastAsia="zh-CN"/>
        </w:rPr>
        <w:t>原因</w:t>
      </w:r>
      <w:r>
        <w:rPr>
          <w:rFonts w:hint="eastAsia" w:ascii="仿宋_GB2312" w:eastAsia="仿宋_GB2312" w:cs="仿宋_GB2312"/>
          <w:kern w:val="0"/>
          <w:sz w:val="32"/>
          <w:szCs w:val="32"/>
        </w:rPr>
        <w:t>为</w:t>
      </w:r>
      <w:r>
        <w:rPr>
          <w:rFonts w:hint="eastAsia" w:ascii="仿宋_GB2312" w:eastAsia="仿宋_GB2312" w:cs="仿宋_GB2312"/>
          <w:kern w:val="0"/>
          <w:sz w:val="32"/>
          <w:szCs w:val="32"/>
          <w:lang w:val="en-US" w:eastAsia="zh-CN"/>
        </w:rPr>
        <w:t>2023年度在职绩效补助部分金额按月随工资发放。</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9</w:t>
      </w:r>
      <w:r>
        <w:rPr>
          <w:rFonts w:hint="eastAsia" w:ascii="仿宋_GB2312" w:eastAsia="仿宋_GB2312" w:cs="仿宋_GB2312"/>
          <w:kern w:val="0"/>
          <w:sz w:val="32"/>
          <w:szCs w:val="32"/>
        </w:rPr>
        <w:t>.结余分配</w:t>
      </w:r>
      <w:r>
        <w:rPr>
          <w:rFonts w:hint="eastAsia" w:ascii="仿宋_GB2312" w:eastAsia="仿宋_GB2312"/>
          <w:kern w:val="0"/>
          <w:sz w:val="32"/>
          <w:szCs w:val="32"/>
        </w:rPr>
        <w:t>0</w:t>
      </w:r>
      <w:r>
        <w:rPr>
          <w:rFonts w:hint="eastAsia" w:ascii="仿宋_GB2312" w:eastAsia="仿宋_GB2312" w:cs="仿宋_GB2312"/>
          <w:kern w:val="0"/>
          <w:sz w:val="32"/>
          <w:szCs w:val="32"/>
        </w:rPr>
        <w:t>万元，为事业单位按规定提取的专用结余、缴纳所得税和转入非财政拨款结余等。</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年度决算数增加（减少）0万元，增长（下降）0%。</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rPr>
      </w:pPr>
      <w:r>
        <w:rPr>
          <w:rFonts w:hint="eastAsia" w:ascii="仿宋_GB2312" w:eastAsia="仿宋_GB2312" w:cs="仿宋_GB2312"/>
          <w:kern w:val="0"/>
          <w:sz w:val="32"/>
          <w:szCs w:val="32"/>
          <w:lang w:val="en-US" w:eastAsia="zh-CN"/>
        </w:rPr>
        <w:t>10</w:t>
      </w:r>
      <w:r>
        <w:rPr>
          <w:rFonts w:hint="eastAsia" w:ascii="仿宋_GB2312" w:eastAsia="仿宋_GB2312" w:cs="仿宋_GB2312"/>
          <w:kern w:val="0"/>
          <w:sz w:val="32"/>
          <w:szCs w:val="32"/>
        </w:rPr>
        <w:t>.年末结转和结余</w:t>
      </w:r>
      <w:r>
        <w:rPr>
          <w:rFonts w:hint="eastAsia" w:ascii="仿宋_GB2312" w:eastAsia="仿宋_GB2312"/>
          <w:kern w:val="0"/>
          <w:sz w:val="32"/>
          <w:szCs w:val="32"/>
        </w:rPr>
        <w:t>0</w:t>
      </w:r>
      <w:r>
        <w:rPr>
          <w:rFonts w:hint="eastAsia" w:ascii="仿宋_GB2312" w:eastAsia="仿宋_GB2312" w:cs="仿宋_GB2312"/>
          <w:kern w:val="0"/>
          <w:sz w:val="32"/>
          <w:szCs w:val="32"/>
        </w:rPr>
        <w:t>万元，为本年度或以前年度预算安排、因客观条件发生变化无法按原计划实施，需要延迟到以后年度按有关规定继续使用的资金。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w:t>
      </w:r>
    </w:p>
    <w:p>
      <w:pPr>
        <w:jc w:val="both"/>
        <w:rPr>
          <w:rFonts w:ascii="仿宋" w:hAnsi="仿宋" w:eastAsia="仿宋" w:cs="仿宋"/>
          <w:sz w:val="32"/>
          <w:szCs w:val="32"/>
          <w:highlight w:val="none"/>
        </w:rPr>
      </w:pPr>
      <w:r>
        <w:drawing>
          <wp:inline distT="0" distB="0" distL="114300" distR="114300">
            <wp:extent cx="4091940" cy="2575560"/>
            <wp:effectExtent l="4445" t="5080" r="18415" b="10160"/>
            <wp:docPr id="1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二、202</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年度</w:t>
      </w:r>
      <w:bookmarkStart w:id="0" w:name="OLE_LINK1"/>
      <w:r>
        <w:rPr>
          <w:rFonts w:hint="eastAsia" w:ascii="黑体" w:hAnsi="黑体" w:eastAsia="黑体" w:cs="黑体"/>
          <w:color w:val="auto"/>
          <w:sz w:val="32"/>
          <w:szCs w:val="32"/>
          <w:highlight w:val="none"/>
        </w:rPr>
        <w:t>一般公共预算财政拨款支出决算情况</w:t>
      </w:r>
      <w:bookmarkEnd w:id="0"/>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环江毛南族自治县司法局</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年度一般公共预算财政拨款支出</w:t>
      </w:r>
      <w:r>
        <w:rPr>
          <w:rFonts w:hint="eastAsia" w:ascii="仿宋" w:hAnsi="仿宋" w:eastAsia="仿宋" w:cs="仿宋"/>
          <w:sz w:val="32"/>
          <w:szCs w:val="32"/>
          <w:highlight w:val="none"/>
          <w:lang w:val="en-US" w:eastAsia="zh-CN"/>
        </w:rPr>
        <w:t>1142.95</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u w:color="auto"/>
        </w:rPr>
        <w:t>减少</w:t>
      </w:r>
      <w:r>
        <w:rPr>
          <w:rFonts w:hint="eastAsia" w:ascii="仿宋" w:hAnsi="仿宋" w:eastAsia="仿宋" w:cs="仿宋"/>
          <w:sz w:val="32"/>
          <w:u w:color="auto"/>
          <w:lang w:val="en-US" w:eastAsia="zh-CN"/>
        </w:rPr>
        <w:t>149.78</w:t>
      </w:r>
      <w:r>
        <w:rPr>
          <w:rFonts w:hint="eastAsia" w:ascii="仿宋" w:hAnsi="仿宋" w:eastAsia="仿宋" w:cs="仿宋"/>
          <w:sz w:val="32"/>
          <w:szCs w:val="32"/>
          <w:highlight w:val="none"/>
        </w:rPr>
        <w:t>万元，</w:t>
      </w:r>
      <w:r>
        <w:rPr>
          <w:rFonts w:ascii="仿宋" w:hAnsi="仿宋" w:eastAsia="仿宋" w:cs="仿宋"/>
          <w:sz w:val="32"/>
          <w:u w:color="auto"/>
        </w:rPr>
        <w:t>下降</w:t>
      </w:r>
      <w:r>
        <w:rPr>
          <w:rFonts w:hint="eastAsia" w:ascii="仿宋" w:hAnsi="仿宋" w:eastAsia="仿宋" w:cs="仿宋"/>
          <w:sz w:val="32"/>
          <w:u w:color="auto"/>
          <w:lang w:val="en-US" w:eastAsia="zh-CN"/>
        </w:rPr>
        <w:t>11.58</w:t>
      </w:r>
      <w:r>
        <w:rPr>
          <w:rFonts w:ascii="仿宋" w:hAnsi="仿宋" w:eastAsia="仿宋" w:cs="仿宋"/>
          <w:sz w:val="32"/>
          <w:u w:color="auto"/>
        </w:rPr>
        <w:t>%</w:t>
      </w:r>
      <w:r>
        <w:rPr>
          <w:rFonts w:hint="eastAsia" w:ascii="仿宋" w:hAnsi="仿宋" w:eastAsia="仿宋" w:cs="仿宋"/>
          <w:sz w:val="32"/>
          <w:szCs w:val="32"/>
          <w:highlight w:val="none"/>
        </w:rPr>
        <w:t>。其中：基本支出</w:t>
      </w:r>
      <w:r>
        <w:rPr>
          <w:rFonts w:hint="eastAsia" w:ascii="仿宋" w:hAnsi="仿宋" w:eastAsia="仿宋" w:cs="仿宋"/>
          <w:sz w:val="32"/>
          <w:szCs w:val="32"/>
          <w:highlight w:val="none"/>
          <w:lang w:val="en-US" w:eastAsia="zh-CN"/>
        </w:rPr>
        <w:t>838.72</w:t>
      </w:r>
      <w:r>
        <w:rPr>
          <w:rFonts w:hint="eastAsia" w:ascii="仿宋" w:hAnsi="仿宋" w:eastAsia="仿宋" w:cs="仿宋"/>
          <w:sz w:val="32"/>
          <w:szCs w:val="32"/>
          <w:highlight w:val="none"/>
        </w:rPr>
        <w:t>万元，项目支出</w:t>
      </w:r>
      <w:r>
        <w:rPr>
          <w:rFonts w:hint="eastAsia" w:ascii="仿宋" w:hAnsi="仿宋" w:eastAsia="仿宋" w:cs="仿宋"/>
          <w:sz w:val="32"/>
          <w:szCs w:val="32"/>
          <w:highlight w:val="none"/>
          <w:lang w:val="en-US" w:eastAsia="zh-CN"/>
        </w:rPr>
        <w:t>304.24</w:t>
      </w:r>
      <w:r>
        <w:rPr>
          <w:rFonts w:hint="eastAsia" w:ascii="仿宋" w:hAnsi="仿宋" w:eastAsia="仿宋" w:cs="仿宋"/>
          <w:sz w:val="32"/>
          <w:szCs w:val="32"/>
          <w:highlight w:val="none"/>
        </w:rPr>
        <w:t>万元。</w:t>
      </w:r>
    </w:p>
    <w:p>
      <w:pPr>
        <w:ind w:firstLine="640" w:firstLineChars="200"/>
        <w:jc w:val="left"/>
        <w:rPr>
          <w:rFonts w:ascii="仿宋" w:hAnsi="仿宋" w:eastAsia="仿宋"/>
          <w:sz w:val="32"/>
          <w:szCs w:val="32"/>
          <w:highlight w:val="none"/>
        </w:rPr>
      </w:pPr>
      <w:r>
        <w:rPr>
          <w:rFonts w:hint="eastAsia" w:ascii="仿宋" w:hAnsi="仿宋" w:eastAsia="仿宋" w:cs="仿宋"/>
          <w:sz w:val="32"/>
          <w:szCs w:val="32"/>
          <w:highlight w:val="none"/>
          <w:lang w:val="en-US" w:eastAsia="zh-CN"/>
        </w:rPr>
        <w:t>环江毛南族自治县司法局</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年度一般公共预算财政拨款支出年初预算为</w:t>
      </w:r>
      <w:r>
        <w:rPr>
          <w:rFonts w:hint="eastAsia" w:ascii="仿宋" w:hAnsi="仿宋" w:eastAsia="仿宋" w:cs="仿宋"/>
          <w:sz w:val="32"/>
          <w:szCs w:val="32"/>
          <w:highlight w:val="none"/>
          <w:lang w:val="en-US" w:eastAsia="zh-CN"/>
        </w:rPr>
        <w:t>890.86</w:t>
      </w:r>
      <w:r>
        <w:rPr>
          <w:rFonts w:hint="eastAsia" w:ascii="仿宋" w:hAnsi="仿宋" w:eastAsia="仿宋" w:cs="仿宋"/>
          <w:sz w:val="32"/>
          <w:szCs w:val="32"/>
          <w:highlight w:val="none"/>
        </w:rPr>
        <w:t>万元，支出决算为</w:t>
      </w:r>
      <w:r>
        <w:rPr>
          <w:rFonts w:hint="eastAsia" w:ascii="仿宋" w:hAnsi="仿宋" w:eastAsia="仿宋" w:cs="仿宋"/>
          <w:sz w:val="32"/>
          <w:u w:color="auto"/>
          <w:lang w:val="en-US" w:eastAsia="zh-CN"/>
        </w:rPr>
        <w:t>1142.95</w:t>
      </w:r>
      <w:r>
        <w:rPr>
          <w:rFonts w:hint="eastAsia" w:ascii="仿宋" w:hAnsi="仿宋" w:eastAsia="仿宋" w:cs="仿宋"/>
          <w:sz w:val="32"/>
          <w:szCs w:val="32"/>
          <w:highlight w:val="none"/>
        </w:rPr>
        <w:t>万元，完成年初预算的</w:t>
      </w:r>
      <w:r>
        <w:rPr>
          <w:rFonts w:hint="eastAsia" w:ascii="仿宋" w:hAnsi="仿宋" w:eastAsia="仿宋" w:cs="仿宋"/>
          <w:sz w:val="32"/>
          <w:u w:color="auto"/>
          <w:lang w:val="en-US" w:eastAsia="zh-CN"/>
        </w:rPr>
        <w:t>128.3</w:t>
      </w:r>
      <w:r>
        <w:rPr>
          <w:rFonts w:ascii="仿宋" w:hAnsi="仿宋" w:eastAsia="仿宋" w:cs="仿宋"/>
          <w:sz w:val="32"/>
          <w:u w:color="auto"/>
        </w:rPr>
        <w:t>%</w:t>
      </w:r>
      <w:r>
        <w:rPr>
          <w:rFonts w:hint="eastAsia" w:ascii="仿宋" w:hAnsi="仿宋" w:eastAsia="仿宋" w:cs="仿宋"/>
          <w:sz w:val="32"/>
          <w:szCs w:val="32"/>
          <w:highlight w:val="none"/>
        </w:rPr>
        <w:t>。</w:t>
      </w:r>
      <w:bookmarkStart w:id="1" w:name="OLE_LINK2"/>
      <w:bookmarkEnd w:id="1"/>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u w:color="auto"/>
          <w:lang w:val="en-US" w:eastAsia="zh-CN"/>
        </w:rPr>
        <w:t>一般公共服务支出</w:t>
      </w:r>
      <w:r>
        <w:rPr>
          <w:rFonts w:ascii="仿宋" w:hAnsi="仿宋" w:eastAsia="仿宋"/>
          <w:sz w:val="32"/>
          <w:u w:color="auto"/>
        </w:rPr>
        <w:t>（</w:t>
      </w:r>
      <w:r>
        <w:rPr>
          <w:rFonts w:hint="eastAsia" w:ascii="仿宋" w:hAnsi="仿宋" w:eastAsia="仿宋"/>
          <w:sz w:val="32"/>
          <w:u w:color="auto"/>
          <w:lang w:val="en-US" w:eastAsia="zh-CN"/>
        </w:rPr>
        <w:t>201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9.81</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9.61</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97.96</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主要原因为年有一人在职调出，他的工会指标转到调入单位。</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8"/>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9.81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9.61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工会费支出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sz w:val="21"/>
                <w:szCs w:val="21"/>
                <w:highlight w:val="none"/>
                <w:lang w:val="en-US" w:eastAsia="zh-CN"/>
              </w:rPr>
              <w:t>年有一人在职调出，他的工会指标转到调入单位。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9.81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9.61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工会费支出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left"/>
        <w:rPr>
          <w:rFonts w:hint="eastAsia" w:ascii="仿宋" w:hAnsi="仿宋" w:eastAsia="仿宋"/>
          <w:sz w:val="32"/>
          <w:szCs w:val="32"/>
          <w:highlight w:val="none"/>
        </w:rPr>
      </w:pPr>
      <w:r>
        <w:drawing>
          <wp:inline distT="0" distB="0" distL="114300" distR="114300">
            <wp:extent cx="4572000" cy="2743200"/>
            <wp:effectExtent l="4445" t="4445" r="10795" b="10795"/>
            <wp:docPr id="1"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jc w:val="center"/>
        <w:rPr>
          <w:rFonts w:hint="eastAsia" w:ascii="仿宋" w:hAnsi="仿宋" w:eastAsia="仿宋" w:cs="仿宋"/>
          <w:sz w:val="32"/>
          <w:szCs w:val="32"/>
          <w:highlight w:val="none"/>
        </w:rPr>
      </w:pP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u w:color="auto"/>
          <w:lang w:val="en-US" w:eastAsia="zh-CN"/>
        </w:rPr>
        <w:t>公共安全支出</w:t>
      </w:r>
      <w:r>
        <w:rPr>
          <w:rFonts w:ascii="仿宋" w:hAnsi="仿宋" w:eastAsia="仿宋"/>
          <w:sz w:val="32"/>
          <w:u w:color="auto"/>
        </w:rPr>
        <w:t>（20</w:t>
      </w:r>
      <w:r>
        <w:rPr>
          <w:rFonts w:hint="eastAsia" w:ascii="仿宋" w:hAnsi="仿宋" w:eastAsia="仿宋"/>
          <w:sz w:val="32"/>
          <w:u w:color="auto"/>
          <w:lang w:val="en-US" w:eastAsia="zh-CN"/>
        </w:rPr>
        <w:t>4</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743.74</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782.73</w:t>
      </w:r>
      <w:r>
        <w:rPr>
          <w:rFonts w:hint="eastAsia" w:ascii="仿宋" w:hAnsi="仿宋" w:eastAsia="仿宋"/>
          <w:sz w:val="32"/>
          <w:szCs w:val="32"/>
          <w:highlight w:val="none"/>
        </w:rPr>
        <w:t>万元，完成年初预算的</w:t>
      </w:r>
      <w:r>
        <w:rPr>
          <w:rFonts w:ascii="仿宋" w:hAnsi="仿宋" w:eastAsia="仿宋"/>
          <w:sz w:val="32"/>
          <w:szCs w:val="32"/>
          <w:highlight w:val="none"/>
        </w:rPr>
        <w:t>1</w:t>
      </w:r>
      <w:r>
        <w:rPr>
          <w:rFonts w:hint="eastAsia" w:ascii="仿宋" w:hAnsi="仿宋" w:eastAsia="仿宋"/>
          <w:sz w:val="32"/>
          <w:szCs w:val="32"/>
          <w:highlight w:val="none"/>
          <w:lang w:val="en-US" w:eastAsia="zh-CN"/>
        </w:rPr>
        <w:t>05.24</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原因是：决算增加了上级转移经费支出</w:t>
      </w:r>
      <w:r>
        <w:rPr>
          <w:rFonts w:hint="eastAsia" w:ascii="仿宋" w:hAnsi="仿宋" w:eastAsia="仿宋" w:cs="仿宋"/>
          <w:color w:val="auto"/>
          <w:kern w:val="2"/>
          <w:sz w:val="32"/>
          <w:szCs w:val="32"/>
          <w:highlight w:val="none"/>
          <w:lang w:val="en-US" w:eastAsia="zh-CN" w:bidi="ar"/>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8"/>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2040601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行政运行</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569.2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641.15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112.64%</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_GB2312" w:eastAsia="仿宋_GB2312" w:cs="仿宋_GB2312"/>
                <w:color w:val="auto"/>
                <w:kern w:val="0"/>
                <w:sz w:val="20"/>
                <w:szCs w:val="20"/>
              </w:rPr>
              <w:t>本部门为保证日常运转发生的基本支出和为完成各项工作任务、保障单位事业发展而发生的项目支出。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2023年绩效奖随月发放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2040604</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基层司法业务</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29.92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99.73%</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司法业务办案、法律顾问及行政复议经费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经费紧张，2023年底未能执行完毕。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2040605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普法宣传</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普法宣传费用</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决算按要求调为其他支出功能分类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2040607</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公共法律服务</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4.12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137.33%</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法律援助补贴费用</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决算增加了上级转移支付经费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2040610</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社区矫正</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社区矫正工作经费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决算增加了上级转移支付经费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2040699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其他司法支出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0.95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79.55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837.37%</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司法办案业务费用、装备费用等</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决算增加了上级转移支付经费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645.15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782.74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保证日常运转发生的基本支出和项目支出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决算增加了上级转移支付经费</w:t>
            </w:r>
          </w:p>
        </w:tc>
      </w:tr>
    </w:tbl>
    <w:p>
      <w:pPr>
        <w:jc w:val="both"/>
      </w:pPr>
      <w:r>
        <w:drawing>
          <wp:inline distT="0" distB="0" distL="114300" distR="114300">
            <wp:extent cx="4091940" cy="2926080"/>
            <wp:effectExtent l="4445" t="5080" r="18415" b="1016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jc w:val="both"/>
      </w:pPr>
    </w:p>
    <w:p>
      <w:pPr>
        <w:numPr>
          <w:ilvl w:val="0"/>
          <w:numId w:val="1"/>
        </w:numPr>
        <w:ind w:left="0" w:leftChars="0" w:firstLine="42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其他科学技术支出（206类）年初预算为0万元，支出决算为17万元，完成年初预算的100%，预决算存有差异的原因是：2023年按决算要求调整支出功能分类。</w:t>
      </w:r>
    </w:p>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支出具体情况如下：</w:t>
      </w:r>
    </w:p>
    <w:tbl>
      <w:tblPr>
        <w:tblStyle w:val="8"/>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2069999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其他科学技术支出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宣传方面的支出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sz w:val="18"/>
                <w:szCs w:val="18"/>
                <w:lang w:val="en-US" w:eastAsia="zh-CN"/>
              </w:rPr>
              <w:t>2023年按决算要求调整支出功能分类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17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20"/>
                <w:szCs w:val="20"/>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宣传方面的支出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sz w:val="18"/>
                <w:szCs w:val="18"/>
                <w:lang w:val="en-US" w:eastAsia="zh-CN"/>
              </w:rPr>
              <w:t>2023年按决算要求调整支出功能分类</w:t>
            </w:r>
          </w:p>
        </w:tc>
      </w:tr>
    </w:tbl>
    <w:p>
      <w:pPr>
        <w:numPr>
          <w:ilvl w:val="0"/>
          <w:numId w:val="0"/>
        </w:numPr>
        <w:ind w:left="420" w:leftChars="0"/>
        <w:jc w:val="both"/>
        <w:rPr>
          <w:rFonts w:hint="default"/>
          <w:lang w:val="en-US" w:eastAsia="zh-CN"/>
        </w:rPr>
      </w:pPr>
      <w:r>
        <w:drawing>
          <wp:inline distT="0" distB="0" distL="114300" distR="114300">
            <wp:extent cx="4572000" cy="2743200"/>
            <wp:effectExtent l="4445" t="4445" r="10795" b="1079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auto"/>
          <w:highlight w:val="none"/>
          <w:lang w:val="en-US" w:eastAsia="zh-CN"/>
        </w:rPr>
      </w:pP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78.46</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66.99</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85.38</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2023年度有在职人员转退休及有人员调出。</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olor w:val="auto"/>
          <w:sz w:val="32"/>
          <w:szCs w:val="32"/>
          <w:highlight w:val="none"/>
        </w:rPr>
        <w:t>：</w:t>
      </w:r>
    </w:p>
    <w:tbl>
      <w:tblPr>
        <w:tblStyle w:val="8"/>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78.46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66.99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85.38%</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机关事业单位基本养老保险缴费支出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仿宋" w:hAnsi="仿宋" w:eastAsia="仿宋" w:cs="仿宋"/>
                <w:color w:val="auto"/>
                <w:kern w:val="2"/>
                <w:sz w:val="20"/>
                <w:szCs w:val="20"/>
                <w:highlight w:val="none"/>
                <w:lang w:val="en-US" w:eastAsia="zh-CN" w:bidi="ar"/>
              </w:rPr>
              <w:t>2023年度有在职人员转退休及有人员调出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78.46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66.99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85.38%</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机关事业单位基本养老保险缴费支出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仿宋" w:hAnsi="仿宋" w:eastAsia="仿宋" w:cs="仿宋"/>
                <w:color w:val="auto"/>
                <w:kern w:val="2"/>
                <w:sz w:val="20"/>
                <w:szCs w:val="20"/>
                <w:highlight w:val="none"/>
                <w:lang w:val="en-US" w:eastAsia="zh-CN" w:bidi="ar"/>
              </w:rPr>
              <w:t>2023年度有在职人员转退休及有人员调出</w:t>
            </w: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drawing>
          <wp:inline distT="0" distB="0" distL="114300" distR="114300">
            <wp:extent cx="4091940" cy="2926080"/>
            <wp:effectExtent l="4445" t="5080" r="18415" b="1016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卫生健康支出</w:t>
      </w:r>
      <w:r>
        <w:rPr>
          <w:rFonts w:ascii="仿宋" w:hAnsi="仿宋" w:eastAsia="仿宋"/>
          <w:sz w:val="32"/>
          <w:highlight w:val="none"/>
          <w:u w:color="auto"/>
        </w:rPr>
        <w:t>（210</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无此类支出。</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8"/>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无</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农林水支出</w:t>
      </w:r>
      <w:r>
        <w:rPr>
          <w:rFonts w:ascii="仿宋" w:hAnsi="仿宋" w:eastAsia="仿宋"/>
          <w:sz w:val="32"/>
          <w:u w:color="auto"/>
        </w:rPr>
        <w:t>（213</w:t>
      </w:r>
      <w:r>
        <w:rPr>
          <w:rFonts w:hint="eastAsia" w:ascii="仿宋" w:hAnsi="仿宋" w:eastAsia="仿宋"/>
          <w:sz w:val="32"/>
          <w:szCs w:val="32"/>
          <w:highlight w:val="none"/>
        </w:rPr>
        <w:t>类）年初预算为</w:t>
      </w:r>
      <w:r>
        <w:rPr>
          <w:rFonts w:ascii="仿宋" w:hAnsi="仿宋" w:eastAsia="仿宋"/>
          <w:sz w:val="32"/>
          <w:szCs w:val="32"/>
          <w:highlight w:val="none"/>
        </w:rPr>
        <w:t>0.00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无此类支出。</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8"/>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无</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both"/>
        <w:rPr>
          <w:rFonts w:ascii="仿宋" w:hAnsi="仿宋" w:eastAsia="仿宋"/>
          <w:sz w:val="32"/>
          <w:szCs w:val="32"/>
          <w:highlight w:val="none"/>
        </w:rPr>
      </w:pP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auto"/>
          <w:highlight w:val="none"/>
          <w:lang w:val="en-US" w:eastAsia="zh-CN"/>
        </w:rPr>
      </w:pPr>
      <w:r>
        <w:rPr>
          <w:rFonts w:hint="eastAsia" w:ascii="仿宋" w:hAnsi="仿宋" w:eastAsia="仿宋"/>
          <w:color w:val="auto"/>
          <w:sz w:val="32"/>
          <w:szCs w:val="32"/>
          <w:highlight w:val="none"/>
        </w:rPr>
        <w:t>住房保障支出</w:t>
      </w:r>
      <w:r>
        <w:rPr>
          <w:rFonts w:ascii="仿宋" w:hAnsi="仿宋" w:eastAsia="仿宋"/>
          <w:color w:val="auto"/>
          <w:sz w:val="32"/>
          <w:u w:color="auto"/>
        </w:rPr>
        <w:t>（221</w:t>
      </w:r>
      <w:r>
        <w:rPr>
          <w:rFonts w:hint="eastAsia" w:ascii="仿宋" w:hAnsi="仿宋" w:eastAsia="仿宋"/>
          <w:color w:val="auto"/>
          <w:sz w:val="32"/>
          <w:szCs w:val="32"/>
          <w:highlight w:val="none"/>
        </w:rPr>
        <w:t>类）年初预算为</w:t>
      </w:r>
      <w:r>
        <w:rPr>
          <w:rFonts w:hint="eastAsia" w:ascii="仿宋" w:hAnsi="仿宋" w:eastAsia="仿宋"/>
          <w:color w:val="auto"/>
          <w:sz w:val="32"/>
          <w:szCs w:val="32"/>
          <w:highlight w:val="none"/>
          <w:lang w:val="en-US" w:eastAsia="zh-CN"/>
        </w:rPr>
        <w:t>58.85</w:t>
      </w:r>
      <w:r>
        <w:rPr>
          <w:rFonts w:hint="eastAsia" w:ascii="仿宋" w:hAnsi="仿宋" w:eastAsia="仿宋"/>
          <w:color w:val="auto"/>
          <w:sz w:val="32"/>
          <w:szCs w:val="32"/>
          <w:highlight w:val="none"/>
        </w:rPr>
        <w:t>万元，支出决算为</w:t>
      </w:r>
      <w:r>
        <w:rPr>
          <w:rFonts w:hint="eastAsia" w:ascii="仿宋" w:hAnsi="仿宋" w:eastAsia="仿宋"/>
          <w:color w:val="auto"/>
          <w:sz w:val="32"/>
          <w:szCs w:val="32"/>
          <w:highlight w:val="none"/>
          <w:lang w:val="en-US" w:eastAsia="zh-CN"/>
        </w:rPr>
        <w:t>50.24</w:t>
      </w:r>
      <w:r>
        <w:rPr>
          <w:rFonts w:hint="eastAsia" w:ascii="仿宋" w:hAnsi="仿宋" w:eastAsia="仿宋"/>
          <w:color w:val="auto"/>
          <w:sz w:val="32"/>
          <w:szCs w:val="32"/>
          <w:highlight w:val="none"/>
        </w:rPr>
        <w:t>万元，完成年初预算的</w:t>
      </w:r>
      <w:r>
        <w:rPr>
          <w:rFonts w:hint="eastAsia" w:ascii="仿宋" w:hAnsi="仿宋" w:eastAsia="仿宋"/>
          <w:color w:val="auto"/>
          <w:sz w:val="32"/>
          <w:szCs w:val="32"/>
          <w:highlight w:val="none"/>
          <w:lang w:val="en-US" w:eastAsia="zh-CN"/>
        </w:rPr>
        <w:t>85.37</w:t>
      </w:r>
      <w:r>
        <w:rPr>
          <w:rFonts w:ascii="仿宋" w:hAnsi="仿宋" w:eastAsia="仿宋"/>
          <w:color w:val="auto"/>
          <w:sz w:val="32"/>
          <w:szCs w:val="32"/>
          <w:highlight w:val="none"/>
        </w:rPr>
        <w:t>%</w:t>
      </w:r>
      <w:r>
        <w:rPr>
          <w:rFonts w:hint="eastAsia" w:ascii="仿宋" w:hAnsi="仿宋" w:eastAsia="仿宋"/>
          <w:color w:val="auto"/>
          <w:sz w:val="32"/>
          <w:szCs w:val="32"/>
          <w:highlight w:val="none"/>
        </w:rPr>
        <w:t>。预决算</w:t>
      </w:r>
      <w:r>
        <w:rPr>
          <w:rFonts w:hint="eastAsia" w:ascii="仿宋" w:hAnsi="仿宋" w:eastAsia="仿宋"/>
          <w:color w:val="auto"/>
          <w:sz w:val="32"/>
          <w:szCs w:val="32"/>
          <w:highlight w:val="none"/>
          <w:lang w:val="en-US" w:eastAsia="zh-CN"/>
        </w:rPr>
        <w:t>存有</w:t>
      </w:r>
      <w:r>
        <w:rPr>
          <w:rFonts w:hint="eastAsia" w:ascii="仿宋" w:hAnsi="仿宋" w:eastAsia="仿宋"/>
          <w:color w:val="auto"/>
          <w:sz w:val="32"/>
          <w:szCs w:val="32"/>
          <w:highlight w:val="none"/>
        </w:rPr>
        <w:t>差异</w:t>
      </w:r>
      <w:r>
        <w:rPr>
          <w:rFonts w:hint="eastAsia" w:ascii="仿宋" w:hAnsi="仿宋" w:eastAsia="仿宋"/>
          <w:color w:val="auto"/>
          <w:sz w:val="32"/>
          <w:szCs w:val="32"/>
          <w:highlight w:val="none"/>
          <w:lang w:val="en-US" w:eastAsia="zh-CN"/>
        </w:rPr>
        <w:t>原因是：</w:t>
      </w:r>
      <w:r>
        <w:rPr>
          <w:rFonts w:hint="eastAsia" w:ascii="仿宋" w:hAnsi="仿宋" w:eastAsia="仿宋" w:cs="仿宋"/>
          <w:color w:val="auto"/>
          <w:kern w:val="2"/>
          <w:sz w:val="32"/>
          <w:szCs w:val="32"/>
          <w:highlight w:val="none"/>
          <w:lang w:val="en-US" w:eastAsia="zh-CN" w:bidi="ar"/>
        </w:rPr>
        <w:t>2023年度有在职人员转退休及有人员调出。</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olor w:val="auto"/>
          <w:sz w:val="32"/>
          <w:szCs w:val="32"/>
          <w:highlight w:val="none"/>
        </w:rPr>
        <w:t>：</w:t>
      </w:r>
    </w:p>
    <w:tbl>
      <w:tblPr>
        <w:tblStyle w:val="8"/>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58.85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50.24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85.37%</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公积金支出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kern w:val="2"/>
                <w:sz w:val="20"/>
                <w:szCs w:val="20"/>
                <w:highlight w:val="none"/>
                <w:lang w:val="en-US" w:eastAsia="zh-CN" w:bidi="ar"/>
              </w:rPr>
              <w:t>2023年度有在职人员转退休及有人员调出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58.85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50.24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公积金支出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kern w:val="2"/>
                <w:sz w:val="20"/>
                <w:szCs w:val="20"/>
                <w:highlight w:val="none"/>
                <w:lang w:val="en-US" w:eastAsia="zh-CN" w:bidi="ar"/>
              </w:rPr>
              <w:t>2023年度有在职人员转退休及有人员调出</w:t>
            </w:r>
          </w:p>
        </w:tc>
      </w:tr>
    </w:tbl>
    <w:p>
      <w:pPr>
        <w:jc w:val="left"/>
        <w:rPr>
          <w:rFonts w:hint="eastAsia" w:ascii="仿宋" w:hAnsi="仿宋" w:eastAsia="仿宋"/>
          <w:sz w:val="32"/>
          <w:szCs w:val="32"/>
          <w:highlight w:val="none"/>
        </w:rPr>
      </w:pPr>
      <w:r>
        <w:drawing>
          <wp:inline distT="0" distB="0" distL="114300" distR="114300">
            <wp:extent cx="4091940" cy="2926080"/>
            <wp:effectExtent l="4445" t="5080" r="18415" b="10160"/>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left"/>
        <w:rPr>
          <w:rFonts w:hint="eastAsia" w:ascii="仿宋" w:hAnsi="仿宋" w:eastAsia="仿宋"/>
          <w:sz w:val="32"/>
          <w:szCs w:val="32"/>
          <w:highlight w:val="none"/>
          <w:lang w:eastAsia="zh-CN"/>
        </w:rPr>
      </w:pPr>
    </w:p>
    <w:p>
      <w:pPr>
        <w:jc w:val="left"/>
        <w:rPr>
          <w:rFonts w:hint="eastAsia" w:ascii="仿宋" w:hAnsi="仿宋" w:eastAsia="仿宋"/>
          <w:sz w:val="32"/>
          <w:szCs w:val="32"/>
          <w:highlight w:val="none"/>
          <w:lang w:eastAsia="zh-CN"/>
        </w:rPr>
      </w:pPr>
    </w:p>
    <w:p>
      <w:pPr>
        <w:jc w:val="left"/>
        <w:rPr>
          <w:rFonts w:hint="eastAsia" w:ascii="仿宋" w:hAnsi="仿宋" w:eastAsia="仿宋"/>
          <w:sz w:val="32"/>
          <w:szCs w:val="32"/>
          <w:highlight w:val="none"/>
          <w:lang w:eastAsia="zh-CN"/>
        </w:rPr>
      </w:pPr>
    </w:p>
    <w:p>
      <w:pPr>
        <w:jc w:val="left"/>
        <w:rPr>
          <w:rFonts w:hint="eastAsia" w:ascii="仿宋" w:hAnsi="仿宋" w:eastAsia="仿宋"/>
          <w:sz w:val="32"/>
          <w:szCs w:val="32"/>
          <w:highlight w:val="none"/>
          <w:lang w:eastAsia="zh-CN"/>
        </w:rPr>
      </w:pPr>
    </w:p>
    <w:p>
      <w:pPr>
        <w:jc w:val="center"/>
        <w:rPr>
          <w:rFonts w:ascii="仿宋" w:hAnsi="仿宋" w:eastAsia="仿宋"/>
          <w:sz w:val="32"/>
          <w:szCs w:val="32"/>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年度一般公共预算财政拨款基本支出决算情况说明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环江毛南族自治县司法局</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年度一般公共预算财政拨款基本支出</w:t>
      </w:r>
      <w:r>
        <w:rPr>
          <w:rFonts w:hint="eastAsia" w:ascii="仿宋" w:hAnsi="仿宋" w:eastAsia="仿宋" w:cs="仿宋"/>
          <w:sz w:val="32"/>
          <w:szCs w:val="32"/>
          <w:highlight w:val="none"/>
          <w:lang w:val="en-US" w:eastAsia="zh-CN"/>
        </w:rPr>
        <w:t>838.72</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770.18</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68.54</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auto"/>
          <w:sz w:val="32"/>
          <w:szCs w:val="32"/>
          <w:highlight w:val="none"/>
        </w:rPr>
      </w:pPr>
      <w:r>
        <w:rPr>
          <w:rFonts w:hint="eastAsia" w:ascii="仿宋" w:hAnsi="仿宋" w:eastAsia="仿宋" w:cs="仿宋"/>
          <w:sz w:val="32"/>
          <w:szCs w:val="32"/>
          <w:highlight w:val="none"/>
        </w:rPr>
        <w:t>工资福利支出</w:t>
      </w:r>
      <w:r>
        <w:rPr>
          <w:rFonts w:hint="eastAsia" w:ascii="仿宋" w:hAnsi="仿宋" w:eastAsia="仿宋" w:cs="仿宋"/>
          <w:sz w:val="32"/>
          <w:szCs w:val="32"/>
          <w:highlight w:val="none"/>
          <w:lang w:val="en-US" w:eastAsia="zh-CN"/>
        </w:rPr>
        <w:t>701.15</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18.86</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绩效工资等变动增加。</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176.39万元，30102津贴补贴150.34万元，30103奖金219.75万元，30106伙食补助费0万元，30107绩效工资7.96万元，30108机关事业单位基本养老保险缴费66.99万元，30110职工基本医疗保险缴费26.9万元，30111公务员医疗补助缴费0万元，30112其他社会保障缴费1.42万元，30113住房公积金50.24万元，30114医疗费0万元，30199其他工资福利支出1.15万元。</w:t>
      </w:r>
    </w:p>
    <w:p>
      <w:pPr>
        <w:jc w:val="left"/>
        <w:rPr>
          <w:rFonts w:hint="default" w:ascii="仿宋" w:hAnsi="仿宋" w:eastAsia="仿宋" w:cs="仿宋"/>
          <w:sz w:val="32"/>
          <w:szCs w:val="32"/>
          <w:highlight w:val="none"/>
          <w:lang w:val="en-US" w:eastAsia="zh-CN"/>
        </w:rPr>
      </w:pPr>
      <w:r>
        <w:drawing>
          <wp:inline distT="0" distB="0" distL="114300" distR="114300">
            <wp:extent cx="4091940" cy="2926080"/>
            <wp:effectExtent l="4445" t="5080" r="18415" b="10160"/>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jc w:val="center"/>
        <w:rPr>
          <w:rFonts w:hint="eastAsia" w:ascii="仿宋" w:hAnsi="仿宋" w:eastAsia="仿宋" w:cs="仿宋"/>
          <w:sz w:val="32"/>
          <w:szCs w:val="32"/>
          <w:highlight w:val="none"/>
        </w:rPr>
      </w:pP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default" w:ascii="仿宋" w:hAnsi="仿宋" w:eastAsia="仿宋" w:cs="仿宋"/>
          <w:color w:val="FF0000"/>
          <w:sz w:val="32"/>
          <w:szCs w:val="32"/>
          <w:highlight w:val="none"/>
          <w:lang w:val="en-US"/>
        </w:rPr>
      </w:pPr>
      <w:r>
        <w:rPr>
          <w:rFonts w:hint="eastAsia" w:ascii="仿宋" w:hAnsi="仿宋" w:eastAsia="仿宋" w:cs="仿宋"/>
          <w:sz w:val="32"/>
          <w:szCs w:val="32"/>
          <w:highlight w:val="none"/>
        </w:rPr>
        <w:t>商品和服务支出</w:t>
      </w:r>
      <w:r>
        <w:rPr>
          <w:rFonts w:hint="eastAsia" w:ascii="仿宋" w:hAnsi="仿宋" w:eastAsia="仿宋" w:cs="仿宋"/>
          <w:sz w:val="32"/>
          <w:szCs w:val="32"/>
          <w:highlight w:val="none"/>
          <w:lang w:val="en-US" w:eastAsia="zh-CN"/>
        </w:rPr>
        <w:t>68.54</w:t>
      </w:r>
      <w:r>
        <w:rPr>
          <w:rFonts w:ascii="仿宋" w:hAnsi="仿宋" w:eastAsia="仿宋" w:cs="仿宋"/>
          <w:sz w:val="32"/>
          <w:highlight w:val="none"/>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84.1</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主要原因是：厉行节约，严控车辆费用，车辆费用未使用完毕。</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30201办公费0.46万元，30205水费0.21万元，30206电费5.99万元，30207邮电费5.4万元，30209物业管理费0万元，30211差旅费0万元，30213维修（护）费0万元，30215会议费2.2万元，30216培训费2.12万元，30217公务接待费1.27万元，30226劳务费0万元，30228工会经费9.61万元，30231公务用车运行维护费9.12万元，30239其他交通费用32.14万元，30299其他商品和服务支出0万元。</w:t>
      </w:r>
    </w:p>
    <w:p>
      <w:pPr>
        <w:jc w:val="left"/>
        <w:rPr>
          <w:rFonts w:hint="eastAsia" w:ascii="仿宋" w:hAnsi="仿宋" w:eastAsia="仿宋" w:cs="仿宋"/>
          <w:sz w:val="32"/>
          <w:szCs w:val="32"/>
          <w:highlight w:val="none"/>
          <w:lang w:val="en-US" w:eastAsia="zh-CN"/>
        </w:rPr>
      </w:pPr>
    </w:p>
    <w:p>
      <w:pPr>
        <w:jc w:val="left"/>
        <w:rPr>
          <w:rFonts w:hint="eastAsia" w:ascii="仿宋" w:hAnsi="仿宋" w:eastAsia="仿宋" w:cs="仿宋"/>
          <w:sz w:val="32"/>
          <w:szCs w:val="32"/>
          <w:highlight w:val="none"/>
          <w:lang w:val="en-US" w:eastAsia="zh-CN"/>
        </w:rPr>
      </w:pPr>
    </w:p>
    <w:p>
      <w:pPr>
        <w:jc w:val="left"/>
        <w:rPr>
          <w:rFonts w:hint="default" w:ascii="仿宋" w:hAnsi="仿宋" w:eastAsia="仿宋" w:cs="仿宋"/>
          <w:sz w:val="32"/>
          <w:szCs w:val="32"/>
          <w:highlight w:val="none"/>
          <w:lang w:val="en-US" w:eastAsia="zh-CN"/>
        </w:rPr>
      </w:pPr>
      <w:r>
        <w:drawing>
          <wp:inline distT="0" distB="0" distL="114300" distR="114300">
            <wp:extent cx="4097020" cy="2727960"/>
            <wp:effectExtent l="4445" t="4445" r="13335" b="10795"/>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jc w:val="center"/>
        <w:rPr>
          <w:rFonts w:hint="eastAsia" w:ascii="仿宋" w:hAnsi="仿宋" w:eastAsia="仿宋" w:cs="仿宋"/>
          <w:sz w:val="32"/>
          <w:szCs w:val="32"/>
          <w:highlight w:val="none"/>
        </w:rPr>
      </w:pP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default" w:ascii="仿宋" w:hAnsi="仿宋" w:eastAsia="仿宋" w:cs="仿宋"/>
          <w:color w:val="auto"/>
          <w:sz w:val="32"/>
          <w:szCs w:val="32"/>
          <w:highlight w:val="none"/>
          <w:lang w:val="en-US"/>
        </w:rPr>
      </w:pPr>
      <w:r>
        <w:rPr>
          <w:rFonts w:hint="eastAsia" w:ascii="仿宋" w:hAnsi="仿宋" w:eastAsia="仿宋" w:cs="仿宋"/>
          <w:sz w:val="32"/>
          <w:szCs w:val="32"/>
          <w:highlight w:val="none"/>
        </w:rPr>
        <w:t>对个人和家庭的补助</w:t>
      </w:r>
      <w:r>
        <w:rPr>
          <w:rFonts w:hint="eastAsia" w:ascii="仿宋" w:hAnsi="仿宋" w:eastAsia="仿宋" w:cs="仿宋"/>
          <w:sz w:val="32"/>
          <w:szCs w:val="32"/>
          <w:highlight w:val="none"/>
          <w:lang w:val="en-US" w:eastAsia="zh-CN"/>
        </w:rPr>
        <w:t>69.04</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251.88</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：2023年有在职人员转退休及新增了抚恤金。</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30301离休费0万元，30302退休费0万元，30304抚恤金25.41万元，30305生活补助43.35万元，30399其他对个人和家庭的补助0.27万元，其他对个人和家庭的补助0.01万元。</w:t>
      </w:r>
    </w:p>
    <w:p>
      <w:pPr>
        <w:jc w:val="left"/>
        <w:rPr>
          <w:rFonts w:hint="default" w:ascii="仿宋" w:hAnsi="仿宋" w:eastAsia="仿宋" w:cs="仿宋"/>
          <w:sz w:val="32"/>
          <w:szCs w:val="32"/>
          <w:highlight w:val="none"/>
          <w:lang w:val="en-US" w:eastAsia="zh-CN"/>
        </w:rPr>
      </w:pPr>
      <w:r>
        <w:drawing>
          <wp:inline distT="0" distB="0" distL="114300" distR="114300">
            <wp:extent cx="4572000" cy="2743200"/>
            <wp:effectExtent l="4445" t="4445" r="10795" b="10795"/>
            <wp:docPr id="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jc w:val="center"/>
        <w:rPr>
          <w:rFonts w:hint="eastAsia" w:ascii="仿宋" w:hAnsi="仿宋" w:eastAsia="仿宋" w:cs="仿宋"/>
          <w:sz w:val="32"/>
          <w:szCs w:val="32"/>
          <w:highlight w:val="none"/>
        </w:rPr>
      </w:pP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default" w:ascii="仿宋" w:hAnsi="仿宋" w:eastAsia="仿宋" w:cs="仿宋"/>
          <w:color w:val="auto"/>
          <w:sz w:val="32"/>
          <w:szCs w:val="32"/>
          <w:highlight w:val="none"/>
          <w:lang w:val="en-US"/>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无差异。</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default" w:ascii="仿宋" w:hAnsi="仿宋" w:eastAsia="仿宋" w:cs="仿宋"/>
          <w:color w:val="auto"/>
          <w:sz w:val="32"/>
          <w:szCs w:val="32"/>
          <w:highlight w:val="none"/>
          <w:lang w:val="en-US"/>
        </w:rPr>
      </w:pP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lang w:val="en-US" w:eastAsia="zh-CN"/>
        </w:rPr>
        <w:t>无差异。</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default" w:ascii="仿宋" w:hAnsi="仿宋" w:eastAsia="仿宋" w:cs="仿宋"/>
          <w:color w:val="FF0000"/>
          <w:sz w:val="32"/>
          <w:szCs w:val="32"/>
          <w:highlight w:val="none"/>
          <w:lang w:val="en-US"/>
        </w:rPr>
      </w:pP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lang w:val="en-US" w:eastAsia="zh-CN"/>
        </w:rPr>
        <w:t>无差异。</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jc w:val="both"/>
        <w:rPr>
          <w:rFonts w:hint="eastAsia"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黑体" w:hAnsi="黑体" w:eastAsia="黑体" w:cs="黑体"/>
          <w:sz w:val="32"/>
          <w:szCs w:val="32"/>
          <w:highlight w:val="none"/>
        </w:rPr>
      </w:pPr>
      <w:r>
        <w:rPr>
          <w:rFonts w:hint="eastAsia" w:ascii="黑体" w:hAnsi="黑体" w:eastAsia="黑体" w:cs="黑体"/>
          <w:sz w:val="32"/>
          <w:szCs w:val="32"/>
          <w:highlight w:val="none"/>
        </w:rPr>
        <w:t>四、202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年度政府性基金支出决算情况</w:t>
      </w:r>
    </w:p>
    <w:p>
      <w:pPr>
        <w:ind w:firstLine="640" w:firstLineChars="200"/>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环江毛南族自治县司法局</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年度政府性基金支出</w:t>
      </w:r>
      <w:r>
        <w:rPr>
          <w:rFonts w:hint="eastAsia" w:ascii="仿宋" w:hAnsi="仿宋" w:eastAsia="仿宋" w:cs="仿宋"/>
          <w:sz w:val="32"/>
          <w:szCs w:val="32"/>
          <w:highlight w:val="none"/>
          <w:lang w:val="en-US" w:eastAsia="zh-CN"/>
        </w:rPr>
        <w:t>128</w:t>
      </w:r>
      <w:r>
        <w:rPr>
          <w:rFonts w:ascii="仿宋" w:hAnsi="仿宋" w:eastAsia="仿宋" w:cs="仿宋"/>
          <w:sz w:val="32"/>
          <w:szCs w:val="32"/>
          <w:highlight w:val="none"/>
        </w:rPr>
        <w:t>.00</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128</w:t>
      </w:r>
      <w:r>
        <w:rPr>
          <w:rFonts w:ascii="仿宋" w:hAnsi="仿宋" w:eastAsia="仿宋" w:cs="仿宋"/>
          <w:sz w:val="32"/>
          <w:szCs w:val="32"/>
          <w:highlight w:val="none"/>
        </w:rPr>
        <w:t>.00</w:t>
      </w:r>
      <w:r>
        <w:rPr>
          <w:rFonts w:hint="eastAsia" w:ascii="仿宋" w:hAnsi="仿宋" w:eastAsia="仿宋" w:cs="仿宋"/>
          <w:sz w:val="32"/>
          <w:szCs w:val="32"/>
          <w:highlight w:val="none"/>
        </w:rPr>
        <w:t>万元，</w:t>
      </w:r>
      <w:r>
        <w:rPr>
          <w:rFonts w:ascii="仿宋" w:hAnsi="仿宋" w:eastAsia="仿宋" w:cs="仿宋"/>
          <w:sz w:val="32"/>
          <w:szCs w:val="32"/>
          <w:highlight w:val="none"/>
        </w:rPr>
        <w:t>增长</w:t>
      </w:r>
      <w:r>
        <w:rPr>
          <w:rFonts w:hint="eastAsia" w:ascii="仿宋" w:hAnsi="仿宋" w:eastAsia="仿宋" w:cs="仿宋"/>
          <w:sz w:val="32"/>
          <w:szCs w:val="32"/>
          <w:highlight w:val="none"/>
          <w:lang w:val="en-US" w:eastAsia="zh-CN"/>
        </w:rPr>
        <w:t>100</w:t>
      </w:r>
      <w:r>
        <w:rPr>
          <w:rFonts w:ascii="仿宋" w:hAnsi="仿宋" w:eastAsia="仿宋" w:cs="仿宋"/>
          <w:sz w:val="32"/>
          <w:szCs w:val="32"/>
          <w:highlight w:val="none"/>
        </w:rPr>
        <w:t>%</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hint="eastAsia" w:ascii="仿宋" w:hAnsi="仿宋" w:eastAsia="仿宋" w:cs="仿宋"/>
          <w:sz w:val="32"/>
          <w:szCs w:val="32"/>
          <w:highlight w:val="none"/>
          <w:lang w:val="en-US" w:eastAsia="zh-CN"/>
        </w:rPr>
        <w:t>128</w:t>
      </w:r>
      <w:r>
        <w:rPr>
          <w:rFonts w:ascii="仿宋" w:hAnsi="仿宋" w:eastAsia="仿宋" w:cs="仿宋"/>
          <w:sz w:val="32"/>
          <w:szCs w:val="32"/>
          <w:highlight w:val="none"/>
        </w:rPr>
        <w:t>.00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主要原因为：2023年新增了债务专项经费。</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环江毛南族自治县司法局</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hint="eastAsia" w:ascii="仿宋" w:hAnsi="仿宋" w:eastAsia="仿宋" w:cs="仿宋"/>
          <w:sz w:val="32"/>
          <w:szCs w:val="32"/>
          <w:highlight w:val="none"/>
          <w:lang w:val="en-US" w:eastAsia="zh-CN"/>
        </w:rPr>
        <w:t>128</w:t>
      </w:r>
      <w:r>
        <w:rPr>
          <w:rFonts w:ascii="仿宋" w:hAnsi="仿宋" w:eastAsia="仿宋" w:cs="仿宋"/>
          <w:sz w:val="32"/>
          <w:szCs w:val="32"/>
          <w:highlight w:val="none"/>
        </w:rPr>
        <w:t>.00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年度国有资本经营预算支出决算情况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环江毛南族自治县司法局</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环江毛南族自治县司法局</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 xml:space="preserve"> 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hint="eastAsia" w:ascii="仿宋" w:hAnsi="仿宋" w:eastAsia="仿宋" w:cs="仿宋"/>
          <w:color w:val="auto"/>
          <w:sz w:val="32"/>
          <w:szCs w:val="32"/>
          <w:highlight w:val="none"/>
        </w:rPr>
      </w:pPr>
      <w:bookmarkStart w:id="2" w:name="PO_part3A5B1C1DiffReason1"/>
      <w:r>
        <w:rPr>
          <w:rFonts w:hint="eastAsia" w:ascii="仿宋_GB2312" w:hAnsi="Times New Roman" w:eastAsia="仿宋_GB2312" w:cs="Times New Roman"/>
          <w:color w:val="auto"/>
          <w:sz w:val="32"/>
          <w:szCs w:val="32"/>
          <w:lang w:val="en-US" w:eastAsia="zh-CN"/>
        </w:rPr>
        <w:t>环江毛南族自治县司法局</w:t>
      </w:r>
      <w:r>
        <w:rPr>
          <w:rFonts w:ascii="仿宋_GB2312" w:hAnsi="仿宋_GB2312" w:eastAsia="仿宋_GB2312" w:cs="仿宋_GB2312"/>
          <w:color w:val="auto"/>
          <w:sz w:val="32"/>
          <w:u w:color="auto"/>
        </w:rPr>
        <w:t>没有国有资本经营预算收入，也没有国有资本经营预算收入</w:t>
      </w:r>
      <w:r>
        <w:rPr>
          <w:rFonts w:hint="eastAsia" w:ascii="仿宋_GB2312" w:hAnsi="Times New Roman" w:eastAsia="仿宋_GB2312" w:cs="Times New Roman"/>
          <w:color w:val="auto"/>
          <w:sz w:val="32"/>
          <w:szCs w:val="32"/>
        </w:rPr>
        <w:t>安排的支出，故本段落无表述。</w:t>
      </w:r>
      <w:bookmarkEnd w:id="2"/>
    </w:p>
    <w:p>
      <w:pPr>
        <w:jc w:val="left"/>
        <w:rPr>
          <w:rFonts w:ascii="仿宋" w:hAnsi="仿宋" w:eastAsia="仿宋" w:cs="仿宋"/>
          <w:sz w:val="32"/>
          <w:szCs w:val="32"/>
          <w:highlight w:val="none"/>
        </w:rPr>
      </w:pPr>
      <w:r>
        <w:rPr>
          <w:rFonts w:hint="eastAsia" w:ascii="黑体" w:hAnsi="黑体" w:eastAsia="黑体" w:cs="黑体"/>
          <w:sz w:val="32"/>
          <w:szCs w:val="32"/>
          <w:highlight w:val="none"/>
        </w:rPr>
        <w:t>六、一般公共预算财政拨款安排的“三公”经费支出决算情况说明</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年度一般公共预算财政拨款安排的“三公”经费支出</w:t>
      </w:r>
      <w:r>
        <w:rPr>
          <w:rFonts w:hint="eastAsia" w:ascii="仿宋" w:hAnsi="仿宋" w:eastAsia="仿宋" w:cs="仿宋"/>
          <w:sz w:val="32"/>
          <w:szCs w:val="32"/>
          <w:highlight w:val="none"/>
          <w:lang w:val="en-US" w:eastAsia="zh-CN"/>
        </w:rPr>
        <w:t>10.39</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22.94</w:t>
      </w:r>
      <w:r>
        <w:rPr>
          <w:rFonts w:ascii="仿宋" w:hAnsi="仿宋" w:eastAsia="仿宋" w:cs="仿宋"/>
          <w:sz w:val="32"/>
          <w:szCs w:val="32"/>
          <w:highlight w:val="none"/>
        </w:rPr>
        <w:t>%</w:t>
      </w:r>
      <w:r>
        <w:rPr>
          <w:rFonts w:hint="eastAsia" w:ascii="仿宋" w:hAnsi="仿宋" w:eastAsia="仿宋" w:cs="仿宋"/>
          <w:sz w:val="32"/>
          <w:szCs w:val="32"/>
          <w:highlight w:val="none"/>
        </w:rPr>
        <w:t>，比上年</w:t>
      </w:r>
      <w:r>
        <w:rPr>
          <w:rFonts w:hint="eastAsia" w:ascii="仿宋" w:hAnsi="仿宋" w:eastAsia="仿宋" w:cs="仿宋"/>
          <w:sz w:val="32"/>
          <w:szCs w:val="32"/>
          <w:highlight w:val="none"/>
          <w:lang w:val="en-US" w:eastAsia="zh-CN"/>
        </w:rPr>
        <w:t>减少0.1</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2023年预算有新购公务用车，而年内相关手续未能完成办理没能购买。</w:t>
      </w:r>
      <w:r>
        <w:rPr>
          <w:rFonts w:hint="eastAsia" w:ascii="仿宋" w:hAnsi="仿宋" w:eastAsia="仿宋" w:cs="仿宋"/>
          <w:color w:val="auto"/>
          <w:sz w:val="32"/>
          <w:szCs w:val="32"/>
          <w:highlight w:val="none"/>
        </w:rPr>
        <w:t>其中：因公出国（境）费支出决算</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万元，公务</w:t>
      </w:r>
      <w:r>
        <w:rPr>
          <w:rFonts w:hint="eastAsia" w:ascii="仿宋" w:hAnsi="仿宋" w:eastAsia="仿宋" w:cs="仿宋"/>
          <w:sz w:val="32"/>
          <w:szCs w:val="32"/>
          <w:highlight w:val="none"/>
        </w:rPr>
        <w:t>用车购置及运行费支出决算</w:t>
      </w:r>
      <w:r>
        <w:rPr>
          <w:rFonts w:hint="eastAsia" w:ascii="仿宋" w:hAnsi="仿宋" w:eastAsia="仿宋" w:cs="仿宋"/>
          <w:sz w:val="32"/>
          <w:szCs w:val="32"/>
          <w:highlight w:val="none"/>
          <w:lang w:val="en-US" w:eastAsia="zh-CN"/>
        </w:rPr>
        <w:t>9.12</w:t>
      </w:r>
      <w:r>
        <w:rPr>
          <w:rFonts w:hint="eastAsia" w:ascii="仿宋" w:hAnsi="仿宋" w:eastAsia="仿宋" w:cs="仿宋"/>
          <w:sz w:val="32"/>
          <w:szCs w:val="32"/>
          <w:highlight w:val="none"/>
        </w:rPr>
        <w:t>万元，公务接待费支出决算</w:t>
      </w:r>
      <w:r>
        <w:rPr>
          <w:rFonts w:ascii="仿宋" w:hAnsi="仿宋" w:eastAsia="仿宋" w:cs="仿宋"/>
          <w:sz w:val="32"/>
          <w:szCs w:val="32"/>
          <w:highlight w:val="none"/>
        </w:rPr>
        <w:t>1.</w:t>
      </w:r>
      <w:r>
        <w:rPr>
          <w:rFonts w:hint="eastAsia" w:ascii="仿宋" w:hAnsi="仿宋" w:eastAsia="仿宋" w:cs="仿宋"/>
          <w:sz w:val="32"/>
          <w:szCs w:val="32"/>
          <w:highlight w:val="none"/>
          <w:lang w:val="en-US" w:eastAsia="zh-CN"/>
        </w:rPr>
        <w:t>27</w:t>
      </w:r>
      <w:r>
        <w:rPr>
          <w:rFonts w:hint="eastAsia" w:ascii="仿宋" w:hAnsi="仿宋" w:eastAsia="仿宋" w:cs="仿宋"/>
          <w:sz w:val="32"/>
          <w:szCs w:val="32"/>
          <w:highlight w:val="none"/>
        </w:rPr>
        <w:t>万元。</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（一）因公出国（境）费支出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 xml:space="preserve"> 万元。</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w:t>
      </w:r>
      <w:r>
        <w:rPr>
          <w:rFonts w:hint="eastAsia" w:ascii="仿宋_GB2312" w:hAnsi="Times New Roman" w:eastAsia="仿宋_GB2312" w:cs="Times New Roman"/>
          <w:color w:val="auto"/>
          <w:sz w:val="32"/>
          <w:szCs w:val="32"/>
          <w:lang w:val="en-US" w:eastAsia="zh-CN"/>
        </w:rPr>
        <w:t>无。</w:t>
      </w:r>
      <w:r>
        <w:rPr>
          <w:rFonts w:hint="eastAsia" w:ascii="仿宋_GB2312" w:hAnsi="Times New Roman" w:eastAsia="仿宋_GB2312" w:cs="Times New Roman"/>
          <w:color w:val="auto"/>
          <w:sz w:val="32"/>
          <w:szCs w:val="32"/>
        </w:rPr>
        <w:t>全年使用财政拨款安排</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rPr>
        <w:t>（局、办、镇）机关、</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rPr>
        <w:t>个所属单位出国团组</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rPr>
        <w:t>个，参加其他单位组织的出国团组</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rPr>
        <w:t>个</w:t>
      </w:r>
      <w:r>
        <w:rPr>
          <w:rFonts w:hint="eastAsia" w:ascii="仿宋" w:hAnsi="仿宋" w:eastAsia="仿宋" w:cs="仿宋"/>
          <w:color w:val="auto"/>
          <w:sz w:val="32"/>
          <w:szCs w:val="32"/>
          <w:highlight w:val="none"/>
        </w:rPr>
        <w:t>，全年</w:t>
      </w:r>
      <w:r>
        <w:rPr>
          <w:rFonts w:hint="eastAsia" w:ascii="仿宋" w:hAnsi="仿宋" w:eastAsia="仿宋" w:cs="仿宋"/>
          <w:sz w:val="32"/>
          <w:szCs w:val="32"/>
          <w:highlight w:val="none"/>
        </w:rPr>
        <w:t>因公出国（境）团组共计</w:t>
      </w:r>
      <w:r>
        <w:rPr>
          <w:rFonts w:ascii="仿宋" w:hAnsi="仿宋" w:eastAsia="仿宋" w:cs="仿宋"/>
          <w:sz w:val="32"/>
          <w:szCs w:val="32"/>
          <w:highlight w:val="none"/>
        </w:rPr>
        <w:t>0</w:t>
      </w:r>
      <w:r>
        <w:rPr>
          <w:rFonts w:hint="eastAsia" w:ascii="仿宋" w:hAnsi="仿宋" w:eastAsia="仿宋" w:cs="仿宋"/>
          <w:sz w:val="32"/>
          <w:szCs w:val="32"/>
          <w:highlight w:val="none"/>
        </w:rPr>
        <w:t>个，累计</w:t>
      </w:r>
      <w:r>
        <w:rPr>
          <w:rFonts w:ascii="仿宋" w:hAnsi="仿宋" w:eastAsia="仿宋" w:cs="仿宋"/>
          <w:sz w:val="32"/>
          <w:szCs w:val="32"/>
          <w:highlight w:val="none"/>
        </w:rPr>
        <w:t>0</w:t>
      </w:r>
      <w:r>
        <w:rPr>
          <w:rFonts w:hint="eastAsia" w:ascii="仿宋" w:hAnsi="仿宋" w:eastAsia="仿宋" w:cs="仿宋"/>
          <w:sz w:val="32"/>
          <w:szCs w:val="32"/>
          <w:highlight w:val="none"/>
        </w:rPr>
        <w:t>人次。</w:t>
      </w:r>
      <w:r>
        <w:rPr>
          <w:rFonts w:hint="eastAsia" w:ascii="仿宋_GB2312" w:hAnsi="Times New Roman" w:eastAsia="仿宋_GB2312" w:cs="Times New Roman"/>
          <w:color w:val="000000" w:themeColor="text1"/>
          <w:sz w:val="32"/>
          <w:szCs w:val="32"/>
          <w14:textFill>
            <w14:solidFill>
              <w14:schemeClr w14:val="tx1"/>
            </w14:solidFill>
          </w14:textFill>
        </w:rPr>
        <w:t>开支内容包括：</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无</w:t>
      </w:r>
      <w:r>
        <w:rPr>
          <w:rFonts w:hint="eastAsia" w:ascii="仿宋_GB2312" w:hAnsi="Times New Roman" w:eastAsia="仿宋_GB2312" w:cs="Times New Roman"/>
          <w:color w:val="auto"/>
          <w:sz w:val="32"/>
          <w:szCs w:val="32"/>
        </w:rPr>
        <w:t>。</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sz w:val="32"/>
          <w:szCs w:val="32"/>
          <w:highlight w:val="none"/>
        </w:rPr>
        <w:t>（二）公务用车购置及运行维护费</w:t>
      </w:r>
      <w:r>
        <w:rPr>
          <w:rFonts w:hint="eastAsia" w:ascii="仿宋" w:hAnsi="仿宋" w:eastAsia="仿宋" w:cs="仿宋"/>
          <w:sz w:val="32"/>
          <w:szCs w:val="32"/>
          <w:highlight w:val="none"/>
          <w:lang w:val="en-US" w:eastAsia="zh-CN"/>
        </w:rPr>
        <w:t>9.12</w:t>
      </w:r>
      <w:r>
        <w:rPr>
          <w:rFonts w:hint="eastAsia" w:ascii="仿宋" w:hAnsi="仿宋" w:eastAsia="仿宋" w:cs="仿宋"/>
          <w:sz w:val="32"/>
          <w:szCs w:val="32"/>
          <w:highlight w:val="none"/>
        </w:rPr>
        <w:t>万元。其中：公务用车购置支出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 xml:space="preserve"> 万元。</w:t>
      </w:r>
      <w:r>
        <w:rPr>
          <w:rFonts w:hint="eastAsia" w:ascii="仿宋" w:hAnsi="仿宋" w:eastAsia="仿宋" w:cs="仿宋"/>
          <w:color w:val="auto"/>
          <w:sz w:val="32"/>
          <w:szCs w:val="32"/>
        </w:rPr>
        <w:t>主要原因是</w:t>
      </w:r>
      <w:bookmarkStart w:id="3" w:name="PO_part3A6B2IncReason1"/>
      <w:r>
        <w:rPr>
          <w:rFonts w:hint="eastAsia" w:ascii="仿宋" w:hAnsi="仿宋" w:eastAsia="仿宋" w:cs="仿宋"/>
          <w:color w:val="auto"/>
          <w:sz w:val="32"/>
          <w:szCs w:val="32"/>
        </w:rPr>
        <w:t>本部门无公务用车购置</w:t>
      </w:r>
      <w:bookmarkEnd w:id="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rPr>
        <w:t>公务用车运行维护支出</w:t>
      </w:r>
      <w:r>
        <w:rPr>
          <w:rFonts w:hint="eastAsia" w:ascii="仿宋" w:hAnsi="仿宋" w:eastAsia="仿宋" w:cs="仿宋"/>
          <w:color w:val="auto"/>
          <w:sz w:val="32"/>
          <w:szCs w:val="32"/>
          <w:highlight w:val="none"/>
          <w:lang w:val="en-US" w:eastAsia="zh-CN"/>
        </w:rPr>
        <w:t>9.12</w:t>
      </w:r>
      <w:r>
        <w:rPr>
          <w:rFonts w:hint="eastAsia" w:ascii="仿宋" w:hAnsi="仿宋" w:eastAsia="仿宋" w:cs="仿宋"/>
          <w:color w:val="auto"/>
          <w:sz w:val="32"/>
          <w:szCs w:val="32"/>
          <w:highlight w:val="none"/>
        </w:rPr>
        <w:t>万元，完成年初预算的</w:t>
      </w:r>
      <w:r>
        <w:rPr>
          <w:rFonts w:hint="eastAsia" w:ascii="仿宋" w:hAnsi="仿宋" w:eastAsia="仿宋" w:cs="仿宋"/>
          <w:color w:val="auto"/>
          <w:sz w:val="32"/>
          <w:szCs w:val="32"/>
          <w:highlight w:val="none"/>
          <w:lang w:val="en-US" w:eastAsia="zh-CN"/>
        </w:rPr>
        <w:t>48.77</w:t>
      </w:r>
      <w:r>
        <w:rPr>
          <w:rFonts w:ascii="仿宋" w:hAnsi="仿宋" w:eastAsia="仿宋" w:cs="仿宋"/>
          <w:color w:val="auto"/>
          <w:sz w:val="32"/>
          <w:u w:color="auto"/>
        </w:rPr>
        <w:t>%</w:t>
      </w:r>
      <w:r>
        <w:rPr>
          <w:rFonts w:hint="eastAsia" w:ascii="仿宋" w:hAnsi="仿宋" w:eastAsia="仿宋" w:cs="仿宋"/>
          <w:color w:val="auto"/>
          <w:sz w:val="32"/>
          <w:szCs w:val="32"/>
          <w:highlight w:val="none"/>
        </w:rPr>
        <w:t>，比上年</w:t>
      </w:r>
      <w:r>
        <w:rPr>
          <w:rFonts w:hint="eastAsia" w:ascii="仿宋" w:hAnsi="仿宋" w:eastAsia="仿宋" w:cs="仿宋"/>
          <w:color w:val="auto"/>
          <w:sz w:val="32"/>
          <w:szCs w:val="32"/>
          <w:highlight w:val="none"/>
          <w:lang w:val="en-US" w:eastAsia="zh-CN"/>
        </w:rPr>
        <w:t>减少0.36</w:t>
      </w:r>
      <w:r>
        <w:rPr>
          <w:rFonts w:hint="eastAsia" w:ascii="仿宋" w:hAnsi="仿宋" w:eastAsia="仿宋" w:cs="仿宋"/>
          <w:color w:val="auto"/>
          <w:sz w:val="32"/>
          <w:szCs w:val="32"/>
          <w:highlight w:val="none"/>
        </w:rPr>
        <w:t>万元。主要原因是：</w:t>
      </w:r>
      <w:r>
        <w:rPr>
          <w:rFonts w:hint="eastAsia" w:ascii="仿宋" w:hAnsi="仿宋" w:eastAsia="仿宋" w:cs="仿宋"/>
          <w:color w:val="auto"/>
          <w:sz w:val="32"/>
          <w:szCs w:val="32"/>
          <w:highlight w:val="none"/>
          <w:lang w:val="en-US" w:eastAsia="zh-CN"/>
        </w:rPr>
        <w:t>节约公务用车费用</w:t>
      </w:r>
      <w:r>
        <w:rPr>
          <w:rFonts w:hint="eastAsia" w:ascii="仿宋" w:hAnsi="仿宋" w:eastAsia="仿宋" w:cs="仿宋"/>
          <w:color w:val="auto"/>
          <w:sz w:val="32"/>
          <w:szCs w:val="32"/>
          <w:highlight w:val="none"/>
        </w:rPr>
        <w:t>。主要用于机要文件交换、市内因公出行以及开展</w:t>
      </w:r>
      <w:r>
        <w:rPr>
          <w:rFonts w:hint="eastAsia" w:ascii="仿宋" w:hAnsi="仿宋" w:eastAsia="仿宋" w:cs="仿宋"/>
          <w:color w:val="auto"/>
          <w:sz w:val="32"/>
          <w:szCs w:val="32"/>
          <w:highlight w:val="none"/>
          <w:lang w:val="en-US" w:eastAsia="zh-CN"/>
        </w:rPr>
        <w:t>司法</w:t>
      </w:r>
      <w:r>
        <w:rPr>
          <w:rFonts w:hint="eastAsia" w:ascii="仿宋" w:hAnsi="仿宋" w:eastAsia="仿宋" w:cs="仿宋"/>
          <w:color w:val="auto"/>
          <w:sz w:val="32"/>
          <w:szCs w:val="32"/>
          <w:highlight w:val="none"/>
        </w:rPr>
        <w:t>业务所需车辆燃料费、维修费、过路过桥费、保险费等”。202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w:t>
      </w:r>
      <w:r>
        <w:rPr>
          <w:rFonts w:hint="eastAsia" w:ascii="仿宋" w:hAnsi="仿宋" w:eastAsia="仿宋" w:cs="仿宋"/>
          <w:color w:val="auto"/>
          <w:sz w:val="32"/>
          <w:u w:color="auto"/>
          <w:lang w:val="en-US" w:eastAsia="zh-CN"/>
        </w:rPr>
        <w:t>环江毛南族自治县司法局</w:t>
      </w:r>
      <w:r>
        <w:rPr>
          <w:rFonts w:hint="eastAsia" w:ascii="仿宋" w:hAnsi="仿宋" w:eastAsia="仿宋" w:cs="仿宋"/>
          <w:color w:val="auto"/>
          <w:sz w:val="32"/>
          <w:szCs w:val="32"/>
          <w:highlight w:val="none"/>
        </w:rPr>
        <w:t>及</w:t>
      </w:r>
      <w:r>
        <w:rPr>
          <w:rFonts w:hint="eastAsia" w:ascii="仿宋" w:hAnsi="仿宋" w:eastAsia="仿宋" w:cs="仿宋"/>
          <w:color w:val="auto"/>
          <w:sz w:val="32"/>
          <w:szCs w:val="32"/>
          <w:highlight w:val="none"/>
          <w:u w:val="single"/>
          <w:lang w:val="en-US" w:eastAsia="zh-CN"/>
        </w:rPr>
        <w:t>12个</w:t>
      </w:r>
      <w:r>
        <w:rPr>
          <w:rFonts w:hint="eastAsia" w:ascii="仿宋" w:hAnsi="仿宋" w:eastAsia="仿宋" w:cs="仿宋"/>
          <w:color w:val="auto"/>
          <w:sz w:val="32"/>
          <w:szCs w:val="32"/>
          <w:highlight w:val="none"/>
        </w:rPr>
        <w:t>所属单位开支财政拨款的公务用车保有量为</w:t>
      </w:r>
      <w:r>
        <w:rPr>
          <w:rFonts w:hint="eastAsia" w:ascii="仿宋" w:hAnsi="仿宋" w:eastAsia="仿宋" w:cs="仿宋"/>
          <w:color w:val="auto"/>
          <w:sz w:val="32"/>
          <w:szCs w:val="32"/>
          <w:highlight w:val="none"/>
          <w:lang w:val="en-US" w:eastAsia="zh-CN"/>
        </w:rPr>
        <w:t>11</w:t>
      </w:r>
      <w:r>
        <w:rPr>
          <w:rFonts w:hint="eastAsia" w:ascii="仿宋" w:hAnsi="仿宋" w:eastAsia="仿宋" w:cs="仿宋"/>
          <w:color w:val="auto"/>
          <w:sz w:val="32"/>
          <w:szCs w:val="32"/>
          <w:highlight w:val="none"/>
        </w:rPr>
        <w:t>辆，全年运行费支出</w:t>
      </w:r>
      <w:r>
        <w:rPr>
          <w:rFonts w:hint="eastAsia" w:ascii="仿宋" w:hAnsi="仿宋" w:eastAsia="仿宋" w:cs="仿宋"/>
          <w:color w:val="auto"/>
          <w:sz w:val="32"/>
          <w:u w:color="auto"/>
          <w:lang w:val="en-US" w:eastAsia="zh-CN"/>
        </w:rPr>
        <w:t>9.12</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平均每辆</w:t>
      </w:r>
      <w:r>
        <w:rPr>
          <w:rFonts w:hint="eastAsia" w:ascii="仿宋" w:hAnsi="仿宋" w:eastAsia="仿宋" w:cs="仿宋"/>
          <w:color w:val="auto"/>
          <w:sz w:val="32"/>
          <w:szCs w:val="32"/>
          <w:highlight w:val="none"/>
          <w:lang w:val="en-US" w:eastAsia="zh-CN"/>
        </w:rPr>
        <w:t>0.83</w:t>
      </w:r>
      <w:r>
        <w:rPr>
          <w:rFonts w:hint="eastAsia" w:ascii="仿宋" w:hAnsi="仿宋" w:eastAsia="仿宋" w:cs="仿宋"/>
          <w:color w:val="auto"/>
          <w:sz w:val="32"/>
          <w:szCs w:val="32"/>
          <w:highlight w:val="none"/>
        </w:rPr>
        <w:t>万元。</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color w:val="auto"/>
          <w:sz w:val="32"/>
          <w:szCs w:val="32"/>
          <w:highlight w:val="none"/>
        </w:rPr>
      </w:pPr>
      <w:r>
        <w:rPr>
          <w:rFonts w:hint="eastAsia" w:ascii="仿宋" w:hAnsi="仿宋" w:eastAsia="仿宋" w:cs="仿宋"/>
          <w:sz w:val="32"/>
          <w:szCs w:val="32"/>
          <w:highlight w:val="none"/>
        </w:rPr>
        <w:t>（三）公务接待费支出</w:t>
      </w:r>
      <w:r>
        <w:rPr>
          <w:rFonts w:ascii="仿宋" w:hAnsi="仿宋" w:eastAsia="仿宋" w:cs="仿宋"/>
          <w:sz w:val="32"/>
          <w:szCs w:val="32"/>
          <w:highlight w:val="none"/>
        </w:rPr>
        <w:t>1.</w:t>
      </w:r>
      <w:r>
        <w:rPr>
          <w:rFonts w:hint="eastAsia" w:ascii="仿宋" w:hAnsi="仿宋" w:eastAsia="仿宋" w:cs="仿宋"/>
          <w:sz w:val="32"/>
          <w:szCs w:val="32"/>
          <w:highlight w:val="none"/>
          <w:lang w:val="en-US" w:eastAsia="zh-CN"/>
        </w:rPr>
        <w:t>27</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63</w:t>
      </w:r>
      <w:r>
        <w:rPr>
          <w:rFonts w:ascii="仿宋" w:hAnsi="仿宋" w:eastAsia="仿宋" w:cs="仿宋"/>
          <w:sz w:val="32"/>
          <w:szCs w:val="32"/>
          <w:highlight w:val="none"/>
        </w:rPr>
        <w:t>.5%</w:t>
      </w:r>
      <w:r>
        <w:rPr>
          <w:rFonts w:hint="eastAsia" w:ascii="仿宋" w:hAnsi="仿宋" w:eastAsia="仿宋" w:cs="仿宋"/>
          <w:sz w:val="32"/>
          <w:szCs w:val="32"/>
          <w:highlight w:val="none"/>
        </w:rPr>
        <w:t>， 比上年</w:t>
      </w:r>
      <w:r>
        <w:rPr>
          <w:rFonts w:hint="eastAsia" w:ascii="仿宋" w:hAnsi="仿宋" w:eastAsia="仿宋" w:cs="仿宋"/>
          <w:sz w:val="32"/>
          <w:szCs w:val="32"/>
          <w:highlight w:val="none"/>
          <w:lang w:val="en-US" w:eastAsia="zh-CN"/>
        </w:rPr>
        <w:t>增加0.26</w:t>
      </w:r>
      <w:r>
        <w:rPr>
          <w:rFonts w:hint="eastAsia" w:ascii="仿宋" w:hAnsi="仿宋" w:eastAsia="仿宋" w:cs="仿宋"/>
          <w:sz w:val="32"/>
          <w:szCs w:val="32"/>
          <w:highlight w:val="none"/>
        </w:rPr>
        <w:t>万元，</w:t>
      </w:r>
      <w:r>
        <w:rPr>
          <w:rFonts w:hint="eastAsia" w:ascii="仿宋" w:hAnsi="仿宋" w:eastAsia="仿宋" w:cs="仿宋"/>
          <w:color w:val="auto"/>
          <w:kern w:val="2"/>
          <w:sz w:val="32"/>
          <w:szCs w:val="32"/>
          <w:highlight w:val="none"/>
          <w:lang w:val="en-US" w:eastAsia="zh-CN" w:bidi="ar"/>
        </w:rPr>
        <w:t>主要原因是：厉行节约控制“三公”经费相关支出，2023年结算了2022年部分招待费。</w:t>
      </w:r>
      <w:r>
        <w:rPr>
          <w:rFonts w:hint="eastAsia" w:ascii="仿宋" w:hAnsi="仿宋" w:eastAsia="仿宋" w:cs="仿宋"/>
          <w:color w:val="000000" w:themeColor="text1"/>
          <w:sz w:val="32"/>
          <w:szCs w:val="32"/>
          <w:highlight w:val="none"/>
          <w14:textFill>
            <w14:solidFill>
              <w14:schemeClr w14:val="tx1"/>
            </w14:solidFill>
          </w14:textFill>
        </w:rPr>
        <w:t>国内公务接待批次</w:t>
      </w:r>
      <w:r>
        <w:rPr>
          <w:rFonts w:hint="eastAsia" w:ascii="仿宋" w:hAnsi="仿宋" w:eastAsia="仿宋" w:cs="仿宋"/>
          <w:color w:val="000000" w:themeColor="text1"/>
          <w:sz w:val="32"/>
          <w:szCs w:val="32"/>
          <w:highlight w:val="none"/>
          <w:lang w:val="en-US" w:eastAsia="zh-CN"/>
          <w14:textFill>
            <w14:solidFill>
              <w14:schemeClr w14:val="tx1"/>
            </w14:solidFill>
          </w14:textFill>
        </w:rPr>
        <w:t>23</w:t>
      </w:r>
      <w:r>
        <w:rPr>
          <w:rFonts w:hint="eastAsia" w:ascii="仿宋" w:hAnsi="仿宋" w:eastAsia="仿宋" w:cs="仿宋"/>
          <w:sz w:val="32"/>
          <w:szCs w:val="32"/>
          <w:highlight w:val="none"/>
        </w:rPr>
        <w:t>次，人次</w:t>
      </w:r>
      <w:r>
        <w:rPr>
          <w:rFonts w:hint="eastAsia" w:ascii="仿宋" w:hAnsi="仿宋" w:eastAsia="仿宋" w:cs="仿宋"/>
          <w:sz w:val="32"/>
          <w:szCs w:val="32"/>
          <w:highlight w:val="none"/>
          <w:lang w:val="en-US" w:eastAsia="zh-CN"/>
        </w:rPr>
        <w:t>112</w:t>
      </w:r>
      <w:r>
        <w:rPr>
          <w:rFonts w:hint="eastAsia" w:ascii="仿宋" w:hAnsi="仿宋" w:eastAsia="仿宋" w:cs="仿宋"/>
          <w:sz w:val="32"/>
          <w:szCs w:val="32"/>
          <w:highlight w:val="none"/>
        </w:rPr>
        <w:t>次，国（境）外公务接待批次</w:t>
      </w:r>
      <w:r>
        <w:rPr>
          <w:rFonts w:ascii="仿宋" w:hAnsi="仿宋" w:eastAsia="仿宋" w:cs="仿宋"/>
          <w:sz w:val="32"/>
          <w:szCs w:val="32"/>
          <w:highlight w:val="none"/>
        </w:rPr>
        <w:t>0</w:t>
      </w:r>
      <w:r>
        <w:rPr>
          <w:rFonts w:hint="eastAsia" w:ascii="仿宋" w:hAnsi="仿宋" w:eastAsia="仿宋" w:cs="仿宋"/>
          <w:color w:val="auto"/>
          <w:sz w:val="32"/>
          <w:szCs w:val="32"/>
          <w:highlight w:val="none"/>
        </w:rPr>
        <w:t>次，人次</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次。</w:t>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七、其他重要事项情况说明</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 机关运行经费支出情况说明</w:t>
      </w:r>
    </w:p>
    <w:p>
      <w:pPr>
        <w:ind w:firstLine="640" w:firstLineChars="200"/>
        <w:jc w:val="left"/>
        <w:rPr>
          <w:rFonts w:hint="eastAsia" w:ascii="仿宋" w:hAnsi="仿宋" w:eastAsia="仿宋" w:cs="仿宋"/>
          <w:color w:val="auto"/>
          <w:sz w:val="32"/>
          <w:szCs w:val="32"/>
          <w:highlight w:val="none"/>
          <w:lang w:eastAsia="zh-CN"/>
        </w:rPr>
      </w:pPr>
      <w:r>
        <w:rPr>
          <w:rFonts w:hint="eastAsia" w:ascii="仿宋" w:hAnsi="仿宋" w:eastAsia="仿宋" w:cs="仿宋"/>
          <w:sz w:val="32"/>
          <w:szCs w:val="32"/>
          <w:highlight w:val="none"/>
        </w:rPr>
        <w:t>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年度机关运行经费支出</w:t>
      </w:r>
      <w:r>
        <w:rPr>
          <w:rFonts w:hint="eastAsia" w:ascii="仿宋" w:hAnsi="仿宋" w:eastAsia="仿宋" w:cs="仿宋"/>
          <w:sz w:val="32"/>
          <w:szCs w:val="32"/>
          <w:highlight w:val="none"/>
          <w:lang w:val="en-US" w:eastAsia="zh-CN"/>
        </w:rPr>
        <w:t>68.54</w:t>
      </w:r>
      <w:r>
        <w:rPr>
          <w:rFonts w:hint="eastAsia" w:ascii="仿宋" w:hAnsi="仿宋" w:eastAsia="仿宋" w:cs="仿宋"/>
          <w:sz w:val="32"/>
          <w:szCs w:val="32"/>
          <w:highlight w:val="none"/>
        </w:rPr>
        <w:t>万元，比年初预算数</w:t>
      </w:r>
      <w:r>
        <w:rPr>
          <w:rFonts w:ascii="仿宋" w:hAnsi="仿宋" w:eastAsia="仿宋" w:cs="仿宋"/>
          <w:sz w:val="32"/>
          <w:szCs w:val="32"/>
          <w:highlight w:val="none"/>
        </w:rPr>
        <w:t>减少</w:t>
      </w:r>
      <w:r>
        <w:rPr>
          <w:rFonts w:hint="eastAsia" w:ascii="仿宋" w:hAnsi="仿宋" w:eastAsia="仿宋" w:cs="仿宋"/>
          <w:sz w:val="32"/>
          <w:szCs w:val="32"/>
          <w:highlight w:val="none"/>
          <w:lang w:val="en-US" w:eastAsia="zh-CN"/>
        </w:rPr>
        <w:t>12.96</w:t>
      </w:r>
      <w:r>
        <w:rPr>
          <w:rFonts w:hint="eastAsia" w:ascii="仿宋" w:hAnsi="仿宋" w:eastAsia="仿宋" w:cs="仿宋"/>
          <w:sz w:val="32"/>
          <w:szCs w:val="32"/>
          <w:highlight w:val="none"/>
        </w:rPr>
        <w:t>万元，</w:t>
      </w:r>
      <w:r>
        <w:rPr>
          <w:rFonts w:ascii="仿宋" w:hAnsi="仿宋" w:eastAsia="仿宋" w:cs="仿宋"/>
          <w:sz w:val="32"/>
          <w:szCs w:val="32"/>
          <w:highlight w:val="none"/>
        </w:rPr>
        <w:t>下降</w:t>
      </w:r>
      <w:r>
        <w:rPr>
          <w:rFonts w:hint="eastAsia" w:ascii="仿宋" w:hAnsi="仿宋" w:eastAsia="仿宋" w:cs="仿宋"/>
          <w:sz w:val="32"/>
          <w:szCs w:val="32"/>
          <w:highlight w:val="none"/>
          <w:lang w:val="en-US" w:eastAsia="zh-CN"/>
        </w:rPr>
        <w:t>15.9</w:t>
      </w:r>
      <w:r>
        <w:rPr>
          <w:rFonts w:ascii="仿宋" w:hAnsi="仿宋" w:eastAsia="仿宋" w:cs="仿宋"/>
          <w:sz w:val="32"/>
          <w:szCs w:val="32"/>
          <w:highlight w:val="none"/>
        </w:rPr>
        <w:t>%</w:t>
      </w:r>
      <w:r>
        <w:rPr>
          <w:rFonts w:hint="eastAsia" w:ascii="仿宋" w:hAnsi="仿宋" w:eastAsia="仿宋" w:cs="仿宋"/>
          <w:sz w:val="32"/>
          <w:szCs w:val="32"/>
          <w:highlight w:val="none"/>
        </w:rPr>
        <w:t>，比上年决算数</w:t>
      </w:r>
      <w:r>
        <w:rPr>
          <w:rFonts w:hint="eastAsia" w:ascii="仿宋" w:hAnsi="仿宋" w:eastAsia="仿宋" w:cs="仿宋"/>
          <w:sz w:val="32"/>
          <w:szCs w:val="32"/>
          <w:highlight w:val="none"/>
          <w:lang w:val="en-US" w:eastAsia="zh-CN"/>
        </w:rPr>
        <w:t>减少4.94</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下降6.7</w:t>
      </w:r>
      <w:r>
        <w:rPr>
          <w:rFonts w:ascii="仿宋" w:hAnsi="仿宋" w:eastAsia="仿宋" w:cs="仿宋"/>
          <w:sz w:val="32"/>
          <w:szCs w:val="32"/>
          <w:highlight w:val="none"/>
        </w:rPr>
        <w:t>%</w:t>
      </w:r>
      <w:r>
        <w:rPr>
          <w:rFonts w:hint="eastAsia" w:ascii="仿宋" w:hAnsi="仿宋" w:eastAsia="仿宋" w:cs="仿宋"/>
          <w:sz w:val="32"/>
          <w:szCs w:val="32"/>
          <w:highlight w:val="none"/>
        </w:rPr>
        <w:t>。</w:t>
      </w:r>
      <w:r>
        <w:rPr>
          <w:rFonts w:hint="eastAsia" w:ascii="仿宋" w:hAnsi="仿宋" w:eastAsia="仿宋" w:cs="仿宋"/>
          <w:color w:val="auto"/>
          <w:sz w:val="32"/>
          <w:szCs w:val="32"/>
          <w:highlight w:val="none"/>
        </w:rPr>
        <w:t>主要原因是：</w:t>
      </w:r>
      <w:r>
        <w:rPr>
          <w:rFonts w:hint="eastAsia" w:ascii="仿宋" w:hAnsi="仿宋" w:eastAsia="仿宋" w:cs="仿宋"/>
          <w:color w:val="auto"/>
          <w:sz w:val="32"/>
          <w:szCs w:val="32"/>
          <w:highlight w:val="none"/>
          <w:lang w:val="en-US" w:eastAsia="zh-CN"/>
        </w:rPr>
        <w:t>工会经费比2022年有所减少及公务用车</w:t>
      </w:r>
      <w:r>
        <w:rPr>
          <w:rFonts w:hint="eastAsia" w:ascii="仿宋" w:hAnsi="仿宋" w:eastAsia="仿宋" w:cs="仿宋"/>
          <w:color w:val="auto"/>
          <w:sz w:val="32"/>
          <w:szCs w:val="32"/>
          <w:highlight w:val="none"/>
        </w:rPr>
        <w:t>运行维护</w:t>
      </w:r>
      <w:r>
        <w:rPr>
          <w:rFonts w:hint="eastAsia" w:ascii="仿宋" w:hAnsi="仿宋" w:eastAsia="仿宋" w:cs="仿宋"/>
          <w:color w:val="auto"/>
          <w:sz w:val="32"/>
          <w:szCs w:val="32"/>
          <w:highlight w:val="none"/>
          <w:lang w:val="en-US" w:eastAsia="zh-CN"/>
        </w:rPr>
        <w:t>费</w:t>
      </w:r>
      <w:r>
        <w:rPr>
          <w:rFonts w:hint="eastAsia" w:ascii="仿宋" w:hAnsi="仿宋" w:eastAsia="仿宋" w:cs="仿宋"/>
          <w:color w:val="auto"/>
          <w:sz w:val="32"/>
          <w:szCs w:val="32"/>
          <w:highlight w:val="none"/>
        </w:rPr>
        <w:t>支出减少</w:t>
      </w:r>
      <w:r>
        <w:rPr>
          <w:rFonts w:hint="eastAsia" w:ascii="仿宋" w:hAnsi="仿宋" w:eastAsia="仿宋" w:cs="仿宋"/>
          <w:color w:val="auto"/>
          <w:sz w:val="32"/>
          <w:szCs w:val="32"/>
          <w:highlight w:val="none"/>
          <w:lang w:eastAsia="zh-CN"/>
        </w:rPr>
        <w:t>。</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年度政府采购支出总额</w:t>
      </w:r>
      <w:r>
        <w:rPr>
          <w:rFonts w:hint="eastAsia" w:ascii="仿宋" w:hAnsi="仿宋" w:eastAsia="仿宋" w:cs="仿宋"/>
          <w:sz w:val="32"/>
          <w:szCs w:val="32"/>
          <w:highlight w:val="none"/>
          <w:lang w:val="en-US" w:eastAsia="zh-CN"/>
        </w:rPr>
        <w:t>24.93</w:t>
      </w:r>
      <w:r>
        <w:rPr>
          <w:rFonts w:hint="eastAsia" w:ascii="仿宋" w:hAnsi="仿宋" w:eastAsia="仿宋" w:cs="仿宋"/>
          <w:sz w:val="32"/>
          <w:szCs w:val="32"/>
          <w:highlight w:val="none"/>
        </w:rPr>
        <w:t>万元，其中：政府采购货物支出</w:t>
      </w:r>
      <w:r>
        <w:rPr>
          <w:rFonts w:hint="eastAsia" w:ascii="仿宋" w:hAnsi="仿宋" w:eastAsia="仿宋" w:cs="仿宋"/>
          <w:sz w:val="32"/>
          <w:szCs w:val="32"/>
          <w:highlight w:val="none"/>
          <w:lang w:val="en-US" w:eastAsia="zh-CN"/>
        </w:rPr>
        <w:t>24.93</w:t>
      </w:r>
      <w:r>
        <w:rPr>
          <w:rFonts w:hint="eastAsia" w:ascii="仿宋" w:hAnsi="仿宋" w:eastAsia="仿宋" w:cs="仿宋"/>
          <w:sz w:val="32"/>
          <w:szCs w:val="32"/>
          <w:highlight w:val="none"/>
        </w:rPr>
        <w:t>万元、政府采购工程支出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万元、政府采购服务支出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万元。授予中小企业合同金额</w:t>
      </w:r>
      <w:r>
        <w:rPr>
          <w:rFonts w:hint="eastAsia" w:ascii="仿宋" w:hAnsi="仿宋" w:eastAsia="仿宋" w:cs="仿宋"/>
          <w:sz w:val="32"/>
          <w:szCs w:val="32"/>
          <w:highlight w:val="none"/>
          <w:lang w:val="en-US" w:eastAsia="zh-CN"/>
        </w:rPr>
        <w:t>24.93</w:t>
      </w:r>
      <w:r>
        <w:rPr>
          <w:rFonts w:hint="eastAsia" w:ascii="仿宋" w:hAnsi="仿宋" w:eastAsia="仿宋" w:cs="仿宋"/>
          <w:sz w:val="32"/>
          <w:szCs w:val="32"/>
          <w:highlight w:val="none"/>
        </w:rPr>
        <w:t>万元，占政府采购支出总额的</w:t>
      </w:r>
      <w:r>
        <w:rPr>
          <w:rFonts w:hint="eastAsia" w:ascii="仿宋" w:hAnsi="仿宋" w:eastAsia="仿宋" w:cs="仿宋"/>
          <w:sz w:val="32"/>
          <w:szCs w:val="32"/>
          <w:highlight w:val="none"/>
          <w:lang w:val="en-US" w:eastAsia="zh-CN"/>
        </w:rPr>
        <w:t>100</w:t>
      </w:r>
      <w:r>
        <w:rPr>
          <w:rFonts w:ascii="仿宋" w:hAnsi="仿宋" w:eastAsia="仿宋" w:cs="仿宋"/>
          <w:sz w:val="32"/>
          <w:szCs w:val="32"/>
          <w:highlight w:val="none"/>
        </w:rPr>
        <w:t>%</w:t>
      </w:r>
      <w:r>
        <w:rPr>
          <w:rFonts w:hint="eastAsia" w:ascii="仿宋" w:hAnsi="仿宋" w:eastAsia="仿宋" w:cs="仿宋"/>
          <w:sz w:val="32"/>
          <w:szCs w:val="32"/>
          <w:highlight w:val="none"/>
        </w:rPr>
        <w:t>，其中：授予小微企业合同金额</w:t>
      </w:r>
      <w:r>
        <w:rPr>
          <w:rFonts w:hint="eastAsia" w:ascii="仿宋" w:hAnsi="仿宋" w:eastAsia="仿宋" w:cs="仿宋"/>
          <w:sz w:val="32"/>
          <w:szCs w:val="32"/>
          <w:highlight w:val="none"/>
          <w:lang w:val="en-US" w:eastAsia="zh-CN"/>
        </w:rPr>
        <w:t>24.93</w:t>
      </w:r>
      <w:r>
        <w:rPr>
          <w:rFonts w:hint="eastAsia" w:ascii="仿宋" w:hAnsi="仿宋" w:eastAsia="仿宋" w:cs="仿宋"/>
          <w:sz w:val="32"/>
          <w:szCs w:val="32"/>
          <w:highlight w:val="none"/>
        </w:rPr>
        <w:t>万元，占授予中小企业合同金额的</w:t>
      </w:r>
      <w:r>
        <w:rPr>
          <w:rFonts w:hint="eastAsia" w:ascii="仿宋" w:hAnsi="仿宋" w:eastAsia="仿宋" w:cs="仿宋"/>
          <w:sz w:val="32"/>
          <w:szCs w:val="32"/>
          <w:highlight w:val="none"/>
          <w:lang w:val="en-US" w:eastAsia="zh-CN"/>
        </w:rPr>
        <w:t>100</w:t>
      </w:r>
      <w:r>
        <w:rPr>
          <w:rFonts w:ascii="仿宋" w:hAnsi="仿宋" w:eastAsia="仿宋" w:cs="仿宋"/>
          <w:sz w:val="32"/>
          <w:szCs w:val="32"/>
          <w:highlight w:val="none"/>
        </w:rPr>
        <w:t>%</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截至202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年12月31日，本部门共有车辆</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w:t>
      </w:r>
    </w:p>
    <w:p>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黑体" w:hAnsi="黑体" w:eastAsia="黑体" w:cs="黑体"/>
          <w:kern w:val="0"/>
          <w:sz w:val="32"/>
          <w:szCs w:val="32"/>
          <w:lang w:eastAsia="zh-CN"/>
        </w:rPr>
        <w:t>八、</w:t>
      </w:r>
      <w:r>
        <w:rPr>
          <w:rFonts w:hint="eastAsia" w:ascii="黑体" w:hAnsi="黑体" w:eastAsia="黑体" w:cs="黑体"/>
          <w:kern w:val="0"/>
          <w:sz w:val="32"/>
          <w:szCs w:val="32"/>
        </w:rPr>
        <w:t>预算绩效管理工作开展情况。</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default" w:ascii="仿宋_GB2312" w:hAnsi="Times New Roman" w:eastAsia="仿宋_GB2312" w:cs="仿宋_GB2312"/>
          <w:b w:val="0"/>
          <w:bCs w:val="0"/>
          <w:caps w:val="0"/>
          <w:color w:val="auto"/>
          <w:kern w:val="0"/>
          <w:sz w:val="32"/>
          <w:szCs w:val="32"/>
          <w:vertAlign w:val="baseline"/>
          <w:lang w:val="en-US"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整体支出绩效自评结果。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caps w:val="0"/>
          <w:color w:val="auto"/>
          <w:kern w:val="0"/>
          <w:sz w:val="32"/>
          <w:szCs w:val="32"/>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我部门2023年度部门预算数</w:t>
      </w:r>
      <w:r>
        <w:rPr>
          <w:rFonts w:hint="eastAsia" w:ascii="仿宋_GB2312" w:eastAsia="仿宋_GB2312" w:cs="仿宋_GB2312"/>
          <w:b w:val="0"/>
          <w:bCs w:val="0"/>
          <w:caps w:val="0"/>
          <w:color w:val="auto"/>
          <w:kern w:val="0"/>
          <w:sz w:val="32"/>
          <w:szCs w:val="32"/>
          <w:vertAlign w:val="baseline"/>
          <w:lang w:val="en-US" w:eastAsia="zh-CN" w:bidi="ar"/>
        </w:rPr>
        <w:t>890.86</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万元，执行数</w:t>
      </w:r>
      <w:r>
        <w:rPr>
          <w:rFonts w:hint="eastAsia" w:ascii="仿宋_GB2312" w:eastAsia="仿宋_GB2312" w:cs="仿宋_GB2312"/>
          <w:b w:val="0"/>
          <w:bCs w:val="0"/>
          <w:caps w:val="0"/>
          <w:color w:val="auto"/>
          <w:kern w:val="0"/>
          <w:sz w:val="32"/>
          <w:szCs w:val="32"/>
          <w:vertAlign w:val="baseline"/>
          <w:lang w:val="en-US" w:eastAsia="zh-CN" w:bidi="ar"/>
        </w:rPr>
        <w:t>1142.95</w:t>
      </w:r>
      <w:r>
        <w:rPr>
          <w:rFonts w:hint="eastAsia" w:ascii="仿宋_GB2312" w:hAnsi="Times New Roman" w:eastAsia="仿宋_GB2312" w:cs="仿宋_GB2312"/>
          <w:b w:val="0"/>
          <w:bCs w:val="0"/>
          <w:caps w:val="0"/>
          <w:color w:val="auto"/>
          <w:kern w:val="0"/>
          <w:sz w:val="32"/>
          <w:szCs w:val="32"/>
          <w:vertAlign w:val="baseline"/>
          <w:lang w:val="en-US" w:eastAsia="zh-CN" w:bidi="ar"/>
        </w:rPr>
        <w:t>万元，整体支出绩效自评结果为</w:t>
      </w:r>
      <w:r>
        <w:rPr>
          <w:rFonts w:hint="eastAsia" w:ascii="仿宋_GB2312" w:eastAsia="仿宋_GB2312" w:cs="仿宋_GB2312"/>
          <w:b w:val="0"/>
          <w:bCs w:val="0"/>
          <w:caps w:val="0"/>
          <w:color w:val="auto"/>
          <w:kern w:val="0"/>
          <w:sz w:val="32"/>
          <w:szCs w:val="32"/>
          <w:vertAlign w:val="baseline"/>
          <w:lang w:val="en-US" w:eastAsia="zh-CN" w:bidi="ar"/>
        </w:rPr>
        <w:t>一</w:t>
      </w:r>
      <w:r>
        <w:rPr>
          <w:rFonts w:hint="eastAsia" w:ascii="仿宋_GB2312" w:hAnsi="Times New Roman" w:eastAsia="仿宋_GB2312" w:cs="仿宋_GB2312"/>
          <w:b w:val="0"/>
          <w:bCs w:val="0"/>
          <w:caps w:val="0"/>
          <w:color w:val="auto"/>
          <w:kern w:val="0"/>
          <w:sz w:val="32"/>
          <w:szCs w:val="32"/>
          <w:vertAlign w:val="baseline"/>
          <w:lang w:val="en-US" w:eastAsia="zh-CN" w:bidi="ar"/>
        </w:rPr>
        <w:t>等。从自评情况来看，</w:t>
      </w:r>
      <w:r>
        <w:rPr>
          <w:rFonts w:hint="eastAsia" w:ascii="仿宋" w:hAnsi="仿宋" w:eastAsia="仿宋" w:cs="仿宋"/>
          <w:b w:val="0"/>
          <w:bCs w:val="0"/>
          <w:caps w:val="0"/>
          <w:color w:val="auto"/>
          <w:kern w:val="0"/>
          <w:sz w:val="32"/>
          <w:szCs w:val="32"/>
          <w:vertAlign w:val="baseline"/>
          <w:lang w:val="en-US" w:eastAsia="zh-CN" w:bidi="ar"/>
        </w:rPr>
        <w:t>2023年</w:t>
      </w:r>
      <w:r>
        <w:rPr>
          <w:rFonts w:hint="eastAsia" w:ascii="Times New Roman" w:hAnsi="Times New Roman" w:eastAsia="仿宋_GB2312"/>
          <w:sz w:val="32"/>
          <w:lang w:val="en-US" w:eastAsia="zh-CN"/>
        </w:rPr>
        <w:t>我局坚持以“法律七进”为抓手，以特殊时间节点为契机，深入开展了形式多样的法治宣传活动共50余场次。</w:t>
      </w:r>
      <w:r>
        <w:rPr>
          <w:rFonts w:hint="default" w:ascii="Times New Roman" w:hAnsi="Times New Roman" w:eastAsia="仿宋_GB2312"/>
          <w:sz w:val="32"/>
          <w:lang w:val="en-US" w:eastAsia="zh-CN"/>
        </w:rPr>
        <w:t>依法严格</w:t>
      </w:r>
      <w:r>
        <w:rPr>
          <w:rFonts w:hint="eastAsia" w:ascii="Times New Roman" w:hAnsi="Times New Roman" w:eastAsia="仿宋_GB2312"/>
          <w:sz w:val="32"/>
          <w:lang w:val="en-US" w:eastAsia="zh-CN"/>
        </w:rPr>
        <w:t>执行</w:t>
      </w:r>
      <w:r>
        <w:rPr>
          <w:rFonts w:hint="default" w:ascii="Times New Roman" w:hAnsi="Times New Roman" w:eastAsia="仿宋_GB2312"/>
          <w:sz w:val="32"/>
          <w:lang w:val="en-US" w:eastAsia="zh-CN"/>
        </w:rPr>
        <w:t>社区矫正监管工作</w:t>
      </w:r>
      <w:r>
        <w:rPr>
          <w:rFonts w:hint="eastAsia" w:ascii="Times New Roman" w:hAnsi="Times New Roman" w:eastAsia="仿宋_GB2312"/>
          <w:sz w:val="32"/>
          <w:lang w:val="en-US" w:eastAsia="zh-CN"/>
        </w:rPr>
        <w:t>，健全社区矫正工作领导机构，不断完善社区矫正中心基础设施建设</w:t>
      </w:r>
      <w:r>
        <w:rPr>
          <w:rFonts w:hint="default" w:ascii="Times New Roman" w:hAnsi="Times New Roman" w:eastAsia="仿宋_GB2312"/>
          <w:sz w:val="32"/>
          <w:lang w:val="en-US" w:eastAsia="zh-CN"/>
        </w:rPr>
        <w:t>。2023年，我县在册社区矫正对象229人，均为缓刑罪犯。年内新接收178人，期满解除127人，完成社区矫正社会调查评估68人次。人民调解委员会累计排查各类矛盾纠纷共3274次,预防矛盾纠纷97件，调解矛盾纠纷484件，调解成功484件，调解成功率达100%，涉及纠纷金额548.23万元。</w:t>
      </w:r>
      <w:r>
        <w:rPr>
          <w:rFonts w:hint="eastAsia" w:ascii="Times New Roman" w:hAnsi="Times New Roman" w:eastAsia="仿宋_GB2312"/>
          <w:sz w:val="32"/>
          <w:lang w:val="en-US" w:eastAsia="zh-CN"/>
        </w:rPr>
        <w:t>全县村（社区）法律顾问累计为各村（社区）群众开展各种法律咨询、普法宣传教育、出具法律意见、代写法律文书、参与化解矛盾纠纷、协助处理信访问题等3000多件次</w:t>
      </w:r>
      <w:r>
        <w:rPr>
          <w:rFonts w:hint="default" w:ascii="Times New Roman" w:hAnsi="Times New Roman" w:eastAsia="仿宋_GB2312"/>
          <w:sz w:val="32"/>
          <w:lang w:val="en-US" w:eastAsia="zh-CN"/>
        </w:rPr>
        <w:t>。</w:t>
      </w:r>
      <w:r>
        <w:rPr>
          <w:rFonts w:hint="eastAsia" w:ascii="Times New Roman" w:hAnsi="Times New Roman" w:eastAsia="仿宋_GB2312"/>
          <w:sz w:val="32"/>
          <w:lang w:val="en-US" w:eastAsia="zh-CN"/>
        </w:rPr>
        <w:t>公证处办理各类公证事项121件，其中继承权公证90件，放弃继承权声明书4件，合同协议类公证3件，亲属关系证明5件，委托公证18件，印鉴公证1件。为弱势群体开展上门办证服务7次，依法减免公证费用1183.5元。</w:t>
      </w:r>
      <w:r>
        <w:rPr>
          <w:rFonts w:hint="eastAsia" w:ascii="仿宋" w:hAnsi="仿宋" w:eastAsia="仿宋" w:cs="仿宋"/>
          <w:color w:val="auto"/>
          <w:sz w:val="32"/>
          <w:szCs w:val="32"/>
        </w:rPr>
        <w:t>部门整体产出指标的各项二级指标和效益指标的各项二级指标都达到了预期指标</w:t>
      </w:r>
      <w:r>
        <w:rPr>
          <w:rFonts w:hint="eastAsia" w:ascii="仿宋" w:hAnsi="仿宋" w:eastAsia="仿宋" w:cs="仿宋"/>
          <w:b w:val="0"/>
          <w:bCs w:val="0"/>
          <w:caps w:val="0"/>
          <w:color w:val="auto"/>
          <w:kern w:val="0"/>
          <w:sz w:val="32"/>
          <w:szCs w:val="32"/>
          <w:vertAlign w:val="baseline"/>
          <w:lang w:val="en-US" w:eastAsia="zh-CN" w:bidi="ar"/>
        </w:rPr>
        <w:t>。</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2.项目支出绩效自评结果。</w:t>
      </w:r>
    </w:p>
    <w:p>
      <w:pPr>
        <w:keepNext w:val="0"/>
        <w:keepLines w:val="0"/>
        <w:pageBreakBefore w:val="0"/>
        <w:widowControl w:val="0"/>
        <w:numPr>
          <w:ilvl w:val="0"/>
          <w:numId w:val="0"/>
        </w:numPr>
        <w:suppressLineNumbers w:val="0"/>
        <w:tabs>
          <w:tab w:val="left" w:pos="0"/>
        </w:tabs>
        <w:suppressAutoHyphens w:val="0"/>
        <w:kinsoku/>
        <w:wordWrap/>
        <w:overflowPunct/>
        <w:topLinePunct w:val="0"/>
        <w:autoSpaceDE w:val="0"/>
        <w:autoSpaceDN w:val="0"/>
        <w:bidi w:val="0"/>
        <w:adjustRightInd w:val="0"/>
        <w:snapToGrid/>
        <w:spacing w:before="0" w:beforeAutospacing="0" w:after="0" w:afterAutospacing="0" w:line="560" w:lineRule="exact"/>
        <w:ind w:left="0" w:leftChars="0" w:right="0" w:firstLine="480" w:firstLineChars="150"/>
        <w:jc w:val="both"/>
        <w:outlineLvl w:val="9"/>
        <w:rPr>
          <w:rFonts w:hint="eastAsia" w:ascii="仿宋_GB2312" w:eastAsia="仿宋_GB2312" w:cs="仿宋_GB2312"/>
          <w:caps w:val="0"/>
          <w:color w:val="auto"/>
          <w:kern w:val="0"/>
          <w:sz w:val="32"/>
          <w:szCs w:val="32"/>
          <w:vertAlign w:val="baseline"/>
          <w:lang w:eastAsia="zh-CN" w:bidi="ar"/>
        </w:rPr>
      </w:pPr>
      <w:r>
        <w:rPr>
          <w:rFonts w:hint="default" w:ascii="仿宋_GB2312" w:hAnsi="Times New Roman" w:eastAsia="仿宋_GB2312" w:cs="仿宋_GB2312"/>
          <w:b w:val="0"/>
          <w:bCs w:val="0"/>
          <w:caps w:val="0"/>
          <w:color w:val="auto"/>
          <w:kern w:val="0"/>
          <w:sz w:val="32"/>
          <w:szCs w:val="32"/>
          <w:vertAlign w:val="baseline"/>
          <w:lang w:val="en"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项目绩效自评总体情况：我部门2023年度项目</w:t>
      </w:r>
      <w:r>
        <w:rPr>
          <w:rFonts w:hint="eastAsia" w:ascii="仿宋_GB2312" w:eastAsia="仿宋_GB2312" w:cs="仿宋_GB2312"/>
          <w:b w:val="0"/>
          <w:bCs w:val="0"/>
          <w:caps w:val="0"/>
          <w:color w:val="auto"/>
          <w:kern w:val="0"/>
          <w:sz w:val="32"/>
          <w:szCs w:val="32"/>
          <w:vertAlign w:val="baseline"/>
          <w:lang w:val="en-US" w:eastAsia="zh-CN" w:bidi="ar"/>
        </w:rPr>
        <w:t>33</w:t>
      </w:r>
      <w:r>
        <w:rPr>
          <w:rFonts w:hint="eastAsia" w:ascii="仿宋_GB2312" w:hAnsi="Times New Roman" w:eastAsia="仿宋_GB2312" w:cs="仿宋_GB2312"/>
          <w:b w:val="0"/>
          <w:bCs w:val="0"/>
          <w:caps w:val="0"/>
          <w:color w:val="auto"/>
          <w:kern w:val="0"/>
          <w:sz w:val="32"/>
          <w:szCs w:val="32"/>
          <w:vertAlign w:val="baseline"/>
          <w:lang w:val="en-US" w:eastAsia="zh-CN" w:bidi="ar"/>
        </w:rPr>
        <w:t>个，项目支出总额</w:t>
      </w:r>
      <w:r>
        <w:rPr>
          <w:rFonts w:hint="eastAsia" w:ascii="仿宋_GB2312" w:eastAsia="仿宋_GB2312" w:cs="仿宋_GB2312"/>
          <w:b w:val="0"/>
          <w:bCs w:val="0"/>
          <w:caps w:val="0"/>
          <w:color w:val="auto"/>
          <w:kern w:val="0"/>
          <w:sz w:val="32"/>
          <w:szCs w:val="32"/>
          <w:vertAlign w:val="baseline"/>
          <w:lang w:val="en-US" w:eastAsia="zh-CN" w:bidi="ar"/>
        </w:rPr>
        <w:t>732.09</w:t>
      </w:r>
      <w:r>
        <w:rPr>
          <w:rFonts w:hint="eastAsia" w:ascii="仿宋_GB2312" w:hAnsi="Times New Roman" w:eastAsia="仿宋_GB2312" w:cs="仿宋_GB2312"/>
          <w:b w:val="0"/>
          <w:bCs w:val="0"/>
          <w:caps w:val="0"/>
          <w:color w:val="auto"/>
          <w:kern w:val="0"/>
          <w:sz w:val="32"/>
          <w:szCs w:val="32"/>
          <w:vertAlign w:val="baseline"/>
          <w:lang w:val="en-US" w:eastAsia="zh-CN" w:bidi="ar"/>
        </w:rPr>
        <w:t>万元。其中，本级项目</w:t>
      </w:r>
      <w:r>
        <w:rPr>
          <w:rFonts w:hint="eastAsia" w:ascii="仿宋_GB2312" w:eastAsia="仿宋_GB2312" w:cs="仿宋_GB2312"/>
          <w:b w:val="0"/>
          <w:bCs w:val="0"/>
          <w:caps w:val="0"/>
          <w:color w:val="auto"/>
          <w:kern w:val="0"/>
          <w:sz w:val="32"/>
          <w:szCs w:val="32"/>
          <w:vertAlign w:val="baseline"/>
          <w:lang w:val="en-US" w:eastAsia="zh-CN" w:bidi="ar"/>
        </w:rPr>
        <w:t>33</w:t>
      </w:r>
      <w:r>
        <w:rPr>
          <w:rFonts w:hint="eastAsia" w:ascii="仿宋_GB2312" w:hAnsi="Times New Roman" w:eastAsia="仿宋_GB2312" w:cs="仿宋_GB2312"/>
          <w:b w:val="0"/>
          <w:bCs w:val="0"/>
          <w:caps w:val="0"/>
          <w:color w:val="auto"/>
          <w:kern w:val="0"/>
          <w:sz w:val="32"/>
          <w:szCs w:val="32"/>
          <w:vertAlign w:val="baseline"/>
          <w:lang w:val="en-US" w:eastAsia="zh-CN" w:bidi="ar"/>
        </w:rPr>
        <w:t>个，本级项目支出</w:t>
      </w:r>
      <w:r>
        <w:rPr>
          <w:rFonts w:hint="eastAsia" w:ascii="仿宋_GB2312" w:eastAsia="仿宋_GB2312" w:cs="仿宋_GB2312"/>
          <w:b w:val="0"/>
          <w:bCs w:val="0"/>
          <w:caps w:val="0"/>
          <w:color w:val="auto"/>
          <w:kern w:val="0"/>
          <w:sz w:val="32"/>
          <w:szCs w:val="32"/>
          <w:vertAlign w:val="baseline"/>
          <w:lang w:val="en-US" w:eastAsia="zh-CN" w:bidi="ar"/>
        </w:rPr>
        <w:t>732.09</w:t>
      </w:r>
      <w:r>
        <w:rPr>
          <w:rFonts w:hint="eastAsia" w:ascii="仿宋_GB2312" w:hAnsi="Times New Roman" w:eastAsia="仿宋_GB2312" w:cs="仿宋_GB2312"/>
          <w:b w:val="0"/>
          <w:bCs w:val="0"/>
          <w:caps w:val="0"/>
          <w:color w:val="auto"/>
          <w:kern w:val="0"/>
          <w:sz w:val="32"/>
          <w:szCs w:val="32"/>
          <w:vertAlign w:val="baseline"/>
          <w:lang w:val="en-US" w:eastAsia="zh-CN" w:bidi="ar"/>
        </w:rPr>
        <w:t>万元。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640" w:firstLineChars="200"/>
      </w:pPr>
      <w:r>
        <w:rPr>
          <w:rFonts w:hint="eastAsia" w:ascii="仿宋_GB2312" w:hAnsi="Times New Roman" w:eastAsia="仿宋_GB2312" w:cs="仿宋_GB2312"/>
          <w:b w:val="0"/>
          <w:bCs w:val="0"/>
          <w:caps w:val="0"/>
          <w:color w:val="auto"/>
          <w:kern w:val="0"/>
          <w:sz w:val="32"/>
          <w:szCs w:val="32"/>
          <w:vertAlign w:val="baseline"/>
          <w:lang w:val="en-US" w:eastAsia="zh-CN" w:bidi="ar"/>
        </w:rPr>
        <w:t>所有项目均开展了绩效自评，其中非敏感涉密项目绩效自评结果为：</w:t>
      </w:r>
      <w:r>
        <w:rPr>
          <w:rFonts w:hint="eastAsia" w:ascii="仿宋_GB2312" w:eastAsia="仿宋_GB2312" w:cs="仿宋_GB2312"/>
          <w:b w:val="0"/>
          <w:bCs w:val="0"/>
          <w:caps w:val="0"/>
          <w:color w:val="auto"/>
          <w:kern w:val="0"/>
          <w:sz w:val="32"/>
          <w:szCs w:val="32"/>
          <w:vertAlign w:val="baseline"/>
          <w:lang w:val="en-US" w:eastAsia="zh-CN" w:bidi="ar"/>
        </w:rPr>
        <w:t>33</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个项目评为一等，涉及资金</w:t>
      </w:r>
      <w:r>
        <w:rPr>
          <w:rFonts w:hint="eastAsia" w:ascii="仿宋_GB2312" w:eastAsia="仿宋_GB2312" w:cs="仿宋_GB2312"/>
          <w:kern w:val="0"/>
          <w:sz w:val="32"/>
          <w:szCs w:val="32"/>
          <w:lang w:val="en-US" w:eastAsia="zh-CN"/>
        </w:rPr>
        <w:t>732.09</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b w:val="0"/>
          <w:bCs w:val="0"/>
          <w:caps w:val="0"/>
          <w:color w:val="auto"/>
          <w:kern w:val="0"/>
          <w:sz w:val="32"/>
          <w:szCs w:val="32"/>
          <w:vertAlign w:val="baseline"/>
          <w:lang w:val="en-US" w:eastAsia="zh-CN" w:bidi="ar"/>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%，占项目支出总额比例</w:t>
      </w:r>
      <w:r>
        <w:rPr>
          <w:rFonts w:hint="eastAsia" w:ascii="仿宋_GB2312" w:eastAsia="仿宋_GB2312" w:cs="仿宋_GB2312"/>
          <w:b w:val="0"/>
          <w:bCs w:val="0"/>
          <w:caps w:val="0"/>
          <w:color w:val="auto"/>
          <w:kern w:val="0"/>
          <w:sz w:val="32"/>
          <w:szCs w:val="32"/>
          <w:vertAlign w:val="baseline"/>
          <w:lang w:val="en-US" w:eastAsia="zh-CN" w:bidi="ar"/>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个项目评为二等，涉及资金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%，占项目支出总额比例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个项目评为三等，涉及资金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%，占项目支出总额比例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个项目评为四等，涉及资金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%，占项目支出总额比例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%。自评发现的主要问题及原因：</w:t>
      </w:r>
      <w:r>
        <w:rPr>
          <w:rFonts w:ascii="仿宋" w:hAnsi="仿宋" w:eastAsia="仿宋" w:cs="仿宋"/>
          <w:color w:val="000000"/>
          <w:kern w:val="0"/>
          <w:sz w:val="31"/>
          <w:szCs w:val="31"/>
          <w:lang w:val="en-US" w:eastAsia="zh-CN" w:bidi="ar"/>
        </w:rPr>
        <w:t>1、</w:t>
      </w:r>
      <w:r>
        <w:rPr>
          <w:rFonts w:hint="eastAsia" w:ascii="仿宋_GB2312" w:hAnsi="仿宋_GB2312" w:eastAsia="仿宋_GB2312" w:cs="仿宋_GB2312"/>
          <w:i w:val="0"/>
          <w:iCs w:val="0"/>
          <w:caps w:val="0"/>
          <w:color w:val="000000"/>
          <w:spacing w:val="0"/>
          <w:sz w:val="32"/>
          <w:szCs w:val="32"/>
          <w:shd w:val="clear" w:fill="FFFFFF"/>
          <w:lang w:val="en-US" w:eastAsia="zh-CN"/>
        </w:rPr>
        <w:t>预算项目</w:t>
      </w:r>
      <w:r>
        <w:rPr>
          <w:rFonts w:hint="eastAsia" w:ascii="仿宋_GB2312" w:hAnsi="仿宋_GB2312" w:eastAsia="仿宋_GB2312" w:cs="仿宋_GB2312"/>
          <w:i w:val="0"/>
          <w:iCs w:val="0"/>
          <w:caps w:val="0"/>
          <w:color w:val="000000"/>
          <w:spacing w:val="0"/>
          <w:sz w:val="32"/>
          <w:szCs w:val="32"/>
          <w:shd w:val="clear" w:fill="FFFFFF"/>
        </w:rPr>
        <w:t>绩效的宣传力度不够，收到财政厅下发的</w:t>
      </w:r>
      <w:r>
        <w:rPr>
          <w:rFonts w:hint="eastAsia" w:ascii="仿宋_GB2312" w:hAnsi="仿宋_GB2312" w:eastAsia="仿宋_GB2312" w:cs="仿宋_GB2312"/>
          <w:i w:val="0"/>
          <w:iCs w:val="0"/>
          <w:caps w:val="0"/>
          <w:color w:val="000000"/>
          <w:spacing w:val="0"/>
          <w:sz w:val="32"/>
          <w:szCs w:val="32"/>
          <w:shd w:val="clear" w:fill="FFFFFF"/>
          <w:lang w:val="en-US" w:eastAsia="zh-CN"/>
        </w:rPr>
        <w:t>预算项目绩效</w:t>
      </w:r>
      <w:r>
        <w:rPr>
          <w:rFonts w:hint="eastAsia" w:ascii="仿宋_GB2312" w:hAnsi="仿宋_GB2312" w:eastAsia="仿宋_GB2312" w:cs="仿宋_GB2312"/>
          <w:i w:val="0"/>
          <w:iCs w:val="0"/>
          <w:caps w:val="0"/>
          <w:color w:val="000000"/>
          <w:spacing w:val="0"/>
          <w:sz w:val="32"/>
          <w:szCs w:val="32"/>
          <w:shd w:val="clear" w:fill="FFFFFF"/>
        </w:rPr>
        <w:t>方面的文件，直接签批给财务办理，导致项目具体实施处室不了解文件内容，起不到向项目实施处室宣传及沟通的作用。</w:t>
      </w:r>
      <w:r>
        <w:rPr>
          <w:rFonts w:hint="eastAsia" w:ascii="仿宋" w:hAnsi="仿宋" w:eastAsia="仿宋" w:cs="仿宋"/>
          <w:color w:val="000000"/>
          <w:kern w:val="0"/>
          <w:sz w:val="31"/>
          <w:szCs w:val="31"/>
          <w:lang w:val="en-US" w:eastAsia="zh-CN" w:bidi="ar"/>
        </w:rPr>
        <w:t>2、本年度项目已完成，但因库款紧张，无法完成支付等。</w:t>
      </w:r>
    </w:p>
    <w:p>
      <w:pPr>
        <w:keepNext w:val="0"/>
        <w:keepLines w:val="0"/>
        <w:widowControl/>
        <w:suppressLineNumbers w:val="0"/>
        <w:ind w:firstLine="640" w:firstLineChars="200"/>
        <w:jc w:val="left"/>
      </w:pPr>
      <w:r>
        <w:rPr>
          <w:rFonts w:hint="eastAsia" w:ascii="仿宋_GB2312" w:hAnsi="Times New Roman" w:eastAsia="仿宋_GB2312" w:cs="仿宋_GB2312"/>
          <w:b w:val="0"/>
          <w:bCs w:val="0"/>
          <w:caps w:val="0"/>
          <w:color w:val="auto"/>
          <w:kern w:val="0"/>
          <w:sz w:val="32"/>
          <w:szCs w:val="32"/>
          <w:vertAlign w:val="baseline"/>
          <w:lang w:val="en-US" w:eastAsia="zh-CN" w:bidi="ar"/>
        </w:rPr>
        <w:t>下一步改进措施：</w:t>
      </w:r>
      <w:r>
        <w:rPr>
          <w:rFonts w:ascii="仿宋" w:hAnsi="仿宋" w:eastAsia="仿宋" w:cs="仿宋"/>
          <w:color w:val="000000"/>
          <w:kern w:val="0"/>
          <w:sz w:val="31"/>
          <w:szCs w:val="31"/>
          <w:lang w:val="en-US" w:eastAsia="zh-CN" w:bidi="ar"/>
        </w:rPr>
        <w:t xml:space="preserve">1、认真研究政策，加强沟通，加快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资金支付进度，提高财政资金使用效率；2、加强绩效管理，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逐步规范绩效目标的编制，加强绩效跟踪监控，提升绩效评 </w:t>
      </w:r>
    </w:p>
    <w:p>
      <w:pPr>
        <w:keepNext w:val="0"/>
        <w:keepLines w:val="0"/>
        <w:widowControl/>
        <w:suppressLineNumbers w:val="0"/>
        <w:jc w:val="left"/>
        <w:rPr>
          <w:rFonts w:hint="eastAsia" w:ascii="仿宋_GB2312" w:eastAsia="仿宋_GB2312" w:cs="仿宋_GB2312"/>
          <w:caps w:val="0"/>
          <w:color w:val="auto"/>
          <w:kern w:val="0"/>
          <w:sz w:val="32"/>
          <w:szCs w:val="32"/>
          <w:vertAlign w:val="baseline"/>
          <w:lang w:bidi="ar"/>
        </w:rPr>
      </w:pPr>
      <w:r>
        <w:rPr>
          <w:rFonts w:hint="eastAsia" w:ascii="仿宋" w:hAnsi="仿宋" w:eastAsia="仿宋" w:cs="仿宋"/>
          <w:color w:val="000000"/>
          <w:kern w:val="0"/>
          <w:sz w:val="31"/>
          <w:szCs w:val="31"/>
          <w:lang w:val="en-US" w:eastAsia="zh-CN" w:bidi="ar"/>
        </w:rPr>
        <w:t>价质量</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i w:val="0"/>
          <w:iCs w:val="0"/>
          <w:caps w:val="0"/>
          <w:color w:val="000000"/>
          <w:spacing w:val="0"/>
          <w:sz w:val="32"/>
          <w:szCs w:val="32"/>
          <w:shd w:val="clear" w:fill="FFFFFF"/>
        </w:rPr>
        <w:t>部门预算绩效管理工作是一项长期性的工作，专业性强、工作量大、建议财政部门进一步加强开展相关业务工作培训，多开展以各部门之间的经验交流以及实地考察学习等方式的培训，</w:t>
      </w:r>
      <w:r>
        <w:rPr>
          <w:rFonts w:hint="eastAsia" w:ascii="仿宋_GB2312" w:hAnsi="仿宋_GB2312" w:eastAsia="仿宋_GB2312" w:cs="仿宋_GB2312"/>
          <w:i w:val="0"/>
          <w:iCs w:val="0"/>
          <w:caps w:val="0"/>
          <w:color w:val="000000"/>
          <w:spacing w:val="0"/>
          <w:sz w:val="32"/>
          <w:szCs w:val="32"/>
          <w:shd w:val="clear" w:fill="FFFFFF"/>
          <w:lang w:val="en-US" w:eastAsia="zh-CN"/>
        </w:rPr>
        <w:t>在单位提交绩效目标及自评时，严格审核纠错，在实践中不断学习，</w:t>
      </w:r>
      <w:r>
        <w:rPr>
          <w:rFonts w:hint="eastAsia" w:ascii="仿宋_GB2312" w:hAnsi="仿宋_GB2312" w:eastAsia="仿宋_GB2312" w:cs="仿宋_GB2312"/>
          <w:i w:val="0"/>
          <w:iCs w:val="0"/>
          <w:caps w:val="0"/>
          <w:color w:val="000000"/>
          <w:spacing w:val="0"/>
          <w:sz w:val="32"/>
          <w:szCs w:val="32"/>
          <w:shd w:val="clear" w:fill="FFFFFF"/>
        </w:rPr>
        <w:t>从而进一步推进各部门预算绩效管理工作。</w:t>
      </w:r>
    </w:p>
    <w:p>
      <w:pPr>
        <w:keepNext w:val="0"/>
        <w:keepLines w:val="0"/>
        <w:pageBreakBefore w:val="0"/>
        <w:numPr>
          <w:ilvl w:val="0"/>
          <w:numId w:val="3"/>
        </w:numPr>
        <w:kinsoku/>
        <w:wordWrap/>
        <w:overflowPunct/>
        <w:topLinePunct w:val="0"/>
        <w:bidi w:val="0"/>
        <w:snapToGrid/>
        <w:spacing w:beforeLines="50" w:afterLines="50" w:line="560" w:lineRule="exact"/>
        <w:ind w:left="630" w:leftChars="0"/>
        <w:rPr>
          <w:rFonts w:hint="eastAsia" w:ascii="仿宋_GB2312" w:hAnsi="Times New Roman" w:eastAsia="仿宋_GB2312" w:cs="仿宋_GB2312"/>
          <w:b w:val="0"/>
          <w:bCs w:val="0"/>
          <w:caps w:val="0"/>
          <w:color w:val="auto"/>
          <w:kern w:val="0"/>
          <w:sz w:val="32"/>
          <w:szCs w:val="32"/>
          <w:vertAlign w:val="baseline"/>
          <w:lang w:val="en-US"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部分重点项目绩效自评情况：</w:t>
      </w:r>
    </w:p>
    <w:p>
      <w:pPr>
        <w:keepNext w:val="0"/>
        <w:keepLines w:val="0"/>
        <w:pageBreakBefore w:val="0"/>
        <w:numPr>
          <w:ilvl w:val="0"/>
          <w:numId w:val="0"/>
        </w:numPr>
        <w:kinsoku/>
        <w:wordWrap/>
        <w:overflowPunct/>
        <w:topLinePunct w:val="0"/>
        <w:bidi w:val="0"/>
        <w:snapToGrid/>
        <w:spacing w:beforeLines="50" w:afterLines="50" w:line="560" w:lineRule="exact"/>
        <w:ind w:firstLine="640" w:firstLineChars="200"/>
        <w:rPr>
          <w:rFonts w:hint="default" w:ascii="仿宋_GB2312" w:eastAsia="仿宋_GB2312" w:cs="仿宋_GB2312"/>
          <w:caps w:val="0"/>
          <w:color w:val="auto"/>
          <w:kern w:val="0"/>
          <w:sz w:val="32"/>
          <w:szCs w:val="32"/>
          <w:vertAlign w:val="baseline"/>
          <w:lang w:val="en-US"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根据年初设定的绩效目标，</w:t>
      </w:r>
      <w:r>
        <w:rPr>
          <w:rFonts w:hint="eastAsia" w:ascii="仿宋_GB2312" w:eastAsia="仿宋_GB2312" w:cs="仿宋_GB2312"/>
          <w:b w:val="0"/>
          <w:bCs w:val="0"/>
          <w:caps w:val="0"/>
          <w:color w:val="auto"/>
          <w:kern w:val="0"/>
          <w:sz w:val="32"/>
          <w:szCs w:val="32"/>
          <w:vertAlign w:val="baseline"/>
          <w:lang w:val="en-US" w:eastAsia="zh-CN" w:bidi="ar"/>
        </w:rPr>
        <w:t>法律援助配套业务补助经费支出</w:t>
      </w:r>
      <w:r>
        <w:rPr>
          <w:rFonts w:hint="eastAsia" w:ascii="仿宋_GB2312" w:hAnsi="Times New Roman" w:eastAsia="仿宋_GB2312" w:cs="仿宋_GB2312"/>
          <w:b w:val="0"/>
          <w:bCs w:val="0"/>
          <w:caps w:val="0"/>
          <w:color w:val="auto"/>
          <w:kern w:val="0"/>
          <w:sz w:val="32"/>
          <w:szCs w:val="32"/>
          <w:vertAlign w:val="baseline"/>
          <w:lang w:val="en-US" w:eastAsia="zh-CN" w:bidi="ar"/>
        </w:rPr>
        <w:t>项目自评得分为</w:t>
      </w:r>
      <w:r>
        <w:rPr>
          <w:rFonts w:hint="eastAsia" w:ascii="仿宋_GB2312" w:eastAsia="仿宋_GB2312" w:cs="仿宋_GB2312"/>
          <w:b w:val="0"/>
          <w:bCs w:val="0"/>
          <w:caps w:val="0"/>
          <w:color w:val="auto"/>
          <w:kern w:val="0"/>
          <w:sz w:val="32"/>
          <w:szCs w:val="32"/>
          <w:vertAlign w:val="baseline"/>
          <w:lang w:val="en-US" w:eastAsia="zh-CN" w:bidi="ar"/>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分，</w:t>
      </w:r>
      <w:r>
        <w:rPr>
          <w:rFonts w:hint="eastAsia" w:ascii="仿宋_GB2312" w:eastAsia="仿宋_GB2312" w:cs="仿宋_GB2312"/>
          <w:b w:val="0"/>
          <w:bCs w:val="0"/>
          <w:caps w:val="0"/>
          <w:color w:val="auto"/>
          <w:kern w:val="0"/>
          <w:sz w:val="32"/>
          <w:szCs w:val="32"/>
          <w:vertAlign w:val="baseline"/>
          <w:lang w:val="en-US" w:eastAsia="zh-CN" w:bidi="ar"/>
        </w:rPr>
        <w:t>一</w:t>
      </w:r>
      <w:r>
        <w:rPr>
          <w:rFonts w:hint="eastAsia" w:ascii="仿宋_GB2312" w:hAnsi="Times New Roman" w:eastAsia="仿宋_GB2312" w:cs="仿宋_GB2312"/>
          <w:b w:val="0"/>
          <w:bCs w:val="0"/>
          <w:caps w:val="0"/>
          <w:color w:val="auto"/>
          <w:kern w:val="0"/>
          <w:sz w:val="32"/>
          <w:szCs w:val="32"/>
          <w:vertAlign w:val="baseline"/>
          <w:lang w:val="en-US" w:eastAsia="zh-CN" w:bidi="ar"/>
        </w:rPr>
        <w:t>等，项目全年预算数为</w:t>
      </w:r>
      <w:r>
        <w:rPr>
          <w:rFonts w:hint="eastAsia" w:ascii="仿宋_GB2312" w:eastAsia="仿宋_GB2312" w:cs="仿宋_GB2312"/>
          <w:b w:val="0"/>
          <w:bCs w:val="0"/>
          <w:caps w:val="0"/>
          <w:color w:val="auto"/>
          <w:kern w:val="0"/>
          <w:sz w:val="32"/>
          <w:szCs w:val="32"/>
          <w:vertAlign w:val="baseline"/>
          <w:lang w:val="en-US" w:eastAsia="zh-CN" w:bidi="ar"/>
        </w:rPr>
        <w:t>3</w:t>
      </w:r>
      <w:r>
        <w:rPr>
          <w:rFonts w:hint="eastAsia" w:ascii="仿宋_GB2312" w:hAnsi="Times New Roman" w:eastAsia="仿宋_GB2312" w:cs="仿宋_GB2312"/>
          <w:b w:val="0"/>
          <w:bCs w:val="0"/>
          <w:caps w:val="0"/>
          <w:color w:val="auto"/>
          <w:kern w:val="0"/>
          <w:sz w:val="32"/>
          <w:szCs w:val="32"/>
          <w:vertAlign w:val="baseline"/>
          <w:lang w:val="en-US" w:eastAsia="zh-CN" w:bidi="ar"/>
        </w:rPr>
        <w:t>万元，执行数为</w:t>
      </w:r>
      <w:r>
        <w:rPr>
          <w:rFonts w:hint="eastAsia" w:ascii="仿宋_GB2312" w:eastAsia="仿宋_GB2312" w:cs="仿宋_GB2312"/>
          <w:b w:val="0"/>
          <w:bCs w:val="0"/>
          <w:caps w:val="0"/>
          <w:color w:val="auto"/>
          <w:kern w:val="0"/>
          <w:sz w:val="32"/>
          <w:szCs w:val="32"/>
          <w:vertAlign w:val="baseline"/>
          <w:lang w:val="en-US" w:eastAsia="zh-CN" w:bidi="ar"/>
        </w:rPr>
        <w:t>3</w:t>
      </w:r>
      <w:r>
        <w:rPr>
          <w:rFonts w:hint="eastAsia" w:ascii="仿宋_GB2312" w:hAnsi="Times New Roman" w:eastAsia="仿宋_GB2312" w:cs="仿宋_GB2312"/>
          <w:b w:val="0"/>
          <w:bCs w:val="0"/>
          <w:caps w:val="0"/>
          <w:color w:val="auto"/>
          <w:kern w:val="0"/>
          <w:sz w:val="32"/>
          <w:szCs w:val="32"/>
          <w:vertAlign w:val="baseline"/>
          <w:lang w:val="en-US" w:eastAsia="zh-CN" w:bidi="ar"/>
        </w:rPr>
        <w:t>万元，完成预算的</w:t>
      </w:r>
      <w:r>
        <w:rPr>
          <w:rFonts w:hint="eastAsia" w:ascii="仿宋_GB2312" w:eastAsia="仿宋_GB2312" w:cs="仿宋_GB2312"/>
          <w:b w:val="0"/>
          <w:bCs w:val="0"/>
          <w:caps w:val="0"/>
          <w:color w:val="auto"/>
          <w:kern w:val="0"/>
          <w:sz w:val="32"/>
          <w:szCs w:val="32"/>
          <w:vertAlign w:val="baseline"/>
          <w:lang w:val="en-US" w:eastAsia="zh-CN" w:bidi="ar"/>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%。项目绩效目标完成情况：</w:t>
      </w:r>
      <w:r>
        <w:rPr>
          <w:rFonts w:hint="eastAsia" w:ascii="仿宋_GB2312" w:eastAsia="仿宋_GB2312" w:cs="仿宋_GB2312"/>
          <w:b w:val="0"/>
          <w:bCs w:val="0"/>
          <w:caps w:val="0"/>
          <w:color w:val="auto"/>
          <w:kern w:val="0"/>
          <w:sz w:val="32"/>
          <w:szCs w:val="32"/>
          <w:vertAlign w:val="baseline"/>
          <w:lang w:val="en-US" w:eastAsia="zh-CN" w:bidi="ar"/>
        </w:rPr>
        <w:t>一是</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数量指标：</w:t>
      </w:r>
      <w:r>
        <w:rPr>
          <w:rFonts w:hint="default" w:ascii="Times New Roman" w:hAnsi="Times New Roman" w:eastAsia="仿宋_GB2312"/>
          <w:color w:val="000000" w:themeColor="text1"/>
          <w:sz w:val="32"/>
          <w:lang w:val="en-US" w:eastAsia="zh-CN"/>
          <w14:textFill>
            <w14:solidFill>
              <w14:schemeClr w14:val="tx1"/>
            </w14:solidFill>
          </w14:textFill>
        </w:rPr>
        <w:t>2023年以来，县法律援助中心共接待来电来访咨询</w:t>
      </w:r>
      <w:r>
        <w:rPr>
          <w:rFonts w:hint="eastAsia" w:ascii="Times New Roman" w:hAnsi="Times New Roman" w:eastAsia="仿宋_GB2312"/>
          <w:color w:val="000000" w:themeColor="text1"/>
          <w:sz w:val="32"/>
          <w:lang w:val="en-US" w:eastAsia="zh-CN"/>
          <w14:textFill>
            <w14:solidFill>
              <w14:schemeClr w14:val="tx1"/>
            </w14:solidFill>
          </w14:textFill>
        </w:rPr>
        <w:t>200</w:t>
      </w:r>
      <w:r>
        <w:rPr>
          <w:rFonts w:hint="default" w:ascii="Times New Roman" w:hAnsi="Times New Roman" w:eastAsia="仿宋_GB2312"/>
          <w:color w:val="000000" w:themeColor="text1"/>
          <w:sz w:val="32"/>
          <w:lang w:val="en-US" w:eastAsia="zh-CN"/>
          <w14:textFill>
            <w14:solidFill>
              <w14:schemeClr w14:val="tx1"/>
            </w14:solidFill>
          </w14:textFill>
        </w:rPr>
        <w:t>人次，共受理法律援助案件1</w:t>
      </w:r>
      <w:r>
        <w:rPr>
          <w:rFonts w:hint="eastAsia" w:ascii="Times New Roman" w:hAnsi="Times New Roman" w:eastAsia="仿宋_GB2312"/>
          <w:color w:val="000000" w:themeColor="text1"/>
          <w:sz w:val="32"/>
          <w:lang w:val="en-US" w:eastAsia="zh-CN"/>
          <w14:textFill>
            <w14:solidFill>
              <w14:schemeClr w14:val="tx1"/>
            </w14:solidFill>
          </w14:textFill>
        </w:rPr>
        <w:t>60</w:t>
      </w:r>
      <w:r>
        <w:rPr>
          <w:rFonts w:hint="default" w:ascii="Times New Roman" w:hAnsi="Times New Roman" w:eastAsia="仿宋_GB2312"/>
          <w:color w:val="000000" w:themeColor="text1"/>
          <w:sz w:val="32"/>
          <w:lang w:val="en-US" w:eastAsia="zh-CN"/>
          <w14:textFill>
            <w14:solidFill>
              <w14:schemeClr w14:val="tx1"/>
            </w14:solidFill>
          </w14:textFill>
        </w:rPr>
        <w:t>件</w:t>
      </w:r>
      <w:r>
        <w:rPr>
          <w:rFonts w:hint="eastAsia" w:ascii="Times New Roman" w:hAnsi="Times New Roman" w:eastAsia="仿宋_GB2312"/>
          <w:color w:val="000000" w:themeColor="text1"/>
          <w:sz w:val="32"/>
          <w:lang w:val="en-US" w:eastAsia="zh-CN"/>
          <w14:textFill>
            <w14:solidFill>
              <w14:schemeClr w14:val="tx1"/>
            </w14:solidFill>
          </w14:textFill>
        </w:rPr>
        <w:t>。二是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质量指标：按相关文件要求办理，没有接到投诉。全年受理法律援助案件160件，办结154件，办结率96.25%。三是时效指标：2023年底前已完成各项工作任务，做到应结尽结。</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成本指标：已支付相关办案补贴节约成本，在预算内控制支出，未超预算支付。五是效益指标:</w:t>
      </w:r>
      <w:r>
        <w:rPr>
          <w:rFonts w:hint="eastAsia" w:ascii="仿宋" w:hAnsi="仿宋" w:eastAsia="仿宋" w:cs="仿宋"/>
          <w:color w:val="000000" w:themeColor="text1"/>
          <w:sz w:val="32"/>
          <w:szCs w:val="32"/>
          <w:lang w:val="en-US" w:eastAsia="zh-CN"/>
          <w14:textFill>
            <w14:solidFill>
              <w14:schemeClr w14:val="tx1"/>
            </w14:solidFill>
          </w14:textFill>
        </w:rPr>
        <w:t>法律援助受援人员增加，已做到应援尽援。六是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满意度指标：受援人员满意率为90%。</w:t>
      </w:r>
      <w:r>
        <w:rPr>
          <w:rFonts w:hint="eastAsia" w:ascii="仿宋_GB2312" w:hAnsi="Times New Roman" w:eastAsia="仿宋_GB2312" w:cs="仿宋_GB2312"/>
          <w:b w:val="0"/>
          <w:bCs w:val="0"/>
          <w:caps w:val="0"/>
          <w:color w:val="auto"/>
          <w:kern w:val="0"/>
          <w:sz w:val="32"/>
          <w:szCs w:val="32"/>
          <w:vertAlign w:val="baseline"/>
          <w:lang w:val="en-US" w:eastAsia="zh-CN" w:bidi="ar"/>
        </w:rPr>
        <w:t>自评发现的主要问题及原因：无。</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highlight w:val="lightGray"/>
          <w:vertAlign w:val="baseline"/>
          <w:lang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3.部门绩效评价结果。</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b w:val="0"/>
          <w:bCs w:val="0"/>
          <w:caps w:val="0"/>
          <w:color w:val="auto"/>
          <w:kern w:val="0"/>
          <w:sz w:val="32"/>
          <w:szCs w:val="32"/>
          <w:vertAlign w:val="baseline"/>
          <w:lang w:val="en-US" w:eastAsia="zh-CN" w:bidi="ar"/>
        </w:rPr>
      </w:pPr>
      <w:r>
        <w:rPr>
          <w:rFonts w:hint="eastAsia" w:ascii="仿宋_GB2312" w:hAnsi="Times New Roman" w:eastAsia="仿宋_GB2312" w:cs="仿宋_GB2312"/>
          <w:caps w:val="0"/>
          <w:color w:val="auto"/>
          <w:kern w:val="0"/>
          <w:sz w:val="32"/>
          <w:szCs w:val="32"/>
          <w:vertAlign w:val="baseline"/>
          <w:lang w:eastAsia="zh-CN" w:bidi="ar"/>
        </w:rPr>
        <w:t>组织对“</w:t>
      </w:r>
      <w:r>
        <w:rPr>
          <w:rFonts w:hint="eastAsia" w:ascii="仿宋_GB2312" w:eastAsia="仿宋_GB2312" w:cs="仿宋_GB2312"/>
          <w:caps w:val="0"/>
          <w:color w:val="auto"/>
          <w:kern w:val="0"/>
          <w:sz w:val="32"/>
          <w:szCs w:val="32"/>
          <w:vertAlign w:val="baseline"/>
          <w:lang w:val="en-US" w:eastAsia="zh-CN" w:bidi="ar"/>
        </w:rPr>
        <w:t>普法依法治理工作业务支出</w:t>
      </w:r>
      <w:r>
        <w:rPr>
          <w:rFonts w:hint="eastAsia" w:ascii="仿宋_GB2312" w:hAnsi="Times New Roman" w:eastAsia="仿宋_GB2312" w:cs="仿宋_GB2312"/>
          <w:caps w:val="0"/>
          <w:color w:val="auto"/>
          <w:kern w:val="0"/>
          <w:sz w:val="32"/>
          <w:szCs w:val="32"/>
          <w:vertAlign w:val="baseline"/>
          <w:lang w:eastAsia="zh-CN" w:bidi="ar"/>
        </w:rPr>
        <w:t>”</w:t>
      </w:r>
      <w:r>
        <w:rPr>
          <w:rFonts w:hint="eastAsia" w:ascii="仿宋_GB2312" w:eastAsia="仿宋_GB2312" w:cs="仿宋_GB2312"/>
          <w:caps w:val="0"/>
          <w:color w:val="auto"/>
          <w:kern w:val="0"/>
          <w:sz w:val="32"/>
          <w:szCs w:val="32"/>
          <w:vertAlign w:val="baseline"/>
          <w:lang w:eastAsia="zh-CN" w:bidi="ar"/>
        </w:rPr>
        <w:t>“</w:t>
      </w:r>
      <w:r>
        <w:rPr>
          <w:rFonts w:hint="eastAsia" w:ascii="仿宋_GB2312" w:eastAsia="仿宋_GB2312" w:cs="仿宋_GB2312"/>
          <w:caps w:val="0"/>
          <w:color w:val="auto"/>
          <w:kern w:val="0"/>
          <w:sz w:val="32"/>
          <w:szCs w:val="32"/>
          <w:vertAlign w:val="baseline"/>
          <w:lang w:val="en-US" w:eastAsia="zh-CN" w:bidi="ar"/>
        </w:rPr>
        <w:t>人民调解员办案补贴经费”“社区矫正人民调解安置帮教工作”“法律援助配套业务补助经费支出”</w:t>
      </w:r>
      <w:r>
        <w:rPr>
          <w:rFonts w:hint="eastAsia" w:ascii="仿宋_GB2312" w:hAnsi="Times New Roman" w:eastAsia="仿宋_GB2312" w:cs="仿宋_GB2312"/>
          <w:caps w:val="0"/>
          <w:color w:val="auto"/>
          <w:kern w:val="0"/>
          <w:sz w:val="32"/>
          <w:szCs w:val="32"/>
          <w:vertAlign w:val="baseline"/>
          <w:lang w:eastAsia="zh-CN" w:bidi="ar"/>
        </w:rPr>
        <w:t>等</w:t>
      </w:r>
      <w:r>
        <w:rPr>
          <w:rFonts w:hint="eastAsia" w:ascii="仿宋_GB2312" w:eastAsia="仿宋_GB2312" w:cs="仿宋_GB2312"/>
          <w:caps w:val="0"/>
          <w:color w:val="auto"/>
          <w:kern w:val="0"/>
          <w:sz w:val="32"/>
          <w:szCs w:val="32"/>
          <w:vertAlign w:val="baseline"/>
          <w:lang w:val="en-US" w:eastAsia="zh-CN" w:bidi="ar"/>
        </w:rPr>
        <w:t>33</w:t>
      </w:r>
      <w:r>
        <w:rPr>
          <w:rFonts w:hint="eastAsia" w:ascii="仿宋_GB2312" w:hAnsi="Times New Roman" w:eastAsia="仿宋_GB2312" w:cs="仿宋_GB2312"/>
          <w:caps w:val="0"/>
          <w:color w:val="auto"/>
          <w:kern w:val="0"/>
          <w:sz w:val="32"/>
          <w:szCs w:val="32"/>
          <w:vertAlign w:val="baseline"/>
          <w:lang w:val="en-US" w:eastAsia="zh-CN" w:bidi="ar"/>
        </w:rPr>
        <w:t>个项目开展了绩效评价，评价结果为</w:t>
      </w:r>
      <w:r>
        <w:rPr>
          <w:rFonts w:hint="eastAsia" w:ascii="仿宋_GB2312" w:eastAsia="仿宋_GB2312" w:cs="仿宋_GB2312"/>
          <w:caps w:val="0"/>
          <w:color w:val="auto"/>
          <w:kern w:val="0"/>
          <w:sz w:val="32"/>
          <w:szCs w:val="32"/>
          <w:vertAlign w:val="baseline"/>
          <w:lang w:val="en-US" w:eastAsia="zh-CN" w:bidi="ar"/>
        </w:rPr>
        <w:t>一</w:t>
      </w:r>
      <w:r>
        <w:rPr>
          <w:rFonts w:hint="eastAsia" w:ascii="仿宋_GB2312" w:hAnsi="Times New Roman" w:eastAsia="仿宋_GB2312" w:cs="仿宋_GB2312"/>
          <w:caps w:val="0"/>
          <w:color w:val="auto"/>
          <w:kern w:val="0"/>
          <w:sz w:val="32"/>
          <w:szCs w:val="32"/>
          <w:vertAlign w:val="baseline"/>
          <w:lang w:val="en-US" w:eastAsia="zh-CN" w:bidi="ar"/>
        </w:rPr>
        <w:t>等，</w:t>
      </w:r>
      <w:r>
        <w:rPr>
          <w:rFonts w:hint="eastAsia" w:ascii="仿宋_GB2312" w:hAnsi="Times New Roman" w:eastAsia="仿宋_GB2312" w:cs="仿宋_GB2312"/>
          <w:b w:val="0"/>
          <w:bCs w:val="0"/>
          <w:caps w:val="0"/>
          <w:color w:val="auto"/>
          <w:kern w:val="0"/>
          <w:sz w:val="32"/>
          <w:szCs w:val="32"/>
          <w:vertAlign w:val="baseline"/>
          <w:lang w:val="en-US" w:eastAsia="zh-CN" w:bidi="ar"/>
        </w:rPr>
        <w:t>涉及资金</w:t>
      </w:r>
      <w:r>
        <w:rPr>
          <w:rFonts w:hint="eastAsia" w:ascii="仿宋_GB2312" w:eastAsia="仿宋_GB2312" w:cs="仿宋_GB2312"/>
          <w:b w:val="0"/>
          <w:bCs w:val="0"/>
          <w:caps w:val="0"/>
          <w:color w:val="auto"/>
          <w:kern w:val="0"/>
          <w:sz w:val="32"/>
          <w:szCs w:val="32"/>
          <w:vertAlign w:val="baseline"/>
          <w:lang w:val="en-US" w:eastAsia="zh-CN" w:bidi="ar"/>
        </w:rPr>
        <w:t>732.09</w:t>
      </w:r>
      <w:r>
        <w:rPr>
          <w:rFonts w:hint="eastAsia" w:ascii="仿宋_GB2312" w:hAnsi="Times New Roman" w:eastAsia="仿宋_GB2312" w:cs="仿宋_GB2312"/>
          <w:b w:val="0"/>
          <w:bCs w:val="0"/>
          <w:caps w:val="0"/>
          <w:color w:val="auto"/>
          <w:kern w:val="0"/>
          <w:sz w:val="32"/>
          <w:szCs w:val="32"/>
          <w:vertAlign w:val="baseline"/>
          <w:lang w:val="en-US" w:eastAsia="zh-CN" w:bidi="ar"/>
        </w:rPr>
        <w:t>万元。从评价情况来看，</w:t>
      </w:r>
      <w:r>
        <w:rPr>
          <w:rFonts w:hint="eastAsia" w:ascii="仿宋_GB2312" w:eastAsia="仿宋_GB2312" w:cs="仿宋_GB2312"/>
          <w:b w:val="0"/>
          <w:bCs w:val="0"/>
          <w:caps w:val="0"/>
          <w:color w:val="auto"/>
          <w:kern w:val="0"/>
          <w:sz w:val="32"/>
          <w:szCs w:val="32"/>
          <w:vertAlign w:val="baseline"/>
          <w:lang w:val="en-US" w:eastAsia="zh-CN" w:bidi="ar"/>
        </w:rPr>
        <w:t>整体运行正常，各项工作有序开展。</w:t>
      </w:r>
    </w:p>
    <w:p>
      <w:pPr>
        <w:keepNext w:val="0"/>
        <w:keepLines w:val="0"/>
        <w:pageBreakBefore w:val="0"/>
        <w:widowControl w:val="0"/>
        <w:numPr>
          <w:ilvl w:val="0"/>
          <w:numId w:val="4"/>
        </w:numPr>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val="en-US" w:eastAsia="zh-CN" w:bidi="ar"/>
        </w:rPr>
      </w:pPr>
      <w:r>
        <w:rPr>
          <w:rFonts w:hint="eastAsia" w:ascii="仿宋_GB2312" w:hAnsi="Times New Roman" w:eastAsia="仿宋_GB2312" w:cs="仿宋_GB2312"/>
          <w:caps w:val="0"/>
          <w:color w:val="auto"/>
          <w:kern w:val="0"/>
          <w:sz w:val="32"/>
          <w:szCs w:val="32"/>
          <w:vertAlign w:val="baseline"/>
          <w:lang w:val="en-US" w:eastAsia="zh-CN" w:bidi="ar"/>
        </w:rPr>
        <w:t>财政绩效评价结</w:t>
      </w:r>
      <w:r>
        <w:rPr>
          <w:rFonts w:hint="eastAsia" w:ascii="仿宋_GB2312" w:eastAsia="仿宋_GB2312" w:cs="仿宋_GB2312"/>
          <w:caps w:val="0"/>
          <w:color w:val="auto"/>
          <w:kern w:val="0"/>
          <w:sz w:val="32"/>
          <w:szCs w:val="32"/>
          <w:vertAlign w:val="baseline"/>
          <w:lang w:val="en-US" w:eastAsia="zh-CN" w:bidi="ar"/>
        </w:rPr>
        <w:t>果。</w:t>
      </w:r>
    </w:p>
    <w:p>
      <w:pPr>
        <w:pStyle w:val="2"/>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keepNext w:val="0"/>
        <w:keepLines w:val="0"/>
        <w:widowControl/>
        <w:suppressLineNumbers w:val="0"/>
        <w:jc w:val="left"/>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附环江县司法局项目支出绩效自评表： </w:t>
      </w:r>
    </w:p>
    <w:p>
      <w:pPr>
        <w:keepNext w:val="0"/>
        <w:keepLines w:val="0"/>
        <w:widowControl/>
        <w:suppressLineNumbers w:val="0"/>
        <w:jc w:val="left"/>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lang w:eastAsia="zh-CN"/>
        </w:rPr>
        <w:object>
          <v:shape id="_x0000_i1025" o:spt="75" alt="" type="#_x0000_t75" style="height:42.75pt;width:166.5pt;" o:ole="t" filled="f" o:preferrelative="t" stroked="f" coordsize="21600,21600">
            <v:path/>
            <v:fill on="f" focussize="0,0"/>
            <v:stroke on="f"/>
            <v:imagedata r:id="rId20" o:title=""/>
            <o:lock v:ext="edit" aspectratio="t"/>
            <w10:wrap type="none"/>
            <w10:anchorlock/>
          </v:shape>
          <o:OLEObject Type="Embed" ProgID="Package" ShapeID="_x0000_i1025" DrawAspect="Content" ObjectID="_1468075725" r:id="rId19">
            <o:LockedField>false</o:LockedField>
          </o:OLEObject>
        </w:object>
      </w:r>
    </w:p>
    <w:p>
      <w:pPr>
        <w:jc w:val="left"/>
        <w:rPr>
          <w:rFonts w:hint="eastAsia" w:ascii="仿宋" w:hAnsi="仿宋" w:eastAsia="仿宋" w:cs="仿宋"/>
          <w:sz w:val="32"/>
          <w:szCs w:val="32"/>
          <w:highlight w:val="none"/>
        </w:rPr>
      </w:pPr>
    </w:p>
    <w:p>
      <w:pPr>
        <w:jc w:val="center"/>
        <w:rPr>
          <w:rFonts w:hint="eastAsia" w:ascii="黑体" w:hAnsi="黑体" w:eastAsia="黑体" w:cs="黑体"/>
          <w:sz w:val="32"/>
          <w:szCs w:val="32"/>
          <w:highlight w:val="none"/>
        </w:rPr>
      </w:pPr>
    </w:p>
    <w:p>
      <w:pPr>
        <w:jc w:val="center"/>
        <w:rPr>
          <w:rFonts w:hint="eastAsia" w:ascii="黑体" w:hAnsi="黑体" w:eastAsia="黑体" w:cs="黑体"/>
          <w:sz w:val="32"/>
          <w:szCs w:val="32"/>
          <w:highlight w:val="none"/>
        </w:rPr>
      </w:pPr>
    </w:p>
    <w:p>
      <w:pPr>
        <w:jc w:val="center"/>
        <w:rPr>
          <w:rFonts w:hint="eastAsia" w:ascii="黑体" w:hAnsi="黑体" w:eastAsia="黑体" w:cs="黑体"/>
          <w:sz w:val="32"/>
          <w:szCs w:val="32"/>
          <w:highlight w:val="none"/>
        </w:rPr>
      </w:pPr>
    </w:p>
    <w:p>
      <w:pPr>
        <w:jc w:val="center"/>
        <w:rPr>
          <w:rFonts w:hint="eastAsia" w:ascii="黑体" w:hAnsi="黑体" w:eastAsia="黑体" w:cs="黑体"/>
          <w:sz w:val="32"/>
          <w:szCs w:val="32"/>
          <w:highlight w:val="none"/>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ascii="仿宋" w:hAnsi="仿宋" w:eastAsia="仿宋" w:cs="仿宋"/>
          <w:sz w:val="32"/>
          <w:u w:color="auto"/>
        </w:rPr>
        <w:t>河池市财政部门当年拨付的资金。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u w:color="auto"/>
        </w:rPr>
        <w:t>河池市财政预决算管理的“三公”经费，是指河池市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abstractNum w:abstractNumId="2">
    <w:nsid w:val="E558DAF4"/>
    <w:multiLevelType w:val="singleLevel"/>
    <w:tmpl w:val="E558DAF4"/>
    <w:lvl w:ilvl="0" w:tentative="0">
      <w:start w:val="2"/>
      <w:numFmt w:val="decimal"/>
      <w:suff w:val="nothing"/>
      <w:lvlText w:val="（%1）"/>
      <w:lvlJc w:val="left"/>
    </w:lvl>
  </w:abstractNum>
  <w:abstractNum w:abstractNumId="3">
    <w:nsid w:val="4295485C"/>
    <w:multiLevelType w:val="singleLevel"/>
    <w:tmpl w:val="4295485C"/>
    <w:lvl w:ilvl="0" w:tentative="0">
      <w:start w:val="4"/>
      <w:numFmt w:val="decimal"/>
      <w:lvlText w:val="%1."/>
      <w:lvlJc w:val="left"/>
      <w:pPr>
        <w:tabs>
          <w:tab w:val="left" w:pos="312"/>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iOTZkYjkwN2Q1MTBhY2U1NDI3ZmEwNzcyMDM4OGM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20C171D"/>
    <w:rsid w:val="0216715F"/>
    <w:rsid w:val="02E0291A"/>
    <w:rsid w:val="03E24B52"/>
    <w:rsid w:val="04E54546"/>
    <w:rsid w:val="05992762"/>
    <w:rsid w:val="05DE2131"/>
    <w:rsid w:val="0691008A"/>
    <w:rsid w:val="07B0770E"/>
    <w:rsid w:val="0942143F"/>
    <w:rsid w:val="0D100297"/>
    <w:rsid w:val="0D202B45"/>
    <w:rsid w:val="0F8D4C87"/>
    <w:rsid w:val="10505FAA"/>
    <w:rsid w:val="105F7E7E"/>
    <w:rsid w:val="11E56B5B"/>
    <w:rsid w:val="125C77AB"/>
    <w:rsid w:val="14B7278A"/>
    <w:rsid w:val="14CB726E"/>
    <w:rsid w:val="16384C47"/>
    <w:rsid w:val="17E92249"/>
    <w:rsid w:val="18D304F1"/>
    <w:rsid w:val="19F32577"/>
    <w:rsid w:val="19F45B80"/>
    <w:rsid w:val="1B0C078D"/>
    <w:rsid w:val="1B2B31E2"/>
    <w:rsid w:val="1B4C295A"/>
    <w:rsid w:val="1B973C63"/>
    <w:rsid w:val="1BA1001E"/>
    <w:rsid w:val="1BAA20EB"/>
    <w:rsid w:val="1C393D1E"/>
    <w:rsid w:val="1CBE7192"/>
    <w:rsid w:val="1D317259"/>
    <w:rsid w:val="1E664F5B"/>
    <w:rsid w:val="1EB34BE1"/>
    <w:rsid w:val="1F680DB1"/>
    <w:rsid w:val="215E639F"/>
    <w:rsid w:val="21EC3183"/>
    <w:rsid w:val="225E72CD"/>
    <w:rsid w:val="231B2164"/>
    <w:rsid w:val="246E2F77"/>
    <w:rsid w:val="249F6523"/>
    <w:rsid w:val="254B4E2B"/>
    <w:rsid w:val="26814F8E"/>
    <w:rsid w:val="283D7C94"/>
    <w:rsid w:val="291B12D8"/>
    <w:rsid w:val="29480E03"/>
    <w:rsid w:val="2983634D"/>
    <w:rsid w:val="2BB02055"/>
    <w:rsid w:val="2C575A56"/>
    <w:rsid w:val="2CDC0FB6"/>
    <w:rsid w:val="2DA02DB6"/>
    <w:rsid w:val="2F257714"/>
    <w:rsid w:val="2F3275E5"/>
    <w:rsid w:val="30884679"/>
    <w:rsid w:val="30AA08EF"/>
    <w:rsid w:val="30D23D1C"/>
    <w:rsid w:val="31221CF5"/>
    <w:rsid w:val="31400178"/>
    <w:rsid w:val="321E3342"/>
    <w:rsid w:val="327759C8"/>
    <w:rsid w:val="32FF69F4"/>
    <w:rsid w:val="33185FE3"/>
    <w:rsid w:val="34EE2E36"/>
    <w:rsid w:val="36777241"/>
    <w:rsid w:val="38045CE5"/>
    <w:rsid w:val="38A951DB"/>
    <w:rsid w:val="38B31605"/>
    <w:rsid w:val="39003F4F"/>
    <w:rsid w:val="3C07002B"/>
    <w:rsid w:val="3C1C51AF"/>
    <w:rsid w:val="3D0D152A"/>
    <w:rsid w:val="3DF62756"/>
    <w:rsid w:val="3F1B7587"/>
    <w:rsid w:val="3F307DEC"/>
    <w:rsid w:val="3F8A45CE"/>
    <w:rsid w:val="41E57B4F"/>
    <w:rsid w:val="432F26F6"/>
    <w:rsid w:val="43880F63"/>
    <w:rsid w:val="441C5A6F"/>
    <w:rsid w:val="44C44FCC"/>
    <w:rsid w:val="44CC7369"/>
    <w:rsid w:val="457F5108"/>
    <w:rsid w:val="46951B6B"/>
    <w:rsid w:val="495956E8"/>
    <w:rsid w:val="49A34401"/>
    <w:rsid w:val="4A3E30AB"/>
    <w:rsid w:val="4AC14DAC"/>
    <w:rsid w:val="4D154C85"/>
    <w:rsid w:val="4EC8553A"/>
    <w:rsid w:val="508F4E24"/>
    <w:rsid w:val="5130722E"/>
    <w:rsid w:val="51461E90"/>
    <w:rsid w:val="51463753"/>
    <w:rsid w:val="51E1380A"/>
    <w:rsid w:val="52553A93"/>
    <w:rsid w:val="526418A9"/>
    <w:rsid w:val="527632EF"/>
    <w:rsid w:val="53521F8B"/>
    <w:rsid w:val="538516BE"/>
    <w:rsid w:val="53E22F47"/>
    <w:rsid w:val="54095614"/>
    <w:rsid w:val="54522FF8"/>
    <w:rsid w:val="55450629"/>
    <w:rsid w:val="56692963"/>
    <w:rsid w:val="56850CAE"/>
    <w:rsid w:val="568B0F48"/>
    <w:rsid w:val="56EA6256"/>
    <w:rsid w:val="5786217B"/>
    <w:rsid w:val="59337A15"/>
    <w:rsid w:val="59810274"/>
    <w:rsid w:val="5CA96A00"/>
    <w:rsid w:val="5CF730BC"/>
    <w:rsid w:val="5DA66024"/>
    <w:rsid w:val="5E5F0DCE"/>
    <w:rsid w:val="5FA40A7B"/>
    <w:rsid w:val="5FBE2259"/>
    <w:rsid w:val="5FD56D29"/>
    <w:rsid w:val="5FEC7F3F"/>
    <w:rsid w:val="60F74BC3"/>
    <w:rsid w:val="617D3BF8"/>
    <w:rsid w:val="61841F6A"/>
    <w:rsid w:val="623007A9"/>
    <w:rsid w:val="637D7558"/>
    <w:rsid w:val="644F19AC"/>
    <w:rsid w:val="65924E55"/>
    <w:rsid w:val="65AA4920"/>
    <w:rsid w:val="65E6758B"/>
    <w:rsid w:val="67694F1E"/>
    <w:rsid w:val="69597934"/>
    <w:rsid w:val="6AA71253"/>
    <w:rsid w:val="6B964DDC"/>
    <w:rsid w:val="6C783074"/>
    <w:rsid w:val="6CF24E97"/>
    <w:rsid w:val="6D9E65C6"/>
    <w:rsid w:val="6DA81947"/>
    <w:rsid w:val="6EB66DE2"/>
    <w:rsid w:val="6ED3075F"/>
    <w:rsid w:val="6EE23D4B"/>
    <w:rsid w:val="6F2A2D4B"/>
    <w:rsid w:val="6F8A0C1E"/>
    <w:rsid w:val="703F45D4"/>
    <w:rsid w:val="70FE5410"/>
    <w:rsid w:val="715D6546"/>
    <w:rsid w:val="71BE069E"/>
    <w:rsid w:val="73684B33"/>
    <w:rsid w:val="73953409"/>
    <w:rsid w:val="73E069A3"/>
    <w:rsid w:val="75113897"/>
    <w:rsid w:val="76417535"/>
    <w:rsid w:val="76A5311B"/>
    <w:rsid w:val="76EE4D7F"/>
    <w:rsid w:val="78104AA8"/>
    <w:rsid w:val="785A753E"/>
    <w:rsid w:val="78E257C5"/>
    <w:rsid w:val="794B35BE"/>
    <w:rsid w:val="7ACC4282"/>
    <w:rsid w:val="7B0A3A31"/>
    <w:rsid w:val="7B3360ED"/>
    <w:rsid w:val="7B5319F3"/>
    <w:rsid w:val="7BDF037E"/>
    <w:rsid w:val="7BF50948"/>
    <w:rsid w:val="7CE66A78"/>
    <w:rsid w:val="7D23564C"/>
    <w:rsid w:val="7D5E062D"/>
    <w:rsid w:val="7DF76CD8"/>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adjustRightInd w:val="0"/>
    </w:pPr>
    <w:rPr>
      <w:rFonts w:ascii="方正小标宋简体" w:hAnsi="方正小标宋简体" w:eastAsia="方正小标宋简体" w:cs="Times New Roman"/>
      <w:color w:val="000000"/>
      <w:sz w:val="24"/>
      <w:szCs w:val="22"/>
      <w:lang w:val="en-US" w:eastAsia="zh-CN" w:bidi="ar-SA"/>
    </w:rPr>
  </w:style>
  <w:style w:type="paragraph" w:customStyle="1" w:styleId="3">
    <w:name w:val="纯文本1"/>
    <w:basedOn w:val="1"/>
    <w:qFormat/>
    <w:uiPriority w:val="0"/>
    <w:pPr>
      <w:pBdr>
        <w:top w:val="none" w:color="auto" w:sz="0" w:space="0"/>
        <w:left w:val="none" w:color="auto" w:sz="0" w:space="0"/>
        <w:bottom w:val="none" w:color="auto" w:sz="0" w:space="0"/>
        <w:right w:val="none" w:color="auto" w:sz="0" w:space="0"/>
        <w:between w:val="none" w:color="auto" w:sz="0" w:space="0"/>
      </w:pBdr>
      <w:shd w:val="clear" w:color="auto" w:fill="auto"/>
      <w:jc w:val="both"/>
      <w:textAlignment w:val="baseline"/>
    </w:pPr>
    <w:rPr>
      <w:rFonts w:ascii="宋体" w:hAnsi="Courier New" w:eastAsia="宋体" w:cs="Times New Roman"/>
      <w:lang w:val="en-US" w:eastAsia="zh-CN"/>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Emphasis"/>
    <w:basedOn w:val="9"/>
    <w:qFormat/>
    <w:uiPriority w:val="0"/>
    <w:rPr>
      <w:i/>
    </w:rPr>
  </w:style>
  <w:style w:type="character" w:customStyle="1" w:styleId="11">
    <w:name w:val="页眉 Char"/>
    <w:basedOn w:val="9"/>
    <w:link w:val="6"/>
    <w:qFormat/>
    <w:uiPriority w:val="0"/>
    <w:rPr>
      <w:rFonts w:asciiTheme="minorHAnsi" w:hAnsiTheme="minorHAnsi" w:eastAsiaTheme="minorEastAsia" w:cstheme="minorBidi"/>
      <w:kern w:val="2"/>
      <w:sz w:val="18"/>
      <w:szCs w:val="18"/>
    </w:rPr>
  </w:style>
  <w:style w:type="character" w:customStyle="1" w:styleId="12">
    <w:name w:val="页脚 Char"/>
    <w:basedOn w:val="9"/>
    <w:link w:val="5"/>
    <w:qFormat/>
    <w:uiPriority w:val="0"/>
    <w:rPr>
      <w:rFonts w:asciiTheme="minorHAnsi" w:hAnsiTheme="minorHAnsi" w:eastAsiaTheme="minorEastAsia" w:cstheme="minorBidi"/>
      <w:kern w:val="2"/>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numbering" Target="numbering.xml"/><Relationship Id="rId20" Type="http://schemas.openxmlformats.org/officeDocument/2006/relationships/image" Target="media/image1.e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chart" Target="charts/chart13.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33487;&#20025;\&#20915;&#31639;\2023&#24180;&#20915;&#31639;&#20844;&#24320;\&#22270;&#24418;&#34920;2023.xlsx" TargetMode="External"/></Relationships>
</file>

<file path=word/charts/_rels/chart10.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oleObject" Target="file:///E:\&#33487;&#20025;\&#20915;&#31639;\2023&#24180;&#20915;&#31639;&#20844;&#24320;\&#22270;&#24418;&#34920;2023.xlsx" TargetMode="External"/></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33487;&#20025;\&#20915;&#31639;\2023&#24180;&#20915;&#31639;&#20844;&#24320;\&#22270;&#24418;&#34920;2023.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E:\&#33487;&#20025;\&#20915;&#31639;\2023&#24180;&#20915;&#31639;&#20844;&#24320;\&#22270;&#24418;&#34920;2023.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E:\&#33487;&#20025;\&#20915;&#31639;\2023&#24180;&#20915;&#31639;&#20844;&#24320;\&#22270;&#24418;&#34920;2023.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E:\&#33487;&#20025;\&#20915;&#31639;\2023&#24180;&#20915;&#31639;&#20844;&#24320;\&#22270;&#24418;&#34920;2023.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E:\&#33487;&#20025;\&#20915;&#31639;\2023&#24180;&#20915;&#31639;&#20844;&#24320;\&#22270;&#24418;&#34920;2023.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E:\&#33487;&#20025;\&#20915;&#31639;\2023&#24180;&#20915;&#31639;&#20844;&#24320;\&#22270;&#24418;&#34920;2023.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E:\&#33487;&#20025;\&#20915;&#31639;\2023&#24180;&#20915;&#31639;&#20844;&#24320;\&#22270;&#24418;&#34920;2023.xlsx" TargetMode="External"/></Relationships>
</file>

<file path=word/charts/_rels/chart9.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E:\&#33487;&#20025;\&#20915;&#31639;\2023&#24180;&#20915;&#31639;&#20844;&#24320;\&#22270;&#24418;&#34920;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决算收入支出图表</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multiLvlStrRef>
              <c:f>[图形表2023.xlsx]预算收入支出图表!$A$3:$B$4</c:f>
              <c:multiLvlStrCache>
                <c:ptCount val="2"/>
                <c:lvl>
                  <c:pt idx="0">
                    <c:v>一般公共预算财政拨款收入</c:v>
                  </c:pt>
                  <c:pt idx="1">
                    <c:v>其他收入</c:v>
                  </c:pt>
                </c:lvl>
                <c:lvl>
                  <c:pt idx="0">
                    <c:v>1</c:v>
                  </c:pt>
                  <c:pt idx="1">
                    <c:v>2</c:v>
                  </c:pt>
                </c:lvl>
              </c:multiLvlStrCache>
            </c:multiLvlStrRef>
          </c:cat>
          <c:val>
            <c:numRef>
              <c:f>[图形表2023.xlsx]预算收入支出图表!$C$3:$C$4</c:f>
              <c:numCache>
                <c:formatCode>General</c:formatCode>
                <c:ptCount val="2"/>
                <c:pt idx="0">
                  <c:v>1142.95</c:v>
                </c:pt>
                <c:pt idx="1">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multiLvlStrRef>
              <c:f>[图形表2023.xlsx]对个人和家庭的补助支出!$A$1:$B$4</c:f>
              <c:multiLvlStrCache>
                <c:ptCount val="4"/>
                <c:lvl>
                  <c:pt idx="0">
                    <c:v>抚恤金</c:v>
                  </c:pt>
                  <c:pt idx="1">
                    <c:v>生活补助</c:v>
                  </c:pt>
                  <c:pt idx="2">
                    <c:v>医疗费补助</c:v>
                  </c:pt>
                  <c:pt idx="3">
                    <c:v>其他对个人和家庭的补助</c:v>
                  </c:pt>
                </c:lvl>
                <c:lvl>
                  <c:pt idx="0">
                    <c:v>30304</c:v>
                  </c:pt>
                  <c:pt idx="1">
                    <c:v>30305</c:v>
                  </c:pt>
                  <c:pt idx="2">
                    <c:v>30307</c:v>
                  </c:pt>
                  <c:pt idx="3">
                    <c:v>30399</c:v>
                  </c:pt>
                </c:lvl>
              </c:multiLvlStrCache>
            </c:multiLvlStrRef>
          </c:cat>
          <c:val>
            <c:numRef>
              <c:f>[图形表2023.xlsx]对个人和家庭的补助支出!$C$1:$C$4</c:f>
              <c:numCache>
                <c:formatCode>General</c:formatCode>
                <c:ptCount val="4"/>
                <c:pt idx="0">
                  <c:v>25.41</c:v>
                </c:pt>
                <c:pt idx="1">
                  <c:v>43.35</c:v>
                </c:pt>
                <c:pt idx="2">
                  <c:v>0.27</c:v>
                </c:pt>
                <c:pt idx="3">
                  <c:v>0.06</c:v>
                </c:pt>
              </c:numCache>
            </c:numRef>
          </c:val>
        </c:ser>
        <c:dLbls>
          <c:showLegendKey val="0"/>
          <c:showVal val="0"/>
          <c:showCatName val="0"/>
          <c:showSerName val="0"/>
          <c:showPercent val="0"/>
          <c:showBubbleSize val="0"/>
        </c:dLbls>
        <c:gapWidth val="219"/>
        <c:overlap val="-27"/>
        <c:axId val="329092049"/>
        <c:axId val="362188959"/>
      </c:barChart>
      <c:catAx>
        <c:axId val="32909204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2188959"/>
        <c:crosses val="autoZero"/>
        <c:auto val="1"/>
        <c:lblAlgn val="ctr"/>
        <c:lblOffset val="100"/>
        <c:noMultiLvlLbl val="0"/>
      </c:catAx>
      <c:valAx>
        <c:axId val="3621889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909204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支出决算图表</a:t>
            </a:r>
          </a:p>
        </c:rich>
      </c:tx>
      <c:layout>
        <c:manualLayout>
          <c:xMode val="edge"/>
          <c:yMode val="edge"/>
          <c:x val="0.386666666666667"/>
          <c:y val="0.0451388888888889"/>
        </c:manualLayout>
      </c:layout>
      <c:overlay val="0"/>
      <c:spPr>
        <a:noFill/>
        <a:ln>
          <a:noFill/>
        </a:ln>
        <a:effectLst/>
      </c:spPr>
    </c:title>
    <c:autoTitleDeleted val="0"/>
    <c:plotArea>
      <c:layout/>
      <c:barChart>
        <c:barDir val="col"/>
        <c:grouping val="clustered"/>
        <c:varyColors val="0"/>
        <c:ser>
          <c:idx val="0"/>
          <c:order val="0"/>
          <c:tx>
            <c:strRef>
              <c:f>[图形表2023.xlsx]支出决算图表!$B$1</c:f>
              <c:strCache>
                <c:ptCount val="1"/>
                <c:pt idx="0">
                  <c:v>2023年</c:v>
                </c:pt>
              </c:strCache>
            </c:strRef>
          </c:tx>
          <c:spPr>
            <a:solidFill>
              <a:schemeClr val="accent1"/>
            </a:solidFill>
            <a:ln>
              <a:noFill/>
            </a:ln>
            <a:effectLst/>
          </c:spPr>
          <c:invertIfNegative val="0"/>
          <c:dLbls>
            <c:delete val="1"/>
          </c:dLbls>
          <c:cat>
            <c:strRef>
              <c:f>[图形表2023.xlsx]支出决算图表!$A$2:$A$8</c:f>
              <c:strCache>
                <c:ptCount val="7"/>
                <c:pt idx="0">
                  <c:v>一般公共服务支出</c:v>
                </c:pt>
                <c:pt idx="1">
                  <c:v>公共安全支出</c:v>
                </c:pt>
                <c:pt idx="2">
                  <c:v>科学技术支出</c:v>
                </c:pt>
                <c:pt idx="3">
                  <c:v>社会保障和就业支出</c:v>
                </c:pt>
                <c:pt idx="4">
                  <c:v>城乡社区支出</c:v>
                </c:pt>
                <c:pt idx="5">
                  <c:v>住房保障支出</c:v>
                </c:pt>
                <c:pt idx="6">
                  <c:v>其他支出</c:v>
                </c:pt>
              </c:strCache>
            </c:strRef>
          </c:cat>
          <c:val>
            <c:numRef>
              <c:f>[图形表2023.xlsx]支出决算图表!$B$2:$B$8</c:f>
              <c:numCache>
                <c:formatCode>General</c:formatCode>
                <c:ptCount val="7"/>
                <c:pt idx="0">
                  <c:v>9.61</c:v>
                </c:pt>
                <c:pt idx="1">
                  <c:v>782.73</c:v>
                </c:pt>
                <c:pt idx="2">
                  <c:v>17</c:v>
                </c:pt>
                <c:pt idx="3">
                  <c:v>66.99</c:v>
                </c:pt>
                <c:pt idx="4">
                  <c:v>128</c:v>
                </c:pt>
                <c:pt idx="5">
                  <c:v>50.24</c:v>
                </c:pt>
                <c:pt idx="6">
                  <c:v>88.38</c:v>
                </c:pt>
              </c:numCache>
            </c:numRef>
          </c:val>
        </c:ser>
        <c:ser>
          <c:idx val="1"/>
          <c:order val="1"/>
          <c:tx>
            <c:strRef>
              <c:f>[图形表2023.xlsx]支出决算图表!$C$1</c:f>
              <c:strCache>
                <c:ptCount val="1"/>
                <c:pt idx="0">
                  <c:v>2022年</c:v>
                </c:pt>
              </c:strCache>
            </c:strRef>
          </c:tx>
          <c:spPr>
            <a:solidFill>
              <a:schemeClr val="accent2"/>
            </a:solidFill>
            <a:ln>
              <a:noFill/>
            </a:ln>
            <a:effectLst/>
          </c:spPr>
          <c:invertIfNegative val="0"/>
          <c:dLbls>
            <c:delete val="1"/>
          </c:dLbls>
          <c:cat>
            <c:strRef>
              <c:f>[图形表2023.xlsx]支出决算图表!$A$2:$A$8</c:f>
              <c:strCache>
                <c:ptCount val="7"/>
                <c:pt idx="0">
                  <c:v>一般公共服务支出</c:v>
                </c:pt>
                <c:pt idx="1">
                  <c:v>公共安全支出</c:v>
                </c:pt>
                <c:pt idx="2">
                  <c:v>科学技术支出</c:v>
                </c:pt>
                <c:pt idx="3">
                  <c:v>社会保障和就业支出</c:v>
                </c:pt>
                <c:pt idx="4">
                  <c:v>城乡社区支出</c:v>
                </c:pt>
                <c:pt idx="5">
                  <c:v>住房保障支出</c:v>
                </c:pt>
                <c:pt idx="6">
                  <c:v>其他支出</c:v>
                </c:pt>
              </c:strCache>
            </c:strRef>
          </c:cat>
          <c:val>
            <c:numRef>
              <c:f>[图形表2023.xlsx]支出决算图表!$C$2:$C$8</c:f>
              <c:numCache>
                <c:formatCode>General</c:formatCode>
                <c:ptCount val="7"/>
                <c:pt idx="0">
                  <c:v>10.44</c:v>
                </c:pt>
                <c:pt idx="1">
                  <c:v>1046.56</c:v>
                </c:pt>
                <c:pt idx="3">
                  <c:v>66.79</c:v>
                </c:pt>
                <c:pt idx="5">
                  <c:v>55.96</c:v>
                </c:pt>
                <c:pt idx="6">
                  <c:v>112.98</c:v>
                </c:pt>
              </c:numCache>
            </c:numRef>
          </c:val>
        </c:ser>
        <c:dLbls>
          <c:showLegendKey val="0"/>
          <c:showVal val="0"/>
          <c:showCatName val="0"/>
          <c:showSerName val="0"/>
          <c:showPercent val="0"/>
          <c:showBubbleSize val="0"/>
        </c:dLbls>
        <c:gapWidth val="219"/>
        <c:overlap val="-27"/>
        <c:axId val="581778009"/>
        <c:axId val="944942823"/>
      </c:barChart>
      <c:catAx>
        <c:axId val="58177800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4942823"/>
        <c:crosses val="autoZero"/>
        <c:auto val="1"/>
        <c:lblAlgn val="ctr"/>
        <c:lblOffset val="100"/>
        <c:noMultiLvlLbl val="0"/>
      </c:catAx>
      <c:valAx>
        <c:axId val="9449428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177800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一般公共服务支出</a:t>
            </a:r>
          </a:p>
        </c:rich>
      </c:tx>
      <c:layout/>
      <c:overlay val="0"/>
      <c:spPr>
        <a:noFill/>
        <a:ln>
          <a:noFill/>
        </a:ln>
        <a:effectLst/>
      </c:spPr>
    </c:title>
    <c:autoTitleDeleted val="0"/>
    <c:plotArea>
      <c:layout/>
      <c:barChart>
        <c:barDir val="col"/>
        <c:grouping val="clustered"/>
        <c:varyColors val="0"/>
        <c:ser>
          <c:idx val="0"/>
          <c:order val="0"/>
          <c:tx>
            <c:strRef>
              <c:f>[图形表2023.xlsx]一般公共服务支出!$A$2:$B$2</c:f>
              <c:strCache>
                <c:ptCount val="1"/>
                <c:pt idx="0">
                  <c:v>2012999 一般公共服务支出</c:v>
                </c:pt>
              </c:strCache>
            </c:strRef>
          </c:tx>
          <c:spPr>
            <a:solidFill>
              <a:schemeClr val="accent1"/>
            </a:solidFill>
            <a:ln>
              <a:noFill/>
            </a:ln>
            <a:effectLst/>
          </c:spPr>
          <c:invertIfNegative val="0"/>
          <c:dLbls>
            <c:delete val="1"/>
          </c:dLbls>
          <c:cat>
            <c:numRef>
              <c:f>[图形表2023.xlsx]一般公共服务支出!$C$1</c:f>
              <c:numCache>
                <c:formatCode>General</c:formatCode>
                <c:ptCount val="1"/>
                <c:pt idx="0">
                  <c:v>2012999</c:v>
                </c:pt>
              </c:numCache>
            </c:numRef>
          </c:cat>
          <c:val>
            <c:numRef>
              <c:f>[图形表2023.xlsx]一般公共服务支出!$C$2</c:f>
              <c:numCache>
                <c:formatCode>General</c:formatCode>
                <c:ptCount val="1"/>
                <c:pt idx="0">
                  <c:v>9.61</c:v>
                </c:pt>
              </c:numCache>
            </c:numRef>
          </c:val>
        </c:ser>
        <c:dLbls>
          <c:showLegendKey val="0"/>
          <c:showVal val="0"/>
          <c:showCatName val="0"/>
          <c:showSerName val="0"/>
          <c:showPercent val="0"/>
          <c:showBubbleSize val="0"/>
        </c:dLbls>
        <c:gapWidth val="219"/>
        <c:overlap val="-27"/>
        <c:axId val="607574603"/>
        <c:axId val="982701077"/>
      </c:barChart>
      <c:catAx>
        <c:axId val="60757460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2701077"/>
        <c:crosses val="autoZero"/>
        <c:auto val="1"/>
        <c:lblAlgn val="ctr"/>
        <c:lblOffset val="100"/>
        <c:noMultiLvlLbl val="0"/>
      </c:catAx>
      <c:valAx>
        <c:axId val="98270107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757460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公共安全支出</a:t>
            </a:r>
          </a:p>
        </c:rich>
      </c:tx>
      <c:layout>
        <c:manualLayout>
          <c:xMode val="edge"/>
          <c:yMode val="edge"/>
          <c:x val="0.408194444444444"/>
          <c:y val="0.0277777777777778"/>
        </c:manualLayout>
      </c:layout>
      <c:overlay val="0"/>
      <c:spPr>
        <a:noFill/>
        <a:ln>
          <a:noFill/>
        </a:ln>
        <a:effectLst/>
      </c:spPr>
    </c:title>
    <c:autoTitleDeleted val="0"/>
    <c:plotArea>
      <c:layout/>
      <c:barChart>
        <c:barDir val="col"/>
        <c:grouping val="clustered"/>
        <c:varyColors val="0"/>
        <c:ser>
          <c:idx val="0"/>
          <c:order val="0"/>
          <c:tx>
            <c:strRef>
              <c:f>[图形表2023.xlsx]公共安全支出!#REF!</c:f>
              <c:strCache>
                <c:ptCount val="1"/>
                <c:pt idx="0">
                  <c:v/>
                </c:pt>
              </c:strCache>
            </c:strRef>
          </c:tx>
          <c:spPr>
            <a:solidFill>
              <a:schemeClr val="accent1"/>
            </a:solidFill>
            <a:ln>
              <a:noFill/>
            </a:ln>
            <a:effectLst/>
          </c:spPr>
          <c:invertIfNegative val="0"/>
          <c:dLbls>
            <c:delete val="1"/>
          </c:dLbls>
          <c:cat>
            <c:numRef>
              <c:f>[图形表2023.xlsx]公共安全支出!$A$2:$A$6</c:f>
              <c:numCache>
                <c:formatCode>General</c:formatCode>
                <c:ptCount val="5"/>
                <c:pt idx="0">
                  <c:v>2040601</c:v>
                </c:pt>
                <c:pt idx="1">
                  <c:v>2040604</c:v>
                </c:pt>
                <c:pt idx="2">
                  <c:v>2040607</c:v>
                </c:pt>
                <c:pt idx="3">
                  <c:v>2040610</c:v>
                </c:pt>
                <c:pt idx="4">
                  <c:v>2040699</c:v>
                </c:pt>
              </c:numCache>
            </c:numRef>
          </c:cat>
          <c:val>
            <c:numRef>
              <c:f>[图形表2023.xlsx]公共安全支出!#REF!</c:f>
              <c:numCache>
                <c:formatCode>General</c:formatCode>
                <c:ptCount val="1"/>
                <c:pt idx="0">
                  <c:v>1</c:v>
                </c:pt>
              </c:numCache>
            </c:numRef>
          </c:val>
        </c:ser>
        <c:ser>
          <c:idx val="1"/>
          <c:order val="1"/>
          <c:tx>
            <c:strRef>
              <c:f>[图形表2023.xlsx]公共安全支出!$B$1</c:f>
              <c:strCache>
                <c:ptCount val="1"/>
                <c:pt idx="0">
                  <c:v>决算</c:v>
                </c:pt>
              </c:strCache>
            </c:strRef>
          </c:tx>
          <c:spPr>
            <a:solidFill>
              <a:schemeClr val="accent2"/>
            </a:solidFill>
            <a:ln>
              <a:noFill/>
            </a:ln>
            <a:effectLst/>
          </c:spPr>
          <c:invertIfNegative val="0"/>
          <c:dLbls>
            <c:delete val="1"/>
          </c:dLbls>
          <c:cat>
            <c:numRef>
              <c:f>[图形表2023.xlsx]公共安全支出!$A$2:$A$6</c:f>
              <c:numCache>
                <c:formatCode>General</c:formatCode>
                <c:ptCount val="5"/>
                <c:pt idx="0">
                  <c:v>2040601</c:v>
                </c:pt>
                <c:pt idx="1">
                  <c:v>2040604</c:v>
                </c:pt>
                <c:pt idx="2">
                  <c:v>2040607</c:v>
                </c:pt>
                <c:pt idx="3">
                  <c:v>2040610</c:v>
                </c:pt>
                <c:pt idx="4">
                  <c:v>2040699</c:v>
                </c:pt>
              </c:numCache>
            </c:numRef>
          </c:cat>
          <c:val>
            <c:numRef>
              <c:f>[图形表2023.xlsx]公共安全支出!$B$2:$B$6</c:f>
              <c:numCache>
                <c:formatCode>General</c:formatCode>
                <c:ptCount val="5"/>
                <c:pt idx="0">
                  <c:v>641.15</c:v>
                </c:pt>
                <c:pt idx="1">
                  <c:v>29.92</c:v>
                </c:pt>
                <c:pt idx="2">
                  <c:v>4.12</c:v>
                </c:pt>
                <c:pt idx="3">
                  <c:v>28</c:v>
                </c:pt>
                <c:pt idx="4">
                  <c:v>79.55</c:v>
                </c:pt>
              </c:numCache>
            </c:numRef>
          </c:val>
        </c:ser>
        <c:dLbls>
          <c:showLegendKey val="0"/>
          <c:showVal val="0"/>
          <c:showCatName val="0"/>
          <c:showSerName val="0"/>
          <c:showPercent val="0"/>
          <c:showBubbleSize val="0"/>
        </c:dLbls>
        <c:gapWidth val="219"/>
        <c:overlap val="-27"/>
        <c:axId val="780900338"/>
        <c:axId val="573620392"/>
      </c:barChart>
      <c:catAx>
        <c:axId val="78090033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3620392"/>
        <c:crosses val="autoZero"/>
        <c:auto val="1"/>
        <c:lblAlgn val="ctr"/>
        <c:lblOffset val="100"/>
        <c:noMultiLvlLbl val="0"/>
      </c:catAx>
      <c:valAx>
        <c:axId val="573620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090033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其他科学技术支出</a:t>
            </a:r>
          </a:p>
        </c:rich>
      </c:tx>
      <c:layout/>
      <c:overlay val="0"/>
      <c:spPr>
        <a:noFill/>
        <a:ln>
          <a:noFill/>
        </a:ln>
        <a:effectLst/>
      </c:spPr>
    </c:title>
    <c:autoTitleDeleted val="0"/>
    <c:plotArea>
      <c:layout/>
      <c:barChart>
        <c:barDir val="col"/>
        <c:grouping val="clustered"/>
        <c:varyColors val="0"/>
        <c:ser>
          <c:idx val="0"/>
          <c:order val="0"/>
          <c:tx>
            <c:strRef>
              <c:f>[图形表2023.xlsx]其他科学技术支出!$A$2:$B$2</c:f>
              <c:strCache>
                <c:ptCount val="1"/>
                <c:pt idx="0">
                  <c:v>2069999 其他科学技术支出</c:v>
                </c:pt>
              </c:strCache>
            </c:strRef>
          </c:tx>
          <c:spPr>
            <a:solidFill>
              <a:schemeClr val="accent1"/>
            </a:solidFill>
            <a:ln>
              <a:noFill/>
            </a:ln>
            <a:effectLst/>
          </c:spPr>
          <c:invertIfNegative val="0"/>
          <c:dLbls>
            <c:delete val="1"/>
          </c:dLbls>
          <c:cat>
            <c:numRef>
              <c:f>[图形表2023.xlsx]其他科学技术支出!$C$1</c:f>
              <c:numCache>
                <c:formatCode>General</c:formatCode>
                <c:ptCount val="1"/>
                <c:pt idx="0">
                  <c:v>2069999</c:v>
                </c:pt>
              </c:numCache>
            </c:numRef>
          </c:cat>
          <c:val>
            <c:numRef>
              <c:f>[图形表2023.xlsx]其他科学技术支出!$C$2</c:f>
              <c:numCache>
                <c:formatCode>General</c:formatCode>
                <c:ptCount val="1"/>
                <c:pt idx="0">
                  <c:v>17</c:v>
                </c:pt>
              </c:numCache>
            </c:numRef>
          </c:val>
        </c:ser>
        <c:dLbls>
          <c:showLegendKey val="0"/>
          <c:showVal val="0"/>
          <c:showCatName val="0"/>
          <c:showSerName val="0"/>
          <c:showPercent val="0"/>
          <c:showBubbleSize val="0"/>
        </c:dLbls>
        <c:gapWidth val="219"/>
        <c:overlap val="-27"/>
        <c:axId val="332982289"/>
        <c:axId val="299110836"/>
      </c:barChart>
      <c:catAx>
        <c:axId val="33298228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9110836"/>
        <c:crosses val="autoZero"/>
        <c:auto val="1"/>
        <c:lblAlgn val="ctr"/>
        <c:lblOffset val="100"/>
        <c:noMultiLvlLbl val="0"/>
      </c:catAx>
      <c:valAx>
        <c:axId val="2991108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29822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社会保障和就业支出</a:t>
            </a:r>
          </a:p>
        </c:rich>
      </c:tx>
      <c:layout/>
      <c:overlay val="0"/>
      <c:spPr>
        <a:noFill/>
        <a:ln>
          <a:noFill/>
        </a:ln>
        <a:effectLst/>
      </c:spPr>
    </c:title>
    <c:autoTitleDeleted val="0"/>
    <c:plotArea>
      <c:layout/>
      <c:barChart>
        <c:barDir val="col"/>
        <c:grouping val="clustered"/>
        <c:varyColors val="0"/>
        <c:ser>
          <c:idx val="0"/>
          <c:order val="0"/>
          <c:tx>
            <c:strRef>
              <c:f>[图形表2023.xlsx]社会保障和就业支出!$A$2:$B$2</c:f>
              <c:strCache>
                <c:ptCount val="1"/>
                <c:pt idx="0">
                  <c:v>2080505 机关事业单位基本养老保险缴费支出</c:v>
                </c:pt>
              </c:strCache>
            </c:strRef>
          </c:tx>
          <c:spPr>
            <a:solidFill>
              <a:schemeClr val="accent1"/>
            </a:solidFill>
            <a:ln>
              <a:noFill/>
            </a:ln>
            <a:effectLst/>
          </c:spPr>
          <c:invertIfNegative val="0"/>
          <c:dLbls>
            <c:delete val="1"/>
          </c:dLbls>
          <c:cat>
            <c:numRef>
              <c:f>[图形表2023.xlsx]社会保障和就业支出!$C$1</c:f>
              <c:numCache>
                <c:formatCode>General</c:formatCode>
                <c:ptCount val="1"/>
                <c:pt idx="0">
                  <c:v>2080505</c:v>
                </c:pt>
              </c:numCache>
            </c:numRef>
          </c:cat>
          <c:val>
            <c:numRef>
              <c:f>[图形表2023.xlsx]社会保障和就业支出!$C$2</c:f>
              <c:numCache>
                <c:formatCode>General</c:formatCode>
                <c:ptCount val="1"/>
                <c:pt idx="0">
                  <c:v>66.99</c:v>
                </c:pt>
              </c:numCache>
            </c:numRef>
          </c:val>
        </c:ser>
        <c:dLbls>
          <c:showLegendKey val="0"/>
          <c:showVal val="0"/>
          <c:showCatName val="0"/>
          <c:showSerName val="0"/>
          <c:showPercent val="0"/>
          <c:showBubbleSize val="0"/>
        </c:dLbls>
        <c:gapWidth val="219"/>
        <c:overlap val="-27"/>
        <c:axId val="575303769"/>
        <c:axId val="590163066"/>
      </c:barChart>
      <c:catAx>
        <c:axId val="57530376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0163066"/>
        <c:crosses val="autoZero"/>
        <c:auto val="1"/>
        <c:lblAlgn val="ctr"/>
        <c:lblOffset val="100"/>
        <c:noMultiLvlLbl val="0"/>
      </c:catAx>
      <c:valAx>
        <c:axId val="59016306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530376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住房保障支出</a:t>
            </a:r>
          </a:p>
        </c:rich>
      </c:tx>
      <c:layout/>
      <c:overlay val="0"/>
      <c:spPr>
        <a:noFill/>
        <a:ln>
          <a:noFill/>
        </a:ln>
        <a:effectLst/>
      </c:spPr>
    </c:title>
    <c:autoTitleDeleted val="0"/>
    <c:plotArea>
      <c:layout/>
      <c:barChart>
        <c:barDir val="col"/>
        <c:grouping val="clustered"/>
        <c:varyColors val="0"/>
        <c:ser>
          <c:idx val="0"/>
          <c:order val="0"/>
          <c:tx>
            <c:strRef>
              <c:f>[图形表2023.xlsx]住房保障支出!$A$2:$B$2</c:f>
              <c:strCache>
                <c:ptCount val="1"/>
                <c:pt idx="0">
                  <c:v>2210201 住房公积金</c:v>
                </c:pt>
              </c:strCache>
            </c:strRef>
          </c:tx>
          <c:spPr>
            <a:solidFill>
              <a:schemeClr val="accent1"/>
            </a:solidFill>
            <a:ln>
              <a:noFill/>
            </a:ln>
            <a:effectLst/>
          </c:spPr>
          <c:invertIfNegative val="0"/>
          <c:dLbls>
            <c:delete val="1"/>
          </c:dLbls>
          <c:cat>
            <c:numRef>
              <c:f>[图形表2023.xlsx]住房保障支出!$C$1</c:f>
              <c:numCache>
                <c:formatCode>General</c:formatCode>
                <c:ptCount val="1"/>
                <c:pt idx="0">
                  <c:v>2210201</c:v>
                </c:pt>
              </c:numCache>
            </c:numRef>
          </c:cat>
          <c:val>
            <c:numRef>
              <c:f>[图形表2023.xlsx]住房保障支出!$C$2</c:f>
              <c:numCache>
                <c:formatCode>General</c:formatCode>
                <c:ptCount val="1"/>
                <c:pt idx="0">
                  <c:v>50.24</c:v>
                </c:pt>
              </c:numCache>
            </c:numRef>
          </c:val>
        </c:ser>
        <c:dLbls>
          <c:showLegendKey val="0"/>
          <c:showVal val="0"/>
          <c:showCatName val="0"/>
          <c:showSerName val="0"/>
          <c:showPercent val="0"/>
          <c:showBubbleSize val="0"/>
        </c:dLbls>
        <c:gapWidth val="219"/>
        <c:overlap val="-27"/>
        <c:axId val="955447494"/>
        <c:axId val="888163867"/>
      </c:barChart>
      <c:catAx>
        <c:axId val="95544749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8163867"/>
        <c:crosses val="autoZero"/>
        <c:auto val="1"/>
        <c:lblAlgn val="ctr"/>
        <c:lblOffset val="100"/>
        <c:noMultiLvlLbl val="0"/>
      </c:catAx>
      <c:valAx>
        <c:axId val="8881638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44749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工资福利支出</a:t>
            </a:r>
          </a:p>
        </c:rich>
      </c:tx>
      <c:layout>
        <c:manualLayout>
          <c:xMode val="edge"/>
          <c:yMode val="edge"/>
          <c:x val="0.410277777777778"/>
          <c:y val="0.0347222222222222"/>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multiLvlStrRef>
              <c:f>[图形表2023.xlsx]工资福利支出!$A$2:$B$10</c:f>
              <c:multiLvlStrCache>
                <c:ptCount val="9"/>
                <c:lvl>
                  <c:pt idx="0">
                    <c:v>基本工资</c:v>
                  </c:pt>
                  <c:pt idx="1">
                    <c:v>津贴补贴</c:v>
                  </c:pt>
                  <c:pt idx="2">
                    <c:v>奖金</c:v>
                  </c:pt>
                  <c:pt idx="3">
                    <c:v>绩效工资</c:v>
                  </c:pt>
                  <c:pt idx="4">
                    <c:v>机关事业单位基本养老保险缴费</c:v>
                  </c:pt>
                  <c:pt idx="5">
                    <c:v>职工基本医疗保险缴费</c:v>
                  </c:pt>
                  <c:pt idx="6">
                    <c:v>其他社会保障缴费</c:v>
                  </c:pt>
                  <c:pt idx="7">
                    <c:v>住房公积金</c:v>
                  </c:pt>
                  <c:pt idx="8">
                    <c:v>其他工资福利支出</c:v>
                  </c:pt>
                </c:lvl>
                <c:lvl>
                  <c:pt idx="0">
                    <c:v>30101</c:v>
                  </c:pt>
                  <c:pt idx="1">
                    <c:v>30102</c:v>
                  </c:pt>
                  <c:pt idx="2">
                    <c:v>30103</c:v>
                  </c:pt>
                  <c:pt idx="3">
                    <c:v>30107</c:v>
                  </c:pt>
                  <c:pt idx="4">
                    <c:v>30108</c:v>
                  </c:pt>
                  <c:pt idx="5">
                    <c:v>30110</c:v>
                  </c:pt>
                  <c:pt idx="6">
                    <c:v>30112</c:v>
                  </c:pt>
                  <c:pt idx="7">
                    <c:v>30113</c:v>
                  </c:pt>
                  <c:pt idx="8">
                    <c:v>30199</c:v>
                  </c:pt>
                </c:lvl>
              </c:multiLvlStrCache>
            </c:multiLvlStrRef>
          </c:cat>
          <c:val>
            <c:numRef>
              <c:f>[图形表2023.xlsx]工资福利支出!$C$2:$C$10</c:f>
              <c:numCache>
                <c:formatCode>General</c:formatCode>
                <c:ptCount val="9"/>
                <c:pt idx="0">
                  <c:v>176.39</c:v>
                </c:pt>
                <c:pt idx="1">
                  <c:v>150.34</c:v>
                </c:pt>
                <c:pt idx="2">
                  <c:v>219.75</c:v>
                </c:pt>
                <c:pt idx="3">
                  <c:v>7.96</c:v>
                </c:pt>
                <c:pt idx="4">
                  <c:v>66.99</c:v>
                </c:pt>
                <c:pt idx="5">
                  <c:v>26.9</c:v>
                </c:pt>
                <c:pt idx="6">
                  <c:v>1.42</c:v>
                </c:pt>
                <c:pt idx="7">
                  <c:v>50.24</c:v>
                </c:pt>
                <c:pt idx="8">
                  <c:v>1.15</c:v>
                </c:pt>
              </c:numCache>
            </c:numRef>
          </c:val>
        </c:ser>
        <c:dLbls>
          <c:showLegendKey val="0"/>
          <c:showVal val="0"/>
          <c:showCatName val="0"/>
          <c:showSerName val="0"/>
          <c:showPercent val="0"/>
          <c:showBubbleSize val="0"/>
        </c:dLbls>
        <c:gapWidth val="219"/>
        <c:overlap val="-27"/>
        <c:axId val="245551833"/>
        <c:axId val="972071731"/>
      </c:barChart>
      <c:catAx>
        <c:axId val="24555183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2071731"/>
        <c:crosses val="autoZero"/>
        <c:auto val="1"/>
        <c:lblAlgn val="ctr"/>
        <c:lblOffset val="100"/>
        <c:noMultiLvlLbl val="0"/>
      </c:catAx>
      <c:valAx>
        <c:axId val="9720717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555183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商品和服务支出</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multiLvlStrRef>
              <c:f>[图形表2023.xlsx]商品和服务支出!$A$2:$B$11</c:f>
              <c:multiLvlStrCache>
                <c:ptCount val="10"/>
                <c:lvl>
                  <c:pt idx="0">
                    <c:v>办公费</c:v>
                  </c:pt>
                  <c:pt idx="1">
                    <c:v>水费</c:v>
                  </c:pt>
                  <c:pt idx="2">
                    <c:v>电费</c:v>
                  </c:pt>
                  <c:pt idx="3">
                    <c:v>邮电费</c:v>
                  </c:pt>
                  <c:pt idx="4">
                    <c:v>会议费</c:v>
                  </c:pt>
                  <c:pt idx="5">
                    <c:v>培训费</c:v>
                  </c:pt>
                  <c:pt idx="6">
                    <c:v>招待费</c:v>
                  </c:pt>
                  <c:pt idx="7">
                    <c:v>工会经费</c:v>
                  </c:pt>
                  <c:pt idx="8">
                    <c:v>公务用车运行维护费</c:v>
                  </c:pt>
                  <c:pt idx="9">
                    <c:v>其他交通费用</c:v>
                  </c:pt>
                </c:lvl>
                <c:lvl>
                  <c:pt idx="0">
                    <c:v>30201</c:v>
                  </c:pt>
                  <c:pt idx="1">
                    <c:v>30205</c:v>
                  </c:pt>
                  <c:pt idx="2">
                    <c:v>30206</c:v>
                  </c:pt>
                  <c:pt idx="3">
                    <c:v>30207</c:v>
                  </c:pt>
                  <c:pt idx="4">
                    <c:v>30215</c:v>
                  </c:pt>
                  <c:pt idx="5">
                    <c:v>30216</c:v>
                  </c:pt>
                  <c:pt idx="6">
                    <c:v>30217</c:v>
                  </c:pt>
                  <c:pt idx="7">
                    <c:v>30228</c:v>
                  </c:pt>
                  <c:pt idx="8">
                    <c:v>30231</c:v>
                  </c:pt>
                  <c:pt idx="9">
                    <c:v>30239</c:v>
                  </c:pt>
                </c:lvl>
              </c:multiLvlStrCache>
            </c:multiLvlStrRef>
          </c:cat>
          <c:val>
            <c:numRef>
              <c:f>[图形表2023.xlsx]商品和服务支出!$C$2:$C$11</c:f>
              <c:numCache>
                <c:formatCode>General</c:formatCode>
                <c:ptCount val="10"/>
                <c:pt idx="0">
                  <c:v>0.46</c:v>
                </c:pt>
                <c:pt idx="1">
                  <c:v>0.21</c:v>
                </c:pt>
                <c:pt idx="2">
                  <c:v>5.99</c:v>
                </c:pt>
                <c:pt idx="3">
                  <c:v>5.4</c:v>
                </c:pt>
                <c:pt idx="4">
                  <c:v>2.2</c:v>
                </c:pt>
                <c:pt idx="5">
                  <c:v>2.12</c:v>
                </c:pt>
                <c:pt idx="6">
                  <c:v>1.27</c:v>
                </c:pt>
                <c:pt idx="7">
                  <c:v>9.61</c:v>
                </c:pt>
                <c:pt idx="8">
                  <c:v>9.12</c:v>
                </c:pt>
                <c:pt idx="9">
                  <c:v>32.14</c:v>
                </c:pt>
              </c:numCache>
            </c:numRef>
          </c:val>
        </c:ser>
        <c:dLbls>
          <c:showLegendKey val="0"/>
          <c:showVal val="0"/>
          <c:showCatName val="0"/>
          <c:showSerName val="0"/>
          <c:showPercent val="0"/>
          <c:showBubbleSize val="0"/>
        </c:dLbls>
        <c:gapWidth val="219"/>
        <c:overlap val="-27"/>
        <c:axId val="580646867"/>
        <c:axId val="427611010"/>
      </c:barChart>
      <c:catAx>
        <c:axId val="58064686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7611010"/>
        <c:crosses val="autoZero"/>
        <c:auto val="1"/>
        <c:lblAlgn val="ctr"/>
        <c:lblOffset val="100"/>
        <c:noMultiLvlLbl val="0"/>
      </c:catAx>
      <c:valAx>
        <c:axId val="42761101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064686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CACF-E88F-4774-9588-59B2C8C8876C}">
  <ds:schemaRefs/>
</ds:datastoreItem>
</file>

<file path=docProps/app.xml><?xml version="1.0" encoding="utf-8"?>
<Properties xmlns="http://schemas.openxmlformats.org/officeDocument/2006/extended-properties" xmlns:vt="http://schemas.openxmlformats.org/officeDocument/2006/docPropsVTypes">
  <Template>Normal.dotm</Template>
  <Pages>30</Pages>
  <Words>6678</Words>
  <Characters>13912</Characters>
  <Lines>90</Lines>
  <Paragraphs>25</Paragraphs>
  <TotalTime>149</TotalTime>
  <ScaleCrop>false</ScaleCrop>
  <LinksUpToDate>false</LinksUpToDate>
  <CharactersWithSpaces>14005</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若羿冰枫</cp:lastModifiedBy>
  <cp:lastPrinted>2023-11-15T09:29:00Z</cp:lastPrinted>
  <dcterms:modified xsi:type="dcterms:W3CDTF">2024-12-24T09:15:32Z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16A5E58A4C184A0F8AAD5879DBB8AF73</vt:lpwstr>
  </property>
</Properties>
</file>