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环江毛南族自治县机关事务服务中心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环江毛南族自治县机关事务服务中心</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环江毛南族自治县机关事务服务中心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环江毛南族自治县机关事务服务中心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环江毛南族自治县机关事务服务中心</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20" w:lineRule="exact"/>
        <w:ind w:firstLine="46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1、贯彻党和国家有关方针政策，研究制定县府机关后勤管理工作的制度和规定，并负责组织实施。</w:t>
      </w:r>
    </w:p>
    <w:p>
      <w:pPr>
        <w:spacing w:line="520" w:lineRule="exact"/>
        <w:ind w:firstLine="46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2、负责对县府机关房地产的统一建设、调配、管理及维修、改造经费的申报和安排使用。</w:t>
      </w:r>
    </w:p>
    <w:p>
      <w:pPr>
        <w:spacing w:line="520" w:lineRule="exact"/>
        <w:ind w:firstLine="465"/>
        <w:rPr>
          <w:rFonts w:hint="eastAsia" w:ascii="仿宋_GB2312" w:eastAsia="仿宋_GB2312"/>
          <w:color w:val="000000"/>
          <w:sz w:val="32"/>
          <w:szCs w:val="32"/>
        </w:rPr>
      </w:pPr>
      <w:r>
        <w:rPr>
          <w:rFonts w:hint="eastAsia" w:ascii="仿宋_GB2312" w:hAnsi="宋体" w:eastAsia="仿宋_GB2312" w:cs="宋体"/>
          <w:kern w:val="0"/>
          <w:sz w:val="32"/>
          <w:szCs w:val="32"/>
        </w:rPr>
        <w:t>3、</w:t>
      </w:r>
      <w:r>
        <w:rPr>
          <w:rFonts w:hint="eastAsia" w:ascii="仿宋_GB2312" w:eastAsia="仿宋_GB2312"/>
          <w:color w:val="000000"/>
          <w:sz w:val="32"/>
          <w:szCs w:val="32"/>
        </w:rPr>
        <w:t>负责县级公共机构能源节能管理工作，会同有关部门制定公共机构节能规划、计划、规章制度并组织实施，组织开展能耗统计、检测和监督评价考核工作。</w:t>
      </w:r>
    </w:p>
    <w:p>
      <w:pPr>
        <w:spacing w:line="520" w:lineRule="exact"/>
        <w:ind w:firstLine="465"/>
        <w:rPr>
          <w:rFonts w:hint="eastAsia" w:ascii="仿宋_GB2312" w:hAnsi="宋体" w:eastAsia="仿宋_GB2312" w:cs="宋体"/>
          <w:kern w:val="0"/>
          <w:sz w:val="32"/>
          <w:szCs w:val="32"/>
        </w:rPr>
      </w:pPr>
      <w:r>
        <w:rPr>
          <w:rFonts w:hint="eastAsia" w:ascii="仿宋_GB2312" w:eastAsia="仿宋_GB2312"/>
          <w:color w:val="000000"/>
          <w:sz w:val="32"/>
          <w:szCs w:val="32"/>
        </w:rPr>
        <w:t>4、</w:t>
      </w:r>
      <w:r>
        <w:rPr>
          <w:rFonts w:hint="eastAsia" w:ascii="仿宋_GB2312" w:hAnsi="宋体" w:eastAsia="仿宋_GB2312" w:cs="宋体"/>
          <w:kern w:val="0"/>
          <w:sz w:val="32"/>
          <w:szCs w:val="32"/>
        </w:rPr>
        <w:t>负责县府机关管辖内房改工作的组织实施。</w:t>
      </w:r>
    </w:p>
    <w:p>
      <w:pPr>
        <w:spacing w:line="520" w:lineRule="exact"/>
        <w:ind w:firstLine="46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5、负责县府机关内的消防、安全保卫、车辆停放、综合治理的日常管理工作。</w:t>
      </w:r>
    </w:p>
    <w:p>
      <w:pPr>
        <w:spacing w:line="520" w:lineRule="exact"/>
        <w:ind w:firstLine="46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6、负责县府机关的环境卫生管理、绿化美化管理、水电设备管理、行政会议中心的管理工作。</w:t>
      </w:r>
    </w:p>
    <w:p>
      <w:pPr>
        <w:spacing w:line="520" w:lineRule="exact"/>
        <w:ind w:firstLine="46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7、承办县委、县人大、县政府、县政协大型会务的保障工作。</w:t>
      </w:r>
    </w:p>
    <w:p>
      <w:pPr>
        <w:spacing w:line="520" w:lineRule="exact"/>
        <w:ind w:firstLine="465"/>
        <w:rPr>
          <w:rFonts w:hint="eastAsia" w:ascii="仿宋_GB2312" w:eastAsia="仿宋_GB2312"/>
          <w:sz w:val="32"/>
          <w:szCs w:val="32"/>
        </w:rPr>
      </w:pPr>
      <w:r>
        <w:rPr>
          <w:rFonts w:hint="eastAsia" w:ascii="仿宋_GB2312" w:hAnsi="宋体" w:eastAsia="仿宋_GB2312" w:cs="宋体"/>
          <w:kern w:val="0"/>
          <w:sz w:val="32"/>
          <w:szCs w:val="32"/>
        </w:rPr>
        <w:t>8、承办县委、县政府交办的其他工作。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（一）机构设置情况。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县机关事务服务中心</w:t>
      </w:r>
      <w:r>
        <w:rPr>
          <w:rFonts w:hint="eastAsia" w:ascii="仿宋_GB2312" w:eastAsia="仿宋_GB2312"/>
          <w:sz w:val="32"/>
          <w:szCs w:val="32"/>
        </w:rPr>
        <w:t>为县政府直属管理的财政全额拨款参照公务员法管理事业单位，赋予行政管理职能，机构规格为正科级，</w:t>
      </w:r>
      <w:r>
        <w:rPr>
          <w:rFonts w:hint="eastAsia" w:ascii="仿宋_GB2312" w:hAnsi="ˎ̥" w:eastAsia="仿宋_GB2312"/>
          <w:sz w:val="32"/>
          <w:szCs w:val="32"/>
        </w:rPr>
        <w:t>内设5个职能股室，即办公室、保卫股、综合股、绿化保洁股、公共机构节能监督管理股。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（二）人员构成情况。</w:t>
      </w:r>
    </w:p>
    <w:p>
      <w:pPr>
        <w:ind w:firstLine="640" w:firstLineChars="200"/>
        <w:jc w:val="left"/>
        <w:rPr>
          <w:rFonts w:hint="eastAsia" w:ascii="方正小标宋简体" w:eastAsia="仿宋_GB2312"/>
          <w:b/>
          <w:sz w:val="44"/>
          <w:szCs w:val="44"/>
          <w:lang w:eastAsia="zh-CN"/>
        </w:rPr>
      </w:pPr>
      <w:r>
        <w:rPr>
          <w:rFonts w:hint="eastAsia" w:ascii="仿宋_GB2312" w:eastAsia="仿宋_GB2312"/>
          <w:sz w:val="32"/>
          <w:szCs w:val="32"/>
        </w:rPr>
        <w:t>人员编制总数为19人。实有财政供养人数</w:t>
      </w:r>
      <w:r>
        <w:rPr>
          <w:rFonts w:hint="eastAsia" w:ascii="仿宋_GB2312" w:eastAsia="仿宋_GB2312"/>
          <w:sz w:val="32"/>
          <w:szCs w:val="32"/>
          <w:lang w:val="en-US" w:eastAsia="zh-CN"/>
        </w:rPr>
        <w:t>85</w:t>
      </w:r>
      <w:r>
        <w:rPr>
          <w:rFonts w:hint="eastAsia" w:ascii="仿宋_GB2312" w:eastAsia="仿宋_GB2312"/>
          <w:sz w:val="32"/>
          <w:szCs w:val="32"/>
        </w:rPr>
        <w:t>人，其中在编在职1</w:t>
      </w:r>
      <w:r>
        <w:rPr>
          <w:rFonts w:hint="eastAsia" w:ascii="仿宋_GB2312" w:eastAsia="仿宋_GB2312"/>
          <w:sz w:val="32"/>
          <w:szCs w:val="32"/>
          <w:lang w:val="en-US" w:eastAsia="zh-CN"/>
        </w:rPr>
        <w:t>5</w:t>
      </w:r>
      <w:r>
        <w:rPr>
          <w:rFonts w:hint="eastAsia" w:ascii="仿宋_GB2312" w:eastAsia="仿宋_GB2312"/>
          <w:sz w:val="32"/>
          <w:szCs w:val="32"/>
        </w:rPr>
        <w:t>人(其中</w:t>
      </w:r>
      <w:r>
        <w:rPr>
          <w:rFonts w:hint="eastAsia" w:ascii="仿宋_GB2312" w:eastAsia="仿宋_GB2312"/>
          <w:sz w:val="32"/>
          <w:szCs w:val="32"/>
          <w:lang w:val="en-US" w:eastAsia="zh-CN"/>
        </w:rPr>
        <w:t>中心主任</w:t>
      </w:r>
      <w:r>
        <w:rPr>
          <w:rFonts w:hint="eastAsia" w:ascii="仿宋_GB2312" w:eastAsia="仿宋_GB2312"/>
          <w:sz w:val="32"/>
          <w:szCs w:val="32"/>
        </w:rPr>
        <w:t>1名，</w:t>
      </w:r>
      <w:r>
        <w:rPr>
          <w:rFonts w:hint="eastAsia" w:ascii="仿宋_GB2312" w:eastAsia="仿宋_GB2312"/>
          <w:sz w:val="32"/>
          <w:szCs w:val="32"/>
          <w:lang w:val="en-US" w:eastAsia="zh-CN"/>
        </w:rPr>
        <w:t>中心副主任</w:t>
      </w:r>
      <w:r>
        <w:rPr>
          <w:rFonts w:hint="eastAsia" w:ascii="仿宋_GB2312" w:eastAsia="仿宋_GB2312"/>
          <w:sz w:val="32"/>
          <w:szCs w:val="32"/>
        </w:rPr>
        <w:t>2名、其他人员1</w:t>
      </w:r>
      <w:r>
        <w:rPr>
          <w:rFonts w:hint="eastAsia" w:ascii="仿宋_GB2312" w:eastAsia="仿宋_GB2312"/>
          <w:sz w:val="32"/>
          <w:szCs w:val="32"/>
          <w:lang w:val="en-US" w:eastAsia="zh-CN"/>
        </w:rPr>
        <w:t>2</w:t>
      </w:r>
      <w:r>
        <w:rPr>
          <w:rFonts w:hint="eastAsia" w:ascii="仿宋_GB2312" w:eastAsia="仿宋_GB2312"/>
          <w:sz w:val="32"/>
          <w:szCs w:val="32"/>
        </w:rPr>
        <w:t>名)、</w:t>
      </w:r>
      <w:r>
        <w:rPr>
          <w:rFonts w:hint="eastAsia" w:ascii="仿宋_GB2312" w:eastAsia="仿宋_GB2312"/>
          <w:sz w:val="32"/>
          <w:szCs w:val="32"/>
          <w:lang w:val="en-US" w:eastAsia="zh-CN"/>
        </w:rPr>
        <w:t>后勤控制数4人、</w:t>
      </w:r>
      <w:r>
        <w:rPr>
          <w:rFonts w:hint="eastAsia" w:ascii="仿宋_GB2312" w:eastAsia="仿宋_GB2312"/>
          <w:sz w:val="32"/>
          <w:szCs w:val="32"/>
        </w:rPr>
        <w:t>政府购买1人，临时聘用人员</w:t>
      </w:r>
      <w:r>
        <w:rPr>
          <w:rFonts w:hint="eastAsia" w:ascii="仿宋_GB2312" w:eastAsia="仿宋_GB2312"/>
          <w:sz w:val="32"/>
          <w:szCs w:val="32"/>
          <w:lang w:val="en-US" w:eastAsia="zh-CN"/>
        </w:rPr>
        <w:t>39</w:t>
      </w:r>
      <w:r>
        <w:rPr>
          <w:rFonts w:hint="eastAsia" w:ascii="仿宋_GB2312" w:eastAsia="仿宋_GB2312"/>
          <w:sz w:val="32"/>
          <w:szCs w:val="32"/>
        </w:rPr>
        <w:t>人，退休人员2</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eastAsia="zh-CN"/>
        </w:rPr>
        <w:t>。</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tbl>
      <w:tblPr>
        <w:tblStyle w:val="6"/>
        <w:tblW w:w="228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4"/>
        <w:gridCol w:w="966"/>
        <w:gridCol w:w="1543"/>
        <w:gridCol w:w="4847"/>
        <w:gridCol w:w="1371"/>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3472"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环江毛南族自治县机关事务服务中心</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45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9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9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45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部门：广西河池市环江毛南族自治县机关事务服务中心</w:t>
            </w:r>
          </w:p>
        </w:tc>
        <w:tc>
          <w:tcPr>
            <w:tcW w:w="9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8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9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9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509"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958.13</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961.89</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961.89</w:t>
            </w:r>
          </w:p>
        </w:tc>
        <w:tc>
          <w:tcPr>
            <w:tcW w:w="4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3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72"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472"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p>
    <w:tbl>
      <w:tblPr>
        <w:tblStyle w:val="6"/>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8"/>
        <w:gridCol w:w="222"/>
        <w:gridCol w:w="240"/>
        <w:gridCol w:w="2052"/>
        <w:gridCol w:w="1010"/>
        <w:gridCol w:w="1309"/>
        <w:gridCol w:w="1153"/>
        <w:gridCol w:w="1020"/>
        <w:gridCol w:w="819"/>
        <w:gridCol w:w="873"/>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078"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4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6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41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部门：广西河池市环江毛南族自治县机关事务服务中心</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6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1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0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1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7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6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8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5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1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52"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52"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93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93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961.89</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961.89</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95.54</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95.54</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3.31</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2013801</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9.92</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9.91</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26.54</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26.54</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33.55</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488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13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8"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both"/>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8"/>
        <w:gridCol w:w="222"/>
        <w:gridCol w:w="240"/>
        <w:gridCol w:w="2197"/>
        <w:gridCol w:w="1504"/>
        <w:gridCol w:w="1099"/>
        <w:gridCol w:w="1116"/>
        <w:gridCol w:w="845"/>
        <w:gridCol w:w="723"/>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078"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62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62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部门：广西河池市环江毛南族自治县机关事务服务中心</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1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0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9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9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9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97"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04"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8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8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961.89</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532.13</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429.76</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95.54</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95.54</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2013801</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9.92</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9.92</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26.54</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26.54</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9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10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8"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tbl>
      <w:tblPr>
        <w:tblStyle w:val="6"/>
        <w:tblW w:w="11212" w:type="pct"/>
        <w:tblInd w:w="0" w:type="dxa"/>
        <w:tblLayout w:type="fixed"/>
        <w:tblCellMar>
          <w:top w:w="0" w:type="dxa"/>
          <w:left w:w="108" w:type="dxa"/>
          <w:bottom w:w="0" w:type="dxa"/>
          <w:right w:w="108" w:type="dxa"/>
        </w:tblCellMar>
      </w:tblPr>
      <w:tblGrid>
        <w:gridCol w:w="2818"/>
        <w:gridCol w:w="703"/>
        <w:gridCol w:w="1226"/>
        <w:gridCol w:w="2524"/>
        <w:gridCol w:w="782"/>
        <w:gridCol w:w="1172"/>
        <w:gridCol w:w="1099"/>
        <w:gridCol w:w="987"/>
        <w:gridCol w:w="844"/>
        <w:gridCol w:w="366"/>
        <w:gridCol w:w="6019"/>
        <w:gridCol w:w="7952"/>
        <w:gridCol w:w="5292"/>
      </w:tblGrid>
      <w:tr>
        <w:tblPrEx>
          <w:tblCellMar>
            <w:top w:w="0" w:type="dxa"/>
            <w:left w:w="108" w:type="dxa"/>
            <w:bottom w:w="0" w:type="dxa"/>
            <w:right w:w="108" w:type="dxa"/>
          </w:tblCellMar>
        </w:tblPrEx>
        <w:trPr>
          <w:gridAfter w:val="1"/>
          <w:wAfter w:w="5292" w:type="dxa"/>
          <w:trHeight w:val="520" w:hRule="atLeast"/>
        </w:trPr>
        <w:tc>
          <w:tcPr>
            <w:tcW w:w="1252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c>
          <w:tcPr>
            <w:tcW w:w="13971"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30"/>
                <w:szCs w:val="30"/>
                <w:u w:val="none"/>
                <w:lang w:val="en-US" w:eastAsia="zh-CN" w:bidi="ar"/>
              </w:rPr>
            </w:pPr>
          </w:p>
        </w:tc>
      </w:tr>
      <w:tr>
        <w:tblPrEx>
          <w:tblCellMar>
            <w:top w:w="0" w:type="dxa"/>
            <w:left w:w="108" w:type="dxa"/>
            <w:bottom w:w="0" w:type="dxa"/>
            <w:right w:w="108" w:type="dxa"/>
          </w:tblCellMar>
        </w:tblPrEx>
        <w:trPr>
          <w:trHeight w:val="260" w:hRule="atLeast"/>
        </w:trPr>
        <w:tc>
          <w:tcPr>
            <w:tcW w:w="28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22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0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229"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公开04表</w:t>
            </w:r>
          </w:p>
        </w:tc>
        <w:tc>
          <w:tcPr>
            <w:tcW w:w="1324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60" w:hRule="atLeast"/>
        </w:trPr>
        <w:tc>
          <w:tcPr>
            <w:tcW w:w="2818"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部门：广西河池市环江毛南族自治县机关事务服务中心</w:t>
            </w:r>
          </w:p>
        </w:tc>
        <w:tc>
          <w:tcPr>
            <w:tcW w:w="70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226"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52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8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17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109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98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7229" w:type="dxa"/>
            <w:gridSpan w:val="3"/>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c>
          <w:tcPr>
            <w:tcW w:w="13244"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5292" w:type="dxa"/>
          <w:trHeight w:val="268" w:hRule="atLeast"/>
        </w:trPr>
        <w:tc>
          <w:tcPr>
            <w:tcW w:w="47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77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c>
          <w:tcPr>
            <w:tcW w:w="139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41" w:hRule="atLeast"/>
        </w:trPr>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36" w:hRule="atLeast"/>
        </w:trPr>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rPr>
            </w:pP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958.12</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715.02</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715.02</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3.77</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tabs>
                <w:tab w:val="left" w:pos="1777"/>
                <w:tab w:val="right" w:pos="2578"/>
              </w:tabs>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26.55</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26.55</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143.85</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143.85</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3.77</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3.77</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35.56</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35.56</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39.15</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39.15</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24</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25</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26</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961.89</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961.89</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961.89</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rPr>
            </w:pP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8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961.89</w:t>
            </w:r>
          </w:p>
        </w:tc>
        <w:tc>
          <w:tcPr>
            <w:tcW w:w="25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961.89</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961.89</w:t>
            </w: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0.00</w:t>
            </w:r>
          </w:p>
        </w:tc>
        <w:tc>
          <w:tcPr>
            <w:tcW w:w="72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32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gridAfter w:val="1"/>
          <w:wAfter w:w="5292" w:type="dxa"/>
          <w:trHeight w:val="268" w:hRule="atLeast"/>
        </w:trPr>
        <w:tc>
          <w:tcPr>
            <w:tcW w:w="1215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39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5292" w:type="dxa"/>
          <w:trHeight w:val="268" w:hRule="atLeast"/>
        </w:trPr>
        <w:tc>
          <w:tcPr>
            <w:tcW w:w="12521" w:type="dxa"/>
            <w:gridSpan w:val="10"/>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20"/>
                <w:szCs w:val="20"/>
                <w:highlight w:val="none"/>
              </w:rPr>
            </w:pPr>
          </w:p>
        </w:tc>
        <w:tc>
          <w:tcPr>
            <w:tcW w:w="13971" w:type="dxa"/>
            <w:gridSpan w:val="2"/>
            <w:tcBorders>
              <w:top w:val="single" w:color="auto" w:sz="4" w:space="0"/>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30"/>
                <w:szCs w:val="30"/>
                <w:u w:val="none"/>
                <w:lang w:val="en-US" w:eastAsia="zh-CN" w:bidi="ar"/>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2"/>
                <w:szCs w:val="32"/>
                <w:highlight w:val="none"/>
                <w:lang w:bidi="ar"/>
              </w:rPr>
            </w:pPr>
            <w:r>
              <w:rPr>
                <w:rFonts w:hint="eastAsia" w:ascii="宋体" w:hAnsi="宋体" w:eastAsia="宋体" w:cs="宋体"/>
                <w:color w:val="000000"/>
                <w:kern w:val="0"/>
                <w:sz w:val="32"/>
                <w:szCs w:val="32"/>
                <w:highlight w:val="none"/>
                <w:lang w:bidi="ar"/>
              </w:rPr>
              <w:t>一般公共预算财政拨款支出决算表</w:t>
            </w:r>
          </w:p>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000000"/>
                <w:kern w:val="0"/>
                <w:sz w:val="22"/>
                <w:szCs w:val="22"/>
                <w:highlight w:val="none"/>
                <w:lang w:val="en-US" w:bidi="ar"/>
              </w:rPr>
            </w:pPr>
            <w:r>
              <w:rPr>
                <w:rFonts w:hint="default" w:ascii="宋体" w:hAnsi="宋体" w:eastAsia="宋体" w:cs="宋体"/>
                <w:color w:val="000000"/>
                <w:kern w:val="0"/>
                <w:sz w:val="22"/>
                <w:szCs w:val="22"/>
                <w:highlight w:val="none"/>
                <w:lang w:val="en-US" w:bidi="ar"/>
              </w:rPr>
              <w:t xml:space="preserve">部门：广西河池市环江毛南族自治县机关事务服务中心                      </w:t>
            </w:r>
            <w:r>
              <w:rPr>
                <w:rFonts w:hint="eastAsia" w:ascii="宋体" w:hAnsi="宋体" w:eastAsia="宋体" w:cs="宋体"/>
                <w:color w:val="000000"/>
                <w:kern w:val="0"/>
                <w:sz w:val="22"/>
                <w:szCs w:val="22"/>
                <w:highlight w:val="none"/>
                <w:lang w:val="en-US" w:eastAsia="zh-CN" w:bidi="ar"/>
              </w:rPr>
              <w:t xml:space="preserve">                                     </w:t>
            </w:r>
            <w:r>
              <w:rPr>
                <w:rFonts w:hint="default" w:ascii="宋体" w:hAnsi="宋体" w:eastAsia="宋体" w:cs="宋体"/>
                <w:color w:val="000000"/>
                <w:kern w:val="0"/>
                <w:sz w:val="22"/>
                <w:szCs w:val="22"/>
                <w:highlight w:val="none"/>
                <w:lang w:val="en-US" w:bidi="ar"/>
              </w:rPr>
              <w:t xml:space="preserve"> 金额单位：万元</w:t>
            </w:r>
          </w:p>
          <w:tbl>
            <w:tblPr>
              <w:tblStyle w:val="6"/>
              <w:tblW w:w="1367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35"/>
              <w:gridCol w:w="287"/>
              <w:gridCol w:w="422"/>
              <w:gridCol w:w="1252"/>
              <w:gridCol w:w="866"/>
              <w:gridCol w:w="784"/>
              <w:gridCol w:w="676"/>
              <w:gridCol w:w="1014"/>
              <w:gridCol w:w="1048"/>
              <w:gridCol w:w="916"/>
              <w:gridCol w:w="1062"/>
              <w:gridCol w:w="963"/>
              <w:gridCol w:w="980"/>
              <w:gridCol w:w="459"/>
              <w:gridCol w:w="866"/>
              <w:gridCol w:w="866"/>
              <w:gridCol w:w="867"/>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和结余</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70"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00" w:hRule="atLeast"/>
              </w:trPr>
              <w:tc>
                <w:tcPr>
                  <w:tcW w:w="1049"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34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5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34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958.13</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532.13</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426</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958.13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532.13</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426</w:t>
                  </w: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419.64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419.64</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95.54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95.54</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95.54</w:t>
                  </w: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186.60</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186.60</w:t>
                  </w: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9.92</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26.55</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26.55</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26.55</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143.85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143.85</w:t>
                  </w: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33.56</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00" w:hRule="atLeast"/>
              </w:trPr>
              <w:tc>
                <w:tcPr>
                  <w:tcW w:w="104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00" w:hRule="atLeast"/>
              </w:trPr>
              <w:tc>
                <w:tcPr>
                  <w:tcW w:w="13667" w:type="dxa"/>
                  <w:gridSpan w:val="18"/>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kern w:val="0"/>
                <w:sz w:val="32"/>
                <w:szCs w:val="32"/>
                <w:highlight w:val="none"/>
                <w:lang w:bidi="ar"/>
              </w:rPr>
            </w:pP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hint="eastAsia" w:ascii="仿宋" w:hAnsi="仿宋" w:eastAsia="仿宋" w:cs="仿宋"/>
          <w:sz w:val="24"/>
          <w:highlight w:val="none"/>
          <w:lang w:val="en-US" w:eastAsia="zh-CN"/>
        </w:rPr>
      </w:pPr>
    </w:p>
    <w:p>
      <w:pP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kern w:val="0"/>
                <w:sz w:val="22"/>
                <w:szCs w:val="22"/>
                <w:highlight w:val="none"/>
                <w:lang w:val="en-US" w:bidi="ar"/>
              </w:rPr>
              <w:t xml:space="preserve">广西河池市环江毛南族自治县机关事务服务中心 </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252.52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221.15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78.94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34.87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47.95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44.54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29.40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4.82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33.56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28.45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28.27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172.68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38.72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310.98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221.15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bookmarkStart w:id="2" w:name="OLE_LINK5"/>
            <w:r>
              <w:rPr>
                <w:rFonts w:hint="default" w:ascii="宋体" w:hAnsi="宋体" w:eastAsia="宋体" w:cs="宋体"/>
                <w:color w:val="000000"/>
                <w:kern w:val="0"/>
                <w:sz w:val="22"/>
                <w:szCs w:val="22"/>
                <w:highlight w:val="none"/>
                <w:lang w:val="en-US" w:bidi="ar"/>
              </w:rPr>
              <w:t xml:space="preserve">广西河池市环江毛南族自治县机关事务服务中心 </w:t>
            </w:r>
            <w:bookmarkEnd w:id="2"/>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53"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3.77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2121903</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城市建设支出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3.77</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kern w:val="0"/>
                <w:sz w:val="22"/>
                <w:szCs w:val="22"/>
                <w:highlight w:val="none"/>
                <w:lang w:val="en-US" w:bidi="ar"/>
              </w:rPr>
              <w:t xml:space="preserve">广西河池市环江毛南族自治县机关事务服务中心 </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kern w:val="0"/>
                <w:sz w:val="22"/>
                <w:szCs w:val="22"/>
                <w:highlight w:val="none"/>
                <w:lang w:val="en-US" w:bidi="ar"/>
              </w:rPr>
              <w:t xml:space="preserve">广西河池市环江毛南族自治县机关事务服务中心 </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1.01</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95.54</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149.50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0.5</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275.33</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95.54</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center"/>
              <w:rPr>
                <w:rFonts w:hint="default" w:eastAsiaTheme="minorEastAsia"/>
                <w:highlight w:val="none"/>
                <w:lang w:val="en-US" w:eastAsia="zh-CN"/>
              </w:rPr>
            </w:pPr>
            <w:r>
              <w:rPr>
                <w:rFonts w:hint="eastAsia" w:ascii="宋体" w:hAnsi="宋体" w:eastAsia="宋体" w:cs="宋体"/>
                <w:sz w:val="22"/>
                <w:szCs w:val="22"/>
                <w:highlight w:val="none"/>
                <w:lang w:val="en-US" w:eastAsia="zh-CN"/>
              </w:rPr>
              <w:t>179.29</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0.5</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环江毛南族自治县机关事务服务中心2023</w:t>
      </w:r>
      <w:r>
        <w:rPr>
          <w:rFonts w:hint="eastAsia" w:ascii="黑体" w:hAnsi="黑体" w:eastAsia="黑体" w:cs="黑体"/>
          <w:sz w:val="32"/>
          <w:szCs w:val="32"/>
          <w:highlight w:val="none"/>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961.89</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961.89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105.03</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9.84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958.12</w:t>
      </w:r>
      <w:r>
        <w:rPr>
          <w:rFonts w:hint="eastAsia" w:ascii="仿宋_GB2312" w:eastAsia="仿宋_GB2312" w:cs="仿宋_GB2312"/>
          <w:kern w:val="0"/>
          <w:sz w:val="32"/>
          <w:szCs w:val="32"/>
        </w:rPr>
        <w:t>万元，</w:t>
      </w:r>
      <w:r>
        <w:rPr>
          <w:rFonts w:hint="eastAsia" w:ascii="仿宋" w:hAnsi="仿宋" w:eastAsia="仿宋" w:cs="仿宋"/>
          <w:kern w:val="2"/>
          <w:sz w:val="32"/>
          <w:szCs w:val="32"/>
          <w:highlight w:val="none"/>
          <w:lang w:val="en-US" w:eastAsia="zh-CN" w:bidi="ar"/>
        </w:rPr>
        <w:t>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108.8</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10.19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项目资金的减少</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3.77</w:t>
      </w:r>
      <w:r>
        <w:rPr>
          <w:rFonts w:hint="eastAsia" w:ascii="仿宋_GB2312" w:eastAsia="仿宋_GB2312" w:cs="仿宋_GB2312"/>
          <w:kern w:val="0"/>
          <w:sz w:val="32"/>
          <w:szCs w:val="32"/>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3.77</w:t>
      </w:r>
      <w:r>
        <w:rPr>
          <w:rFonts w:hint="eastAsia" w:ascii="仿宋_GB2312" w:hAnsi="黑体" w:eastAsia="仿宋_GB2312" w:cs="仿宋_GB2312"/>
          <w:kern w:val="0"/>
          <w:sz w:val="32"/>
          <w:szCs w:val="32"/>
        </w:rPr>
        <w:t>元，增长</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财政拨付政府性基金偿还企业欠款</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2023年度无国有资产经营预算财政拨款收入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2023年度无事业收入</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2023年度无经营收入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2023年度无其他收入</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2023年度无非财政拨款结余</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2023年度无上年结转和结余</w:t>
      </w:r>
      <w:r>
        <w:rPr>
          <w:rFonts w:hint="eastAsia" w:ascii="仿宋_GB2312" w:hAnsi="黑体" w:eastAsia="仿宋_GB2312" w:cs="仿宋_GB2312"/>
          <w:kern w:val="0"/>
          <w:sz w:val="32"/>
          <w:szCs w:val="32"/>
        </w:rPr>
        <w:t>。</w:t>
      </w:r>
    </w:p>
    <w:p>
      <w:pPr>
        <w:autoSpaceDE w:val="0"/>
        <w:autoSpaceDN w:val="0"/>
        <w:adjustRightInd w:val="0"/>
        <w:spacing w:line="240" w:lineRule="auto"/>
        <w:jc w:val="both"/>
        <w:rPr>
          <w:rFonts w:hint="eastAsia" w:eastAsiaTheme="minorEastAsia"/>
          <w:lang w:eastAsia="zh-CN"/>
        </w:rPr>
      </w:pPr>
      <w:r>
        <w:rPr>
          <w:rFonts w:hint="eastAsia" w:eastAsiaTheme="minorEastAsia"/>
          <w:lang w:eastAsia="zh-CN"/>
        </w:rPr>
        <w:drawing>
          <wp:inline distT="0" distB="0" distL="114300" distR="114300">
            <wp:extent cx="4716145" cy="4020185"/>
            <wp:effectExtent l="0" t="0" r="8255" b="317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6"/>
                    <a:stretch>
                      <a:fillRect/>
                    </a:stretch>
                  </pic:blipFill>
                  <pic:spPr>
                    <a:xfrm>
                      <a:off x="0" y="0"/>
                      <a:ext cx="4716145" cy="4020185"/>
                    </a:xfrm>
                    <a:prstGeom prst="rect">
                      <a:avLst/>
                    </a:prstGeom>
                  </pic:spPr>
                </pic:pic>
              </a:graphicData>
            </a:graphic>
          </wp:inline>
        </w:drawing>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961.88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961.88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105.03</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9.84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715.02</w:t>
      </w:r>
      <w:r>
        <w:rPr>
          <w:rFonts w:hint="eastAsia" w:ascii="仿宋_GB2312" w:eastAsia="仿宋_GB2312" w:cs="仿宋_GB2312"/>
          <w:kern w:val="0"/>
          <w:sz w:val="32"/>
          <w:szCs w:val="32"/>
        </w:rPr>
        <w:t>万元：主要用于</w:t>
      </w:r>
      <w:r>
        <w:rPr>
          <w:rFonts w:hint="eastAsia" w:ascii="仿宋" w:hAnsi="仿宋" w:eastAsia="仿宋"/>
          <w:sz w:val="32"/>
          <w:szCs w:val="32"/>
        </w:rPr>
        <w:t>主要用于本部门为保证日常运转发生的基本支出和为完成各项工作任务、保障</w:t>
      </w:r>
      <w:r>
        <w:rPr>
          <w:rFonts w:hint="eastAsia" w:ascii="仿宋" w:hAnsi="仿宋" w:eastAsia="仿宋" w:cs="仿宋_GB2312"/>
          <w:kern w:val="0"/>
          <w:sz w:val="32"/>
          <w:szCs w:val="32"/>
        </w:rPr>
        <w:t>单位事业</w:t>
      </w:r>
      <w:r>
        <w:rPr>
          <w:rFonts w:hint="eastAsia" w:ascii="仿宋" w:hAnsi="仿宋" w:eastAsia="仿宋"/>
          <w:sz w:val="32"/>
          <w:szCs w:val="32"/>
        </w:rPr>
        <w:t>发展而发生的项目支出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221.27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23.63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项目支出减少。</w:t>
      </w:r>
    </w:p>
    <w:p>
      <w:pPr>
        <w:autoSpaceDE w:val="0"/>
        <w:autoSpaceDN w:val="0"/>
        <w:adjustRightInd w:val="0"/>
        <w:spacing w:line="560" w:lineRule="exact"/>
        <w:ind w:firstLine="627" w:firstLineChars="196"/>
        <w:jc w:val="both"/>
        <w:rPr>
          <w:rFonts w:hint="eastAsia" w:ascii="仿宋" w:hAnsi="仿宋" w:eastAsia="仿宋" w:cs="仿宋"/>
          <w:kern w:val="0"/>
          <w:sz w:val="32"/>
          <w:szCs w:val="32"/>
          <w:lang w:val="en-US"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26.55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_GB2312"/>
          <w:kern w:val="0"/>
          <w:sz w:val="32"/>
          <w:szCs w:val="32"/>
        </w:rPr>
        <w:t>按照国家政策规定</w:t>
      </w:r>
      <w:r>
        <w:rPr>
          <w:rFonts w:hint="eastAsia" w:ascii="仿宋" w:hAnsi="仿宋" w:eastAsia="仿宋" w:cs="仿宋_GB2312"/>
          <w:kern w:val="0"/>
          <w:sz w:val="32"/>
          <w:szCs w:val="32"/>
          <w:lang w:val="en-US" w:eastAsia="zh-CN"/>
        </w:rPr>
        <w:t>为职工缴纳的基本养老保险缴费</w:t>
      </w:r>
      <w:r>
        <w:rPr>
          <w:rFonts w:hint="eastAsia" w:ascii="仿宋" w:hAnsi="仿宋" w:eastAsia="仿宋" w:cs="仿宋_GB2312"/>
          <w:spacing w:val="-3"/>
          <w:kern w:val="0"/>
          <w:sz w:val="32"/>
          <w:szCs w:val="32"/>
        </w:rPr>
        <w:t>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减少23.43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下降46.86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rPr>
        <w:t>主要原因</w:t>
      </w:r>
      <w:r>
        <w:rPr>
          <w:rFonts w:hint="eastAsia" w:ascii="仿宋" w:hAnsi="仿宋" w:eastAsia="仿宋" w:cs="仿宋"/>
          <w:kern w:val="0"/>
          <w:sz w:val="32"/>
          <w:szCs w:val="32"/>
          <w:lang w:val="en-US" w:eastAsia="zh-CN"/>
        </w:rPr>
        <w:t>是在职人员缴费基数的下降以及人员减少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 w:hAnsi="仿宋" w:eastAsia="仿宋" w:cs="仿宋"/>
          <w:kern w:val="0"/>
          <w:sz w:val="32"/>
          <w:szCs w:val="32"/>
          <w:lang w:val="en-US" w:eastAsia="zh-CN"/>
        </w:rPr>
        <w:t>3.卫生健康类支出（210类）143.85万元。</w:t>
      </w:r>
      <w:r>
        <w:rPr>
          <w:rFonts w:hint="eastAsia" w:ascii="仿宋_GB2312" w:eastAsia="仿宋_GB2312" w:cs="仿宋_GB2312"/>
          <w:kern w:val="0"/>
          <w:sz w:val="32"/>
          <w:szCs w:val="32"/>
          <w:lang w:val="en-US" w:eastAsia="zh-CN"/>
        </w:rPr>
        <w:t>主要用于：疫情防控经费支出。</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4.城乡社区支出（212）3.77万元。主要用于：行政会议中心地板更换经费支出。</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sz w:val="32"/>
          <w:szCs w:val="32"/>
          <w:highlight w:val="none"/>
          <w:lang w:bidi="ar"/>
        </w:rPr>
        <w:t>住房保障支出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bidi="ar"/>
        </w:rPr>
        <w:t>221</w:t>
      </w:r>
      <w:r>
        <w:rPr>
          <w:rFonts w:hint="eastAsia" w:ascii="仿宋_GB2312" w:hAnsi="仿宋_GB2312" w:eastAsia="仿宋_GB2312" w:cs="仿宋_GB2312"/>
          <w:highlight w:val="none"/>
          <w:lang w:bidi="ar"/>
        </w:rPr>
        <w:t xml:space="preserve"> </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bidi="ar"/>
        </w:rPr>
        <w:t>3</w:t>
      </w:r>
      <w:r>
        <w:rPr>
          <w:rFonts w:hint="eastAsia" w:ascii="仿宋_GB2312" w:hAnsi="仿宋_GB2312" w:eastAsia="仿宋_GB2312" w:cs="仿宋_GB2312"/>
          <w:sz w:val="32"/>
          <w:szCs w:val="32"/>
          <w:highlight w:val="none"/>
          <w:lang w:val="en-US" w:eastAsia="zh-CN" w:bidi="ar"/>
        </w:rPr>
        <w:t>3.56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按照国家政策规定向职工发放的住房公积金、提租补贴、购房补贴等住房改革方</w:t>
      </w:r>
      <w:r>
        <w:rPr>
          <w:rFonts w:hint="eastAsia" w:ascii="仿宋_GB2312" w:hAnsi="仿宋_GB2312" w:eastAsia="仿宋_GB2312" w:cs="仿宋_GB2312"/>
          <w:spacing w:val="-3"/>
          <w:kern w:val="0"/>
          <w:sz w:val="32"/>
          <w:szCs w:val="32"/>
        </w:rPr>
        <w:t>面的支出</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bidi="ar"/>
        </w:rPr>
        <w:t>增加</w:t>
      </w:r>
      <w:r>
        <w:rPr>
          <w:rFonts w:hint="eastAsia" w:ascii="仿宋_GB2312" w:hAnsi="仿宋_GB2312" w:eastAsia="仿宋_GB2312" w:cs="仿宋_GB2312"/>
          <w:sz w:val="32"/>
          <w:szCs w:val="32"/>
          <w:highlight w:val="none"/>
          <w:lang w:val="en-US" w:eastAsia="zh-CN" w:bidi="ar"/>
        </w:rPr>
        <w:t>2.26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bidi="ar"/>
        </w:rPr>
        <w:t>增长</w:t>
      </w:r>
      <w:r>
        <w:rPr>
          <w:rFonts w:hint="eastAsia" w:ascii="仿宋_GB2312" w:hAnsi="仿宋_GB2312" w:eastAsia="仿宋_GB2312" w:cs="仿宋_GB2312"/>
          <w:sz w:val="32"/>
          <w:szCs w:val="32"/>
          <w:highlight w:val="none"/>
          <w:lang w:val="en-US" w:eastAsia="zh-CN" w:bidi="ar"/>
        </w:rPr>
        <w:t>7.22</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在职人员增加2人，导致住房公积金的增加。</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sz w:val="32"/>
          <w:szCs w:val="32"/>
          <w:highlight w:val="none"/>
          <w:lang w:bidi="ar"/>
        </w:rPr>
        <w:t>其他支出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bidi="ar"/>
        </w:rPr>
        <w:t>229</w:t>
      </w:r>
      <w:r>
        <w:rPr>
          <w:rFonts w:hint="eastAsia" w:ascii="仿宋_GB2312" w:hAnsi="仿宋_GB2312" w:eastAsia="仿宋_GB2312" w:cs="仿宋_GB2312"/>
          <w:highlight w:val="none"/>
          <w:lang w:bidi="ar"/>
        </w:rPr>
        <w:t xml:space="preserve"> </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sz w:val="32"/>
          <w:szCs w:val="32"/>
          <w:highlight w:val="none"/>
          <w:lang w:val="en-US" w:eastAsia="zh-CN" w:bidi="ar"/>
        </w:rPr>
        <w:t>39.15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年度绩效考评支出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bidi="ar"/>
        </w:rPr>
        <w:t>减少17.01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bidi="ar"/>
        </w:rPr>
        <w:t>下降25.63%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auto"/>
          <w:kern w:val="2"/>
          <w:sz w:val="32"/>
          <w:szCs w:val="32"/>
          <w:highlight w:val="none"/>
          <w:lang w:val="en-US" w:eastAsia="zh-CN" w:bidi="ar"/>
        </w:rPr>
        <w:t>本年度绩效考评支出减少及疫情防控经费支出减少。</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color="auto" w:fill="FFFFFF"/>
        </w:rPr>
        <w:t>结余分配</w:t>
      </w:r>
      <w:r>
        <w:rPr>
          <w:rFonts w:hint="eastAsia" w:ascii="仿宋_GB2312" w:hAnsi="仿宋_GB2312" w:eastAsia="仿宋_GB2312" w:cs="仿宋_GB2312"/>
          <w:color w:val="000000"/>
          <w:sz w:val="32"/>
          <w:szCs w:val="32"/>
          <w:highlight w:val="none"/>
          <w:shd w:val="clear" w:color="auto" w:fill="FFFFFF"/>
        </w:rPr>
        <w:t>0.00</w:t>
      </w:r>
      <w:r>
        <w:rPr>
          <w:rFonts w:hint="eastAsia" w:ascii="仿宋_GB2312" w:hAnsi="仿宋_GB2312" w:eastAsia="仿宋_GB2312" w:cs="仿宋_GB2312"/>
          <w:i w:val="0"/>
          <w:iCs w:val="0"/>
          <w:caps w:val="0"/>
          <w:color w:val="000000"/>
          <w:spacing w:val="0"/>
          <w:sz w:val="32"/>
          <w:szCs w:val="32"/>
          <w:highlight w:val="none"/>
          <w:shd w:val="clear" w:color="auto" w:fill="FFFFFF"/>
        </w:rPr>
        <w:t>万元，为事业单位按规定提取的专用结余、缴纳所得税和转入非财政拨款结余等。较202</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color="auto" w:fill="FFFFFF"/>
        </w:rPr>
        <w:t>年决算</w:t>
      </w:r>
      <w:r>
        <w:rPr>
          <w:rFonts w:hint="eastAsia" w:ascii="仿宋_GB2312" w:hAnsi="仿宋_GB2312" w:eastAsia="仿宋_GB2312" w:cs="仿宋_GB2312"/>
          <w:color w:val="000000"/>
          <w:sz w:val="32"/>
          <w:szCs w:val="32"/>
          <w:highlight w:val="none"/>
          <w:shd w:val="clear" w:color="auto" w:fill="FFFFFF"/>
        </w:rPr>
        <w:t>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color w:val="000000"/>
          <w:sz w:val="32"/>
          <w:szCs w:val="32"/>
          <w:highlight w:val="none"/>
          <w:shd w:val="clear" w:color="auto" w:fill="FFFFFF"/>
        </w:rPr>
        <w:t>增加0.00</w:t>
      </w:r>
      <w:r>
        <w:rPr>
          <w:rFonts w:hint="eastAsia" w:ascii="仿宋_GB2312" w:hAnsi="仿宋_GB2312" w:eastAsia="仿宋_GB2312" w:cs="仿宋_GB2312"/>
          <w:i w:val="0"/>
          <w:iCs w:val="0"/>
          <w:caps w:val="0"/>
          <w:color w:val="000000"/>
          <w:spacing w:val="0"/>
          <w:sz w:val="32"/>
          <w:szCs w:val="32"/>
          <w:highlight w:val="none"/>
          <w:shd w:val="clear" w:color="auto" w:fill="FFFFFF"/>
        </w:rPr>
        <w:t>万元，</w:t>
      </w:r>
      <w:r>
        <w:rPr>
          <w:rFonts w:hint="eastAsia" w:ascii="仿宋_GB2312" w:hAnsi="仿宋_GB2312" w:eastAsia="仿宋_GB2312" w:cs="仿宋_GB2312"/>
          <w:color w:val="000000"/>
          <w:sz w:val="32"/>
          <w:szCs w:val="32"/>
          <w:highlight w:val="none"/>
          <w:shd w:val="clear" w:color="auto" w:fill="FFFFFF"/>
        </w:rPr>
        <w:t>增长0%</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14:textFill>
            <w14:solidFill>
              <w14:schemeClr w14:val="tx1"/>
            </w14:solidFill>
          </w14:textFill>
        </w:rPr>
        <w:t>主要原因是</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
        </w:rPr>
        <w:t>我单位无此项经费收入。</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我单位资金无结余。</w:t>
      </w:r>
    </w:p>
    <w:p>
      <w:pPr>
        <w:autoSpaceDE w:val="0"/>
        <w:autoSpaceDN w:val="0"/>
        <w:adjustRightInd w:val="0"/>
        <w:spacing w:line="240" w:lineRule="auto"/>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drawing>
          <wp:inline distT="0" distB="0" distL="114300" distR="114300">
            <wp:extent cx="5753100" cy="3237865"/>
            <wp:effectExtent l="0" t="0" r="7620" b="825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7"/>
                    <a:stretch>
                      <a:fillRect/>
                    </a:stretch>
                  </pic:blipFill>
                  <pic:spPr>
                    <a:xfrm>
                      <a:off x="0" y="0"/>
                      <a:ext cx="5753100" cy="3237865"/>
                    </a:xfrm>
                    <a:prstGeom prst="rect">
                      <a:avLst/>
                    </a:prstGeom>
                  </pic:spPr>
                </pic:pic>
              </a:graphicData>
            </a:graphic>
          </wp:inline>
        </w:drawing>
      </w:r>
    </w:p>
    <w:p>
      <w:pPr>
        <w:autoSpaceDE w:val="0"/>
        <w:autoSpaceDN w:val="0"/>
        <w:adjustRightInd w:val="0"/>
        <w:spacing w:line="240" w:lineRule="auto"/>
        <w:ind w:firstLine="627" w:firstLineChars="196"/>
        <w:jc w:val="both"/>
        <w:rPr>
          <w:rFonts w:hint="eastAsia" w:ascii="仿宋_GB2312" w:eastAsia="仿宋_GB2312" w:cs="仿宋_GB2312"/>
          <w:kern w:val="0"/>
          <w:sz w:val="32"/>
          <w:szCs w:val="32"/>
          <w:lang w:eastAsia="zh-CN"/>
        </w:rPr>
      </w:pPr>
    </w:p>
    <w:p>
      <w:pPr>
        <w:autoSpaceDE w:val="0"/>
        <w:autoSpaceDN w:val="0"/>
        <w:adjustRightInd w:val="0"/>
        <w:spacing w:line="240" w:lineRule="auto"/>
        <w:ind w:firstLine="627" w:firstLineChars="196"/>
        <w:jc w:val="both"/>
        <w:rPr>
          <w:rFonts w:hint="eastAsia" w:ascii="仿宋_GB2312" w:eastAsia="仿宋_GB2312" w:cs="仿宋_GB2312"/>
          <w:kern w:val="0"/>
          <w:sz w:val="32"/>
          <w:szCs w:val="32"/>
          <w:lang w:eastAsia="zh-CN"/>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961.89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w:t>
      </w:r>
      <w:r>
        <w:rPr>
          <w:rFonts w:hint="eastAsia" w:ascii="仿宋_GB2312" w:eastAsia="仿宋_GB2312" w:cs="仿宋_GB2312"/>
          <w:kern w:val="0"/>
          <w:sz w:val="32"/>
          <w:szCs w:val="32"/>
          <w:lang w:val="en-US" w:eastAsia="zh-CN"/>
        </w:rPr>
        <w:t>105.03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w:t>
      </w:r>
      <w:r>
        <w:rPr>
          <w:rFonts w:hint="eastAsia" w:ascii="仿宋_GB2312" w:eastAsia="仿宋_GB2312" w:cs="仿宋_GB2312"/>
          <w:kern w:val="0"/>
          <w:sz w:val="32"/>
          <w:szCs w:val="32"/>
          <w:lang w:val="en-US" w:eastAsia="zh-CN"/>
        </w:rPr>
        <w:t>9.84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532.13</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429.76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718.48</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961.89</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133.88</w:t>
      </w:r>
      <w:r>
        <w:rPr>
          <w:rFonts w:hint="eastAsia" w:ascii="仿宋_GB2312" w:hAnsi="黑体" w:eastAsia="仿宋_GB2312" w:cs="仿宋_GB2312"/>
          <w:kern w:val="0"/>
          <w:sz w:val="32"/>
          <w:szCs w:val="32"/>
        </w:rPr>
        <w:t>%。</w:t>
      </w:r>
    </w:p>
    <w:p>
      <w:pPr>
        <w:numPr>
          <w:ilvl w:val="0"/>
          <w:numId w:val="1"/>
        </w:numPr>
        <w:autoSpaceDE w:val="0"/>
        <w:autoSpaceDN w:val="0"/>
        <w:adjustRightInd w:val="0"/>
        <w:spacing w:line="560" w:lineRule="exact"/>
        <w:ind w:firstLine="627" w:firstLineChars="196"/>
        <w:jc w:val="both"/>
        <w:rPr>
          <w:rFonts w:hint="eastAsia" w:ascii="仿宋" w:hAnsi="仿宋" w:eastAsia="仿宋" w:cs="仿宋"/>
          <w:color w:val="auto"/>
          <w:kern w:val="2"/>
          <w:sz w:val="32"/>
          <w:szCs w:val="32"/>
          <w:highlight w:val="none"/>
          <w:lang w:val="en-US" w:eastAsia="zh-CN" w:bidi="ar"/>
        </w:rPr>
      </w:pP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201类</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714.46</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715.01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 w:hAnsi="仿宋" w:eastAsia="仿宋"/>
          <w:color w:val="auto"/>
          <w:sz w:val="32"/>
          <w:szCs w:val="32"/>
          <w:highlight w:val="none"/>
          <w:lang w:val="en-US" w:eastAsia="zh-CN"/>
        </w:rPr>
        <w:t>人员增加及</w:t>
      </w:r>
      <w:r>
        <w:rPr>
          <w:rFonts w:hint="eastAsia" w:ascii="仿宋" w:hAnsi="仿宋" w:eastAsia="仿宋" w:cs="仿宋"/>
          <w:color w:val="auto"/>
          <w:kern w:val="2"/>
          <w:sz w:val="32"/>
          <w:szCs w:val="32"/>
          <w:highlight w:val="none"/>
          <w:lang w:val="en-US" w:eastAsia="zh-CN" w:bidi="ar"/>
        </w:rPr>
        <w:t>项目经费的增加。</w:t>
      </w:r>
    </w:p>
    <w:p>
      <w:pPr>
        <w:numPr>
          <w:ilvl w:val="0"/>
          <w:numId w:val="0"/>
        </w:numPr>
        <w:autoSpaceDE w:val="0"/>
        <w:autoSpaceDN w:val="0"/>
        <w:adjustRightInd w:val="0"/>
        <w:spacing w:line="560" w:lineRule="exact"/>
        <w:jc w:val="both"/>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支出具体情况如下：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354.85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419.64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118.263%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bCs/>
                <w:kern w:val="0"/>
                <w:sz w:val="24"/>
                <w:szCs w:val="24"/>
              </w:rPr>
              <w:t>主要用于本部门为保证日常运转发生的基本支出，如根据国家及自治区规定</w:t>
            </w:r>
            <w:r>
              <w:rPr>
                <w:rFonts w:hint="eastAsia" w:ascii="仿宋" w:hAnsi="仿宋" w:eastAsia="仿宋" w:cs="仿宋"/>
                <w:bCs/>
                <w:spacing w:val="-3"/>
                <w:kern w:val="0"/>
                <w:sz w:val="24"/>
                <w:szCs w:val="24"/>
              </w:rPr>
              <w:t>的基本工资和津补贴标准等安排的人员经费支出和日常公用经</w:t>
            </w:r>
            <w:r>
              <w:rPr>
                <w:rFonts w:hint="eastAsia" w:ascii="仿宋" w:hAnsi="仿宋" w:eastAsia="仿宋" w:cs="仿宋"/>
                <w:bCs/>
                <w:kern w:val="0"/>
                <w:sz w:val="24"/>
                <w:szCs w:val="24"/>
              </w:rPr>
              <w:t>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由于人员的增加导致人员经费增加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95.54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98.27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公务车辆购置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按车辆实际价格购买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259.07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186.60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72.03%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bCs/>
                <w:kern w:val="0"/>
                <w:sz w:val="24"/>
                <w:szCs w:val="24"/>
                <w:lang w:val="en-US" w:eastAsia="zh-CN"/>
              </w:rPr>
              <w:t>主要是用于保障政府大院正常运行项目支出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因财政资金困难，完成的项目未能形成支付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2013801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9.92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主要用于退休人员生活补助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714.46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715.01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autoSpaceDE w:val="0"/>
        <w:autoSpaceDN w:val="0"/>
        <w:adjustRightInd w:val="0"/>
        <w:spacing w:line="240" w:lineRule="auto"/>
        <w:jc w:val="both"/>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drawing>
          <wp:inline distT="0" distB="0" distL="114300" distR="114300">
            <wp:extent cx="5334635" cy="3376295"/>
            <wp:effectExtent l="0" t="0" r="14605" b="698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8"/>
                    <a:stretch>
                      <a:fillRect/>
                    </a:stretch>
                  </pic:blipFill>
                  <pic:spPr>
                    <a:xfrm>
                      <a:off x="0" y="0"/>
                      <a:ext cx="5334635" cy="3376295"/>
                    </a:xfrm>
                    <a:prstGeom prst="rect">
                      <a:avLst/>
                    </a:prstGeom>
                  </pic:spPr>
                </pic:pic>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宋体" w:hAnsi="宋体" w:eastAsia="宋体" w:cs="宋体"/>
          <w:color w:val="FF0000"/>
          <w:sz w:val="30"/>
          <w:szCs w:val="30"/>
          <w:highlight w:val="none"/>
          <w:lang w:val="en-US" w:eastAsia="zh-CN"/>
        </w:rPr>
      </w:pP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26.55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26.55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宋体" w:hAnsi="宋体" w:eastAsia="宋体" w:cs="宋体"/>
          <w:bCs/>
          <w:kern w:val="0"/>
          <w:sz w:val="30"/>
          <w:szCs w:val="30"/>
          <w:highlight w:val="none"/>
        </w:rPr>
        <w:t>本部门所属事业单位按规定的比例计缴的</w:t>
      </w:r>
      <w:r>
        <w:rPr>
          <w:rFonts w:hint="eastAsia" w:ascii="宋体" w:hAnsi="宋体" w:eastAsia="宋体" w:cs="宋体"/>
          <w:bCs/>
          <w:kern w:val="0"/>
          <w:sz w:val="30"/>
          <w:szCs w:val="30"/>
          <w:highlight w:val="none"/>
          <w:lang w:val="en-US" w:eastAsia="zh-CN"/>
        </w:rPr>
        <w:t>社会</w:t>
      </w:r>
      <w:r>
        <w:rPr>
          <w:rFonts w:hint="eastAsia" w:ascii="宋体" w:hAnsi="宋体" w:eastAsia="宋体" w:cs="宋体"/>
          <w:bCs/>
          <w:kern w:val="0"/>
          <w:sz w:val="30"/>
          <w:szCs w:val="30"/>
          <w:highlight w:val="none"/>
        </w:rPr>
        <w:t>保险</w:t>
      </w:r>
      <w:r>
        <w:rPr>
          <w:rFonts w:hint="eastAsia" w:ascii="宋体" w:hAnsi="宋体" w:eastAsia="宋体" w:cs="宋体"/>
          <w:bCs/>
          <w:kern w:val="0"/>
          <w:sz w:val="30"/>
          <w:szCs w:val="30"/>
          <w:highlight w:val="none"/>
          <w:lang w:eastAsia="zh-CN"/>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宋体" w:hAnsi="宋体" w:eastAsia="宋体" w:cs="宋体"/>
          <w:color w:val="FF0000"/>
          <w:sz w:val="30"/>
          <w:szCs w:val="30"/>
          <w:highlight w:val="none"/>
          <w:lang w:val="en-US" w:eastAsia="zh-CN"/>
        </w:rPr>
      </w:pPr>
      <w:r>
        <w:rPr>
          <w:rFonts w:hint="eastAsia" w:ascii="宋体" w:hAnsi="宋体" w:eastAsia="宋体" w:cs="宋体"/>
          <w:color w:val="FF0000"/>
          <w:sz w:val="30"/>
          <w:szCs w:val="30"/>
          <w:highlight w:val="none"/>
          <w:lang w:val="en-US" w:eastAsia="zh-CN"/>
        </w:rPr>
        <w:drawing>
          <wp:inline distT="0" distB="0" distL="114300" distR="114300">
            <wp:extent cx="4584065" cy="2755265"/>
            <wp:effectExtent l="0" t="0" r="3175" b="3175"/>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20.74</w:t>
      </w:r>
      <w:r>
        <w:rPr>
          <w:rFonts w:hint="eastAsia" w:ascii="仿宋" w:hAnsi="仿宋" w:eastAsia="仿宋"/>
          <w:sz w:val="32"/>
          <w:szCs w:val="32"/>
          <w:highlight w:val="none"/>
        </w:rPr>
        <w:t>万元，支出决算为</w:t>
      </w:r>
      <w:r>
        <w:rPr>
          <w:rFonts w:ascii="仿宋" w:hAnsi="仿宋" w:eastAsia="仿宋"/>
          <w:sz w:val="32"/>
          <w:szCs w:val="32"/>
          <w:highlight w:val="none"/>
        </w:rPr>
        <w:t>31.30</w:t>
      </w:r>
      <w:r>
        <w:rPr>
          <w:rFonts w:hint="eastAsia" w:ascii="仿宋" w:hAnsi="仿宋" w:eastAsia="仿宋"/>
          <w:sz w:val="32"/>
          <w:szCs w:val="32"/>
          <w:highlight w:val="none"/>
        </w:rPr>
        <w:t>万元，完成年初预算的</w:t>
      </w:r>
      <w:r>
        <w:rPr>
          <w:rFonts w:ascii="仿宋" w:hAnsi="仿宋" w:eastAsia="仿宋"/>
          <w:sz w:val="32"/>
          <w:szCs w:val="32"/>
          <w:highlight w:val="none"/>
        </w:rPr>
        <w:t>150.92%</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聘用人员住房公积金增加。            </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967"/>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147.32%</w:t>
            </w:r>
          </w:p>
        </w:tc>
        <w:tc>
          <w:tcPr>
            <w:tcW w:w="1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bCs/>
                <w:kern w:val="0"/>
                <w:sz w:val="24"/>
                <w:szCs w:val="24"/>
              </w:rPr>
              <w:t>本部门及所属事业单位按规定的比例计缴的住房公积金</w:t>
            </w:r>
            <w:r>
              <w:rPr>
                <w:rFonts w:hint="eastAsia" w:ascii="仿宋" w:hAnsi="仿宋" w:eastAsia="仿宋" w:cs="仿宋"/>
                <w:bCs/>
                <w:kern w:val="0"/>
                <w:sz w:val="32"/>
                <w:szCs w:val="32"/>
              </w:rPr>
              <w:t>。</w:t>
            </w:r>
          </w:p>
        </w:tc>
        <w:tc>
          <w:tcPr>
            <w:tcW w:w="1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聘用人员住房公积金的增加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630" w:leftChars="0" w:right="0" w:rightChars="0"/>
        <w:jc w:val="left"/>
        <w:rPr>
          <w:rFonts w:hint="default" w:eastAsia="仿宋"/>
          <w:color w:val="auto"/>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13"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2"/>
        </w:numPr>
        <w:ind w:left="-420" w:leftChars="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49.35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000000" w:themeColor="text1"/>
          <w:sz w:val="32"/>
          <w:szCs w:val="32"/>
          <w14:textFill>
            <w14:solidFill>
              <w14:schemeClr w14:val="tx1"/>
            </w14:solidFill>
          </w14:textFill>
        </w:rPr>
        <w:t>绩效考评奖的支出年初未列入预算，主要用于绩效考评奖的支出。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绩效考评奖支出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年初未列入预算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宋体" w:hAnsi="宋体" w:eastAsia="宋体" w:cs="宋体"/>
          <w:color w:val="FF0000"/>
          <w:sz w:val="30"/>
          <w:szCs w:val="30"/>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1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环江毛南族自治县机关事务服务中心202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532.13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310.98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221.15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282.52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91.24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78.94万元，30102津贴补贴34.87万元，30103奖金47.95万元，30107绩效工资44.54万元，30108机关事业单位基本养老保险缴费29.40万元，30110职工基本医疗保险缴费11.67万元，30112其他社会保障缴费1.41万元，30113住房公积金33.56万元，30199其他工资福利支出0.19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drawing>
          <wp:inline distT="0" distB="0" distL="114300" distR="114300">
            <wp:extent cx="5495925" cy="3677285"/>
            <wp:effectExtent l="0" t="0" r="5715" b="10795"/>
            <wp:docPr id="28" name="图片 2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片3"/>
                    <pic:cNvPicPr>
                      <a:picLocks noChangeAspect="1"/>
                    </pic:cNvPicPr>
                  </pic:nvPicPr>
                  <pic:blipFill>
                    <a:blip r:embed="rId12"/>
                    <a:stretch>
                      <a:fillRect/>
                    </a:stretch>
                  </pic:blipFill>
                  <pic:spPr>
                    <a:xfrm>
                      <a:off x="0" y="0"/>
                      <a:ext cx="5495925" cy="3677285"/>
                    </a:xfrm>
                    <a:prstGeom prst="rect">
                      <a:avLst/>
                    </a:prstGeom>
                  </pic:spPr>
                </pic:pic>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221.15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127.65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公务用车运行维护费增加。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30201办公费1.11万元，30207邮电费4.82万元，30217公务接待费0.5万元，30228工会经费3.32万元，30231公务用车运行维护费172.68万元。</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5323205" cy="3269615"/>
            <wp:effectExtent l="0" t="0" r="10795" b="6985"/>
            <wp:docPr id="29" name="图片 29"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4"/>
                    <pic:cNvPicPr>
                      <a:picLocks noChangeAspect="1"/>
                    </pic:cNvPicPr>
                  </pic:nvPicPr>
                  <pic:blipFill>
                    <a:blip r:embed="rId13"/>
                    <a:stretch>
                      <a:fillRect/>
                    </a:stretch>
                  </pic:blipFill>
                  <pic:spPr>
                    <a:xfrm>
                      <a:off x="0" y="0"/>
                      <a:ext cx="5323205" cy="3269615"/>
                    </a:xfrm>
                    <a:prstGeom prst="rect">
                      <a:avLst/>
                    </a:prstGeom>
                  </pic:spPr>
                </pic:pic>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28.45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162.76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退休人员增加及退休人员生活补助提高。</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30305生活补助28.27万元，30307医疗补助0.19万元。</w:t>
      </w:r>
    </w:p>
    <w:p>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5184140" cy="3119120"/>
            <wp:effectExtent l="0" t="0" r="12700" b="5080"/>
            <wp:docPr id="30" name="图片 30"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4"/>
                    <pic:cNvPicPr>
                      <a:picLocks noChangeAspect="1"/>
                    </pic:cNvPicPr>
                  </pic:nvPicPr>
                  <pic:blipFill>
                    <a:blip r:embed="rId14"/>
                    <a:stretch>
                      <a:fillRect/>
                    </a:stretch>
                  </pic:blipFill>
                  <pic:spPr>
                    <a:xfrm>
                      <a:off x="0" y="0"/>
                      <a:ext cx="5184140" cy="3119120"/>
                    </a:xfrm>
                    <a:prstGeom prst="rect">
                      <a:avLst/>
                    </a:prstGeom>
                  </pic:spPr>
                </pic:pic>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我单位无此项支出。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23"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我单位无此项支出。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25"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我单位无此项支出。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27"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3.77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3.77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3.77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3.77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numPr>
          <w:ilvl w:val="0"/>
          <w:numId w:val="4"/>
        </w:num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城市建设支出</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212</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3.77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行政会议中心地板更换费用。</w:t>
      </w:r>
    </w:p>
    <w:p>
      <w:pPr>
        <w:numPr>
          <w:ilvl w:val="0"/>
          <w:numId w:val="0"/>
        </w:numPr>
        <w:autoSpaceDE w:val="0"/>
        <w:autoSpaceDN w:val="0"/>
        <w:adjustRightInd w:val="0"/>
        <w:spacing w:line="240" w:lineRule="auto"/>
        <w:jc w:val="both"/>
        <w:rPr>
          <w:rFonts w:hint="default" w:ascii="仿宋_GB2312" w:eastAsia="仿宋_GB2312" w:cs="仿宋_GB2312"/>
          <w:kern w:val="0"/>
          <w:sz w:val="32"/>
          <w:szCs w:val="32"/>
          <w:lang w:val="en-US" w:eastAsia="zh-CN"/>
        </w:rPr>
      </w:pPr>
      <w:r>
        <w:rPr>
          <w:rFonts w:hint="default" w:ascii="仿宋_GB2312" w:eastAsia="仿宋_GB2312" w:cs="仿宋_GB2312"/>
          <w:kern w:val="0"/>
          <w:sz w:val="32"/>
          <w:szCs w:val="32"/>
          <w:lang w:val="en-US" w:eastAsia="zh-CN"/>
        </w:rPr>
        <w:drawing>
          <wp:inline distT="0" distB="0" distL="114300" distR="114300">
            <wp:extent cx="5259070" cy="3152775"/>
            <wp:effectExtent l="0" t="0" r="13970" b="1905"/>
            <wp:docPr id="31" name="图片 3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4"/>
                    <pic:cNvPicPr>
                      <a:picLocks noChangeAspect="1"/>
                    </pic:cNvPicPr>
                  </pic:nvPicPr>
                  <pic:blipFill>
                    <a:blip r:embed="rId18"/>
                    <a:stretch>
                      <a:fillRect/>
                    </a:stretch>
                  </pic:blipFill>
                  <pic:spPr>
                    <a:xfrm>
                      <a:off x="0" y="0"/>
                      <a:ext cx="5259070" cy="3152775"/>
                    </a:xfrm>
                    <a:prstGeom prst="rect">
                      <a:avLst/>
                    </a:prstGeom>
                  </pic:spPr>
                </pic:pic>
              </a:graphicData>
            </a:graphic>
          </wp:inline>
        </w:drawing>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268.72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108.70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加22.72</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公务车辆购置费增加</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268.22</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5"/>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本年度没有因公出国费用支出</w:t>
      </w:r>
    </w:p>
    <w:p>
      <w:pPr>
        <w:numPr>
          <w:ilvl w:val="0"/>
          <w:numId w:val="0"/>
        </w:num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268.22</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95.54</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98.27</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加95.54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上年度没有形成公务车辆购置</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辆公务用车，主要用于</w:t>
      </w:r>
      <w:r>
        <w:rPr>
          <w:rFonts w:hint="eastAsia" w:ascii="仿宋_GB2312" w:eastAsia="仿宋_GB2312" w:cs="仿宋_GB2312"/>
          <w:kern w:val="0"/>
          <w:sz w:val="32"/>
          <w:szCs w:val="32"/>
          <w:lang w:val="en-US" w:eastAsia="zh-CN"/>
        </w:rPr>
        <w:t>自治县公车管理平台公务出行公车。</w:t>
      </w:r>
    </w:p>
    <w:p>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172.68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115.51</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71.78</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厉行节约、减少开展</w:t>
      </w:r>
      <w:r>
        <w:rPr>
          <w:rFonts w:hint="eastAsia" w:ascii="仿宋_GB2312" w:eastAsia="仿宋_GB2312" w:cs="仿宋_GB2312"/>
          <w:kern w:val="0"/>
          <w:sz w:val="32"/>
          <w:szCs w:val="32"/>
        </w:rPr>
        <w:t>。主要用于机要文件交换、市内因公出行以及开展业务所需车辆燃料费、维修费、过路过桥费、保险费等。202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none"/>
          <w:lang w:val="en-US" w:eastAsia="zh-CN"/>
        </w:rPr>
        <w:t>环江毛南族自治县机关事务服务中心</w:t>
      </w:r>
      <w:r>
        <w:rPr>
          <w:rFonts w:hint="eastAsia" w:ascii="仿宋_GB2312" w:hAnsi="黑体" w:eastAsia="仿宋_GB2312"/>
          <w:bCs/>
          <w:color w:val="000000"/>
          <w:sz w:val="32"/>
          <w:szCs w:val="32"/>
        </w:rPr>
        <w:t>开支财政拨款的公务用车保有量为</w:t>
      </w:r>
      <w:r>
        <w:rPr>
          <w:rFonts w:hint="eastAsia" w:ascii="仿宋_GB2312" w:eastAsia="仿宋_GB2312" w:cs="仿宋_GB2312"/>
          <w:kern w:val="0"/>
          <w:sz w:val="32"/>
          <w:szCs w:val="32"/>
          <w:lang w:val="en-US" w:eastAsia="zh-CN"/>
        </w:rPr>
        <w:t>65</w:t>
      </w:r>
      <w:r>
        <w:rPr>
          <w:rFonts w:hint="eastAsia" w:ascii="仿宋_GB2312" w:hAnsi="黑体" w:eastAsia="仿宋_GB2312"/>
          <w:bCs/>
          <w:color w:val="000000"/>
          <w:sz w:val="32"/>
          <w:szCs w:val="32"/>
        </w:rPr>
        <w:t>辆，全年运行费支出</w:t>
      </w:r>
      <w:r>
        <w:rPr>
          <w:rFonts w:hint="eastAsia" w:ascii="仿宋_GB2312" w:eastAsia="仿宋_GB2312" w:cs="仿宋_GB2312"/>
          <w:kern w:val="0"/>
          <w:sz w:val="32"/>
          <w:szCs w:val="32"/>
          <w:lang w:val="en-US" w:eastAsia="zh-CN"/>
        </w:rPr>
        <w:t>172.68</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2.66</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1.04</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厉行节约、减少开支</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40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221.15</w:t>
      </w:r>
      <w:r>
        <w:rPr>
          <w:rFonts w:hint="eastAsia" w:ascii="仿宋_GB2312" w:eastAsia="仿宋_GB2312" w:cs="仿宋_GB2312"/>
          <w:kern w:val="0"/>
          <w:sz w:val="32"/>
          <w:szCs w:val="32"/>
        </w:rPr>
        <w:t>万元（与部门决算中行政单位和参照公务员法管理事业单位财政拨款基本支出中公用经费之和一致），比年初预算数增加</w:t>
      </w:r>
      <w:r>
        <w:rPr>
          <w:rFonts w:hint="eastAsia" w:ascii="仿宋_GB2312" w:eastAsia="仿宋_GB2312" w:cs="仿宋_GB2312"/>
          <w:kern w:val="0"/>
          <w:sz w:val="32"/>
          <w:szCs w:val="32"/>
          <w:lang w:val="en-US" w:eastAsia="zh-CN"/>
        </w:rPr>
        <w:t>71.15</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147.43</w:t>
      </w:r>
      <w:r>
        <w:rPr>
          <w:rFonts w:hint="eastAsia" w:ascii="仿宋_GB2312" w:eastAsia="仿宋_GB2312" w:cs="仿宋_GB2312"/>
          <w:kern w:val="0"/>
          <w:sz w:val="32"/>
          <w:szCs w:val="32"/>
        </w:rPr>
        <w:t xml:space="preserve"> %，比上年决算数增加</w:t>
      </w:r>
      <w:r>
        <w:rPr>
          <w:rFonts w:hint="eastAsia" w:ascii="仿宋_GB2312" w:eastAsia="仿宋_GB2312" w:cs="仿宋_GB2312"/>
          <w:kern w:val="0"/>
          <w:sz w:val="32"/>
          <w:szCs w:val="32"/>
          <w:lang w:val="en-US" w:eastAsia="zh-CN"/>
        </w:rPr>
        <w:t>214.59万</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834.5</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2023年把公务用车运行维护费列入机关运行经费</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增加公务用车购置费。</w:t>
      </w:r>
    </w:p>
    <w:p>
      <w:pPr>
        <w:numPr>
          <w:ilvl w:val="0"/>
          <w:numId w:val="5"/>
        </w:numPr>
        <w:ind w:left="0" w:leftChars="0"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政府采购支出情况说明。</w:t>
      </w:r>
    </w:p>
    <w:p>
      <w:pPr>
        <w:numPr>
          <w:ilvl w:val="0"/>
          <w:numId w:val="0"/>
        </w:numPr>
        <w:ind w:leftChars="200"/>
        <w:jc w:val="both"/>
        <w:rPr>
          <w:rFonts w:hint="eastAsia" w:ascii="仿宋_GB2312" w:eastAsia="仿宋_GB2312" w:cs="仿宋_GB2312"/>
          <w:color w:val="auto"/>
          <w:kern w:val="0"/>
          <w:sz w:val="32"/>
          <w:szCs w:val="32"/>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autoSpaceDE w:val="0"/>
        <w:autoSpaceDN w:val="0"/>
        <w:adjustRightInd w:val="0"/>
        <w:spacing w:line="560" w:lineRule="exact"/>
        <w:ind w:firstLine="643" w:firstLineChars="200"/>
        <w:jc w:val="both"/>
        <w:rPr>
          <w:rFonts w:hint="eastAsia" w:ascii="仿宋_GB2312" w:eastAsia="仿宋_GB2312" w:cs="仿宋_GB2312"/>
          <w:kern w:val="0"/>
          <w:sz w:val="32"/>
          <w:szCs w:val="32"/>
        </w:rPr>
      </w:pPr>
      <w:r>
        <w:rPr>
          <w:rFonts w:hint="eastAsia" w:ascii="仿宋_GB2312" w:eastAsia="仿宋_GB2312" w:cs="仿宋_GB2312"/>
          <w:b/>
          <w:kern w:val="0"/>
          <w:sz w:val="32"/>
          <w:szCs w:val="32"/>
        </w:rPr>
        <w:t>本单位无此项支出也需要注明“本部门无政府采购支出”。</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65</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65</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 w:hAnsi="仿宋" w:eastAsia="仿宋" w:cs="仿宋"/>
          <w:color w:val="000000" w:themeColor="text1"/>
          <w:sz w:val="32"/>
          <w:szCs w:val="32"/>
          <w14:textFill>
            <w14:solidFill>
              <w14:schemeClr w14:val="tx1"/>
            </w14:solidFill>
          </w14:textFill>
        </w:rPr>
        <w:t>其中，</w:t>
      </w:r>
      <w:r>
        <w:rPr>
          <w:rFonts w:hint="eastAsia" w:ascii="仿宋" w:hAnsi="仿宋" w:eastAsia="仿宋" w:cs="仿宋"/>
          <w:color w:val="000000" w:themeColor="text1"/>
          <w:sz w:val="32"/>
          <w:szCs w:val="32"/>
          <w:lang w:val="en-US" w:eastAsia="zh-CN"/>
          <w14:textFill>
            <w14:solidFill>
              <w14:schemeClr w14:val="tx1"/>
            </w14:solidFill>
          </w14:textFill>
        </w:rPr>
        <w:t>共涉及19个项目，全部为</w:t>
      </w: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项目共涉及资金</w:t>
      </w:r>
      <w:r>
        <w:rPr>
          <w:rFonts w:hint="eastAsia" w:ascii="仿宋" w:hAnsi="仿宋" w:eastAsia="仿宋" w:cs="仿宋"/>
          <w:color w:val="000000" w:themeColor="text1"/>
          <w:sz w:val="32"/>
          <w:szCs w:val="32"/>
          <w:lang w:val="en-US" w:eastAsia="zh-CN"/>
          <w14:textFill>
            <w14:solidFill>
              <w14:schemeClr w14:val="tx1"/>
            </w14:solidFill>
          </w14:textFill>
        </w:rPr>
        <w:t>467.02</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14.34</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机关后勤保障工作经费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467.02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万元。从评价情况来看，从评价情况来看，年初预算数</w:t>
      </w:r>
      <w:r>
        <w:rPr>
          <w:rFonts w:hint="eastAsia" w:ascii="仿宋" w:hAnsi="仿宋" w:eastAsia="仿宋" w:cs="仿宋"/>
          <w:color w:val="000000" w:themeColor="text1"/>
          <w:sz w:val="32"/>
          <w:szCs w:val="32"/>
          <w:lang w:val="en-US" w:eastAsia="zh-CN"/>
          <w14:textFill>
            <w14:solidFill>
              <w14:schemeClr w14:val="tx1"/>
            </w14:solidFill>
          </w14:textFill>
        </w:rPr>
        <w:t>255.22</w:t>
      </w:r>
      <w:r>
        <w:rPr>
          <w:rFonts w:hint="eastAsia" w:ascii="仿宋" w:hAnsi="仿宋" w:eastAsia="仿宋" w:cs="仿宋"/>
          <w:color w:val="000000" w:themeColor="text1"/>
          <w:sz w:val="32"/>
          <w:szCs w:val="32"/>
          <w14:textFill>
            <w14:solidFill>
              <w14:schemeClr w14:val="tx1"/>
            </w14:solidFill>
          </w14:textFill>
        </w:rPr>
        <w:t>万元，当年预算数</w:t>
      </w:r>
      <w:r>
        <w:rPr>
          <w:rFonts w:hint="eastAsia" w:ascii="仿宋" w:hAnsi="仿宋" w:eastAsia="仿宋" w:cs="仿宋"/>
          <w:color w:val="000000" w:themeColor="text1"/>
          <w:sz w:val="32"/>
          <w:szCs w:val="32"/>
          <w:lang w:val="en-US" w:eastAsia="zh-CN"/>
          <w14:textFill>
            <w14:solidFill>
              <w14:schemeClr w14:val="tx1"/>
            </w14:solidFill>
          </w14:textFill>
        </w:rPr>
        <w:t>510.09</w:t>
      </w:r>
      <w:r>
        <w:rPr>
          <w:rFonts w:hint="eastAsia" w:ascii="仿宋" w:hAnsi="仿宋" w:eastAsia="仿宋" w:cs="仿宋"/>
          <w:color w:val="000000" w:themeColor="text1"/>
          <w:sz w:val="32"/>
          <w:szCs w:val="32"/>
          <w14:textFill>
            <w14:solidFill>
              <w14:schemeClr w14:val="tx1"/>
            </w14:solidFill>
          </w14:textFill>
        </w:rPr>
        <w:t>万元，全年执行数</w:t>
      </w:r>
      <w:r>
        <w:rPr>
          <w:rFonts w:hint="eastAsia" w:ascii="仿宋" w:hAnsi="仿宋" w:eastAsia="仿宋" w:cs="仿宋"/>
          <w:color w:val="000000" w:themeColor="text1"/>
          <w:sz w:val="32"/>
          <w:szCs w:val="32"/>
          <w:lang w:val="en-US" w:eastAsia="zh-CN"/>
          <w14:textFill>
            <w14:solidFill>
              <w14:schemeClr w14:val="tx1"/>
            </w14:solidFill>
          </w14:textFill>
        </w:rPr>
        <w:t>467.02</w:t>
      </w:r>
      <w:r>
        <w:rPr>
          <w:rFonts w:hint="eastAsia" w:ascii="仿宋" w:hAnsi="仿宋" w:eastAsia="仿宋" w:cs="仿宋"/>
          <w:color w:val="000000" w:themeColor="text1"/>
          <w:sz w:val="32"/>
          <w:szCs w:val="32"/>
          <w14:textFill>
            <w14:solidFill>
              <w14:schemeClr w14:val="tx1"/>
            </w14:solidFill>
          </w14:textFill>
        </w:rPr>
        <w:t>万元，完成执行率</w:t>
      </w:r>
      <w:r>
        <w:rPr>
          <w:rFonts w:hint="eastAsia" w:ascii="仿宋" w:hAnsi="仿宋" w:eastAsia="仿宋" w:cs="仿宋"/>
          <w:color w:val="000000" w:themeColor="text1"/>
          <w:sz w:val="32"/>
          <w:szCs w:val="32"/>
          <w:lang w:val="en-US" w:eastAsia="zh-CN"/>
          <w14:textFill>
            <w14:solidFill>
              <w14:schemeClr w14:val="tx1"/>
            </w14:solidFill>
          </w14:textFill>
        </w:rPr>
        <w:t>86.47</w:t>
      </w:r>
      <w:r>
        <w:rPr>
          <w:rFonts w:hint="eastAsia" w:ascii="仿宋" w:hAnsi="仿宋" w:eastAsia="仿宋" w:cs="仿宋"/>
          <w:color w:val="000000" w:themeColor="text1"/>
          <w:sz w:val="32"/>
          <w:szCs w:val="32"/>
          <w14:textFill>
            <w14:solidFill>
              <w14:schemeClr w14:val="tx1"/>
            </w14:solidFill>
          </w14:textFill>
        </w:rPr>
        <w:t>%，自评结论：一等。</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1097.52</w:t>
      </w:r>
      <w:r>
        <w:rPr>
          <w:rFonts w:hint="eastAsia" w:ascii="仿宋" w:hAnsi="仿宋" w:eastAsia="仿宋" w:cs="仿宋"/>
          <w:color w:val="000000" w:themeColor="text1"/>
          <w:sz w:val="32"/>
          <w:szCs w:val="32"/>
          <w14:textFill>
            <w14:solidFill>
              <w14:schemeClr w14:val="tx1"/>
            </w14:solidFill>
          </w14:textFill>
        </w:rPr>
        <w:t>元，政府性基金预算支出0万元。从评价情况来看，年初预算数</w:t>
      </w:r>
      <w:r>
        <w:rPr>
          <w:rFonts w:hint="eastAsia" w:ascii="仿宋" w:hAnsi="仿宋" w:eastAsia="仿宋" w:cs="仿宋"/>
          <w:color w:val="000000" w:themeColor="text1"/>
          <w:sz w:val="32"/>
          <w:szCs w:val="32"/>
          <w:lang w:val="en-US" w:eastAsia="zh-CN"/>
          <w14:textFill>
            <w14:solidFill>
              <w14:schemeClr w14:val="tx1"/>
            </w14:solidFill>
          </w14:textFill>
        </w:rPr>
        <w:t>781.48</w:t>
      </w:r>
      <w:r>
        <w:rPr>
          <w:rFonts w:hint="eastAsia" w:ascii="仿宋" w:hAnsi="仿宋" w:eastAsia="仿宋" w:cs="仿宋"/>
          <w:color w:val="000000" w:themeColor="text1"/>
          <w:sz w:val="32"/>
          <w:szCs w:val="32"/>
          <w14:textFill>
            <w14:solidFill>
              <w14:schemeClr w14:val="tx1"/>
            </w14:solidFill>
          </w14:textFill>
        </w:rPr>
        <w:t>万元，年中预算调整数</w:t>
      </w:r>
      <w:r>
        <w:rPr>
          <w:rFonts w:hint="eastAsia" w:ascii="仿宋" w:hAnsi="仿宋" w:eastAsia="仿宋" w:cs="仿宋"/>
          <w:color w:val="000000" w:themeColor="text1"/>
          <w:sz w:val="32"/>
          <w:szCs w:val="32"/>
          <w:lang w:val="en-US" w:eastAsia="zh-CN"/>
          <w14:textFill>
            <w14:solidFill>
              <w14:schemeClr w14:val="tx1"/>
            </w14:solidFill>
          </w14:textFill>
        </w:rPr>
        <w:t>383.24</w:t>
      </w:r>
      <w:r>
        <w:rPr>
          <w:rFonts w:hint="eastAsia" w:ascii="仿宋" w:hAnsi="仿宋" w:eastAsia="仿宋" w:cs="仿宋"/>
          <w:color w:val="000000" w:themeColor="text1"/>
          <w:sz w:val="32"/>
          <w:szCs w:val="32"/>
          <w14:textFill>
            <w14:solidFill>
              <w14:schemeClr w14:val="tx1"/>
            </w14:solidFill>
          </w14:textFill>
        </w:rPr>
        <w:t>万元，调整后预算数</w:t>
      </w:r>
      <w:r>
        <w:rPr>
          <w:rFonts w:hint="eastAsia" w:ascii="仿宋" w:hAnsi="仿宋" w:eastAsia="仿宋" w:cs="仿宋"/>
          <w:color w:val="000000" w:themeColor="text1"/>
          <w:sz w:val="32"/>
          <w:szCs w:val="32"/>
          <w:lang w:val="en-US" w:eastAsia="zh-CN"/>
          <w14:textFill>
            <w14:solidFill>
              <w14:schemeClr w14:val="tx1"/>
            </w14:solidFill>
          </w14:textFill>
        </w:rPr>
        <w:t>1164.72</w:t>
      </w:r>
      <w:r>
        <w:rPr>
          <w:rFonts w:hint="eastAsia" w:ascii="仿宋" w:hAnsi="仿宋" w:eastAsia="仿宋" w:cs="仿宋"/>
          <w:color w:val="000000" w:themeColor="text1"/>
          <w:sz w:val="32"/>
          <w:szCs w:val="32"/>
          <w14:textFill>
            <w14:solidFill>
              <w14:schemeClr w14:val="tx1"/>
            </w14:solidFill>
          </w14:textFill>
        </w:rPr>
        <w:t>万元，全年执行数</w:t>
      </w:r>
      <w:r>
        <w:rPr>
          <w:rFonts w:hint="eastAsia" w:ascii="仿宋" w:hAnsi="仿宋" w:eastAsia="仿宋" w:cs="仿宋"/>
          <w:color w:val="000000" w:themeColor="text1"/>
          <w:sz w:val="32"/>
          <w:szCs w:val="32"/>
          <w:lang w:val="en-US" w:eastAsia="zh-CN"/>
          <w14:textFill>
            <w14:solidFill>
              <w14:schemeClr w14:val="tx1"/>
            </w14:solidFill>
          </w14:textFill>
        </w:rPr>
        <w:t>1097.52</w:t>
      </w:r>
      <w:r>
        <w:rPr>
          <w:rFonts w:hint="eastAsia" w:ascii="仿宋" w:hAnsi="仿宋" w:eastAsia="仿宋" w:cs="仿宋"/>
          <w:color w:val="000000" w:themeColor="text1"/>
          <w:sz w:val="32"/>
          <w:szCs w:val="32"/>
          <w14:textFill>
            <w14:solidFill>
              <w14:schemeClr w14:val="tx1"/>
            </w14:solidFill>
          </w14:textFill>
        </w:rPr>
        <w:t>万元，预算执行率</w:t>
      </w:r>
      <w:r>
        <w:rPr>
          <w:rFonts w:hint="eastAsia" w:ascii="仿宋" w:hAnsi="仿宋" w:eastAsia="仿宋" w:cs="仿宋"/>
          <w:color w:val="000000" w:themeColor="text1"/>
          <w:sz w:val="32"/>
          <w:szCs w:val="32"/>
          <w:lang w:val="en-US" w:eastAsia="zh-CN"/>
          <w14:textFill>
            <w14:solidFill>
              <w14:schemeClr w14:val="tx1"/>
            </w14:solidFill>
          </w14:textFill>
        </w:rPr>
        <w:t>94.23</w:t>
      </w:r>
      <w:r>
        <w:rPr>
          <w:rFonts w:hint="eastAsia" w:ascii="仿宋" w:hAnsi="仿宋" w:eastAsia="仿宋" w:cs="仿宋"/>
          <w:color w:val="000000" w:themeColor="text1"/>
          <w:sz w:val="32"/>
          <w:szCs w:val="32"/>
          <w14:textFill>
            <w14:solidFill>
              <w14:schemeClr w14:val="tx1"/>
            </w14:solidFill>
          </w14:textFill>
        </w:rPr>
        <w:t>%。自评结论：一等。</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468.91</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19</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468.91</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X</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ind w:firstLine="640" w:firstLineChars="200"/>
        <w:jc w:val="left"/>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447.24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95.38</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95.38</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1.89</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4.62</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4.62</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 w:hAnsi="仿宋" w:eastAsia="仿宋" w:cs="仿宋"/>
          <w:color w:val="000000" w:themeColor="text1"/>
          <w:sz w:val="32"/>
          <w:szCs w:val="32"/>
          <w14:textFill>
            <w14:solidFill>
              <w14:schemeClr w14:val="tx1"/>
            </w14:solidFill>
          </w14:textFill>
        </w:rPr>
        <w:t>发现的主要问题及原因：经费未支付完全。下一步改进措施：要按规定按时支付。</w:t>
      </w:r>
    </w:p>
    <w:p>
      <w:pPr>
        <w:keepNext w:val="0"/>
        <w:keepLines w:val="0"/>
        <w:pageBreakBefore w:val="0"/>
        <w:widowControl w:val="0"/>
        <w:numPr>
          <w:ilvl w:val="0"/>
          <w:numId w:val="6"/>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大院日常维修维护费项目自评得分100分，自评等级一等。按年初计划完成工作任务并支付完成。</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hint="eastAsia" w:ascii="仿宋" w:hAnsi="仿宋" w:eastAsia="仿宋" w:cs="仿宋"/>
          <w:color w:val="000000" w:themeColor="text1"/>
          <w:sz w:val="32"/>
          <w:szCs w:val="32"/>
          <w:lang w:val="en-US" w:eastAsia="zh-CN"/>
          <w14:textFill>
            <w14:solidFill>
              <w14:schemeClr w14:val="tx1"/>
            </w14:solidFill>
          </w14:textFill>
        </w:rPr>
        <w:t>大院日常维修维护费项目</w:t>
      </w:r>
      <w:r>
        <w:rPr>
          <w:rFonts w:hint="eastAsia" w:ascii="仿宋_GB2312" w:hAnsi="Times New Roman" w:eastAsia="仿宋_GB2312" w:cs="仿宋_GB2312"/>
          <w:b w:val="0"/>
          <w:bCs w:val="0"/>
          <w:caps w:val="0"/>
          <w:color w:val="auto"/>
          <w:kern w:val="0"/>
          <w:sz w:val="32"/>
          <w:szCs w:val="32"/>
          <w:vertAlign w:val="baseline"/>
          <w:lang w:val="en-US" w:eastAsia="zh-CN" w:bidi="ar"/>
        </w:rPr>
        <w:t>”等8个重点项目进行了部门评价，评价结果为一等，涉及资金417.49万元。从评价情况来看，部门重点项目资金都能较好的完成支出，保障我单位的正常运行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w:t>
      </w:r>
    </w:p>
    <w:p>
      <w:pPr>
        <w:autoSpaceDE w:val="0"/>
        <w:autoSpaceDN w:val="0"/>
        <w:adjustRightInd w:val="0"/>
        <w:spacing w:line="560" w:lineRule="exact"/>
        <w:jc w:val="center"/>
        <w:rPr>
          <w:rFonts w:hint="eastAsia" w:ascii="仿宋_GB2312" w:eastAsia="仿宋_GB2312" w:cs="仿宋_GB2312"/>
          <w:b/>
          <w:kern w:val="0"/>
          <w:sz w:val="32"/>
          <w:szCs w:val="32"/>
        </w:rPr>
      </w:pPr>
      <w:r>
        <w:rPr>
          <w:rFonts w:hint="eastAsia" w:ascii="仿宋_GB2312" w:hAnsi="Times New Roman" w:eastAsia="仿宋_GB2312" w:cs="仿宋_GB2312"/>
          <w:caps w:val="0"/>
          <w:color w:val="auto"/>
          <w:kern w:val="0"/>
          <w:sz w:val="32"/>
          <w:szCs w:val="32"/>
          <w:vertAlign w:val="baseline"/>
          <w:lang w:eastAsia="zh-CN" w:bidi="ar"/>
        </w:rPr>
        <w:t>自治区财政厅组织对</w:t>
      </w:r>
      <w:r>
        <w:rPr>
          <w:rFonts w:hint="eastAsia" w:ascii="仿宋_GB2312" w:hAnsi="Times New Roman" w:eastAsia="仿宋_GB2312" w:cs="仿宋_GB2312"/>
          <w:caps w:val="0"/>
          <w:color w:val="auto"/>
          <w:kern w:val="0"/>
          <w:sz w:val="32"/>
          <w:szCs w:val="32"/>
          <w:vertAlign w:val="baseline"/>
          <w:lang w:val="en-US" w:eastAsia="zh-CN" w:bidi="ar"/>
        </w:rPr>
        <w:t>个项目开展了绩效评价。</w:t>
      </w:r>
    </w:p>
    <w:p>
      <w:pPr>
        <w:autoSpaceDE w:val="0"/>
        <w:autoSpaceDN w:val="0"/>
        <w:adjustRightInd w:val="0"/>
        <w:spacing w:line="560" w:lineRule="exact"/>
        <w:jc w:val="center"/>
        <w:rPr>
          <w:rFonts w:hint="eastAsia" w:ascii="仿宋_GB2312" w:eastAsia="仿宋_GB2312" w:cs="仿宋_GB2312"/>
          <w:b/>
          <w:kern w:val="0"/>
          <w:sz w:val="32"/>
          <w:szCs w:val="32"/>
        </w:rPr>
      </w:pPr>
    </w:p>
    <w:p>
      <w:pPr>
        <w:tabs>
          <w:tab w:val="left" w:pos="205"/>
        </w:tabs>
        <w:autoSpaceDE w:val="0"/>
        <w:autoSpaceDN w:val="0"/>
        <w:adjustRightInd w:val="0"/>
        <w:spacing w:line="560" w:lineRule="exact"/>
        <w:jc w:val="left"/>
        <w:rPr>
          <w:rFonts w:hint="eastAsia" w:ascii="仿宋_GB2312" w:eastAsia="仿宋_GB2312" w:cs="仿宋_GB2312"/>
          <w:b/>
          <w:kern w:val="0"/>
          <w:sz w:val="32"/>
          <w:szCs w:val="32"/>
          <w:lang w:eastAsia="zh-CN"/>
        </w:rPr>
      </w:pPr>
      <w:r>
        <w:rPr>
          <w:rFonts w:hint="eastAsia" w:ascii="仿宋_GB2312" w:eastAsia="仿宋_GB2312" w:cs="仿宋_GB2312"/>
          <w:b/>
          <w:kern w:val="0"/>
          <w:sz w:val="32"/>
          <w:szCs w:val="32"/>
          <w:lang w:eastAsia="zh-CN"/>
        </w:rPr>
        <w:tab/>
      </w:r>
      <w:r>
        <w:rPr>
          <w:rFonts w:hint="eastAsia" w:ascii="仿宋_GB2312" w:eastAsia="仿宋_GB2312" w:cs="仿宋_GB2312"/>
          <w:b/>
          <w:kern w:val="0"/>
          <w:sz w:val="32"/>
          <w:szCs w:val="32"/>
          <w:lang w:eastAsia="zh-CN"/>
        </w:rPr>
        <w:object>
          <v:shape id="_x0000_i1027" o:spt="75" type="#_x0000_t75" style="height:28.7pt;width:135.55pt;" o:ole="t" filled="f" o:preferrelative="t" stroked="f" coordsize="21600,21600">
            <v:path/>
            <v:fill on="f" focussize="0,0"/>
            <v:stroke on="f"/>
            <v:imagedata r:id="rId20" o:title=""/>
            <o:lock v:ext="edit" aspectratio="t"/>
            <w10:wrap type="none"/>
            <w10:anchorlock/>
          </v:shape>
          <o:OLEObject Type="Embed" ProgID="Package" ShapeID="_x0000_i1027" DrawAspect="Content" ObjectID="_1468075725" r:id="rId19">
            <o:LockedField>false</o:LockedField>
          </o:OLEObject>
        </w:object>
      </w:r>
    </w:p>
    <w:p>
      <w:pPr>
        <w:autoSpaceDE w:val="0"/>
        <w:autoSpaceDN w:val="0"/>
        <w:adjustRightInd w:val="0"/>
        <w:spacing w:line="560" w:lineRule="exact"/>
        <w:rPr>
          <w:rFonts w:hint="eastAsia" w:ascii="仿宋_GB2312" w:eastAsia="仿宋_GB2312" w:cs="仿宋_GB2312"/>
          <w:b/>
          <w:kern w:val="0"/>
          <w:sz w:val="32"/>
          <w:szCs w:val="32"/>
        </w:rPr>
      </w:pPr>
      <w:bookmarkStart w:id="3" w:name="_GoBack"/>
      <w:bookmarkEnd w:id="3"/>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42514"/>
    <w:multiLevelType w:val="singleLevel"/>
    <w:tmpl w:val="95642514"/>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CF80EFF1"/>
    <w:multiLevelType w:val="singleLevel"/>
    <w:tmpl w:val="CF80EFF1"/>
    <w:lvl w:ilvl="0" w:tentative="0">
      <w:start w:val="2"/>
      <w:numFmt w:val="decimal"/>
      <w:suff w:val="nothing"/>
      <w:lvlText w:val="（%1）"/>
      <w:lvlJc w:val="left"/>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4">
    <w:nsid w:val="F8B56D3F"/>
    <w:multiLevelType w:val="singleLevel"/>
    <w:tmpl w:val="F8B56D3F"/>
    <w:lvl w:ilvl="0" w:tentative="0">
      <w:start w:val="1"/>
      <w:numFmt w:val="chineseCounting"/>
      <w:suff w:val="nothing"/>
      <w:lvlText w:val="（%1）"/>
      <w:lvlJc w:val="left"/>
      <w:rPr>
        <w:rFonts w:hint="eastAsia"/>
      </w:rPr>
    </w:lvl>
  </w:abstractNum>
  <w:abstractNum w:abstractNumId="5">
    <w:nsid w:val="7032352B"/>
    <w:multiLevelType w:val="singleLevel"/>
    <w:tmpl w:val="7032352B"/>
    <w:lvl w:ilvl="0" w:tentative="0">
      <w:start w:val="1"/>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00172A27"/>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502479"/>
    <w:rsid w:val="02E0291A"/>
    <w:rsid w:val="04E54546"/>
    <w:rsid w:val="05992762"/>
    <w:rsid w:val="07B0770E"/>
    <w:rsid w:val="0942143F"/>
    <w:rsid w:val="0D100297"/>
    <w:rsid w:val="0D202B45"/>
    <w:rsid w:val="0F8D4C87"/>
    <w:rsid w:val="10505FAA"/>
    <w:rsid w:val="105F7E7E"/>
    <w:rsid w:val="11E56B5B"/>
    <w:rsid w:val="125C77AB"/>
    <w:rsid w:val="14CB726E"/>
    <w:rsid w:val="17E92249"/>
    <w:rsid w:val="18D304F1"/>
    <w:rsid w:val="19F32577"/>
    <w:rsid w:val="19F45B80"/>
    <w:rsid w:val="1A7B79C1"/>
    <w:rsid w:val="1B0C078D"/>
    <w:rsid w:val="1B2B31E2"/>
    <w:rsid w:val="1B4C295A"/>
    <w:rsid w:val="1B973C63"/>
    <w:rsid w:val="1BA1001E"/>
    <w:rsid w:val="1C921F89"/>
    <w:rsid w:val="1D317259"/>
    <w:rsid w:val="1E664F5B"/>
    <w:rsid w:val="1EB34BE1"/>
    <w:rsid w:val="215E639F"/>
    <w:rsid w:val="21EC3183"/>
    <w:rsid w:val="225E72CD"/>
    <w:rsid w:val="246E2F77"/>
    <w:rsid w:val="254B4E2B"/>
    <w:rsid w:val="283D7C94"/>
    <w:rsid w:val="29480E03"/>
    <w:rsid w:val="2983634D"/>
    <w:rsid w:val="2B03053B"/>
    <w:rsid w:val="2BB02055"/>
    <w:rsid w:val="2C575A56"/>
    <w:rsid w:val="2D333E4F"/>
    <w:rsid w:val="2F257714"/>
    <w:rsid w:val="2F3275E5"/>
    <w:rsid w:val="30AA08EF"/>
    <w:rsid w:val="30D23D1C"/>
    <w:rsid w:val="31221CF5"/>
    <w:rsid w:val="31400178"/>
    <w:rsid w:val="321E3342"/>
    <w:rsid w:val="327759C8"/>
    <w:rsid w:val="33185FE3"/>
    <w:rsid w:val="338E346C"/>
    <w:rsid w:val="34EE2E36"/>
    <w:rsid w:val="36777241"/>
    <w:rsid w:val="38A951DB"/>
    <w:rsid w:val="38B31605"/>
    <w:rsid w:val="39003F4F"/>
    <w:rsid w:val="3A501F82"/>
    <w:rsid w:val="3C07002B"/>
    <w:rsid w:val="3D0D152A"/>
    <w:rsid w:val="3DF62756"/>
    <w:rsid w:val="3EEA3A05"/>
    <w:rsid w:val="3F1B7587"/>
    <w:rsid w:val="41E57B4F"/>
    <w:rsid w:val="4280066E"/>
    <w:rsid w:val="432F26F6"/>
    <w:rsid w:val="43880F63"/>
    <w:rsid w:val="441C5A6F"/>
    <w:rsid w:val="44C44FCC"/>
    <w:rsid w:val="44CC7369"/>
    <w:rsid w:val="457F5108"/>
    <w:rsid w:val="46951B6B"/>
    <w:rsid w:val="49A34401"/>
    <w:rsid w:val="4A3E30AB"/>
    <w:rsid w:val="4AC14DAC"/>
    <w:rsid w:val="4C787CFC"/>
    <w:rsid w:val="4CFD19D5"/>
    <w:rsid w:val="4D154C85"/>
    <w:rsid w:val="4EC8553A"/>
    <w:rsid w:val="5051049F"/>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F74BC3"/>
    <w:rsid w:val="61441E7B"/>
    <w:rsid w:val="614F4823"/>
    <w:rsid w:val="617D3BF8"/>
    <w:rsid w:val="61841F6A"/>
    <w:rsid w:val="623007A9"/>
    <w:rsid w:val="637D7558"/>
    <w:rsid w:val="644F19AC"/>
    <w:rsid w:val="65AA4920"/>
    <w:rsid w:val="67694F1E"/>
    <w:rsid w:val="69597934"/>
    <w:rsid w:val="6979784C"/>
    <w:rsid w:val="6B964DDC"/>
    <w:rsid w:val="6C783074"/>
    <w:rsid w:val="6D9E65C6"/>
    <w:rsid w:val="6DA746D6"/>
    <w:rsid w:val="6DA81947"/>
    <w:rsid w:val="6EB66DE2"/>
    <w:rsid w:val="6ED3075F"/>
    <w:rsid w:val="6F2A2D4B"/>
    <w:rsid w:val="6F8A0C1E"/>
    <w:rsid w:val="703F45D4"/>
    <w:rsid w:val="715D6546"/>
    <w:rsid w:val="71B140DF"/>
    <w:rsid w:val="71BE069E"/>
    <w:rsid w:val="726F2069"/>
    <w:rsid w:val="73953409"/>
    <w:rsid w:val="73E069A3"/>
    <w:rsid w:val="774C11C1"/>
    <w:rsid w:val="776C4E24"/>
    <w:rsid w:val="78104AA8"/>
    <w:rsid w:val="78E257C5"/>
    <w:rsid w:val="79136BA8"/>
    <w:rsid w:val="794B35BE"/>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8.png"/><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31.3</c:v>
                </c:pt>
                <c:pt idx="1">
                  <c:v>31.3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49.35</c:v>
                </c:pt>
                <c:pt idx="1">
                  <c:v>49.35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2024-12-31T03:18:51Z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