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highlight w:val="none"/>
          <w:lang w:eastAsia="zh-CN"/>
        </w:rPr>
      </w:pPr>
      <w:r>
        <w:rPr>
          <w:rFonts w:hint="eastAsia" w:ascii="黑体" w:hAnsi="黑体" w:eastAsia="黑体" w:cs="黑体"/>
          <w:b/>
          <w:bCs/>
          <w:sz w:val="52"/>
          <w:szCs w:val="52"/>
          <w:highlight w:val="none"/>
          <w:lang w:eastAsia="zh-CN"/>
        </w:rPr>
        <w:t>环江毛南族自治县人力资源和社会保障局</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eastAsia="zh-CN"/>
        </w:rPr>
        <w:t>环江毛南族自治县人力资源和社会保障局</w:t>
      </w:r>
      <w:r>
        <w:rPr>
          <w:rFonts w:hint="eastAsia" w:ascii="黑体" w:hAnsi="黑体" w:eastAsia="黑体" w:cs="黑体"/>
          <w:sz w:val="32"/>
          <w:szCs w:val="32"/>
          <w:highlight w:val="none"/>
        </w:rPr>
        <w:t>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环江毛南族自治县人力资源和社会保障局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eastAsia="zh-CN"/>
        </w:rPr>
        <w:t>环江毛南族自治县人力资源和社会保障局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环江毛南族自治县人力资源和社会保障局</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（一）贯彻落实国家、省有关人力资源和社会保障的政策、规定，监督检查落实情况；拟订全县人力资源和社会保障事业发展规划及措施，负责全县人力资源和社会保障的宣传和舆情研究。</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（二）拟订人力资源市场发展规划和人力资源流动办法，建立统一规范的人力资源市场，促进人力资源合理流动、有效配置；拟订机构改革人员定岗和分流措施并组织实施。</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负责促进就业工作，拟订统筹城乡的就业发展规划和管理办法，完善公共就业服务体系；拟订就业援助制度，完善职业资格制度，统筹建立面向城乡劳动者的职业培训制度；牵头拟订高校毕业生就业措施，负责中专以上毕业生的就业指导、服务工作。</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统筹建立覆盖城乡的社会保障体系。执行城乡社会保险及其补充保险政策和标准，组织拟订全县统一的社会保险关系转续办法和基金统筹办法，统筹拟订机关企事业单位社会保险办法并逐步提高基金统筹层次；会同有关部门拟订社会保险及其补充保险基金管理和监督制度，编制全县社会保险基金预决算草案。</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（五）会同有关部门拟订全县机关企事业单位人员工资收入分配实施办法，建立全县机关事业单位人员工资正常增长和支付保障机制；执行机关企事业单位人员福利和离退休政策。</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会同有关部门拟订全县人才工作总体目标，参与人才管理。会同有关部门指导全县事业单位人事制度改革，拟订全县事业单位人员和机关工勤人员管理办法；负责全县人事考试工作；制定全县专业技术人员管理和继续教育办法，综合管理全县职称工作；负责高层次专业技术人才选拔和培养。</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）会同有关部门落实农民工工作的综合性政策和规定，协调解决重点难点问题，维护农民工合法权益。</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八</w:t>
      </w:r>
      <w:r>
        <w:rPr>
          <w:rFonts w:hint="eastAsia" w:ascii="仿宋_GB2312" w:hAnsi="仿宋_GB2312" w:eastAsia="仿宋_GB2312" w:cs="仿宋_GB2312"/>
          <w:sz w:val="32"/>
          <w:szCs w:val="32"/>
          <w:highlight w:val="none"/>
        </w:rPr>
        <w:t>）贯彻执行劳动、人事争议调解仲裁制度和劳动关系政策，完善劳动关系协调机制；执行消除非法使用童工政策和女工、未成年工的特殊劳动保护政策，组织实施劳动监察，协调劳动者维权工作，依法查处重大案件。</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九</w:t>
      </w:r>
      <w:r>
        <w:rPr>
          <w:rFonts w:hint="eastAsia" w:ascii="仿宋_GB2312" w:hAnsi="仿宋_GB2312" w:eastAsia="仿宋_GB2312" w:cs="仿宋_GB2312"/>
          <w:sz w:val="32"/>
          <w:szCs w:val="32"/>
          <w:highlight w:val="none"/>
        </w:rPr>
        <w:t>）承办县政府交办的其他事项。</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二、部门决算单位构成</w:t>
      </w:r>
    </w:p>
    <w:p>
      <w:pPr>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环江毛南族自治县人力资源和社会保障局内设办公室、</w:t>
      </w:r>
      <w:r>
        <w:rPr>
          <w:rFonts w:hint="eastAsia" w:ascii="仿宋_GB2312" w:hAnsi="仿宋_GB2312" w:eastAsia="仿宋_GB2312" w:cs="仿宋_GB2312"/>
          <w:sz w:val="32"/>
          <w:szCs w:val="32"/>
          <w:highlight w:val="none"/>
          <w:lang w:eastAsia="zh-CN"/>
        </w:rPr>
        <w:t>事业</w:t>
      </w:r>
      <w:r>
        <w:rPr>
          <w:rFonts w:hint="eastAsia" w:ascii="仿宋_GB2312" w:hAnsi="仿宋_GB2312" w:eastAsia="仿宋_GB2312" w:cs="仿宋_GB2312"/>
          <w:sz w:val="32"/>
          <w:szCs w:val="32"/>
          <w:highlight w:val="none"/>
        </w:rPr>
        <w:t>管理股、工资福利与退休股、档案室、基金监督股、仲裁院、人才交流服务中心。</w:t>
      </w:r>
    </w:p>
    <w:p>
      <w:pPr>
        <w:jc w:val="center"/>
        <w:rPr>
          <w:rFonts w:hint="eastAsia" w:ascii="仿宋" w:hAnsi="仿宋" w:eastAsia="仿宋" w:cs="仿宋"/>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eastAsia="zh-CN"/>
        </w:rPr>
        <w:t>环江毛南族自治县人力资源和社会保障局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4070" w:type="dxa"/>
        <w:tblInd w:w="93" w:type="dxa"/>
        <w:tblLayout w:type="fixed"/>
        <w:tblCellMar>
          <w:top w:w="0" w:type="dxa"/>
          <w:left w:w="108" w:type="dxa"/>
          <w:bottom w:w="0" w:type="dxa"/>
          <w:right w:w="108" w:type="dxa"/>
        </w:tblCellMar>
      </w:tblPr>
      <w:tblGrid>
        <w:gridCol w:w="3"/>
        <w:gridCol w:w="2543"/>
        <w:gridCol w:w="2393"/>
        <w:gridCol w:w="2231"/>
        <w:gridCol w:w="2669"/>
        <w:gridCol w:w="2202"/>
        <w:gridCol w:w="1902"/>
        <w:gridCol w:w="127"/>
      </w:tblGrid>
      <w:tr>
        <w:tblPrEx>
          <w:tblCellMar>
            <w:top w:w="0" w:type="dxa"/>
            <w:left w:w="108" w:type="dxa"/>
            <w:bottom w:w="0" w:type="dxa"/>
            <w:right w:w="108" w:type="dxa"/>
          </w:tblCellMar>
        </w:tblPrEx>
        <w:trPr>
          <w:gridBefore w:val="1"/>
          <w:gridAfter w:val="1"/>
          <w:wBefore w:w="3" w:type="dxa"/>
          <w:wAfter w:w="127" w:type="dxa"/>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公开01表</w:t>
            </w:r>
          </w:p>
        </w:tc>
      </w:tr>
      <w:tr>
        <w:tblPrEx>
          <w:tblCellMar>
            <w:top w:w="0" w:type="dxa"/>
            <w:left w:w="108" w:type="dxa"/>
            <w:bottom w:w="0" w:type="dxa"/>
            <w:right w:w="108" w:type="dxa"/>
          </w:tblCellMar>
        </w:tblPrEx>
        <w:trPr>
          <w:gridBefore w:val="1"/>
          <w:gridAfter w:val="1"/>
          <w:wBefore w:w="3" w:type="dxa"/>
          <w:wAfter w:w="127" w:type="dxa"/>
          <w:trHeight w:val="301" w:hRule="atLeast"/>
        </w:trPr>
        <w:tc>
          <w:tcPr>
            <w:tcW w:w="2543"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Arial" w:hAnsi="Arial" w:eastAsia="宋体" w:cs="Arial"/>
                <w:color w:val="000000"/>
                <w:sz w:val="20"/>
                <w:szCs w:val="20"/>
                <w:highlight w:val="none"/>
                <w:lang w:eastAsia="zh-CN"/>
              </w:rPr>
            </w:pPr>
            <w:r>
              <w:rPr>
                <w:rFonts w:hint="eastAsia" w:ascii="宋体" w:hAnsi="宋体" w:eastAsia="宋体" w:cs="宋体"/>
                <w:i w:val="0"/>
                <w:iCs w:val="0"/>
                <w:color w:val="000000"/>
                <w:kern w:val="0"/>
                <w:sz w:val="20"/>
                <w:szCs w:val="20"/>
                <w:u w:val="none"/>
                <w:lang w:val="en-US" w:eastAsia="zh-CN" w:bidi="ar"/>
              </w:rPr>
              <w:t>部门：环江毛南族自治县人力资源和社会保障局</w:t>
            </w:r>
          </w:p>
        </w:tc>
        <w:tc>
          <w:tcPr>
            <w:tcW w:w="239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231"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rPr>
            </w:pP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支出</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r>
      <w:tr>
        <w:tblPrEx>
          <w:tblCellMar>
            <w:top w:w="0" w:type="dxa"/>
            <w:left w:w="108" w:type="dxa"/>
            <w:bottom w:w="0" w:type="dxa"/>
            <w:right w:w="108" w:type="dxa"/>
          </w:tblCellMar>
        </w:tblPrEx>
        <w:trPr>
          <w:gridBefore w:val="1"/>
          <w:gridAfter w:val="1"/>
          <w:wBefore w:w="3" w:type="dxa"/>
          <w:wAfter w:w="127" w:type="dxa"/>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3.16</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1,971.06</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34.83</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0"/>
                <w:szCs w:val="20"/>
                <w:u w:val="none"/>
                <w:lang w:val="en-US" w:eastAsia="zh-CN"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highlight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Before w:val="1"/>
          <w:gridAfter w:val="1"/>
          <w:wBefore w:w="3" w:type="dxa"/>
          <w:wAfter w:w="127" w:type="dxa"/>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7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875" w:type="dxa"/>
        <w:tblInd w:w="181" w:type="dxa"/>
        <w:tblLayout w:type="fixed"/>
        <w:tblCellMar>
          <w:top w:w="0" w:type="dxa"/>
          <w:left w:w="108" w:type="dxa"/>
          <w:bottom w:w="0" w:type="dxa"/>
          <w:right w:w="108" w:type="dxa"/>
        </w:tblCellMar>
      </w:tblPr>
      <w:tblGrid>
        <w:gridCol w:w="1198"/>
        <w:gridCol w:w="301"/>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875"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877" w:type="dxa"/>
            <w:gridSpan w:val="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846"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8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27"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rPr>
          <w:trHeight w:val="327" w:hRule="atLeast"/>
        </w:trPr>
        <w:tc>
          <w:tcPr>
            <w:tcW w:w="38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873"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2,131.78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2,131.78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2080101</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225.76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225.76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2080104</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综合业务管理</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2080105</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劳动保障监察</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2080112</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31"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2080199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51.66</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51.66</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2080702</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职业培训补贴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2080704</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社会保险补贴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297.41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297.41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2080705</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公益性岗位补贴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994.21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994.21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职业技能鉴定补贴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2080711</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就业见习补贴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144.60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144.60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2080713</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促进创业补贴</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2080799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其他就业补助支出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106.47</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106.47</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2130599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1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6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szCs w:val="22"/>
                <w:highlight w:val="none"/>
                <w:lang w:val="en-US" w:eastAsia="zh-CN"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szCs w:val="22"/>
                <w:highlight w:val="none"/>
                <w:lang w:val="en-US" w:eastAsia="zh-CN"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szCs w:val="22"/>
                <w:highlight w:val="none"/>
                <w:lang w:val="en-US" w:eastAsia="zh-CN"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szCs w:val="22"/>
                <w:highlight w:val="none"/>
                <w:lang w:val="en-US" w:eastAsia="zh-CN"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color w:val="000000"/>
                <w:kern w:val="0"/>
                <w:sz w:val="22"/>
                <w:szCs w:val="22"/>
                <w:highlight w:val="none"/>
                <w:lang w:val="en-US" w:eastAsia="zh-CN" w:bidi="ar"/>
              </w:rPr>
            </w:pPr>
          </w:p>
        </w:tc>
      </w:tr>
      <w:tr>
        <w:trPr>
          <w:trHeight w:val="327" w:hRule="atLeast"/>
        </w:trPr>
        <w:tc>
          <w:tcPr>
            <w:tcW w:w="13875" w:type="dxa"/>
            <w:gridSpan w:val="13"/>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center"/>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107"/>
        <w:gridCol w:w="130"/>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623" w:hRule="atLeast"/>
        </w:trPr>
        <w:tc>
          <w:tcPr>
            <w:tcW w:w="13980" w:type="dxa"/>
            <w:gridSpan w:val="12"/>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9"/>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837" w:hRule="atLeast"/>
        </w:trPr>
        <w:tc>
          <w:tcPr>
            <w:tcW w:w="161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456" w:hRule="atLeast"/>
        </w:trPr>
        <w:tc>
          <w:tcPr>
            <w:tcW w:w="390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2,131.78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270.11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1,861.67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b/>
                <w:bCs/>
                <w:color w:val="000000"/>
                <w:sz w:val="22"/>
                <w:szCs w:val="22"/>
                <w:highlight w:val="none"/>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b/>
                <w:bCs/>
                <w:color w:val="000000"/>
                <w:sz w:val="22"/>
                <w:szCs w:val="22"/>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b/>
                <w:bCs/>
                <w:color w:val="000000"/>
                <w:sz w:val="22"/>
                <w:szCs w:val="22"/>
                <w:highlight w:val="none"/>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2012999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2080101</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行政运行</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225.76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225.76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2080104</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综合业务管理</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7.00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2080105</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劳动保障监察</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2080112</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2080199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51.66</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51.66</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2080505</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23.57</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2080702</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职业培训补贴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104.12</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2080704</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社会保险补贴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297.41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297.41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2080705</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公益性岗位补贴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994.21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994.21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2080709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职业技能鉴定补贴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2080711</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就业见习补贴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144.60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144.60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2080713</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促进创业补贴</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3.03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2080799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其他就业补助支出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106.47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106.47</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2130599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2210201</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2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26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34.83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322" w:hRule="atLeast"/>
        </w:trPr>
        <w:tc>
          <w:tcPr>
            <w:tcW w:w="1398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5376" w:type="pct"/>
        <w:tblInd w:w="0" w:type="dxa"/>
        <w:tblLayout w:type="fixed"/>
        <w:tblCellMar>
          <w:top w:w="0" w:type="dxa"/>
          <w:left w:w="108" w:type="dxa"/>
          <w:bottom w:w="0" w:type="dxa"/>
          <w:right w:w="108" w:type="dxa"/>
        </w:tblCellMar>
      </w:tblPr>
      <w:tblGrid>
        <w:gridCol w:w="2376"/>
        <w:gridCol w:w="904"/>
        <w:gridCol w:w="626"/>
        <w:gridCol w:w="1320"/>
        <w:gridCol w:w="1903"/>
        <w:gridCol w:w="1491"/>
        <w:gridCol w:w="685"/>
        <w:gridCol w:w="71"/>
        <w:gridCol w:w="1165"/>
        <w:gridCol w:w="728"/>
        <w:gridCol w:w="745"/>
        <w:gridCol w:w="1181"/>
        <w:gridCol w:w="460"/>
        <w:gridCol w:w="1585"/>
      </w:tblGrid>
      <w:tr>
        <w:tblPrEx>
          <w:tblCellMar>
            <w:top w:w="0" w:type="dxa"/>
            <w:left w:w="108" w:type="dxa"/>
            <w:bottom w:w="0" w:type="dxa"/>
            <w:right w:w="108" w:type="dxa"/>
          </w:tblCellMar>
        </w:tblPrEx>
        <w:trPr>
          <w:trHeight w:val="277" w:hRule="atLeast"/>
        </w:trPr>
        <w:tc>
          <w:tcPr>
            <w:tcW w:w="5000" w:type="pct"/>
            <w:gridSpan w:val="14"/>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139" w:hRule="atLeast"/>
        </w:trPr>
        <w:tc>
          <w:tcPr>
            <w:tcW w:w="7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0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33"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8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8"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31" w:type="pct"/>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0" w:type="pct"/>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rPr>
          <w:trHeight w:val="139" w:hRule="atLeast"/>
        </w:trPr>
        <w:tc>
          <w:tcPr>
            <w:tcW w:w="3076" w:type="pct"/>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621"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31" w:type="pct"/>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0" w:type="pct"/>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143" w:hRule="atLeast"/>
        </w:trPr>
        <w:tc>
          <w:tcPr>
            <w:tcW w:w="1714"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收     入</w:t>
            </w:r>
          </w:p>
        </w:tc>
        <w:tc>
          <w:tcPr>
            <w:tcW w:w="3285" w:type="pct"/>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支     出</w:t>
            </w:r>
          </w:p>
        </w:tc>
      </w:tr>
      <w:tr>
        <w:tblPrEx>
          <w:tblCellMar>
            <w:top w:w="0" w:type="dxa"/>
            <w:left w:w="108" w:type="dxa"/>
            <w:bottom w:w="0" w:type="dxa"/>
            <w:right w:w="108" w:type="dxa"/>
          </w:tblCellMar>
        </w:tblPrEx>
        <w:trPr>
          <w:trHeight w:val="28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金额</w:t>
            </w: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项目</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行次</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合计</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CellMar>
            <w:top w:w="0" w:type="dxa"/>
            <w:left w:w="108" w:type="dxa"/>
            <w:bottom w:w="0" w:type="dxa"/>
            <w:right w:w="108" w:type="dxa"/>
          </w:tblCellMar>
        </w:tblPrEx>
        <w:trPr>
          <w:trHeight w:val="166"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栏次</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2</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5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2,131.78</w:t>
            </w: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33</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3.16</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3.16</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二、外交支出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三、国防支出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35</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19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36</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五、教育支出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37</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38</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39</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73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40</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1,971.06</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1,971.06</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41</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42</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43</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55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44</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105.11</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105.11</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45</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46</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47</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48</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49</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50</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46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51</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17.62</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17.62</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52</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53</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28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54</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46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55</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34.83</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34.83</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56</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25</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57</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kern w:val="0"/>
                <w:sz w:val="22"/>
                <w:szCs w:val="22"/>
                <w:highlight w:val="none"/>
                <w:lang w:bidi="ar"/>
              </w:rPr>
            </w:pP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58</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55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27</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59</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2,131.78</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7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28</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60</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143"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29</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61</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143"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62</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143"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63</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rPr>
            </w:pP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732" w:hRule="atLeast"/>
        </w:trPr>
        <w:tc>
          <w:tcPr>
            <w:tcW w:w="107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b/>
                <w:bCs/>
                <w:i w:val="0"/>
                <w:iCs w:val="0"/>
                <w:color w:val="000000"/>
                <w:kern w:val="0"/>
                <w:sz w:val="22"/>
                <w:szCs w:val="22"/>
                <w:u w:val="none"/>
                <w:lang w:val="en-US" w:eastAsia="zh-CN" w:bidi="ar"/>
              </w:rPr>
              <w:t>总计</w:t>
            </w:r>
          </w:p>
        </w:tc>
        <w:tc>
          <w:tcPr>
            <w:tcW w:w="20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32</w:t>
            </w:r>
          </w:p>
        </w:tc>
        <w:tc>
          <w:tcPr>
            <w:tcW w:w="43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111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b/>
                <w:bCs/>
                <w:i w:val="0"/>
                <w:iCs w:val="0"/>
                <w:color w:val="000000"/>
                <w:kern w:val="0"/>
                <w:sz w:val="22"/>
                <w:szCs w:val="22"/>
                <w:u w:val="none"/>
                <w:lang w:val="en-US" w:eastAsia="zh-CN" w:bidi="ar"/>
              </w:rPr>
              <w:t>总计</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64</w:t>
            </w:r>
          </w:p>
        </w:tc>
        <w:tc>
          <w:tcPr>
            <w:tcW w:w="4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rPr>
            </w:pPr>
            <w:r>
              <w:rPr>
                <w:rFonts w:hint="eastAsia" w:ascii="宋体" w:hAnsi="宋体" w:eastAsia="宋体" w:cs="宋体"/>
                <w:i w:val="0"/>
                <w:iCs w:val="0"/>
                <w:color w:val="000000"/>
                <w:kern w:val="0"/>
                <w:sz w:val="22"/>
                <w:szCs w:val="22"/>
                <w:u w:val="none"/>
                <w:lang w:val="en-US" w:eastAsia="zh-CN" w:bidi="ar"/>
              </w:rPr>
              <w:t>2,131.78</w:t>
            </w:r>
          </w:p>
        </w:tc>
        <w:tc>
          <w:tcPr>
            <w:tcW w:w="48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i w:val="0"/>
                <w:iCs w:val="0"/>
                <w:color w:val="000000"/>
                <w:kern w:val="0"/>
                <w:sz w:val="22"/>
                <w:szCs w:val="22"/>
                <w:u w:val="none"/>
                <w:lang w:val="en-US" w:eastAsia="zh-CN" w:bidi="ar"/>
              </w:rPr>
              <w:t>2,131.78</w:t>
            </w:r>
          </w:p>
        </w:tc>
        <w:tc>
          <w:tcPr>
            <w:tcW w:w="53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c>
          <w:tcPr>
            <w:tcW w:w="52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558" w:hRule="atLeast"/>
        </w:trPr>
        <w:tc>
          <w:tcPr>
            <w:tcW w:w="4329" w:type="pct"/>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0" w:type="pct"/>
            <w:gridSpan w:val="2"/>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283"/>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13980" w:type="dxa"/>
            <w:gridSpan w:val="7"/>
            <w:tcBorders>
              <w:top w:val="single" w:color="auto" w:sz="4" w:space="0"/>
              <w:left w:val="nil"/>
              <w:bottom w:val="nil"/>
              <w:right w:val="nil"/>
            </w:tcBorders>
            <w:shd w:val="clear" w:color="auto" w:fill="auto"/>
            <w:noWrap/>
            <w:vAlign w:val="center"/>
          </w:tcPr>
          <w:tbl>
            <w:tblPr>
              <w:tblStyle w:val="6"/>
              <w:tblW w:w="137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0"/>
              <w:gridCol w:w="4933"/>
              <w:gridCol w:w="2650"/>
              <w:gridCol w:w="246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33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933"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6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46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1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33"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6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4933" w:type="dxa"/>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65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46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1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4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443"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2,131.78</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270.11</w:t>
                  </w: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1,861.67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22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2080101</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225.76</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225.76</w:t>
                  </w:r>
                </w:p>
              </w:tc>
              <w:tc>
                <w:tcPr>
                  <w:tcW w:w="22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2080104</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综合业务管理</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2080105</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劳动保障监察</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2080112</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22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2080702</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职业培训补贴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2080704</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社会保险补贴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297.41</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994.21</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职业技能鉴定补贴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2080711</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就业见习补贴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144.60</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2080713</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促进创业补贴</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2080799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其他就业补助支出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105.11</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246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221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493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6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2467"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1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r>
          </w:tbl>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916"/>
        <w:gridCol w:w="191"/>
        <w:gridCol w:w="2371"/>
        <w:gridCol w:w="1106"/>
        <w:gridCol w:w="882"/>
        <w:gridCol w:w="398"/>
        <w:gridCol w:w="1652"/>
        <w:gridCol w:w="695"/>
        <w:gridCol w:w="417"/>
        <w:gridCol w:w="743"/>
        <w:gridCol w:w="162"/>
        <w:gridCol w:w="1011"/>
        <w:gridCol w:w="2147"/>
        <w:gridCol w:w="192"/>
        <w:gridCol w:w="1117"/>
      </w:tblGrid>
      <w:tr>
        <w:tblPrEx>
          <w:tblCellMar>
            <w:top w:w="0" w:type="dxa"/>
            <w:left w:w="108" w:type="dxa"/>
            <w:bottom w:w="0" w:type="dxa"/>
            <w:right w:w="108" w:type="dxa"/>
          </w:tblCellMar>
        </w:tblPrEx>
        <w:trPr>
          <w:trHeight w:val="338" w:hRule="atLeast"/>
        </w:trPr>
        <w:tc>
          <w:tcPr>
            <w:tcW w:w="14000" w:type="dxa"/>
            <w:gridSpan w:val="15"/>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169" w:hRule="atLeast"/>
        </w:trPr>
        <w:tc>
          <w:tcPr>
            <w:tcW w:w="110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308" w:hRule="atLeast"/>
        </w:trPr>
        <w:tc>
          <w:tcPr>
            <w:tcW w:w="8211" w:type="dxa"/>
            <w:gridSpan w:val="8"/>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1160"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gridSpan w:val="2"/>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3"/>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179" w:hRule="atLeast"/>
        </w:trPr>
        <w:tc>
          <w:tcPr>
            <w:tcW w:w="45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w:t>
            </w:r>
          </w:p>
        </w:tc>
        <w:tc>
          <w:tcPr>
            <w:tcW w:w="9416"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108" w:type="dxa"/>
            <w:bottom w:w="0" w:type="dxa"/>
            <w:right w:w="108" w:type="dxa"/>
          </w:tblCellMar>
        </w:tblPrEx>
        <w:trPr>
          <w:trHeight w:val="681"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科目代码</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rPr>
            </w:pPr>
            <w:r>
              <w:rPr>
                <w:rFonts w:hint="eastAsia" w:ascii="宋体" w:hAnsi="宋体" w:eastAsia="宋体" w:cs="宋体"/>
                <w:i w:val="0"/>
                <w:iCs w:val="0"/>
                <w:color w:val="000000"/>
                <w:kern w:val="0"/>
                <w:sz w:val="22"/>
                <w:szCs w:val="22"/>
                <w:u w:val="none"/>
                <w:lang w:val="en-US" w:eastAsia="zh-CN" w:bidi="ar"/>
              </w:rPr>
              <w:t>科目代码</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科目名称</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675" w:hRule="atLeast"/>
        </w:trPr>
        <w:tc>
          <w:tcPr>
            <w:tcW w:w="9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196.06</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23.80</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30101</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bookmarkStart w:id="0" w:name="OLE_LINK3"/>
            <w:bookmarkStart w:id="1" w:name="OLE_LINK4"/>
            <w:r>
              <w:rPr>
                <w:rFonts w:hint="eastAsia" w:ascii="宋体" w:hAnsi="宋体" w:eastAsia="宋体" w:cs="宋体"/>
                <w:i w:val="0"/>
                <w:iCs w:val="0"/>
                <w:color w:val="000000"/>
                <w:kern w:val="0"/>
                <w:sz w:val="22"/>
                <w:szCs w:val="22"/>
                <w:u w:val="none"/>
                <w:lang w:val="en-US" w:eastAsia="zh-CN"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63.46</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30201</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0.72</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30701</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30102</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36.78</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30202</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30702</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30103</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44.40</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30203</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资本性支出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30106</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30204</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31001</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30107</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30205</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0.07</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31002</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30108</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23.57</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30206</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0.95</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31003</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30109</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30207</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2.61</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31005</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30110</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9.70</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30208</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31006</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30111</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30209</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31007</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30112</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0.29</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30211</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31008</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30113</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17.85</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30212</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31009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30114</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30213</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31010</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30199</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30214</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31011</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50.25</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30215</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31012</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30301</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30216</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31013</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30302</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30217</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31019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30303</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30218</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31021</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30304</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24.09</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30224</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31022</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30305</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26.15</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30225</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31099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30306</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30226</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1.50</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其他支出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30307</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30227</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39907</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30308</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30228</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3.16</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39908</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30309</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30229</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39909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30310</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30231</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39910</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30311</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30239</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14.76</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rPr>
            </w:pPr>
            <w:r>
              <w:rPr>
                <w:rFonts w:hint="eastAsia" w:ascii="宋体" w:hAnsi="宋体" w:eastAsia="宋体" w:cs="宋体"/>
                <w:i w:val="0"/>
                <w:iCs w:val="0"/>
                <w:color w:val="000000"/>
                <w:kern w:val="0"/>
                <w:sz w:val="22"/>
                <w:szCs w:val="22"/>
                <w:u w:val="none"/>
                <w:lang w:val="en-US" w:eastAsia="zh-CN" w:bidi="ar"/>
              </w:rPr>
              <w:t>39999</w:t>
            </w: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30399</w:t>
            </w: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0.01</w:t>
            </w: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30240</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rPr>
            </w:pP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9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25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30299</w:t>
            </w:r>
          </w:p>
        </w:tc>
        <w:tc>
          <w:tcPr>
            <w:tcW w:w="20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11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0.02</w:t>
            </w:r>
          </w:p>
        </w:tc>
        <w:tc>
          <w:tcPr>
            <w:tcW w:w="9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rPr>
            </w:pPr>
          </w:p>
        </w:tc>
        <w:tc>
          <w:tcPr>
            <w:tcW w:w="335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color w:val="000000"/>
                <w:sz w:val="22"/>
                <w:szCs w:val="22"/>
                <w:highlight w:val="none"/>
              </w:rPr>
            </w:pP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44" w:hRule="atLeast"/>
        </w:trPr>
        <w:tc>
          <w:tcPr>
            <w:tcW w:w="347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246.31</w:t>
            </w:r>
          </w:p>
        </w:tc>
        <w:tc>
          <w:tcPr>
            <w:tcW w:w="8299" w:type="dxa"/>
            <w:gridSpan w:val="10"/>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11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sz w:val="22"/>
                <w:szCs w:val="22"/>
                <w:highlight w:val="none"/>
              </w:rPr>
            </w:pPr>
            <w:r>
              <w:rPr>
                <w:rFonts w:hint="eastAsia" w:ascii="宋体" w:hAnsi="宋体" w:eastAsia="宋体" w:cs="宋体"/>
                <w:i w:val="0"/>
                <w:iCs w:val="0"/>
                <w:color w:val="000000"/>
                <w:kern w:val="0"/>
                <w:sz w:val="22"/>
                <w:szCs w:val="22"/>
                <w:u w:val="none"/>
                <w:lang w:val="en-US" w:eastAsia="zh-CN" w:bidi="ar"/>
              </w:rPr>
              <w:t>23.80</w:t>
            </w:r>
          </w:p>
        </w:tc>
      </w:tr>
      <w:bookmarkEnd w:id="0"/>
      <w:bookmarkEnd w:id="1"/>
      <w:tr>
        <w:tblPrEx>
          <w:tblCellMar>
            <w:top w:w="0" w:type="dxa"/>
            <w:left w:w="108" w:type="dxa"/>
            <w:bottom w:w="0" w:type="dxa"/>
            <w:right w:w="108" w:type="dxa"/>
          </w:tblCellMar>
        </w:tblPrEx>
        <w:trPr>
          <w:trHeight w:val="179" w:hRule="atLeast"/>
        </w:trPr>
        <w:tc>
          <w:tcPr>
            <w:tcW w:w="14000" w:type="dxa"/>
            <w:gridSpan w:val="15"/>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keepNext w:val="0"/>
              <w:keepLines w:val="0"/>
              <w:widowControl w:val="0"/>
              <w:suppressLineNumbers w:val="0"/>
              <w:spacing w:before="0" w:beforeAutospacing="0" w:after="0" w:afterAutospacing="0"/>
              <w:ind w:left="0" w:right="0"/>
              <w:jc w:val="both"/>
              <w:rPr>
                <w:rFonts w:hint="default"/>
                <w:color w:val="auto"/>
                <w:highlight w:val="none"/>
              </w:rPr>
            </w:pPr>
            <w:r>
              <w:rPr>
                <w:rFonts w:hint="eastAsia" w:ascii="宋体" w:hAnsi="宋体" w:eastAsia="宋体" w:cs="宋体"/>
                <w:color w:val="auto"/>
                <w:kern w:val="2"/>
                <w:sz w:val="21"/>
                <w:szCs w:val="21"/>
                <w:highlight w:val="none"/>
                <w:lang w:val="en-US" w:eastAsia="zh-CN" w:bidi="ar"/>
              </w:rPr>
              <w:t>本部门</w:t>
            </w:r>
            <w:r>
              <w:rPr>
                <w:rFonts w:hint="default" w:ascii="Times New Roman" w:hAnsi="Times New Roman" w:eastAsia="宋体" w:cs="Times New Roman"/>
                <w:color w:val="auto"/>
                <w:kern w:val="2"/>
                <w:sz w:val="21"/>
                <w:szCs w:val="21"/>
                <w:highlight w:val="none"/>
                <w:lang w:val="en-US" w:eastAsia="zh-CN" w:bidi="ar"/>
              </w:rPr>
              <w:t>202</w:t>
            </w:r>
            <w:r>
              <w:rPr>
                <w:rFonts w:hint="eastAsia" w:ascii="Times New Roman" w:hAnsi="Times New Roman" w:eastAsia="宋体" w:cs="Times New Roman"/>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auto"/>
          <w:kern w:val="0"/>
          <w:sz w:val="22"/>
          <w:szCs w:val="22"/>
          <w:highlight w:val="none"/>
          <w:lang w:bidi="ar"/>
        </w:rPr>
      </w:pPr>
      <w:r>
        <w:rPr>
          <w:rFonts w:hint="eastAsia" w:ascii="宋体" w:hAnsi="宋体" w:eastAsia="宋体" w:cs="宋体"/>
          <w:color w:val="auto"/>
          <w:kern w:val="2"/>
          <w:sz w:val="21"/>
          <w:szCs w:val="21"/>
          <w:lang w:val="en-US" w:eastAsia="zh-CN" w:bidi="ar"/>
        </w:rPr>
        <w:t>本部门</w:t>
      </w:r>
      <w:r>
        <w:rPr>
          <w:rFonts w:hint="default" w:ascii="Times New Roman" w:hAnsi="Times New Roman" w:eastAsia="宋体" w:cs="Times New Roman"/>
          <w:color w:val="auto"/>
          <w:kern w:val="2"/>
          <w:sz w:val="21"/>
          <w:szCs w:val="21"/>
          <w:lang w:val="en-US" w:eastAsia="zh-CN" w:bidi="ar"/>
        </w:rPr>
        <w:t>202</w:t>
      </w:r>
      <w:r>
        <w:rPr>
          <w:rFonts w:hint="eastAsia" w:ascii="Times New Roman" w:hAnsi="Times New Roman" w:eastAsia="宋体" w:cs="Times New Roman"/>
          <w:color w:val="auto"/>
          <w:kern w:val="2"/>
          <w:sz w:val="21"/>
          <w:szCs w:val="21"/>
          <w:lang w:val="en-US" w:eastAsia="zh-CN" w:bidi="ar"/>
        </w:rPr>
        <w:t>3</w:t>
      </w:r>
      <w:r>
        <w:rPr>
          <w:rFonts w:hint="eastAsia" w:ascii="宋体" w:hAnsi="宋体" w:eastAsia="宋体" w:cs="宋体"/>
          <w:color w:val="auto"/>
          <w:kern w:val="2"/>
          <w:sz w:val="21"/>
          <w:szCs w:val="21"/>
          <w:lang w:val="en-US" w:eastAsia="zh-CN" w:bidi="ar"/>
        </w:rPr>
        <w:t>年度没有国有资本经营预算财政拨款收入，也没有国有资本经营预算财政拨款安排的支出，故本表无数据。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eastAsia="宋体" w:cs="Arial"/>
                <w:color w:val="000000"/>
                <w:sz w:val="20"/>
                <w:szCs w:val="20"/>
                <w:highlight w:val="none"/>
                <w:lang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i w:val="0"/>
                <w:iCs w:val="0"/>
                <w:color w:val="000000"/>
                <w:kern w:val="0"/>
                <w:sz w:val="20"/>
                <w:szCs w:val="20"/>
                <w:u w:val="none"/>
                <w:lang w:val="en-US" w:eastAsia="zh-CN" w:bidi="ar"/>
              </w:rPr>
              <w:t>环江毛南族自治县人力资源和社会保障局</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highlight w:val="none"/>
              </w:rPr>
            </w:pPr>
            <w:r>
              <w:rPr>
                <w:rFonts w:hint="eastAsia" w:ascii="宋体" w:hAnsi="宋体" w:eastAsia="宋体" w:cs="宋体"/>
                <w:color w:val="000000"/>
                <w:sz w:val="22"/>
                <w:szCs w:val="22"/>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0.07</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环江毛南族自治县人力资源和社会保障局</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u w:color="auto"/>
          <w:lang w:val="en-US" w:eastAsia="zh-CN"/>
        </w:rPr>
        <w:t>7.1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0.33</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万元。收入具体情况如下。</w:t>
      </w:r>
    </w:p>
    <w:p>
      <w:pPr>
        <w:keepNext w:val="0"/>
        <w:keepLines w:val="0"/>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 w:hAnsi="仿宋" w:eastAsia="仿宋" w:cs="仿宋"/>
          <w:kern w:val="0"/>
          <w:sz w:val="32"/>
          <w:szCs w:val="32"/>
          <w:lang w:eastAsia="zh-CN"/>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2131.78</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u w:color="auto"/>
          <w:lang w:val="en-US" w:eastAsia="zh-CN"/>
        </w:rPr>
        <w:t>7.1</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0.33</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主要原因：基本支出</w:t>
      </w:r>
      <w:r>
        <w:rPr>
          <w:rFonts w:hint="eastAsia" w:ascii="仿宋" w:hAnsi="仿宋" w:eastAsia="仿宋" w:cs="仿宋"/>
          <w:kern w:val="0"/>
          <w:sz w:val="32"/>
          <w:szCs w:val="32"/>
          <w:lang w:eastAsia="zh-CN"/>
        </w:rPr>
        <w:t>收入减少。</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u w:color="auto"/>
          <w:lang w:eastAsia="zh-CN"/>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8.其他收入0万元,为预算单位在“财政拨款收入”“事业收入”“经营收入”之外取得的收入。较2022年度决算数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eastAsia="zh-CN"/>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hint="eastAsia" w:ascii="仿宋" w:hAnsi="仿宋" w:eastAsia="仿宋" w:cs="仿宋"/>
          <w:sz w:val="32"/>
          <w:u w:color="auto"/>
          <w:lang w:eastAsia="zh-CN"/>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eastAsia="zh-CN"/>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810000"/>
            <wp:effectExtent l="4445" t="4445" r="5715" b="1079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7.1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0.33</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eastAsia="zh-CN"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，主要用于本部门为保证日常运转发生的基本支出和为完成各项工作任务、保障单位事业发展而发生的项目支出。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0.25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下降</w:t>
      </w:r>
      <w:r>
        <w:rPr>
          <w:rFonts w:hint="eastAsia" w:ascii="仿宋" w:hAnsi="仿宋" w:eastAsia="仿宋" w:cs="仿宋"/>
          <w:sz w:val="32"/>
          <w:szCs w:val="32"/>
          <w:highlight w:val="none"/>
          <w:lang w:val="en-US" w:eastAsia="zh-CN" w:bidi="ar"/>
        </w:rPr>
        <w:t>7.33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主要原因是：2023年缩减工作经费开支。</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1971.06</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其他人力资源和社会保障事务支出、机关事业单位基本养老保险缴费支出、就业补助支出（含职业培训、社会保险、公益性岗位、职业鉴定及见习补贴等）。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增加</w:t>
      </w:r>
      <w:r>
        <w:rPr>
          <w:rFonts w:hint="eastAsia" w:ascii="仿宋" w:hAnsi="仿宋" w:eastAsia="仿宋" w:cs="仿宋"/>
          <w:sz w:val="32"/>
          <w:szCs w:val="32"/>
          <w:highlight w:val="none"/>
          <w:lang w:val="en-US" w:eastAsia="zh-CN" w:bidi="ar"/>
        </w:rPr>
        <w:t>88.11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增长</w:t>
      </w:r>
      <w:r>
        <w:rPr>
          <w:rFonts w:hint="eastAsia" w:ascii="仿宋" w:hAnsi="仿宋" w:eastAsia="仿宋" w:cs="仿宋"/>
          <w:sz w:val="32"/>
          <w:szCs w:val="32"/>
          <w:highlight w:val="none"/>
          <w:lang w:val="en-US" w:eastAsia="zh-CN" w:bidi="ar"/>
        </w:rPr>
        <w:t>4.68</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主要原因是：就业补助专项资金支出增加。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u w:color="auto"/>
          <w:lang w:val="en-US" w:eastAsia="zh-CN"/>
        </w:rPr>
        <w:t>3</w:t>
      </w:r>
      <w:r>
        <w:rPr>
          <w:rFonts w:ascii="仿宋" w:hAnsi="仿宋" w:eastAsia="仿宋" w:cs="仿宋"/>
          <w:sz w:val="32"/>
          <w:u w:color="auto"/>
        </w:rPr>
        <w:t>.</w:t>
      </w:r>
      <w:r>
        <w:rPr>
          <w:rFonts w:hint="eastAsia" w:ascii="仿宋" w:hAnsi="仿宋" w:eastAsia="仿宋" w:cs="仿宋"/>
          <w:sz w:val="32"/>
          <w:szCs w:val="32"/>
          <w:highlight w:val="none"/>
          <w:lang w:bidi="ar"/>
        </w:rPr>
        <w:t>农林水支出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213</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类）105.11万元：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：粤桂协作就业技能培训、脱贫劳动力县内就业劳务补助、“点对点”输送农民工赴粤务工交通费</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bidi="ar"/>
        </w:rPr>
        <w:t>减少</w:t>
      </w:r>
      <w:r>
        <w:rPr>
          <w:rFonts w:hint="eastAsia" w:ascii="仿宋" w:hAnsi="仿宋" w:eastAsia="仿宋" w:cs="仿宋"/>
          <w:sz w:val="32"/>
          <w:szCs w:val="32"/>
          <w:highlight w:val="none"/>
          <w:lang w:val="en-US" w:eastAsia="zh-CN" w:bidi="ar"/>
        </w:rPr>
        <w:t>76.61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bidi="ar"/>
        </w:rPr>
        <w:t>下降</w:t>
      </w:r>
      <w:r>
        <w:rPr>
          <w:rFonts w:hint="eastAsia" w:ascii="仿宋" w:hAnsi="仿宋" w:eastAsia="仿宋" w:cs="仿宋"/>
          <w:sz w:val="32"/>
          <w:szCs w:val="32"/>
          <w:highlight w:val="none"/>
          <w:lang w:val="en-US" w:eastAsia="zh-CN" w:bidi="ar"/>
        </w:rPr>
        <w:t>42.16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2023年符合补贴标准人数较少。</w:t>
      </w:r>
    </w:p>
    <w:p>
      <w:pPr>
        <w:keepNext w:val="0"/>
        <w:keepLines w:val="0"/>
        <w:widowControl w:val="0"/>
        <w:suppressLineNumbers w:val="0"/>
        <w:spacing w:before="0" w:beforeAutospacing="0" w:after="0" w:afterAutospacing="0"/>
        <w:ind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rPr>
        <w:t>17.62</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_GB2312"/>
          <w:kern w:val="0"/>
          <w:sz w:val="32"/>
          <w:szCs w:val="32"/>
        </w:rPr>
        <w:t>按照国家政策规定向职工发放的住房公积金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1.56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8.13</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主要原因是：2023年年内有职工调动，公积金数额有变动。</w:t>
      </w:r>
    </w:p>
    <w:p>
      <w:pPr>
        <w:keepNext w:val="0"/>
        <w:keepLines w:val="0"/>
        <w:widowControl w:val="0"/>
        <w:suppressLineNumbers w:val="0"/>
        <w:spacing w:before="0" w:beforeAutospacing="0" w:after="0" w:afterAutospacing="0"/>
        <w:ind w:left="0" w:right="0" w:firstLine="620" w:firstLineChars="200"/>
        <w:jc w:val="left"/>
        <w:rPr>
          <w:rFonts w:hint="eastAsia" w:ascii="仿宋" w:hAnsi="仿宋" w:eastAsia="仿宋_GB2312" w:cs="仿宋"/>
          <w:sz w:val="32"/>
          <w:szCs w:val="32"/>
          <w:highlight w:val="none"/>
          <w:lang w:eastAsia="zh-CN" w:bidi="ar"/>
        </w:rPr>
      </w:pPr>
      <w:r>
        <w:rPr>
          <w:rFonts w:hint="default" w:ascii="仿宋_GB2312" w:hAnsi="微软雅黑" w:eastAsia="仿宋_GB2312" w:cs="仿宋_GB2312"/>
          <w:i w:val="0"/>
          <w:iCs w:val="0"/>
          <w:caps w:val="0"/>
          <w:color w:val="000000"/>
          <w:spacing w:val="0"/>
          <w:sz w:val="31"/>
          <w:szCs w:val="31"/>
          <w:highlight w:val="none"/>
          <w:shd w:val="clear" w:color="auto" w:fill="FFFFFF"/>
        </w:rPr>
        <w:t>结余分配</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万元，为事业单位按规定提取的专用结余、缴纳所得税和转入非财政拨款结余等。较202</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2</w:t>
      </w:r>
      <w:r>
        <w:rPr>
          <w:rFonts w:hint="default" w:ascii="仿宋_GB2312" w:hAnsi="微软雅黑" w:eastAsia="仿宋_GB2312" w:cs="仿宋_GB2312"/>
          <w:i w:val="0"/>
          <w:iCs w:val="0"/>
          <w:caps w:val="0"/>
          <w:color w:val="000000"/>
          <w:spacing w:val="0"/>
          <w:sz w:val="31"/>
          <w:szCs w:val="31"/>
          <w:highlight w:val="none"/>
          <w:shd w:val="clear" w:color="auto" w:fill="FFFFFF"/>
        </w:rPr>
        <w:t>年决算</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eastAsia" w:ascii="仿宋_GB2312" w:hAnsi="微软雅黑" w:eastAsia="仿宋_GB2312" w:cs="仿宋_GB2312"/>
          <w:color w:val="000000"/>
          <w:sz w:val="31"/>
          <w:szCs w:val="31"/>
          <w:highlight w:val="none"/>
          <w:shd w:val="clear" w:color="auto" w:fill="FFFFFF"/>
        </w:rPr>
        <w:t>增加0.00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color w:val="000000"/>
          <w:sz w:val="31"/>
          <w:szCs w:val="31"/>
          <w:highlight w:val="none"/>
          <w:shd w:val="clear" w:color="auto" w:fill="FFFFFF"/>
        </w:rPr>
        <w:t>增长0%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为本年度或以前年度预算安排、因客观条件发生变化无法按原计划实施，需要延迟到以后年度按有关规定继续使用的资金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u w:color="auto"/>
          <w:lang w:eastAsia="zh-CN"/>
        </w:rPr>
        <w:t>。</w:t>
      </w:r>
    </w:p>
    <w:p>
      <w:pPr>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7.1</w:t>
      </w:r>
      <w:r>
        <w:rPr>
          <w:rFonts w:hint="eastAsia" w:ascii="仿宋" w:hAnsi="仿宋" w:eastAsia="仿宋" w:cs="仿宋"/>
          <w:sz w:val="32"/>
          <w:szCs w:val="32"/>
          <w:highlight w:val="none"/>
        </w:rPr>
        <w:t>万元，</w:t>
      </w:r>
      <w:r>
        <w:rPr>
          <w:rFonts w:hint="eastAsia" w:ascii="仿宋" w:hAnsi="仿宋" w:eastAsia="仿宋" w:cs="仿宋"/>
          <w:sz w:val="32"/>
          <w:u w:color="auto"/>
          <w:lang w:eastAsia="zh-CN"/>
        </w:rPr>
        <w:t>下降</w:t>
      </w:r>
      <w:r>
        <w:rPr>
          <w:rFonts w:hint="eastAsia" w:ascii="仿宋" w:hAnsi="仿宋" w:eastAsia="仿宋" w:cs="仿宋"/>
          <w:sz w:val="32"/>
          <w:u w:color="auto"/>
          <w:lang w:val="en-US" w:eastAsia="zh-CN"/>
        </w:rPr>
        <w:t>0.33</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270.11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1861.77</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375.71</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2131.78</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567.4</w:t>
      </w:r>
      <w:r>
        <w:rPr>
          <w:rFonts w:ascii="仿宋" w:hAnsi="仿宋" w:eastAsia="仿宋" w:cs="仿宋"/>
          <w:sz w:val="32"/>
          <w:u w:color="auto"/>
        </w:rPr>
        <w:t>%</w:t>
      </w:r>
      <w:r>
        <w:rPr>
          <w:rFonts w:hint="eastAsia" w:ascii="仿宋" w:hAnsi="仿宋" w:eastAsia="仿宋" w:cs="仿宋"/>
          <w:sz w:val="32"/>
          <w:szCs w:val="32"/>
          <w:highlight w:val="none"/>
        </w:rPr>
        <w:t>。</w:t>
      </w:r>
      <w:bookmarkStart w:id="3" w:name="OLE_LINK2"/>
      <w:bookmarkEnd w:id="3"/>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3.16</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3.16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429"/>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1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2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本部门为保证日常运转发生的基本支出和为完成各项工作任务、保障单位事业发展而发生的项目支出。</w:t>
            </w:r>
          </w:p>
        </w:tc>
        <w:tc>
          <w:tcPr>
            <w:tcW w:w="11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3.16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3.16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42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179"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353.59</w:t>
      </w:r>
      <w:r>
        <w:rPr>
          <w:rFonts w:hint="eastAsia" w:ascii="仿宋" w:hAnsi="仿宋" w:eastAsia="仿宋"/>
          <w:sz w:val="32"/>
          <w:szCs w:val="32"/>
          <w:highlight w:val="none"/>
        </w:rPr>
        <w:t>万元，支出决算为</w:t>
      </w:r>
      <w:r>
        <w:rPr>
          <w:rFonts w:hint="eastAsia" w:ascii="仿宋" w:hAnsi="仿宋" w:eastAsia="仿宋" w:cs="仿宋"/>
          <w:sz w:val="32"/>
          <w:szCs w:val="32"/>
          <w:highlight w:val="none"/>
          <w:lang w:val="en-US" w:eastAsia="zh-CN" w:bidi="ar"/>
        </w:rPr>
        <w:t>1971.06</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557.44</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大部分就业补助资金为年中中央及自治区直达资金指标，不纳入年初预算。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1082"/>
        <w:gridCol w:w="821"/>
        <w:gridCol w:w="1912"/>
        <w:gridCol w:w="1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10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8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人力资源和社会保障管理事务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328.3</w:t>
            </w:r>
          </w:p>
        </w:tc>
        <w:tc>
          <w:tcPr>
            <w:tcW w:w="10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293.78</w:t>
            </w:r>
          </w:p>
        </w:tc>
        <w:tc>
          <w:tcPr>
            <w:tcW w:w="8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89.49</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人力资源和社会保障事务支出</w:t>
            </w:r>
          </w:p>
        </w:tc>
        <w:tc>
          <w:tcPr>
            <w:tcW w:w="1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年中有人员调动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default" w:ascii="宋体" w:hAnsi="宋体" w:eastAsia="宋体" w:cs="宋体"/>
                <w:i w:val="0"/>
                <w:iCs w:val="0"/>
                <w:color w:val="000000"/>
                <w:sz w:val="20"/>
                <w:szCs w:val="20"/>
                <w:highlight w:val="none"/>
                <w:u w:val="none"/>
                <w:lang w:val="en-US" w:eastAsia="zh-CN"/>
              </w:rPr>
              <w:t>行政事业单位养老支出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25.29</w:t>
            </w:r>
          </w:p>
        </w:tc>
        <w:tc>
          <w:tcPr>
            <w:tcW w:w="10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23.57</w:t>
            </w:r>
          </w:p>
        </w:tc>
        <w:tc>
          <w:tcPr>
            <w:tcW w:w="8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93.2</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机关事业单位基本养老保险缴费支出</w:t>
            </w:r>
          </w:p>
        </w:tc>
        <w:tc>
          <w:tcPr>
            <w:tcW w:w="1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年中有人员调动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20807</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就业补助</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10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1653.71</w:t>
            </w:r>
          </w:p>
        </w:tc>
        <w:tc>
          <w:tcPr>
            <w:tcW w:w="8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FF0000"/>
                <w:sz w:val="21"/>
                <w:szCs w:val="21"/>
                <w:highlight w:val="none"/>
                <w:lang w:val="en-US" w:eastAsia="zh-CN"/>
              </w:rPr>
            </w:pPr>
            <w:r>
              <w:rPr>
                <w:rFonts w:hint="eastAsia" w:ascii="仿宋" w:hAnsi="仿宋" w:eastAsia="仿宋" w:cs="仿宋"/>
                <w:color w:val="auto"/>
                <w:sz w:val="21"/>
                <w:szCs w:val="21"/>
                <w:highlight w:val="none"/>
                <w:lang w:val="en-US" w:eastAsia="zh-CN"/>
              </w:rPr>
              <w:t>就业补助支出</w:t>
            </w:r>
          </w:p>
        </w:tc>
        <w:tc>
          <w:tcPr>
            <w:tcW w:w="1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就业补助资金多为中央及自治区直达资金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353.59</w:t>
            </w:r>
          </w:p>
        </w:tc>
        <w:tc>
          <w:tcPr>
            <w:tcW w:w="108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1971.06</w:t>
            </w:r>
          </w:p>
        </w:tc>
        <w:tc>
          <w:tcPr>
            <w:tcW w:w="821"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912"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9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农林水支出</w:t>
      </w:r>
      <w:r>
        <w:rPr>
          <w:rFonts w:ascii="仿宋" w:hAnsi="仿宋" w:eastAsia="仿宋"/>
          <w:sz w:val="32"/>
          <w:u w:color="auto"/>
        </w:rPr>
        <w:t>（213</w:t>
      </w:r>
      <w:r>
        <w:rPr>
          <w:rFonts w:hint="eastAsia" w:ascii="仿宋" w:hAnsi="仿宋" w:eastAsia="仿宋"/>
          <w:sz w:val="32"/>
          <w:szCs w:val="32"/>
          <w:highlight w:val="none"/>
        </w:rPr>
        <w:t>类）年初预算为</w:t>
      </w:r>
      <w:r>
        <w:rPr>
          <w:rFonts w:ascii="仿宋" w:hAnsi="仿宋" w:eastAsia="仿宋"/>
          <w:sz w:val="32"/>
          <w:szCs w:val="32"/>
          <w:highlight w:val="none"/>
        </w:rPr>
        <w:t>0.00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105.11</w:t>
      </w:r>
      <w:r>
        <w:rPr>
          <w:rFonts w:hint="eastAsia" w:ascii="仿宋" w:hAnsi="仿宋" w:eastAsia="仿宋"/>
          <w:sz w:val="32"/>
          <w:szCs w:val="32"/>
          <w:highlight w:val="none"/>
        </w:rPr>
        <w:t>万元，完成年初预算的</w:t>
      </w:r>
      <w:r>
        <w:rPr>
          <w:rFonts w:ascii="仿宋" w:hAnsi="仿宋" w:eastAsia="仿宋"/>
          <w:sz w:val="32"/>
          <w:szCs w:val="32"/>
          <w:highlight w:val="none"/>
        </w:rPr>
        <w:t>100.00%</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该项资金为自治区年中下达资金，不纳入年初预算。</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2130599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其他巩固脱贫衔接乡村振兴支出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粤桂协作就业技能培训、脱贫劳动力县内就业劳务补助、“点对点”输送农民工赴粤务工交通费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2023年符合补助标准的人数较少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105.11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40" w:firstLineChars="200"/>
        <w:jc w:val="left"/>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sz w:val="32"/>
          <w:szCs w:val="32"/>
          <w:highlight w:val="none"/>
          <w:lang w:val="en-US" w:eastAsia="zh-CN"/>
        </w:rPr>
        <w:t>(四）</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20.49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19.18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93.61</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原因是：2022年年内有职工退休及调出，职工总人数较2022年减少。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92.93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按照国家政策规定向职工发放的住房公积金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宋体" w:hAnsi="宋体" w:eastAsia="宋体" w:cs="宋体"/>
                <w:i w:val="0"/>
                <w:iCs w:val="0"/>
                <w:color w:val="auto"/>
                <w:sz w:val="18"/>
                <w:szCs w:val="18"/>
                <w:highlight w:val="none"/>
                <w:u w:val="none"/>
                <w:lang w:val="en-US" w:eastAsia="zh-CN"/>
              </w:rPr>
              <w:t>202</w:t>
            </w:r>
            <w:r>
              <w:rPr>
                <w:rFonts w:hint="eastAsia" w:ascii="宋体" w:hAnsi="宋体" w:eastAsia="宋体" w:cs="宋体"/>
                <w:i w:val="0"/>
                <w:iCs w:val="0"/>
                <w:color w:val="auto"/>
                <w:sz w:val="18"/>
                <w:szCs w:val="18"/>
                <w:highlight w:val="none"/>
                <w:u w:val="none"/>
                <w:lang w:val="en-US" w:eastAsia="zh-CN"/>
              </w:rPr>
              <w:t>3</w:t>
            </w:r>
            <w:r>
              <w:rPr>
                <w:rFonts w:hint="default" w:ascii="宋体" w:hAnsi="宋体" w:eastAsia="宋体" w:cs="宋体"/>
                <w:i w:val="0"/>
                <w:iCs w:val="0"/>
                <w:color w:val="auto"/>
                <w:sz w:val="18"/>
                <w:szCs w:val="18"/>
                <w:highlight w:val="none"/>
                <w:u w:val="none"/>
                <w:lang w:val="en-US" w:eastAsia="zh-CN"/>
              </w:rPr>
              <w:t>年年内有职工</w:t>
            </w:r>
            <w:r>
              <w:rPr>
                <w:rFonts w:hint="eastAsia" w:ascii="宋体" w:hAnsi="宋体" w:eastAsia="宋体" w:cs="宋体"/>
                <w:i w:val="0"/>
                <w:iCs w:val="0"/>
                <w:color w:val="auto"/>
                <w:sz w:val="18"/>
                <w:szCs w:val="18"/>
                <w:highlight w:val="none"/>
                <w:u w:val="none"/>
                <w:lang w:val="en-US" w:eastAsia="zh-CN"/>
              </w:rPr>
              <w:t>调动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18.96</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270.11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246.31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23.8</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196.06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106.34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年中存在人员职级晋升与其他相关工资调整。</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63.46万元，30102津贴补贴36.78万元，30103奖金44.4万元，30106伙食补助费0万元，30107绩效工资0万元，30108机关事业单位基本养老保险缴费23.57万元，30110职工基本医疗保险缴费9.7万元，30111公务员医疗补助缴费0万元，30112其他社会保障缴费0.29万元，30113住房公积金17.85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23.8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97.9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2023年减少工作经费开支。</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30201办公费0.72万元，30205水费0.07，,3206电费0.95，30207邮电费2.,61万元,30211差旅费0.01，30226劳务费1.5万元，30228工会经费3.16万元，30239其他交通费用14.76万元,30299其他商品与服务支出0.02。</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50.25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295.76</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主要原因是：1、</w:t>
      </w:r>
      <w:r>
        <w:rPr>
          <w:rFonts w:hint="eastAsia" w:ascii="仿宋" w:hAnsi="仿宋" w:eastAsia="仿宋" w:cs="仿宋"/>
          <w:color w:val="auto"/>
          <w:kern w:val="2"/>
          <w:sz w:val="32"/>
          <w:szCs w:val="32"/>
          <w:highlight w:val="none"/>
          <w:lang w:val="en-US" w:eastAsia="zh-CN" w:bidi="ar"/>
        </w:rPr>
        <w:t>年中有2人在职转退休，退休补助增加。2、2023年有一笔死亡抚恤金开支。</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支出具体情况如下：30305抚恤金24.09，</w:t>
      </w:r>
      <w:r>
        <w:rPr>
          <w:rFonts w:hint="eastAsia" w:ascii="仿宋" w:hAnsi="仿宋" w:eastAsia="仿宋" w:cs="仿宋"/>
          <w:sz w:val="32"/>
          <w:szCs w:val="32"/>
          <w:highlight w:val="none"/>
          <w:lang w:val="en-US" w:eastAsia="zh-CN"/>
        </w:rPr>
        <w:t>30305生活补助26.15万元。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 w:hAnsi="仿宋" w:eastAsia="仿宋" w:cs="仿宋"/>
          <w:sz w:val="32"/>
          <w:szCs w:val="32"/>
          <w:highlight w:val="none"/>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eastAsia" w:ascii="仿宋_GB2312" w:hAnsi="微软雅黑" w:eastAsia="仿宋_GB2312" w:cs="仿宋_GB2312"/>
          <w:i w:val="0"/>
          <w:iCs w:val="0"/>
          <w:caps w:val="0"/>
          <w:color w:val="000000"/>
          <w:spacing w:val="0"/>
          <w:sz w:val="31"/>
          <w:szCs w:val="31"/>
          <w:highlight w:val="none"/>
          <w:shd w:val="clear" w:color="auto" w:fill="FFFFFF"/>
          <w:lang w:eastAsia="zh-CN"/>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0.47</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主要原因是：是认真贯彻落实中央“八项规定”精神和厉行节约要求，严控和压缩“三公”经费相关支出。</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0.07</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万元。全年因公出国（境）团组共计</w:t>
      </w:r>
      <w:r>
        <w:rPr>
          <w:rFonts w:ascii="仿宋" w:hAnsi="仿宋" w:eastAsia="仿宋" w:cs="仿宋"/>
          <w:sz w:val="32"/>
          <w:szCs w:val="32"/>
          <w:highlight w:val="none"/>
        </w:rPr>
        <w:t>0</w:t>
      </w:r>
      <w:r>
        <w:rPr>
          <w:rFonts w:hint="eastAsia" w:ascii="仿宋" w:hAnsi="仿宋" w:eastAsia="仿宋" w:cs="仿宋"/>
          <w:sz w:val="32"/>
          <w:szCs w:val="32"/>
          <w:highlight w:val="none"/>
        </w:rPr>
        <w:t>个，累计</w:t>
      </w:r>
      <w:r>
        <w:rPr>
          <w:rFonts w:ascii="仿宋" w:hAnsi="仿宋" w:eastAsia="仿宋" w:cs="仿宋"/>
          <w:sz w:val="32"/>
          <w:szCs w:val="32"/>
          <w:highlight w:val="none"/>
        </w:rPr>
        <w:t>0</w:t>
      </w:r>
      <w:r>
        <w:rPr>
          <w:rFonts w:hint="eastAsia" w:ascii="仿宋" w:hAnsi="仿宋" w:eastAsia="仿宋" w:cs="仿宋"/>
          <w:sz w:val="32"/>
          <w:szCs w:val="32"/>
          <w:highlight w:val="none"/>
        </w:rPr>
        <w:t>人次。</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公务用车运行维护支出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环江毛南族自治县人力资源和社会保障局</w:t>
      </w:r>
      <w:r>
        <w:rPr>
          <w:rFonts w:hint="eastAsia" w:ascii="仿宋" w:hAnsi="仿宋" w:eastAsia="仿宋" w:cs="仿宋"/>
          <w:sz w:val="32"/>
          <w:szCs w:val="32"/>
          <w:highlight w:val="none"/>
        </w:rPr>
        <w:t>开支财政拨款的公务用车保有量为</w:t>
      </w:r>
      <w:r>
        <w:rPr>
          <w:rFonts w:ascii="仿宋" w:hAnsi="仿宋" w:eastAsia="仿宋" w:cs="仿宋"/>
          <w:sz w:val="32"/>
          <w:u w:color="auto"/>
        </w:rPr>
        <w:t>0</w:t>
      </w:r>
      <w:r>
        <w:rPr>
          <w:rFonts w:hint="eastAsia" w:ascii="仿宋" w:hAnsi="仿宋" w:eastAsia="仿宋" w:cs="仿宋"/>
          <w:sz w:val="32"/>
          <w:szCs w:val="32"/>
          <w:highlight w:val="none"/>
        </w:rPr>
        <w:t>辆，全年运行费支出</w:t>
      </w:r>
      <w:r>
        <w:rPr>
          <w:rFonts w:ascii="仿宋" w:hAnsi="仿宋" w:eastAsia="仿宋" w:cs="仿宋"/>
          <w:sz w:val="32"/>
          <w:u w:color="auto"/>
        </w:rPr>
        <w:t>0.00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0.07</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0.47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主要原因是：是认真贯彻落实中央“八项规定”精神和厉行节约要求，严控和压缩“三公”经费相关支出。</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23.8</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0.51</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2.1</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0.33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1.37</w:t>
      </w:r>
      <w:r>
        <w:rPr>
          <w:rFonts w:ascii="仿宋" w:hAnsi="仿宋" w:eastAsia="仿宋" w:cs="仿宋"/>
          <w:sz w:val="32"/>
          <w:szCs w:val="32"/>
          <w:highlight w:val="none"/>
        </w:rPr>
        <w:t>%</w:t>
      </w:r>
      <w:r>
        <w:rPr>
          <w:rFonts w:hint="eastAsia" w:ascii="仿宋" w:hAnsi="仿宋" w:eastAsia="仿宋" w:cs="仿宋"/>
          <w:sz w:val="32"/>
          <w:szCs w:val="32"/>
          <w:highlight w:val="none"/>
        </w:rPr>
        <w:t>。</w:t>
      </w:r>
      <w:r>
        <w:rPr>
          <w:rFonts w:hint="eastAsia" w:ascii="仿宋" w:hAnsi="仿宋" w:eastAsia="仿宋" w:cs="仿宋"/>
          <w:color w:val="auto"/>
          <w:sz w:val="32"/>
          <w:szCs w:val="32"/>
          <w:highlight w:val="none"/>
        </w:rPr>
        <w:t>主要原因是：人员编制数量减少、落实过紧日子要求压减</w:t>
      </w:r>
      <w:r>
        <w:rPr>
          <w:rFonts w:hint="eastAsia" w:ascii="仿宋" w:hAnsi="仿宋" w:eastAsia="仿宋" w:cs="仿宋"/>
          <w:color w:val="auto"/>
          <w:sz w:val="32"/>
          <w:szCs w:val="32"/>
          <w:highlight w:val="none"/>
          <w:lang w:eastAsia="zh-CN"/>
        </w:rPr>
        <w:t>各项</w:t>
      </w:r>
      <w:r>
        <w:rPr>
          <w:rFonts w:hint="eastAsia" w:ascii="仿宋" w:hAnsi="仿宋" w:eastAsia="仿宋" w:cs="仿宋"/>
          <w:color w:val="auto"/>
          <w:sz w:val="32"/>
          <w:szCs w:val="32"/>
          <w:highlight w:val="none"/>
        </w:rPr>
        <w:t>支出</w:t>
      </w:r>
      <w:r>
        <w:rPr>
          <w:rFonts w:hint="eastAsia" w:ascii="仿宋" w:hAnsi="仿宋" w:eastAsia="仿宋" w:cs="仿宋"/>
          <w:color w:val="auto"/>
          <w:sz w:val="32"/>
          <w:szCs w:val="32"/>
          <w:highlight w:val="none"/>
          <w:lang w:eastAsia="zh-CN"/>
        </w:rPr>
        <w:t>。</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2.76</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2.76</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2.76</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2.76</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val="en-US" w:eastAsia="zh-CN"/>
          <w14:textFill>
            <w14:solidFill>
              <w14:schemeClr w14:val="tx1"/>
            </w14:solidFill>
          </w14:textFill>
        </w:rPr>
        <w:t>一等项目指标已全部完成。</w:t>
      </w: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0.42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四</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0.47</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组织对“就业补助资金”等</w:t>
      </w:r>
      <w:r>
        <w:rPr>
          <w:rFonts w:hint="eastAsia" w:ascii="仿宋" w:hAnsi="仿宋" w:eastAsia="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1912.35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万元，国有资本经营预算支出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2023年基本完成全部项目绩效目标，部分项目因本年未发生或未开展相关业务无支出，未达到绩效目标。</w:t>
      </w:r>
    </w:p>
    <w:p>
      <w:pPr>
        <w:ind w:firstLine="640" w:firstLineChars="200"/>
        <w:jc w:val="left"/>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部门</w:t>
      </w:r>
      <w:r>
        <w:rPr>
          <w:rFonts w:hint="eastAsia" w:ascii="仿宋" w:hAnsi="仿宋" w:eastAsia="仿宋" w:cs="仿宋"/>
          <w:color w:val="000000" w:themeColor="text1"/>
          <w:sz w:val="32"/>
          <w:szCs w:val="32"/>
          <w14:textFill>
            <w14:solidFill>
              <w14:schemeClr w14:val="tx1"/>
            </w14:solidFill>
          </w14:textFill>
        </w:rPr>
        <w:t>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1912.35</w:t>
      </w:r>
      <w:r>
        <w:rPr>
          <w:rFonts w:hint="eastAsia" w:ascii="仿宋" w:hAnsi="仿宋" w:eastAsia="仿宋" w:cs="仿宋"/>
          <w:color w:val="000000" w:themeColor="text1"/>
          <w:sz w:val="32"/>
          <w:szCs w:val="32"/>
          <w14:textFill>
            <w14:solidFill>
              <w14:schemeClr w14:val="tx1"/>
            </w14:solidFill>
          </w14:textFill>
        </w:rPr>
        <w:t>万元，政府性基金预算支出</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2023年基本完成全部项目绩效目标，部分项目因本年未发生或未开展相关业务无支出，未达到绩效目标。</w:t>
      </w:r>
    </w:p>
    <w:p>
      <w:pPr>
        <w:ind w:firstLine="640" w:firstLineChars="200"/>
        <w:jc w:val="left"/>
        <w:rPr>
          <w:rFonts w:hint="eastAsia" w:ascii="仿宋" w:hAnsi="仿宋" w:eastAsia="仿宋" w:cs="仿宋"/>
          <w:color w:val="FF0000"/>
          <w:sz w:val="32"/>
          <w:szCs w:val="32"/>
          <w:lang w:eastAsia="zh-CN"/>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人力资源和社会保障日常工作经费项目自评得分为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97.5</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2、2022年自治区财政“服务惠民”专项活动</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92.79</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3、企业薪酬调查项目经费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分。发现的主要问题及原因：已完成企业薪酬调查项目，但为节省开支，先支取往年结余经费，当年经费未开支。下一步改进措施：</w:t>
      </w:r>
      <w:r>
        <w:rPr>
          <w:rFonts w:hint="eastAsia" w:ascii="仿宋" w:hAnsi="仿宋" w:eastAsia="仿宋" w:cs="仿宋"/>
          <w:color w:val="000000" w:themeColor="text1"/>
          <w:sz w:val="32"/>
          <w:szCs w:val="32"/>
          <w:lang w:eastAsia="zh-CN"/>
          <w14:textFill>
            <w14:solidFill>
              <w14:schemeClr w14:val="tx1"/>
            </w14:solidFill>
          </w14:textFill>
        </w:rPr>
        <w:t>加快各个项目实施进度及资金使用效率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4、点对点输送脱贫户交通费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5、农民工工资应急周转金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70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该项目具有不确定性，因年内未发生农民工工资引起的突发性事件，未有支出，无法达到设定的目标值</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6、2022年自治区财政县域就业和社会保障服务设施改善提升项目建设资金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项目开展实施进度慢，</w:t>
      </w:r>
      <w:r>
        <w:rPr>
          <w:rFonts w:hint="eastAsia" w:ascii="仿宋" w:hAnsi="仿宋" w:eastAsia="仿宋" w:cs="仿宋"/>
          <w:color w:val="000000" w:themeColor="text1"/>
          <w:sz w:val="32"/>
          <w:szCs w:val="32"/>
          <w:lang w:val="en-US" w:eastAsia="zh-CN"/>
          <w14:textFill>
            <w14:solidFill>
              <w14:schemeClr w14:val="tx1"/>
            </w14:solidFill>
          </w14:textFill>
        </w:rPr>
        <w:t>2023年未开展相关业务</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加快各个项目实施进度及资金使用效率</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7、乡村振兴村级协理员招用工作经费项目自评得分为99.8分。发现的主要问题及原因：无。下一步改进措施：无。8、干部人事档案管理工作经费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99.77</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9、劳动仲裁办案工作经费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95.13</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10、人才中心档案管理经费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96.72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11、粤桂劳务协作技能培训</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12、自治区就业补助资金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95.03</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13、个体工商户吸纳高校毕业生一次性扩岗补贴资金</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40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2023年未开展相关项目</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合理安排使用资金。</w:t>
      </w:r>
      <w:r>
        <w:rPr>
          <w:rFonts w:hint="eastAsia" w:ascii="仿宋" w:hAnsi="仿宋" w:eastAsia="仿宋" w:cs="仿宋"/>
          <w:color w:val="000000" w:themeColor="text1"/>
          <w:sz w:val="32"/>
          <w:szCs w:val="32"/>
          <w:lang w:val="en-US" w:eastAsia="zh-CN"/>
          <w14:textFill>
            <w14:solidFill>
              <w14:schemeClr w14:val="tx1"/>
            </w14:solidFill>
          </w14:textFill>
        </w:rPr>
        <w:t>14、劳动监察工作经费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90.2</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15、党员活动经费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16、奖励性补贴</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17、奖励性补贴(非三保)</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auto"/>
          <w:sz w:val="32"/>
          <w:szCs w:val="32"/>
          <w:lang w:val="en-US" w:eastAsia="zh-CN"/>
        </w:rPr>
        <w:t>18、中央下达就业见习补贴</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eastAsia="zh-CN"/>
        </w:rPr>
        <w:t>无。</w:t>
      </w:r>
      <w:r>
        <w:rPr>
          <w:rFonts w:hint="eastAsia" w:ascii="仿宋" w:hAnsi="仿宋" w:eastAsia="仿宋" w:cs="仿宋"/>
          <w:color w:val="000000" w:themeColor="text1"/>
          <w:sz w:val="32"/>
          <w:szCs w:val="32"/>
          <w:lang w:val="en-US" w:eastAsia="zh-CN"/>
          <w14:textFill>
            <w14:solidFill>
              <w14:schemeClr w14:val="tx1"/>
            </w14:solidFill>
          </w14:textFill>
        </w:rPr>
        <w:t>19、工伤认定工作经费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91.1</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auto"/>
          <w:sz w:val="32"/>
          <w:szCs w:val="32"/>
          <w:lang w:val="en-US" w:eastAsia="zh-CN"/>
        </w:rPr>
        <w:t>20、社会保险基金监督举报奖励资金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val="en-US" w:eastAsia="zh-CN"/>
        </w:rPr>
        <w:t>2023年未发生相关业务</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21、公开招聘事业单位工作人员和事业单位紧缺人才工作经费</w:t>
      </w:r>
      <w:r>
        <w:rPr>
          <w:rFonts w:hint="eastAsia" w:ascii="仿宋" w:hAnsi="仿宋" w:eastAsia="仿宋" w:cs="仿宋"/>
          <w:color w:val="000000" w:themeColor="text1"/>
          <w:sz w:val="32"/>
          <w:szCs w:val="32"/>
          <w14:textFill>
            <w14:solidFill>
              <w14:schemeClr w14:val="tx1"/>
            </w14:solidFill>
          </w14:textFill>
        </w:rPr>
        <w:t>项目自评得分为</w:t>
      </w:r>
      <w:r>
        <w:rPr>
          <w:rFonts w:hint="eastAsia" w:ascii="仿宋" w:hAnsi="仿宋" w:eastAsia="仿宋" w:cs="仿宋"/>
          <w:color w:val="000000" w:themeColor="text1"/>
          <w:sz w:val="32"/>
          <w:szCs w:val="32"/>
          <w:lang w:val="en-US" w:eastAsia="zh-CN"/>
          <w14:textFill>
            <w14:solidFill>
              <w14:schemeClr w14:val="tx1"/>
            </w14:solidFill>
          </w14:textFill>
        </w:rPr>
        <w:t>95.89</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lang w:val="en-US" w:eastAsia="zh-CN"/>
          <w14:textFill>
            <w14:solidFill>
              <w14:schemeClr w14:val="tx1"/>
            </w14:solidFill>
          </w14:textFill>
        </w:rPr>
        <w:t>22、保障农民工工资工作经费</w:t>
      </w:r>
      <w:r>
        <w:rPr>
          <w:rFonts w:hint="eastAsia" w:ascii="仿宋" w:hAnsi="仿宋" w:eastAsia="仿宋" w:cs="仿宋"/>
          <w:color w:val="000000" w:themeColor="text1"/>
          <w:sz w:val="32"/>
          <w:szCs w:val="32"/>
          <w14:textFill>
            <w14:solidFill>
              <w14:schemeClr w14:val="tx1"/>
            </w14:solidFill>
          </w14:textFill>
        </w:rPr>
        <w:t>目自评得分为</w:t>
      </w:r>
      <w:r>
        <w:rPr>
          <w:rFonts w:hint="eastAsia" w:ascii="仿宋" w:hAnsi="仿宋" w:eastAsia="仿宋" w:cs="仿宋"/>
          <w:color w:val="000000" w:themeColor="text1"/>
          <w:sz w:val="32"/>
          <w:szCs w:val="32"/>
          <w:lang w:val="en-US" w:eastAsia="zh-CN"/>
          <w14:textFill>
            <w14:solidFill>
              <w14:schemeClr w14:val="tx1"/>
            </w14:solidFill>
          </w14:textFill>
        </w:rPr>
        <w:t>97.6</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w:t>
      </w:r>
      <w:r>
        <w:rPr>
          <w:rFonts w:hint="eastAsia" w:ascii="仿宋" w:hAnsi="仿宋" w:eastAsia="仿宋" w:cs="仿宋"/>
          <w:color w:val="auto"/>
          <w:sz w:val="32"/>
          <w:szCs w:val="32"/>
        </w:rPr>
        <w:t>施：</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lang w:val="en-US" w:eastAsia="zh-CN"/>
        </w:rPr>
        <w:t>23、中央级就业补助资金（市级下达）</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24、中央级就业补助资金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99.34</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eastAsia="zh-CN"/>
        </w:rPr>
        <w:t>无。</w:t>
      </w:r>
      <w:r>
        <w:rPr>
          <w:rFonts w:hint="eastAsia" w:ascii="仿宋" w:hAnsi="仿宋" w:eastAsia="仿宋" w:cs="仿宋"/>
          <w:color w:val="auto"/>
          <w:sz w:val="32"/>
          <w:szCs w:val="32"/>
          <w:lang w:val="en-US" w:eastAsia="zh-CN"/>
        </w:rPr>
        <w:t>25、聘请法律顾问工作经费项目建设资金</w:t>
      </w:r>
      <w:r>
        <w:rPr>
          <w:rFonts w:hint="eastAsia" w:ascii="仿宋" w:hAnsi="仿宋" w:eastAsia="仿宋" w:cs="仿宋"/>
          <w:color w:val="auto"/>
          <w:sz w:val="32"/>
          <w:szCs w:val="32"/>
        </w:rPr>
        <w:t>项目自评得分为</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分。发现的主要问题及原因：</w:t>
      </w:r>
      <w:r>
        <w:rPr>
          <w:rFonts w:hint="eastAsia" w:ascii="仿宋" w:hAnsi="仿宋" w:eastAsia="仿宋" w:cs="仿宋"/>
          <w:color w:val="auto"/>
          <w:sz w:val="32"/>
          <w:szCs w:val="32"/>
          <w:lang w:eastAsia="zh-CN"/>
        </w:rPr>
        <w:t>项目已开展资金未支付</w:t>
      </w:r>
      <w:r>
        <w:rPr>
          <w:rFonts w:hint="eastAsia" w:ascii="仿宋" w:hAnsi="仿宋" w:eastAsia="仿宋" w:cs="仿宋"/>
          <w:color w:val="auto"/>
          <w:sz w:val="32"/>
          <w:szCs w:val="32"/>
        </w:rPr>
        <w:t>。下一步改进措施：</w:t>
      </w:r>
      <w:r>
        <w:rPr>
          <w:rFonts w:hint="eastAsia" w:ascii="仿宋" w:hAnsi="仿宋" w:eastAsia="仿宋" w:cs="仿宋"/>
          <w:color w:val="auto"/>
          <w:sz w:val="32"/>
          <w:szCs w:val="32"/>
          <w:lang w:eastAsia="zh-CN"/>
        </w:rPr>
        <w:t>加快各个项目实施进度及资金使用效率</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lang w:val="en-US" w:eastAsia="zh-CN"/>
          <w14:textFill>
            <w14:solidFill>
              <w14:schemeClr w14:val="tx1"/>
            </w14:solidFill>
          </w14:textFill>
        </w:rPr>
        <w:t>26、中央下达就业补助资金项目</w:t>
      </w:r>
      <w:r>
        <w:rPr>
          <w:rFonts w:hint="eastAsia" w:ascii="仿宋" w:hAnsi="仿宋" w:eastAsia="仿宋" w:cs="仿宋"/>
          <w:color w:val="000000" w:themeColor="text1"/>
          <w:sz w:val="32"/>
          <w:szCs w:val="32"/>
          <w14:textFill>
            <w14:solidFill>
              <w14:schemeClr w14:val="tx1"/>
            </w14:solidFill>
          </w14:textFill>
        </w:rPr>
        <w:t>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分。发现的主要问题及原因：</w:t>
      </w:r>
      <w:r>
        <w:rPr>
          <w:rFonts w:hint="eastAsia" w:ascii="仿宋" w:hAnsi="仿宋" w:eastAsia="仿宋" w:cs="仿宋"/>
          <w:color w:val="000000" w:themeColor="text1"/>
          <w:sz w:val="32"/>
          <w:szCs w:val="32"/>
          <w:lang w:eastAsia="zh-CN"/>
          <w14:textFill>
            <w14:solidFill>
              <w14:schemeClr w14:val="tx1"/>
            </w14:solidFill>
          </w14:textFill>
        </w:rPr>
        <w:t>无</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eastAsia="zh-CN"/>
          <w14:textFill>
            <w14:solidFill>
              <w14:schemeClr w14:val="tx1"/>
            </w14:solidFill>
          </w14:textFill>
        </w:rPr>
        <w:t>无。</w:t>
      </w:r>
    </w:p>
    <w:p>
      <w:pPr>
        <w:jc w:val="left"/>
        <w:rPr>
          <w:rFonts w:hint="eastAsia" w:ascii="仿宋" w:hAnsi="仿宋" w:eastAsia="仿宋" w:cs="仿宋"/>
          <w:sz w:val="32"/>
          <w:szCs w:val="32"/>
          <w:highlight w:val="none"/>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w:t>
      </w:r>
      <w:bookmarkStart w:id="4" w:name="_GoBack"/>
      <w:bookmarkEnd w:id="4"/>
      <w:r>
        <w:rPr>
          <w:rFonts w:hint="eastAsia" w:ascii="仿宋" w:hAnsi="仿宋" w:eastAsia="仿宋" w:cs="仿宋"/>
          <w:sz w:val="32"/>
          <w:szCs w:val="32"/>
          <w:highlight w:val="none"/>
        </w:rPr>
        <w:t>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E54546"/>
    <w:rsid w:val="05992762"/>
    <w:rsid w:val="07B0770E"/>
    <w:rsid w:val="08C971F6"/>
    <w:rsid w:val="08D04455"/>
    <w:rsid w:val="0942143F"/>
    <w:rsid w:val="0D100297"/>
    <w:rsid w:val="0D202B45"/>
    <w:rsid w:val="0F8D4C87"/>
    <w:rsid w:val="10505FAA"/>
    <w:rsid w:val="105F7E7E"/>
    <w:rsid w:val="11E56B5B"/>
    <w:rsid w:val="125C77AB"/>
    <w:rsid w:val="14CB726E"/>
    <w:rsid w:val="15ED14AA"/>
    <w:rsid w:val="170E4165"/>
    <w:rsid w:val="17E92249"/>
    <w:rsid w:val="18D304F1"/>
    <w:rsid w:val="19F32577"/>
    <w:rsid w:val="19F45B80"/>
    <w:rsid w:val="1ADD05EB"/>
    <w:rsid w:val="1B0C078D"/>
    <w:rsid w:val="1B2B31E2"/>
    <w:rsid w:val="1B4C295A"/>
    <w:rsid w:val="1B973C63"/>
    <w:rsid w:val="1BA1001E"/>
    <w:rsid w:val="1BB77445"/>
    <w:rsid w:val="1D317259"/>
    <w:rsid w:val="1D6334B4"/>
    <w:rsid w:val="1E664F5B"/>
    <w:rsid w:val="1E966EBA"/>
    <w:rsid w:val="1EB34BE1"/>
    <w:rsid w:val="1F695F97"/>
    <w:rsid w:val="215E639F"/>
    <w:rsid w:val="21EC3183"/>
    <w:rsid w:val="225E72CD"/>
    <w:rsid w:val="246E2F77"/>
    <w:rsid w:val="254B4E2B"/>
    <w:rsid w:val="283D7C94"/>
    <w:rsid w:val="29480E03"/>
    <w:rsid w:val="2983634D"/>
    <w:rsid w:val="2B7A3678"/>
    <w:rsid w:val="2BB02055"/>
    <w:rsid w:val="2C575A56"/>
    <w:rsid w:val="2F257714"/>
    <w:rsid w:val="2F3275E5"/>
    <w:rsid w:val="30AA08EF"/>
    <w:rsid w:val="30D23D1C"/>
    <w:rsid w:val="31221CF5"/>
    <w:rsid w:val="31400178"/>
    <w:rsid w:val="321E3342"/>
    <w:rsid w:val="327759C8"/>
    <w:rsid w:val="33185FE3"/>
    <w:rsid w:val="34EE2E36"/>
    <w:rsid w:val="36777241"/>
    <w:rsid w:val="37D800AA"/>
    <w:rsid w:val="38A951DB"/>
    <w:rsid w:val="38B31605"/>
    <w:rsid w:val="39003F4F"/>
    <w:rsid w:val="39520406"/>
    <w:rsid w:val="399417AF"/>
    <w:rsid w:val="3A366EA9"/>
    <w:rsid w:val="3C07002B"/>
    <w:rsid w:val="3D0D152A"/>
    <w:rsid w:val="3DF62756"/>
    <w:rsid w:val="3F1B7587"/>
    <w:rsid w:val="40D60B65"/>
    <w:rsid w:val="40DB0111"/>
    <w:rsid w:val="41E57B4F"/>
    <w:rsid w:val="42BE180E"/>
    <w:rsid w:val="43247258"/>
    <w:rsid w:val="432F26F6"/>
    <w:rsid w:val="43577787"/>
    <w:rsid w:val="43880F63"/>
    <w:rsid w:val="441C5A6F"/>
    <w:rsid w:val="44C44FCC"/>
    <w:rsid w:val="44CC7369"/>
    <w:rsid w:val="457F5108"/>
    <w:rsid w:val="45950036"/>
    <w:rsid w:val="468C1777"/>
    <w:rsid w:val="46951B6B"/>
    <w:rsid w:val="495E11BD"/>
    <w:rsid w:val="49A34401"/>
    <w:rsid w:val="4A3E30AB"/>
    <w:rsid w:val="4AC14DAC"/>
    <w:rsid w:val="4D154C85"/>
    <w:rsid w:val="4EC8553A"/>
    <w:rsid w:val="508F4E24"/>
    <w:rsid w:val="51461E90"/>
    <w:rsid w:val="51463753"/>
    <w:rsid w:val="52553A93"/>
    <w:rsid w:val="533E5686"/>
    <w:rsid w:val="53521F8B"/>
    <w:rsid w:val="53E22F47"/>
    <w:rsid w:val="54522FF8"/>
    <w:rsid w:val="55450629"/>
    <w:rsid w:val="56692963"/>
    <w:rsid w:val="568B0F48"/>
    <w:rsid w:val="5786217B"/>
    <w:rsid w:val="57B1156A"/>
    <w:rsid w:val="58C77A57"/>
    <w:rsid w:val="59337A15"/>
    <w:rsid w:val="59810274"/>
    <w:rsid w:val="5CA96A00"/>
    <w:rsid w:val="5CF730BC"/>
    <w:rsid w:val="5E19246F"/>
    <w:rsid w:val="5E5A675C"/>
    <w:rsid w:val="5E5F0DCE"/>
    <w:rsid w:val="5FA40A7B"/>
    <w:rsid w:val="5FD56D29"/>
    <w:rsid w:val="5FEC7F3F"/>
    <w:rsid w:val="60F74BC3"/>
    <w:rsid w:val="617D3BF8"/>
    <w:rsid w:val="61841F6A"/>
    <w:rsid w:val="622B0AFA"/>
    <w:rsid w:val="623007A9"/>
    <w:rsid w:val="62575CE7"/>
    <w:rsid w:val="634F29FC"/>
    <w:rsid w:val="637D7558"/>
    <w:rsid w:val="644F19AC"/>
    <w:rsid w:val="65AA4920"/>
    <w:rsid w:val="67694F1E"/>
    <w:rsid w:val="687C2679"/>
    <w:rsid w:val="68B61BDB"/>
    <w:rsid w:val="69597934"/>
    <w:rsid w:val="6978691E"/>
    <w:rsid w:val="6B720CAA"/>
    <w:rsid w:val="6B964DDC"/>
    <w:rsid w:val="6C783074"/>
    <w:rsid w:val="6D9E65C6"/>
    <w:rsid w:val="6DA81947"/>
    <w:rsid w:val="6EB66DE2"/>
    <w:rsid w:val="6ED3075F"/>
    <w:rsid w:val="6F2A2D4B"/>
    <w:rsid w:val="6F8A0C1E"/>
    <w:rsid w:val="703F45D4"/>
    <w:rsid w:val="715D6546"/>
    <w:rsid w:val="71BE069E"/>
    <w:rsid w:val="73953409"/>
    <w:rsid w:val="73E069A3"/>
    <w:rsid w:val="751B0A84"/>
    <w:rsid w:val="75D65CF6"/>
    <w:rsid w:val="78104AA8"/>
    <w:rsid w:val="78116312"/>
    <w:rsid w:val="78E257C5"/>
    <w:rsid w:val="7922554C"/>
    <w:rsid w:val="794B35BE"/>
    <w:rsid w:val="79E02500"/>
    <w:rsid w:val="7A4E3F6B"/>
    <w:rsid w:val="7B0A3A31"/>
    <w:rsid w:val="7B3360ED"/>
    <w:rsid w:val="7B5319F3"/>
    <w:rsid w:val="7BDF037E"/>
    <w:rsid w:val="7BF50948"/>
    <w:rsid w:val="7CE66A78"/>
    <w:rsid w:val="7D23564C"/>
    <w:rsid w:val="7D5E062D"/>
    <w:rsid w:val="7DF76CD8"/>
    <w:rsid w:val="7F35175D"/>
    <w:rsid w:val="7F3A2E37"/>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2138.88</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3.41</c:v>
                </c:pt>
                <c:pt idx="1">
                  <c:v>1882.95</c:v>
                </c:pt>
                <c:pt idx="2">
                  <c:v>181.72</c:v>
                </c:pt>
                <c:pt idx="3">
                  <c:v>19.18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Sheet1!$C$2:$C$5</c:f>
              <c:numCache>
                <c:formatCode>General</c:formatCode>
                <c:ptCount val="4"/>
                <c:pt idx="0">
                  <c:v>3.16</c:v>
                </c:pt>
                <c:pt idx="1">
                  <c:v>1971.06</c:v>
                </c:pt>
                <c:pt idx="2">
                  <c:v>105.11</c:v>
                </c:pt>
                <c:pt idx="3">
                  <c:v>17.62</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一般公共服务</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2012999</c:v>
                </c:pt>
                <c:pt idx="1">
                  <c:v>2012999</c:v>
                </c:pt>
              </c:numCache>
            </c:numRef>
          </c:cat>
          <c:val>
            <c:numRef>
              <c:f>Sheet1!$B$2:$B$3</c:f>
              <c:numCache>
                <c:formatCode>General</c:formatCode>
                <c:ptCount val="2"/>
                <c:pt idx="0">
                  <c:v>3.16</c:v>
                </c:pt>
                <c:pt idx="1">
                  <c:v>3.16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20801</c:v>
                </c:pt>
                <c:pt idx="1">
                  <c:v>20805</c:v>
                </c:pt>
                <c:pt idx="2">
                  <c:v>20807</c:v>
                </c:pt>
              </c:numCache>
            </c:numRef>
          </c:cat>
          <c:val>
            <c:numRef>
              <c:f>Sheet1!$B$2:$B$4</c:f>
              <c:numCache>
                <c:formatCode>General</c:formatCode>
                <c:ptCount val="3"/>
                <c:pt idx="0">
                  <c:v>293.78</c:v>
                </c:pt>
                <c:pt idx="1">
                  <c:v>23.57</c:v>
                </c:pt>
                <c:pt idx="2">
                  <c:v>1653.71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农林水支出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2130599</c:v>
                </c:pt>
                <c:pt idx="1">
                  <c:v>2130599</c:v>
                </c:pt>
              </c:numCache>
            </c:numRef>
          </c:cat>
          <c:val>
            <c:numRef>
              <c:f>Sheet1!$B$2:$B$3</c:f>
              <c:numCache>
                <c:formatCode>General</c:formatCode>
                <c:ptCount val="2"/>
                <c:pt idx="0">
                  <c:v>105.11</c:v>
                </c:pt>
                <c:pt idx="1">
                  <c:v>105.11</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2210201</c:v>
                </c:pt>
                <c:pt idx="1">
                  <c:v>2210201</c:v>
                </c:pt>
              </c:numCache>
            </c:numRef>
          </c:cat>
          <c:val>
            <c:numRef>
              <c:f>Sheet1!$B$2:$B$3</c:f>
              <c:numCache>
                <c:formatCode>General</c:formatCode>
                <c:ptCount val="2"/>
                <c:pt idx="0">
                  <c:v>17.62</c:v>
                </c:pt>
                <c:pt idx="1">
                  <c:v>17.62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63.46</c:v>
                </c:pt>
                <c:pt idx="1">
                  <c:v>36.78</c:v>
                </c:pt>
                <c:pt idx="2">
                  <c:v>44.4</c:v>
                </c:pt>
                <c:pt idx="3">
                  <c:v>0</c:v>
                </c:pt>
                <c:pt idx="4">
                  <c:v>0</c:v>
                </c:pt>
                <c:pt idx="5">
                  <c:v>23.57</c:v>
                </c:pt>
                <c:pt idx="6">
                  <c:v>0</c:v>
                </c:pt>
                <c:pt idx="7">
                  <c:v>9.7</c:v>
                </c:pt>
                <c:pt idx="8">
                  <c:v>0</c:v>
                </c:pt>
                <c:pt idx="9">
                  <c:v>0.29</c:v>
                </c:pt>
                <c:pt idx="10">
                  <c:v>17.85</c:v>
                </c:pt>
                <c:pt idx="11">
                  <c:v>0</c:v>
                </c:pt>
                <c:pt idx="12">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0.72</c:v>
                </c:pt>
                <c:pt idx="1">
                  <c:v>0</c:v>
                </c:pt>
                <c:pt idx="2">
                  <c:v>0</c:v>
                </c:pt>
                <c:pt idx="3">
                  <c:v>0</c:v>
                </c:pt>
                <c:pt idx="4">
                  <c:v>0.07</c:v>
                </c:pt>
                <c:pt idx="5">
                  <c:v>0.95</c:v>
                </c:pt>
                <c:pt idx="6">
                  <c:v>2.61</c:v>
                </c:pt>
                <c:pt idx="7">
                  <c:v>0</c:v>
                </c:pt>
                <c:pt idx="8">
                  <c:v>0</c:v>
                </c:pt>
                <c:pt idx="9">
                  <c:v>0.01</c:v>
                </c:pt>
                <c:pt idx="10">
                  <c:v>0</c:v>
                </c:pt>
                <c:pt idx="11">
                  <c:v>0</c:v>
                </c:pt>
                <c:pt idx="12">
                  <c:v>0</c:v>
                </c:pt>
                <c:pt idx="13">
                  <c:v>0</c:v>
                </c:pt>
                <c:pt idx="14">
                  <c:v>0</c:v>
                </c:pt>
                <c:pt idx="15">
                  <c:v>0</c:v>
                </c:pt>
                <c:pt idx="16">
                  <c:v>0</c:v>
                </c:pt>
                <c:pt idx="17">
                  <c:v>0</c:v>
                </c:pt>
                <c:pt idx="18">
                  <c:v>0</c:v>
                </c:pt>
                <c:pt idx="19">
                  <c:v>1.5</c:v>
                </c:pt>
                <c:pt idx="20">
                  <c:v>0</c:v>
                </c:pt>
                <c:pt idx="21">
                  <c:v>3.16</c:v>
                </c:pt>
                <c:pt idx="22">
                  <c:v>0</c:v>
                </c:pt>
                <c:pt idx="23">
                  <c:v>0</c:v>
                </c:pt>
                <c:pt idx="24">
                  <c:v>14.76</c:v>
                </c:pt>
                <c:pt idx="25">
                  <c:v>0</c:v>
                </c:pt>
                <c:pt idx="26">
                  <c:v>0.02</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manualLayout>
          <c:layoutTarget val="inner"/>
          <c:xMode val="edge"/>
          <c:yMode val="edge"/>
          <c:x val="0.0612459202497517"/>
          <c:y val="0.169431279620853"/>
          <c:w val="0.895683022686188"/>
          <c:h val="0.598815165876777"/>
        </c:manualLayout>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24.09</c:v>
                </c:pt>
                <c:pt idx="4">
                  <c:v>26.15</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8</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2024-12-24T10:09:44Z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