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B786E">
      <w:pPr>
        <w:jc w:val="left"/>
        <w:rPr>
          <w:rFonts w:ascii="仿宋" w:hAnsi="仿宋" w:eastAsia="仿宋" w:cs="仿宋"/>
          <w:sz w:val="32"/>
          <w:szCs w:val="32"/>
          <w:highlight w:val="none"/>
        </w:rPr>
      </w:pPr>
    </w:p>
    <w:p w14:paraId="2E2423BC">
      <w:pPr>
        <w:jc w:val="left"/>
        <w:rPr>
          <w:rFonts w:ascii="仿宋" w:hAnsi="仿宋" w:eastAsia="仿宋" w:cs="仿宋"/>
          <w:sz w:val="32"/>
          <w:szCs w:val="32"/>
          <w:highlight w:val="none"/>
        </w:rPr>
      </w:pPr>
    </w:p>
    <w:p w14:paraId="20B0B9F4">
      <w:pPr>
        <w:jc w:val="left"/>
        <w:rPr>
          <w:rFonts w:ascii="仿宋" w:hAnsi="仿宋" w:eastAsia="仿宋" w:cs="仿宋"/>
          <w:sz w:val="32"/>
          <w:szCs w:val="32"/>
          <w:highlight w:val="none"/>
        </w:rPr>
      </w:pPr>
    </w:p>
    <w:p w14:paraId="2D6BFD26">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val="en-US" w:eastAsia="zh-CN"/>
        </w:rPr>
        <w:t>环江毛南族自治县长美乡卫生院</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14:paraId="754E1CCB">
      <w:pPr>
        <w:jc w:val="center"/>
        <w:rPr>
          <w:rFonts w:ascii="仿宋" w:hAnsi="仿宋" w:eastAsia="仿宋" w:cs="仿宋"/>
          <w:sz w:val="32"/>
          <w:szCs w:val="32"/>
          <w:highlight w:val="none"/>
        </w:rPr>
      </w:pPr>
    </w:p>
    <w:p w14:paraId="6796A386">
      <w:pPr>
        <w:jc w:val="left"/>
        <w:rPr>
          <w:rFonts w:ascii="仿宋" w:hAnsi="仿宋" w:eastAsia="仿宋" w:cs="仿宋"/>
          <w:sz w:val="32"/>
          <w:szCs w:val="32"/>
          <w:highlight w:val="none"/>
        </w:rPr>
      </w:pPr>
    </w:p>
    <w:p w14:paraId="4C583174">
      <w:pPr>
        <w:jc w:val="left"/>
        <w:rPr>
          <w:rFonts w:ascii="仿宋" w:hAnsi="仿宋" w:eastAsia="仿宋" w:cs="仿宋"/>
          <w:sz w:val="32"/>
          <w:szCs w:val="32"/>
          <w:highlight w:val="none"/>
        </w:rPr>
      </w:pPr>
    </w:p>
    <w:p w14:paraId="6E92EA8A">
      <w:pPr>
        <w:jc w:val="left"/>
        <w:rPr>
          <w:rFonts w:ascii="仿宋" w:hAnsi="仿宋" w:eastAsia="仿宋" w:cs="仿宋"/>
          <w:sz w:val="32"/>
          <w:szCs w:val="32"/>
          <w:highlight w:val="none"/>
        </w:rPr>
      </w:pPr>
    </w:p>
    <w:p w14:paraId="6603C29C">
      <w:pPr>
        <w:jc w:val="left"/>
        <w:rPr>
          <w:rFonts w:ascii="仿宋" w:hAnsi="仿宋" w:eastAsia="仿宋" w:cs="仿宋"/>
          <w:sz w:val="32"/>
          <w:szCs w:val="32"/>
          <w:highlight w:val="none"/>
        </w:rPr>
      </w:pPr>
    </w:p>
    <w:p w14:paraId="1C693E88">
      <w:pPr>
        <w:jc w:val="left"/>
        <w:rPr>
          <w:rFonts w:ascii="仿宋" w:hAnsi="仿宋" w:eastAsia="仿宋" w:cs="仿宋"/>
          <w:sz w:val="32"/>
          <w:szCs w:val="32"/>
          <w:highlight w:val="none"/>
        </w:rPr>
      </w:pPr>
    </w:p>
    <w:p w14:paraId="7F5BFC6E">
      <w:pPr>
        <w:jc w:val="left"/>
        <w:rPr>
          <w:rFonts w:ascii="仿宋" w:hAnsi="仿宋" w:eastAsia="仿宋" w:cs="仿宋"/>
          <w:sz w:val="32"/>
          <w:szCs w:val="32"/>
          <w:highlight w:val="none"/>
        </w:rPr>
      </w:pPr>
    </w:p>
    <w:p w14:paraId="3D84E2B3">
      <w:pPr>
        <w:jc w:val="left"/>
        <w:rPr>
          <w:rFonts w:ascii="仿宋" w:hAnsi="仿宋" w:eastAsia="仿宋" w:cs="仿宋"/>
          <w:sz w:val="32"/>
          <w:szCs w:val="32"/>
          <w:highlight w:val="none"/>
        </w:rPr>
      </w:pPr>
    </w:p>
    <w:p w14:paraId="4C2359EC">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11</w:t>
      </w:r>
      <w:r>
        <w:rPr>
          <w:rFonts w:hint="eastAsia" w:ascii="黑体" w:hAnsi="黑体" w:eastAsia="黑体" w:cs="黑体"/>
          <w:b/>
          <w:bCs/>
          <w:sz w:val="36"/>
          <w:szCs w:val="36"/>
          <w:highlight w:val="none"/>
        </w:rPr>
        <w:t>月</w:t>
      </w:r>
    </w:p>
    <w:p w14:paraId="0144444B">
      <w:pPr>
        <w:rPr>
          <w:rFonts w:ascii="仿宋" w:hAnsi="仿宋" w:eastAsia="仿宋" w:cs="仿宋"/>
          <w:sz w:val="32"/>
          <w:szCs w:val="32"/>
          <w:highlight w:val="none"/>
        </w:rPr>
      </w:pPr>
      <w:r>
        <w:rPr>
          <w:rFonts w:ascii="仿宋" w:hAnsi="仿宋" w:eastAsia="仿宋" w:cs="仿宋"/>
          <w:sz w:val="32"/>
          <w:szCs w:val="32"/>
          <w:highlight w:val="none"/>
        </w:rPr>
        <w:br w:type="page"/>
      </w:r>
    </w:p>
    <w:p w14:paraId="73AF07E1">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15508245">
      <w:pPr>
        <w:jc w:val="left"/>
        <w:rPr>
          <w:rFonts w:ascii="黑体" w:hAnsi="黑体" w:eastAsia="黑体" w:cs="黑体"/>
          <w:b/>
          <w:bCs/>
          <w:sz w:val="36"/>
          <w:szCs w:val="36"/>
          <w:highlight w:val="none"/>
        </w:rPr>
      </w:pPr>
    </w:p>
    <w:p w14:paraId="15BA4F51">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szCs w:val="32"/>
          <w:highlight w:val="none"/>
          <w:lang w:val="en-US" w:eastAsia="zh-CN"/>
        </w:rPr>
        <w:t>环江县长美乡卫生院</w:t>
      </w:r>
      <w:r>
        <w:rPr>
          <w:rFonts w:hint="eastAsia" w:ascii="黑体" w:hAnsi="黑体" w:eastAsia="黑体" w:cs="黑体"/>
          <w:sz w:val="32"/>
          <w:szCs w:val="32"/>
          <w:highlight w:val="none"/>
        </w:rPr>
        <w:t>概况</w:t>
      </w:r>
    </w:p>
    <w:p w14:paraId="4B166B62">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14:paraId="197C2B58">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14:paraId="74BB2172">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环江县长美乡卫生院</w:t>
      </w:r>
      <w:r>
        <w:rPr>
          <w:rFonts w:hint="eastAsia" w:ascii="黑体" w:hAnsi="黑体" w:eastAsia="黑体" w:cs="黑体"/>
          <w:sz w:val="32"/>
          <w:szCs w:val="32"/>
          <w:highlight w:val="none"/>
        </w:rPr>
        <w:t>2022年度部门决算报表</w:t>
      </w:r>
    </w:p>
    <w:p w14:paraId="59B8450B">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14:paraId="7F555AD0">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2EC0D89C">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4DE2AF11">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019541BB">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72EF14D5">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4CB52930">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3FBF7A78">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7BF514A2">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14:paraId="5BBF2166">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val="en-US" w:eastAsia="zh-CN"/>
        </w:rPr>
        <w:t>环江县长美乡卫生院</w:t>
      </w:r>
      <w:r>
        <w:rPr>
          <w:rFonts w:hint="eastAsia" w:ascii="黑体" w:hAnsi="黑体" w:eastAsia="黑体" w:cs="黑体"/>
          <w:sz w:val="32"/>
          <w:szCs w:val="32"/>
          <w:highlight w:val="none"/>
        </w:rPr>
        <w:t>2022年度部门决算情况说明</w:t>
      </w:r>
    </w:p>
    <w:p w14:paraId="21439E09">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14:paraId="671A430F">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5C0E2DA7">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14:paraId="7F2F729E">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14:paraId="4EB41AC1">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7D7E62FD">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14:paraId="2AB73703">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07E7869B">
      <w:pPr>
        <w:autoSpaceDE w:val="0"/>
        <w:autoSpaceDN w:val="0"/>
        <w:adjustRightInd w:val="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val="en-US" w:eastAsia="zh-CN"/>
        </w:rPr>
        <w:t>八、预算绩效管理工作开展情况。</w:t>
      </w:r>
    </w:p>
    <w:p w14:paraId="5BCD8CE2">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59606AF9">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70B3A6DF">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highlight w:val="none"/>
          <w:lang w:val="en-US" w:eastAsia="zh-CN"/>
        </w:rPr>
        <w:t>环江毛南族自治县长美乡卫生院</w:t>
      </w:r>
      <w:r>
        <w:rPr>
          <w:rFonts w:hint="eastAsia" w:ascii="黑体" w:hAnsi="黑体" w:eastAsia="黑体" w:cs="黑体"/>
          <w:b/>
          <w:bCs/>
          <w:sz w:val="32"/>
          <w:szCs w:val="32"/>
          <w:highlight w:val="none"/>
        </w:rPr>
        <w:t>概况</w:t>
      </w:r>
    </w:p>
    <w:p w14:paraId="30005C9E">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14:paraId="3BA18339">
      <w:pPr>
        <w:numPr>
          <w:ilvl w:val="0"/>
          <w:numId w:val="0"/>
        </w:numPr>
        <w:ind w:firstLine="640"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环江县长美乡</w:t>
      </w:r>
      <w:r>
        <w:rPr>
          <w:rFonts w:hint="eastAsia" w:ascii="仿宋_GB2312" w:hAnsi="仿宋_GB2312" w:eastAsia="仿宋_GB2312" w:cs="仿宋_GB2312"/>
          <w:i w:val="0"/>
          <w:iCs w:val="0"/>
          <w:caps w:val="0"/>
          <w:color w:val="333333"/>
          <w:spacing w:val="0"/>
          <w:sz w:val="32"/>
          <w:szCs w:val="32"/>
          <w:shd w:val="clear" w:fill="FFFFFF"/>
        </w:rPr>
        <w:t>卫生院是一家政府办非营利性医疗机构，以公共卫生服务为主，综合提供预防、保健和基本医疗等职能，向辖区居民提供基本医疗服务和公共卫生服务。</w:t>
      </w:r>
    </w:p>
    <w:p w14:paraId="18E117B1">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bCs/>
          <w:sz w:val="32"/>
          <w:szCs w:val="32"/>
          <w:lang w:eastAsia="zh-CN"/>
        </w:rPr>
        <w:t>(一)、提供公共卫生服务</w:t>
      </w:r>
    </w:p>
    <w:p w14:paraId="5840839A">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1、承担本镇农村居民健康档案规范建档指导、管理及服务。</w:t>
      </w:r>
    </w:p>
    <w:p w14:paraId="44FD273D">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2、普及卫生保健常识，在重点人群和重点场所开展健康教育，帮助居民形成有利于维护和增进健康的行为方式;指导开展爱国卫生工作。</w:t>
      </w:r>
    </w:p>
    <w:p w14:paraId="0841F0F6">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3、提供并组织实施本镇预防接种服务，落实国家免疫规划。</w:t>
      </w:r>
    </w:p>
    <w:p w14:paraId="178D4E77">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4、及时发现、登记并报告本镇内发现的传染病病例和疑似病例，参与现场疫情处理。</w:t>
      </w:r>
    </w:p>
    <w:p w14:paraId="6FF223E6">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5、开展新生儿访视及儿童保健系统管理，进行体格检查和生长发育监测及评价，开展健康指导。</w:t>
      </w:r>
    </w:p>
    <w:p w14:paraId="42E16E79">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6、开展孕产妇保健系统管理和产后访视，进行-般体格检查及孕.期营养、心理等健康指导。</w:t>
      </w:r>
    </w:p>
    <w:p w14:paraId="7D0B3225">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7、对本乡65岁及以上老年人进行登记管理, 进行健康危险因素调查和一般体格检查，开展健康指导。</w:t>
      </w:r>
    </w:p>
    <w:p w14:paraId="3FEB3620">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8、对高血压、糖尿病等慢性病高危人群进行指导，对确诊高血压、糖尿病等慢性病病例进行登记管理、定期随访和健康指导。</w:t>
      </w:r>
    </w:p>
    <w:p w14:paraId="411E4ED8">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9、对本镇重性精神疾病患者进行登记管理、治疗随访和康复指导.</w:t>
      </w:r>
    </w:p>
    <w:p w14:paraId="07F89919">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10、负责本镇内突发公共卫生事件的报告并协助处理。</w:t>
      </w:r>
    </w:p>
    <w:p w14:paraId="02462E8E">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11、做好卫生行政部门规定的其他公共卫生服务。</w:t>
      </w:r>
    </w:p>
    <w:p w14:paraId="66A105F6">
      <w:pPr>
        <w:spacing w:line="560" w:lineRule="exact"/>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(二)、提供基本医疗服务</w:t>
      </w:r>
    </w:p>
    <w:p w14:paraId="74083A76">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1、使用农村适宜医疗技术和中医药技术， 正确处理常见病、多发病，对疑难重症进行恰当的处理并转诊。承担乡村现场应急救护、转诊服务和康复服务。</w:t>
      </w:r>
    </w:p>
    <w:p w14:paraId="644CBD2E">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2、能完成外科的止血、缝合、包扎、骨折固定等处置，能开展阑尾、疝气等常见下腹部手术，有条件的中心卫生院还应能开展部分上腹部手术。</w:t>
      </w:r>
    </w:p>
    <w:p w14:paraId="3C1E2A35">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3、健全消毒、隔离制度，遵守无菌操作规程，加强医疗质量管理。做好医疗废物处理和污水、污物无害化处理.</w:t>
      </w:r>
    </w:p>
    <w:p w14:paraId="6E0C159B">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4、执行国家基本药物制度药品集中采购、零差率销售等政策，为实施一体化管理的村卫生室统一代购药品。</w:t>
      </w:r>
    </w:p>
    <w:p w14:paraId="0541DECD">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5.提供政府卫生行政部门批准的其他适宜的医疗服务。</w:t>
      </w:r>
    </w:p>
    <w:p w14:paraId="7CCF8814">
      <w:pPr>
        <w:spacing w:line="560" w:lineRule="exact"/>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(三)、承担公共卫生管理</w:t>
      </w:r>
    </w:p>
    <w:p w14:paraId="0B0C950C">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1.对本乡内传染病防治、学校卫生、食品卫生、饮水卫生、职业卫生，以及村级预防保健工作进行指导、培训、考核与监督。</w:t>
      </w:r>
    </w:p>
    <w:p w14:paraId="449EC0A9">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2.严格执行新型农村合作医疗政策规定,履行定点医疗机构职贵，做好有关的政策宣传、监督及服务工作。</w:t>
      </w:r>
    </w:p>
    <w:p w14:paraId="406B5A1F">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3.深入推进乡村卫生服务一体化管理，对村卫生室实行以行政、</w:t>
      </w:r>
    </w:p>
    <w:p w14:paraId="173D339D">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人员、业务、药品、财产为基本内容的“五统一”规范管理;负责村卫生室的技术指导和乡村医生培训等工作。</w:t>
      </w:r>
    </w:p>
    <w:p w14:paraId="3EB6F69C">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（四）、卫生行政管理</w:t>
      </w:r>
    </w:p>
    <w:p w14:paraId="5418C9B0">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1.在当地政府和上级卫生行政部门领导下，依据当地社会经济发展规划，协助制定和实施社区的初级卫生规划。</w:t>
      </w:r>
    </w:p>
    <w:p w14:paraId="71B0675C">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2.配合有关部门动员组织群众开展爱国卫生活动，逐步改善本乡卫生状况。</w:t>
      </w:r>
    </w:p>
    <w:p w14:paraId="48B13E3A">
      <w:pPr>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3.贯彻执行国家各种卫生法规，对本镇内有关行业实行监督管理。</w:t>
      </w:r>
    </w:p>
    <w:p w14:paraId="61FFEAC7">
      <w:pPr>
        <w:ind w:firstLine="320" w:firstLineChars="100"/>
        <w:jc w:val="left"/>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val="0"/>
          <w:bCs w:val="0"/>
          <w:sz w:val="32"/>
          <w:szCs w:val="32"/>
          <w:lang w:eastAsia="zh-CN"/>
        </w:rPr>
        <w:t>4.负责本乡内村级卫生服务站的管理和培训工</w:t>
      </w:r>
      <w:r>
        <w:rPr>
          <w:rFonts w:hint="eastAsia" w:ascii="仿宋_GB2312" w:hAnsi="仿宋_GB2312" w:eastAsia="仿宋_GB2312" w:cs="仿宋_GB2312"/>
          <w:b w:val="0"/>
          <w:bCs w:val="0"/>
          <w:sz w:val="32"/>
          <w:szCs w:val="32"/>
          <w:lang w:val="en-US" w:eastAsia="zh-CN"/>
        </w:rPr>
        <w:t>作。</w:t>
      </w:r>
    </w:p>
    <w:p w14:paraId="630B7335">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14:paraId="24B56FA7">
      <w:pPr>
        <w:numPr>
          <w:ilvl w:val="0"/>
          <w:numId w:val="1"/>
        </w:numPr>
        <w:ind w:left="640" w:leftChars="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机构设置</w:t>
      </w:r>
    </w:p>
    <w:p w14:paraId="772A6357">
      <w:pPr>
        <w:numPr>
          <w:ilvl w:val="0"/>
          <w:numId w:val="0"/>
        </w:numPr>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1.本级单位和内设机构本单位属于差额拨款公益一类事业单位，开展的诊疗科目有:预防保健科、全科医疗科、内科、外科、儿科、儿童保健科、医学检验科。</w:t>
      </w:r>
    </w:p>
    <w:p w14:paraId="03B9ED72">
      <w:pPr>
        <w:numPr>
          <w:ilvl w:val="0"/>
          <w:numId w:val="0"/>
        </w:numPr>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2.所属单位</w:t>
      </w:r>
    </w:p>
    <w:p w14:paraId="79C15BDC">
      <w:pPr>
        <w:numPr>
          <w:ilvl w:val="0"/>
          <w:numId w:val="0"/>
        </w:numPr>
        <w:ind w:firstLine="320" w:firstLineChars="1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本单位属于差额拨款公益一类事业单位,属于环江县卫生健康局的二层机构。</w:t>
      </w:r>
    </w:p>
    <w:p w14:paraId="355F820D">
      <w:pPr>
        <w:numPr>
          <w:ilvl w:val="0"/>
          <w:numId w:val="0"/>
        </w:numPr>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(二）部门预算单位构成</w:t>
      </w:r>
    </w:p>
    <w:p w14:paraId="236B2796">
      <w:pPr>
        <w:numPr>
          <w:ilvl w:val="0"/>
          <w:numId w:val="0"/>
        </w:numPr>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本单位主管部门为环江县卫生健康局，为二级预算单位。</w:t>
      </w:r>
    </w:p>
    <w:p w14:paraId="2112E6D7">
      <w:pPr>
        <w:numPr>
          <w:ilvl w:val="0"/>
          <w:numId w:val="0"/>
        </w:numPr>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三、编制现状和人员构成</w:t>
      </w:r>
    </w:p>
    <w:p w14:paraId="26AFED00">
      <w:pPr>
        <w:numPr>
          <w:ilvl w:val="0"/>
          <w:numId w:val="0"/>
        </w:numPr>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(一）编制现状</w:t>
      </w:r>
    </w:p>
    <w:p w14:paraId="55C95243">
      <w:pPr>
        <w:numPr>
          <w:ilvl w:val="0"/>
          <w:numId w:val="0"/>
        </w:numPr>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我单位核定编制人数17人，其中:管理人员1人，专业技术人员14人，后勤服务聘用人员控制数2人。</w:t>
      </w:r>
    </w:p>
    <w:p w14:paraId="6CE94B0A">
      <w:pPr>
        <w:numPr>
          <w:ilvl w:val="0"/>
          <w:numId w:val="0"/>
        </w:numPr>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(二）人员构成</w:t>
      </w:r>
    </w:p>
    <w:p w14:paraId="690D3386">
      <w:pPr>
        <w:numPr>
          <w:ilvl w:val="0"/>
          <w:numId w:val="0"/>
        </w:numPr>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我单位本年在职职工人数25人，其中编制内实有人数16人，单位自聘人员有9人。</w:t>
      </w:r>
    </w:p>
    <w:p w14:paraId="4646B41E">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06F5DCE">
      <w:pPr>
        <w:keepNext w:val="0"/>
        <w:keepLines w:val="0"/>
        <w:suppressLineNumbers w:val="0"/>
        <w:spacing w:before="0" w:beforeAutospacing="0" w:after="0" w:afterAutospacing="0"/>
        <w:ind w:left="0" w:right="0" w:firstLine="960" w:firstLineChars="300"/>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环江毛南族自治县长美乡卫生院</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6F68AB28">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14:paraId="20E40BB4">
      <w:pPr>
        <w:rPr>
          <w:rFonts w:ascii="宋体" w:hAnsi="宋体" w:eastAsia="宋体" w:cs="宋体"/>
          <w:color w:val="000000"/>
          <w:kern w:val="0"/>
          <w:sz w:val="30"/>
          <w:szCs w:val="30"/>
          <w:highlight w:val="none"/>
          <w:lang w:bidi="ar"/>
        </w:rPr>
      </w:pPr>
      <w:r>
        <w:drawing>
          <wp:inline distT="0" distB="0" distL="114300" distR="114300">
            <wp:extent cx="8525510" cy="4807585"/>
            <wp:effectExtent l="0" t="0" r="8890" b="12065"/>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6"/>
                    <a:stretch>
                      <a:fillRect/>
                    </a:stretch>
                  </pic:blipFill>
                  <pic:spPr>
                    <a:xfrm>
                      <a:off x="0" y="0"/>
                      <a:ext cx="8525510" cy="4807585"/>
                    </a:xfrm>
                    <a:prstGeom prst="rect">
                      <a:avLst/>
                    </a:prstGeom>
                    <a:noFill/>
                    <a:ln>
                      <a:noFill/>
                    </a:ln>
                  </pic:spPr>
                </pic:pic>
              </a:graphicData>
            </a:graphic>
          </wp:inline>
        </w:drawing>
      </w:r>
    </w:p>
    <w:p w14:paraId="700A2218">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14:paraId="131A0631">
      <w:pPr>
        <w:rPr>
          <w:rFonts w:ascii="宋体" w:hAnsi="宋体" w:eastAsia="宋体" w:cs="宋体"/>
          <w:color w:val="000000"/>
          <w:kern w:val="0"/>
          <w:sz w:val="30"/>
          <w:szCs w:val="30"/>
          <w:highlight w:val="none"/>
          <w:lang w:bidi="ar"/>
        </w:rPr>
      </w:pPr>
      <w:r>
        <w:drawing>
          <wp:inline distT="0" distB="0" distL="114300" distR="114300">
            <wp:extent cx="8862695" cy="5148580"/>
            <wp:effectExtent l="0" t="0" r="14605" b="1397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7"/>
                    <a:stretch>
                      <a:fillRect/>
                    </a:stretch>
                  </pic:blipFill>
                  <pic:spPr>
                    <a:xfrm>
                      <a:off x="0" y="0"/>
                      <a:ext cx="8862695" cy="5148580"/>
                    </a:xfrm>
                    <a:prstGeom prst="rect">
                      <a:avLst/>
                    </a:prstGeom>
                    <a:noFill/>
                    <a:ln>
                      <a:noFill/>
                    </a:ln>
                  </pic:spPr>
                </pic:pic>
              </a:graphicData>
            </a:graphic>
          </wp:inline>
        </w:drawing>
      </w:r>
    </w:p>
    <w:p w14:paraId="3EAF0E36">
      <w:pPr>
        <w:rPr>
          <w:rFonts w:ascii="仿宋" w:hAnsi="仿宋" w:eastAsia="仿宋" w:cs="仿宋"/>
          <w:sz w:val="24"/>
          <w:highlight w:val="none"/>
        </w:rPr>
      </w:pPr>
    </w:p>
    <w:p w14:paraId="58839DBB">
      <w:pPr>
        <w:jc w:val="center"/>
        <w:rPr>
          <w:rFonts w:ascii="仿宋" w:hAnsi="仿宋" w:eastAsia="仿宋" w:cs="仿宋"/>
          <w:sz w:val="24"/>
          <w:highlight w:val="none"/>
        </w:rPr>
      </w:pPr>
    </w:p>
    <w:p w14:paraId="56CC908F">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14:paraId="6009C388">
      <w:pPr>
        <w:jc w:val="left"/>
        <w:rPr>
          <w:rFonts w:hint="eastAsia" w:ascii="仿宋" w:hAnsi="仿宋" w:eastAsia="仿宋" w:cs="仿宋"/>
          <w:sz w:val="24"/>
          <w:highlight w:val="none"/>
        </w:rPr>
      </w:pPr>
      <w:r>
        <w:drawing>
          <wp:inline distT="0" distB="0" distL="114300" distR="114300">
            <wp:extent cx="8860790" cy="4787900"/>
            <wp:effectExtent l="0" t="0" r="16510" b="1270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8"/>
                    <a:stretch>
                      <a:fillRect/>
                    </a:stretch>
                  </pic:blipFill>
                  <pic:spPr>
                    <a:xfrm>
                      <a:off x="0" y="0"/>
                      <a:ext cx="8860790" cy="4787900"/>
                    </a:xfrm>
                    <a:prstGeom prst="rect">
                      <a:avLst/>
                    </a:prstGeom>
                    <a:noFill/>
                    <a:ln>
                      <a:noFill/>
                    </a:ln>
                  </pic:spPr>
                </pic:pic>
              </a:graphicData>
            </a:graphic>
          </wp:inline>
        </w:drawing>
      </w:r>
    </w:p>
    <w:p w14:paraId="22960747">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14:paraId="7E84AC24">
      <w:pPr>
        <w:jc w:val="left"/>
        <w:rPr>
          <w:rFonts w:ascii="仿宋" w:hAnsi="仿宋" w:eastAsia="仿宋" w:cs="仿宋"/>
          <w:sz w:val="24"/>
          <w:highlight w:val="none"/>
        </w:rPr>
      </w:pPr>
      <w:r>
        <w:drawing>
          <wp:inline distT="0" distB="0" distL="114300" distR="114300">
            <wp:extent cx="7578725" cy="5194300"/>
            <wp:effectExtent l="0" t="0" r="3175" b="635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9"/>
                    <a:stretch>
                      <a:fillRect/>
                    </a:stretch>
                  </pic:blipFill>
                  <pic:spPr>
                    <a:xfrm>
                      <a:off x="0" y="0"/>
                      <a:ext cx="7578725" cy="5194300"/>
                    </a:xfrm>
                    <a:prstGeom prst="rect">
                      <a:avLst/>
                    </a:prstGeom>
                    <a:noFill/>
                    <a:ln>
                      <a:noFill/>
                    </a:ln>
                  </pic:spPr>
                </pic:pic>
              </a:graphicData>
            </a:graphic>
          </wp:inline>
        </w:drawing>
      </w:r>
    </w:p>
    <w:p w14:paraId="624D36CE">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14:paraId="3ABA7D61">
      <w:pPr>
        <w:rPr>
          <w:rFonts w:ascii="仿宋" w:hAnsi="仿宋" w:eastAsia="仿宋" w:cs="仿宋"/>
          <w:sz w:val="24"/>
          <w:highlight w:val="none"/>
        </w:rPr>
      </w:pPr>
      <w:r>
        <w:drawing>
          <wp:inline distT="0" distB="0" distL="114300" distR="114300">
            <wp:extent cx="8857615" cy="5168900"/>
            <wp:effectExtent l="0" t="0" r="635" b="1270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10"/>
                    <a:stretch>
                      <a:fillRect/>
                    </a:stretch>
                  </pic:blipFill>
                  <pic:spPr>
                    <a:xfrm>
                      <a:off x="0" y="0"/>
                      <a:ext cx="8857615" cy="5168900"/>
                    </a:xfrm>
                    <a:prstGeom prst="rect">
                      <a:avLst/>
                    </a:prstGeom>
                    <a:noFill/>
                    <a:ln>
                      <a:noFill/>
                    </a:ln>
                  </pic:spPr>
                </pic:pic>
              </a:graphicData>
            </a:graphic>
          </wp:inline>
        </w:drawing>
      </w:r>
    </w:p>
    <w:p w14:paraId="5B0411DD">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3561523C">
      <w:pPr>
        <w:jc w:val="left"/>
        <w:rPr>
          <w:rFonts w:ascii="仿宋" w:hAnsi="仿宋" w:eastAsia="仿宋" w:cs="仿宋"/>
          <w:sz w:val="24"/>
          <w:highlight w:val="none"/>
        </w:rPr>
      </w:pPr>
      <w:r>
        <w:drawing>
          <wp:inline distT="0" distB="0" distL="114300" distR="114300">
            <wp:extent cx="8855075" cy="5170805"/>
            <wp:effectExtent l="0" t="0" r="3175" b="10795"/>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11"/>
                    <a:stretch>
                      <a:fillRect/>
                    </a:stretch>
                  </pic:blipFill>
                  <pic:spPr>
                    <a:xfrm>
                      <a:off x="0" y="0"/>
                      <a:ext cx="8855075" cy="5170805"/>
                    </a:xfrm>
                    <a:prstGeom prst="rect">
                      <a:avLst/>
                    </a:prstGeom>
                    <a:noFill/>
                    <a:ln>
                      <a:noFill/>
                    </a:ln>
                  </pic:spPr>
                </pic:pic>
              </a:graphicData>
            </a:graphic>
          </wp:inline>
        </w:drawing>
      </w:r>
      <w:r>
        <w:rPr>
          <w:rFonts w:ascii="仿宋" w:hAnsi="仿宋" w:eastAsia="仿宋" w:cs="仿宋"/>
          <w:sz w:val="24"/>
          <w:highlight w:val="none"/>
        </w:rPr>
        <w:br w:type="page"/>
      </w:r>
    </w:p>
    <w:p w14:paraId="63B9FE7F">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3F9233F3">
      <w:pPr>
        <w:rPr>
          <w:rFonts w:ascii="仿宋" w:hAnsi="仿宋" w:eastAsia="仿宋" w:cs="仿宋"/>
          <w:sz w:val="24"/>
          <w:highlight w:val="none"/>
        </w:rPr>
      </w:pPr>
      <w:r>
        <w:drawing>
          <wp:inline distT="0" distB="0" distL="114300" distR="114300">
            <wp:extent cx="8853805" cy="2263775"/>
            <wp:effectExtent l="0" t="0" r="4445" b="3175"/>
            <wp:docPr id="2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pic:cNvPicPr>
                      <a:picLocks noChangeAspect="1"/>
                    </pic:cNvPicPr>
                  </pic:nvPicPr>
                  <pic:blipFill>
                    <a:blip r:embed="rId12"/>
                    <a:stretch>
                      <a:fillRect/>
                    </a:stretch>
                  </pic:blipFill>
                  <pic:spPr>
                    <a:xfrm>
                      <a:off x="0" y="0"/>
                      <a:ext cx="8853805" cy="2263775"/>
                    </a:xfrm>
                    <a:prstGeom prst="rect">
                      <a:avLst/>
                    </a:prstGeom>
                    <a:noFill/>
                    <a:ln>
                      <a:noFill/>
                    </a:ln>
                  </pic:spPr>
                </pic:pic>
              </a:graphicData>
            </a:graphic>
          </wp:inline>
        </w:drawing>
      </w:r>
    </w:p>
    <w:p w14:paraId="26DBD015">
      <w:pPr>
        <w:jc w:val="left"/>
        <w:rPr>
          <w:rFonts w:ascii="仿宋" w:hAnsi="仿宋" w:eastAsia="仿宋" w:cs="仿宋"/>
          <w:sz w:val="24"/>
          <w:highlight w:val="none"/>
        </w:rPr>
      </w:pPr>
    </w:p>
    <w:p w14:paraId="24D78650">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53781EFC">
      <w:pPr>
        <w:jc w:val="left"/>
        <w:rPr>
          <w:rFonts w:hint="eastAsia" w:ascii="仿宋" w:hAnsi="仿宋" w:eastAsia="仿宋" w:cs="仿宋"/>
          <w:sz w:val="24"/>
          <w:highlight w:val="none"/>
        </w:rPr>
      </w:pPr>
      <w:r>
        <w:drawing>
          <wp:inline distT="0" distB="0" distL="114300" distR="114300">
            <wp:extent cx="8591550" cy="2430780"/>
            <wp:effectExtent l="0" t="0" r="0" b="7620"/>
            <wp:docPr id="2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pic:cNvPicPr>
                      <a:picLocks noChangeAspect="1"/>
                    </pic:cNvPicPr>
                  </pic:nvPicPr>
                  <pic:blipFill>
                    <a:blip r:embed="rId13"/>
                    <a:stretch>
                      <a:fillRect/>
                    </a:stretch>
                  </pic:blipFill>
                  <pic:spPr>
                    <a:xfrm>
                      <a:off x="0" y="0"/>
                      <a:ext cx="8591550" cy="2430780"/>
                    </a:xfrm>
                    <a:prstGeom prst="rect">
                      <a:avLst/>
                    </a:prstGeom>
                    <a:noFill/>
                    <a:ln>
                      <a:noFill/>
                    </a:ln>
                  </pic:spPr>
                </pic:pic>
              </a:graphicData>
            </a:graphic>
          </wp:inline>
        </w:drawing>
      </w:r>
    </w:p>
    <w:p w14:paraId="7FCD1B79">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14:paraId="331B6847">
      <w:pPr>
        <w:jc w:val="left"/>
        <w:rPr>
          <w:rFonts w:hint="eastAsia" w:ascii="仿宋" w:hAnsi="仿宋" w:eastAsia="仿宋" w:cs="仿宋"/>
          <w:sz w:val="24"/>
          <w:highlight w:val="none"/>
        </w:rPr>
      </w:pPr>
      <w:r>
        <w:drawing>
          <wp:inline distT="0" distB="0" distL="114300" distR="114300">
            <wp:extent cx="8861425" cy="2327910"/>
            <wp:effectExtent l="0" t="0" r="15875" b="15240"/>
            <wp:docPr id="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pic:cNvPicPr>
                      <a:picLocks noChangeAspect="1"/>
                    </pic:cNvPicPr>
                  </pic:nvPicPr>
                  <pic:blipFill>
                    <a:blip r:embed="rId14"/>
                    <a:stretch>
                      <a:fillRect/>
                    </a:stretch>
                  </pic:blipFill>
                  <pic:spPr>
                    <a:xfrm>
                      <a:off x="0" y="0"/>
                      <a:ext cx="8861425" cy="2327910"/>
                    </a:xfrm>
                    <a:prstGeom prst="rect">
                      <a:avLst/>
                    </a:prstGeom>
                    <a:noFill/>
                    <a:ln>
                      <a:noFill/>
                    </a:ln>
                  </pic:spPr>
                </pic:pic>
              </a:graphicData>
            </a:graphic>
          </wp:inline>
        </w:drawing>
      </w:r>
    </w:p>
    <w:p w14:paraId="31CC814E">
      <w:pPr>
        <w:jc w:val="left"/>
        <w:rPr>
          <w:rFonts w:hint="eastAsia" w:ascii="仿宋" w:hAnsi="仿宋" w:eastAsia="仿宋" w:cs="仿宋"/>
          <w:sz w:val="24"/>
          <w:highlight w:val="none"/>
        </w:rPr>
      </w:pPr>
    </w:p>
    <w:p w14:paraId="05A1B355">
      <w:pPr>
        <w:ind w:firstLine="0" w:firstLineChars="0"/>
        <w:jc w:val="left"/>
        <w:rPr>
          <w:rFonts w:ascii="仿宋" w:hAnsi="仿宋" w:eastAsia="仿宋" w:cs="仿宋"/>
          <w:sz w:val="24"/>
          <w:highlight w:val="none"/>
        </w:rPr>
        <w:sectPr>
          <w:pgSz w:w="16838" w:h="11906" w:orient="landscape"/>
          <w:pgMar w:top="1576" w:right="1440" w:bottom="1576" w:left="1440" w:header="851" w:footer="992" w:gutter="0"/>
          <w:cols w:space="425" w:num="1"/>
          <w:docGrid w:type="lines" w:linePitch="312" w:charSpace="0"/>
        </w:sectPr>
      </w:pPr>
    </w:p>
    <w:p w14:paraId="7204157B">
      <w:pPr>
        <w:jc w:val="left"/>
        <w:rPr>
          <w:rFonts w:ascii="仿宋" w:hAnsi="仿宋" w:eastAsia="仿宋" w:cs="仿宋"/>
          <w:sz w:val="24"/>
          <w:highlight w:val="none"/>
        </w:rPr>
      </w:pPr>
    </w:p>
    <w:p w14:paraId="627C1A7A">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环江毛南族自治县长美乡卫生院</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648B3D2D">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14:paraId="393E06CF">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479.53</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479.53</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18.13</w:t>
      </w:r>
      <w:r>
        <w:rPr>
          <w:rFonts w:hint="eastAsia" w:ascii="仿宋_GB2312" w:hAnsi="黑体" w:eastAsia="仿宋_GB2312" w:cs="仿宋_GB2312"/>
          <w:kern w:val="0"/>
          <w:sz w:val="32"/>
          <w:szCs w:val="32"/>
        </w:rPr>
        <w:t>万元，下降</w:t>
      </w:r>
      <w:r>
        <w:rPr>
          <w:rFonts w:hint="eastAsia" w:ascii="仿宋_GB2312" w:eastAsia="仿宋_GB2312" w:cs="仿宋_GB2312"/>
          <w:kern w:val="0"/>
          <w:sz w:val="32"/>
          <w:szCs w:val="32"/>
          <w:lang w:val="en-US" w:eastAsia="zh-CN"/>
        </w:rPr>
        <w:t>3.65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14:paraId="534305AB">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370.48</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4.45</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1.22</w:t>
      </w:r>
      <w:r>
        <w:rPr>
          <w:rFonts w:hint="eastAsia" w:ascii="仿宋_GB2312" w:hAnsi="黑体" w:eastAsia="仿宋_GB2312" w:cs="仿宋_GB2312"/>
          <w:kern w:val="0"/>
          <w:sz w:val="32"/>
          <w:szCs w:val="32"/>
        </w:rPr>
        <w:t>%，主要原因是</w:t>
      </w:r>
      <w:r>
        <w:rPr>
          <w:rFonts w:hint="eastAsia" w:ascii="仿宋" w:hAnsi="仿宋" w:eastAsia="仿宋" w:cs="仿宋"/>
          <w:color w:val="auto"/>
          <w:kern w:val="2"/>
          <w:sz w:val="32"/>
          <w:szCs w:val="32"/>
          <w:highlight w:val="none"/>
          <w:lang w:val="en-US" w:eastAsia="zh-CN" w:bidi="ar"/>
        </w:rPr>
        <w:t>人员增加，工作力度增强。</w:t>
      </w:r>
      <w:r>
        <w:rPr>
          <w:rFonts w:hint="eastAsia" w:ascii="仿宋_GB2312" w:hAnsi="黑体" w:eastAsia="仿宋_GB2312" w:cs="仿宋_GB2312"/>
          <w:kern w:val="0"/>
          <w:sz w:val="32"/>
          <w:szCs w:val="32"/>
        </w:rPr>
        <w:t>。</w:t>
      </w:r>
    </w:p>
    <w:p w14:paraId="105DB3C7">
      <w:pPr>
        <w:autoSpaceDE w:val="0"/>
        <w:autoSpaceDN w:val="0"/>
        <w:adjustRightInd w:val="0"/>
        <w:spacing w:line="560" w:lineRule="exact"/>
        <w:ind w:firstLine="627" w:firstLineChars="196"/>
        <w:jc w:val="both"/>
        <w:rPr>
          <w:rFonts w:hint="default" w:ascii="仿宋" w:hAnsi="仿宋" w:eastAsia="仿宋" w:cs="仿宋"/>
          <w:color w:val="auto"/>
          <w:kern w:val="2"/>
          <w:sz w:val="32"/>
          <w:szCs w:val="32"/>
          <w:highlight w:val="none"/>
          <w:lang w:val="en-US" w:eastAsia="zh-CN" w:bidi="ar"/>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本单位没有此项收入。</w:t>
      </w:r>
    </w:p>
    <w:p w14:paraId="2D294A82">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本单位没有此项收入</w:t>
      </w:r>
      <w:r>
        <w:rPr>
          <w:rFonts w:hint="eastAsia" w:ascii="仿宋_GB2312" w:hAnsi="黑体" w:eastAsia="仿宋_GB2312" w:cs="仿宋_GB2312"/>
          <w:kern w:val="0"/>
          <w:sz w:val="32"/>
          <w:szCs w:val="32"/>
        </w:rPr>
        <w:t>。</w:t>
      </w:r>
    </w:p>
    <w:p w14:paraId="40AA842C">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109.05</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22.58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17.15</w:t>
      </w:r>
      <w:r>
        <w:rPr>
          <w:rFonts w:hint="eastAsia" w:ascii="仿宋_GB2312" w:hAnsi="黑体" w:eastAsia="仿宋_GB2312" w:cs="仿宋_GB2312"/>
          <w:kern w:val="0"/>
          <w:sz w:val="32"/>
          <w:szCs w:val="32"/>
        </w:rPr>
        <w:t xml:space="preserve"> %，主要原因是</w:t>
      </w:r>
      <w:r>
        <w:rPr>
          <w:rFonts w:hint="eastAsia" w:ascii="仿宋" w:hAnsi="仿宋" w:eastAsia="仿宋" w:cs="仿宋"/>
          <w:color w:val="auto"/>
          <w:kern w:val="2"/>
          <w:sz w:val="32"/>
          <w:szCs w:val="32"/>
          <w:highlight w:val="none"/>
          <w:lang w:val="en-US" w:eastAsia="zh-CN" w:bidi="ar"/>
        </w:rPr>
        <w:t>本单位新基础设施投入及新设备的投入，医疗业务收入下降。</w:t>
      </w:r>
    </w:p>
    <w:p w14:paraId="33A697DD">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本单位没有此项收入</w:t>
      </w:r>
      <w:r>
        <w:rPr>
          <w:rFonts w:hint="eastAsia" w:ascii="仿宋_GB2312" w:hAnsi="黑体" w:eastAsia="仿宋_GB2312" w:cs="仿宋_GB2312"/>
          <w:kern w:val="0"/>
          <w:sz w:val="32"/>
          <w:szCs w:val="32"/>
        </w:rPr>
        <w:t>。</w:t>
      </w:r>
    </w:p>
    <w:p w14:paraId="7CA2F17B">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14:paraId="5144B84E">
      <w:p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之外取得的收入。如：</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本单位没有此项收入</w:t>
      </w:r>
      <w:r>
        <w:rPr>
          <w:rFonts w:hint="eastAsia" w:ascii="仿宋_GB2312" w:hAnsi="黑体" w:eastAsia="仿宋_GB2312" w:cs="仿宋_GB2312"/>
          <w:kern w:val="0"/>
          <w:sz w:val="32"/>
          <w:szCs w:val="32"/>
        </w:rPr>
        <w:t>。</w:t>
      </w:r>
    </w:p>
    <w:p w14:paraId="65981062">
      <w:pPr>
        <w:numPr>
          <w:ilvl w:val="0"/>
          <w:numId w:val="2"/>
        </w:num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本单位没有此项收入</w:t>
      </w:r>
      <w:r>
        <w:rPr>
          <w:rFonts w:hint="eastAsia" w:ascii="仿宋_GB2312" w:hAnsi="黑体" w:eastAsia="仿宋_GB2312" w:cs="仿宋_GB2312"/>
          <w:kern w:val="0"/>
          <w:sz w:val="32"/>
          <w:szCs w:val="32"/>
        </w:rPr>
        <w:t>。</w:t>
      </w:r>
    </w:p>
    <w:p w14:paraId="60A3C837">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auto"/>
          <w:kern w:val="2"/>
          <w:sz w:val="32"/>
          <w:szCs w:val="32"/>
          <w:highlight w:val="none"/>
          <w:lang w:val="en-US" w:eastAsia="zh-CN" w:bidi="ar"/>
        </w:rPr>
        <w:t>部分项目已在本年执行完毕，不需要结转至下年继续执行。</w:t>
      </w:r>
    </w:p>
    <w:p w14:paraId="683020F5">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479.21</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479.53</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18.45</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3.71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14:paraId="4ADA3E22">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cs="仿宋_GB2312"/>
          <w:kern w:val="0"/>
          <w:sz w:val="32"/>
          <w:szCs w:val="32"/>
          <w:lang w:val="en-US" w:eastAsia="zh-CN"/>
        </w:rPr>
        <w:t>2.06</w:t>
      </w:r>
      <w:r>
        <w:rPr>
          <w:rFonts w:hint="eastAsia" w:ascii="仿宋_GB2312" w:eastAsia="仿宋_GB2312" w:cs="仿宋_GB2312"/>
          <w:kern w:val="0"/>
          <w:sz w:val="32"/>
          <w:szCs w:val="32"/>
        </w:rPr>
        <w:t>万元：主要用于其他群众团体事务支出</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工会经费支出</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0.52</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20.16</w:t>
      </w:r>
      <w:r>
        <w:rPr>
          <w:rFonts w:hint="eastAsia" w:ascii="仿宋_GB2312" w:hAnsi="黑体" w:eastAsia="仿宋_GB2312" w:cs="仿宋_GB2312"/>
          <w:kern w:val="0"/>
          <w:sz w:val="32"/>
          <w:szCs w:val="32"/>
        </w:rPr>
        <w:t>%，主要原因是。</w:t>
      </w:r>
    </w:p>
    <w:p w14:paraId="77D6BBC5">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_GB2312" w:hAnsi="黑体" w:eastAsia="仿宋_GB2312" w:cs="仿宋_GB2312"/>
          <w:kern w:val="0"/>
          <w:sz w:val="32"/>
          <w:szCs w:val="32"/>
          <w:lang w:val="en-US" w:eastAsia="zh-CN"/>
        </w:rPr>
        <w:t>2.</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16.48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单位基本养老的支出。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下降0.5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2.94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人员减少。</w:t>
      </w:r>
    </w:p>
    <w:p w14:paraId="0E5E63FD">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卫生健康支出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210</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433.94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i w:val="0"/>
          <w:iCs w:val="0"/>
          <w:caps w:val="0"/>
          <w:color w:val="333333"/>
          <w:spacing w:val="0"/>
          <w:sz w:val="32"/>
          <w:szCs w:val="32"/>
          <w:shd w:val="clear" w:fill="FFFFFF"/>
        </w:rPr>
        <w:t>人员经费支出、日常公用经费支出和项目类支出等</w:t>
      </w:r>
      <w:r>
        <w:rPr>
          <w:rFonts w:hint="eastAsia" w:ascii="仿宋" w:hAnsi="仿宋" w:eastAsia="仿宋" w:cs="仿宋"/>
          <w:sz w:val="36"/>
          <w:szCs w:val="36"/>
          <w:highlight w:val="none"/>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减少13.14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下降2.94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highlight w:val="none"/>
          <w:lang w:eastAsia="zh-CN"/>
          <w14:textFill>
            <w14:solidFill>
              <w14:schemeClr w14:val="tx1"/>
            </w14:solidFill>
          </w14:textFill>
        </w:rPr>
        <w:t>慢性病防治工作</w:t>
      </w:r>
      <w:r>
        <w:rPr>
          <w:rFonts w:hint="eastAsia" w:ascii="仿宋" w:hAnsi="仿宋" w:eastAsia="仿宋" w:cs="仿宋"/>
          <w:color w:val="000000" w:themeColor="text1"/>
          <w:sz w:val="32"/>
          <w:szCs w:val="32"/>
          <w:highlight w:val="none"/>
          <w:lang w:val="en-US" w:eastAsia="zh-CN"/>
          <w14:textFill>
            <w14:solidFill>
              <w14:schemeClr w14:val="tx1"/>
            </w14:solidFill>
          </w14:textFill>
        </w:rPr>
        <w:t>加强、</w:t>
      </w:r>
      <w:r>
        <w:rPr>
          <w:rFonts w:hint="eastAsia" w:ascii="仿宋" w:hAnsi="仿宋" w:eastAsia="仿宋" w:cs="仿宋"/>
          <w:color w:val="auto"/>
          <w:sz w:val="32"/>
          <w:szCs w:val="32"/>
          <w:highlight w:val="none"/>
          <w:lang w:val="en-US" w:eastAsia="zh-CN"/>
        </w:rPr>
        <w:t>医务人员减少、医疗设备更新、卫生院扩建及维修支出减少等。</w:t>
      </w:r>
    </w:p>
    <w:p w14:paraId="4D72FAB8">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农林水支出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213</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FF0000"/>
          <w:sz w:val="32"/>
          <w:szCs w:val="32"/>
          <w:highlight w:val="none"/>
          <w:lang w:val="en-US" w:eastAsia="zh-CN"/>
        </w:rPr>
        <w:t>卫</w:t>
      </w:r>
      <w:r>
        <w:rPr>
          <w:rFonts w:hint="eastAsia" w:ascii="仿宋" w:hAnsi="仿宋" w:eastAsia="仿宋" w:cs="仿宋"/>
          <w:color w:val="auto"/>
          <w:sz w:val="32"/>
          <w:szCs w:val="32"/>
          <w:highlight w:val="none"/>
          <w:lang w:val="en-US" w:eastAsia="zh-CN"/>
        </w:rPr>
        <w:t>生院业务用房建设项目支出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主要原因是：本单位无支出。</w:t>
      </w:r>
    </w:p>
    <w:p w14:paraId="568C1D50">
      <w:pPr>
        <w:autoSpaceDE w:val="0"/>
        <w:autoSpaceDN w:val="0"/>
        <w:adjustRightInd w:val="0"/>
        <w:spacing w:line="560" w:lineRule="exact"/>
        <w:ind w:firstLine="627" w:firstLineChars="196"/>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14.77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按照国家政策规定为职工缴纳的住房公积金支出</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0.41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i w:val="0"/>
          <w:iCs w:val="0"/>
          <w:caps w:val="0"/>
          <w:color w:val="333333"/>
          <w:spacing w:val="0"/>
          <w:sz w:val="32"/>
          <w:szCs w:val="32"/>
          <w:shd w:val="clear" w:fill="FFFFFF"/>
        </w:rPr>
        <w:t>公积金缴纳基数的调整，缴纳的住房公积金</w:t>
      </w:r>
      <w:r>
        <w:rPr>
          <w:rFonts w:hint="eastAsia" w:ascii="仿宋" w:hAnsi="仿宋" w:eastAsia="仿宋" w:cs="仿宋"/>
          <w:i w:val="0"/>
          <w:iCs w:val="0"/>
          <w:caps w:val="0"/>
          <w:color w:val="333333"/>
          <w:spacing w:val="0"/>
          <w:sz w:val="32"/>
          <w:szCs w:val="32"/>
          <w:shd w:val="clear" w:fill="FFFFFF"/>
          <w:lang w:val="en-US" w:eastAsia="zh-CN"/>
        </w:rPr>
        <w:t>人员减少。</w:t>
      </w:r>
    </w:p>
    <w:p w14:paraId="165DE62A">
      <w:pPr>
        <w:autoSpaceDE w:val="0"/>
        <w:autoSpaceDN w:val="0"/>
        <w:adjustRightInd w:val="0"/>
        <w:spacing w:line="560" w:lineRule="exact"/>
        <w:ind w:firstLine="627" w:firstLineChars="196"/>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6.</w:t>
      </w:r>
      <w:r>
        <w:rPr>
          <w:rFonts w:hint="eastAsia" w:ascii="仿宋_GB2312" w:hAnsi="仿宋_GB2312" w:eastAsia="仿宋_GB2312" w:cs="仿宋_GB2312"/>
          <w:i w:val="0"/>
          <w:iCs w:val="0"/>
          <w:caps w:val="0"/>
          <w:color w:val="333333"/>
          <w:spacing w:val="0"/>
          <w:sz w:val="32"/>
          <w:szCs w:val="32"/>
          <w:shd w:val="clear" w:fill="FFFFFF"/>
        </w:rPr>
        <w:t>其他支出（229类）</w:t>
      </w:r>
      <w:r>
        <w:rPr>
          <w:rFonts w:hint="eastAsia" w:ascii="仿宋_GB2312" w:hAnsi="仿宋_GB2312" w:eastAsia="仿宋_GB2312" w:cs="仿宋_GB2312"/>
          <w:i w:val="0"/>
          <w:iCs w:val="0"/>
          <w:caps w:val="0"/>
          <w:color w:val="333333"/>
          <w:spacing w:val="0"/>
          <w:sz w:val="32"/>
          <w:szCs w:val="32"/>
          <w:shd w:val="clear" w:fill="FFFFFF"/>
          <w:lang w:val="en-US" w:eastAsia="zh-CN"/>
        </w:rPr>
        <w:t>11.95</w:t>
      </w:r>
      <w:r>
        <w:rPr>
          <w:rFonts w:hint="eastAsia" w:ascii="仿宋_GB2312" w:hAnsi="仿宋_GB2312" w:eastAsia="仿宋_GB2312" w:cs="仿宋_GB2312"/>
          <w:i w:val="0"/>
          <w:iCs w:val="0"/>
          <w:caps w:val="0"/>
          <w:color w:val="333333"/>
          <w:spacing w:val="0"/>
          <w:sz w:val="32"/>
          <w:szCs w:val="32"/>
          <w:shd w:val="clear" w:fill="FFFFFF"/>
        </w:rPr>
        <w:t>万元：主要用于：其他活动支出。较2022年度决算数</w:t>
      </w:r>
      <w:r>
        <w:rPr>
          <w:rFonts w:hint="eastAsia" w:ascii="仿宋_GB2312" w:hAnsi="仿宋_GB2312" w:eastAsia="仿宋_GB2312" w:cs="仿宋_GB2312"/>
          <w:i w:val="0"/>
          <w:iCs w:val="0"/>
          <w:caps w:val="0"/>
          <w:color w:val="333333"/>
          <w:spacing w:val="0"/>
          <w:sz w:val="32"/>
          <w:szCs w:val="32"/>
          <w:shd w:val="clear" w:fill="FFFFFF"/>
          <w:lang w:val="en-US" w:eastAsia="zh-CN"/>
        </w:rPr>
        <w:t>增加11.95</w:t>
      </w:r>
      <w:r>
        <w:rPr>
          <w:rFonts w:hint="eastAsia" w:ascii="仿宋_GB2312" w:hAnsi="仿宋_GB2312" w:eastAsia="仿宋_GB2312" w:cs="仿宋_GB2312"/>
          <w:i w:val="0"/>
          <w:iCs w:val="0"/>
          <w:caps w:val="0"/>
          <w:color w:val="333333"/>
          <w:spacing w:val="0"/>
          <w:sz w:val="32"/>
          <w:szCs w:val="32"/>
          <w:shd w:val="clear" w:fill="FFFFFF"/>
        </w:rPr>
        <w:t>万元，</w:t>
      </w:r>
      <w:r>
        <w:rPr>
          <w:rFonts w:hint="eastAsia" w:ascii="仿宋_GB2312" w:hAnsi="仿宋_GB2312" w:eastAsia="仿宋_GB2312" w:cs="仿宋_GB2312"/>
          <w:i w:val="0"/>
          <w:iCs w:val="0"/>
          <w:caps w:val="0"/>
          <w:color w:val="333333"/>
          <w:spacing w:val="0"/>
          <w:sz w:val="32"/>
          <w:szCs w:val="32"/>
          <w:shd w:val="clear" w:fill="FFFFFF"/>
          <w:lang w:val="en-US" w:eastAsia="zh-CN"/>
        </w:rPr>
        <w:t>增加</w:t>
      </w:r>
      <w:r>
        <w:rPr>
          <w:rFonts w:hint="eastAsia" w:ascii="仿宋_GB2312" w:hAnsi="仿宋_GB2312" w:eastAsia="仿宋_GB2312" w:cs="仿宋_GB2312"/>
          <w:i w:val="0"/>
          <w:iCs w:val="0"/>
          <w:caps w:val="0"/>
          <w:color w:val="333333"/>
          <w:spacing w:val="0"/>
          <w:sz w:val="32"/>
          <w:szCs w:val="32"/>
          <w:shd w:val="clear" w:fill="FFFFFF"/>
        </w:rPr>
        <w:t>100%，主要原因是：</w:t>
      </w:r>
      <w:r>
        <w:rPr>
          <w:rFonts w:hint="eastAsia" w:ascii="仿宋_GB2312" w:hAnsi="仿宋_GB2312" w:eastAsia="仿宋_GB2312" w:cs="仿宋_GB2312"/>
          <w:i w:val="0"/>
          <w:iCs w:val="0"/>
          <w:caps w:val="0"/>
          <w:color w:val="333333"/>
          <w:spacing w:val="0"/>
          <w:sz w:val="32"/>
          <w:szCs w:val="32"/>
          <w:shd w:val="clear" w:fill="FFFFFF"/>
          <w:lang w:val="en-US" w:eastAsia="zh-CN"/>
        </w:rPr>
        <w:t>其他人员奖励支出</w:t>
      </w:r>
      <w:r>
        <w:rPr>
          <w:rFonts w:hint="eastAsia" w:ascii="仿宋_GB2312" w:hAnsi="仿宋_GB2312" w:eastAsia="仿宋_GB2312" w:cs="仿宋_GB2312"/>
          <w:i w:val="0"/>
          <w:iCs w:val="0"/>
          <w:caps w:val="0"/>
          <w:color w:val="333333"/>
          <w:spacing w:val="0"/>
          <w:sz w:val="32"/>
          <w:szCs w:val="32"/>
          <w:shd w:val="clear" w:fill="FFFFFF"/>
        </w:rPr>
        <w:t>。</w:t>
      </w:r>
    </w:p>
    <w:p w14:paraId="6C198396">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rPr>
      </w:pPr>
      <w:r>
        <w:rPr>
          <w:rFonts w:hint="eastAsia" w:ascii="仿宋_GB2312" w:eastAsia="仿宋_GB2312"/>
          <w:bCs/>
          <w:kern w:val="0"/>
          <w:sz w:val="32"/>
          <w:szCs w:val="32"/>
        </w:rPr>
        <w:t>4</w:t>
      </w:r>
      <w:r>
        <w:rPr>
          <w:rFonts w:hint="eastAsia" w:ascii="仿宋_GB2312" w:eastAsia="仿宋_GB2312" w:cs="仿宋_GB2312"/>
          <w:kern w:val="0"/>
          <w:sz w:val="32"/>
          <w:szCs w:val="32"/>
        </w:rPr>
        <w:t xml:space="preserve">.结余分配 </w:t>
      </w:r>
      <w:r>
        <w:rPr>
          <w:rFonts w:hint="eastAsia" w:ascii="仿宋_GB2312" w:eastAsia="仿宋_GB2312" w:cs="仿宋_GB2312"/>
          <w:kern w:val="0"/>
          <w:sz w:val="32"/>
          <w:szCs w:val="32"/>
          <w:lang w:val="en-US" w:eastAsia="zh-CN"/>
        </w:rPr>
        <w:t>0.32</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0.19</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37.25</w:t>
      </w:r>
      <w:r>
        <w:rPr>
          <w:rFonts w:hint="eastAsia" w:ascii="仿宋_GB2312" w:hAnsi="黑体" w:eastAsia="仿宋_GB2312" w:cs="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本年度控制支出相对减少</w:t>
      </w:r>
      <w:r>
        <w:rPr>
          <w:rFonts w:hint="eastAsia" w:ascii="仿宋_GB2312" w:hAnsi="黑体" w:eastAsia="仿宋_GB2312" w:cs="仿宋_GB2312"/>
          <w:kern w:val="0"/>
          <w:sz w:val="32"/>
          <w:szCs w:val="32"/>
        </w:rPr>
        <w:t>。</w:t>
      </w:r>
    </w:p>
    <w:p w14:paraId="6C96C834">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w:t>
      </w: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本年无年末结转和结余。</w:t>
      </w:r>
    </w:p>
    <w:p w14:paraId="25554057">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0" w:name="OLE_LINK1"/>
      <w:r>
        <w:rPr>
          <w:rFonts w:hint="eastAsia" w:ascii="黑体" w:hAnsi="黑体" w:eastAsia="黑体" w:cs="黑体"/>
          <w:sz w:val="32"/>
          <w:szCs w:val="32"/>
          <w:highlight w:val="none"/>
        </w:rPr>
        <w:t>一般公共预算财政拨款支出决算情况</w:t>
      </w:r>
      <w:bookmarkEnd w:id="0"/>
    </w:p>
    <w:p w14:paraId="3A8BD8D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环江县长美乡卫生院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szCs w:val="32"/>
          <w:highlight w:val="none"/>
          <w:lang w:val="en-US" w:eastAsia="zh-CN"/>
        </w:rPr>
        <w:t>370.48</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u w:color="auto"/>
          <w:lang w:val="en-US" w:eastAsia="zh-CN"/>
        </w:rPr>
        <w:t>4.45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上涨</w:t>
      </w:r>
      <w:r>
        <w:rPr>
          <w:rFonts w:hint="eastAsia" w:ascii="仿宋" w:hAnsi="仿宋" w:eastAsia="仿宋" w:cs="仿宋"/>
          <w:sz w:val="32"/>
          <w:u w:color="auto"/>
          <w:lang w:val="en-US" w:eastAsia="zh-CN"/>
        </w:rPr>
        <w:t>1.22</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172.71</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197.77</w:t>
      </w:r>
      <w:r>
        <w:rPr>
          <w:rFonts w:hint="eastAsia" w:ascii="仿宋" w:hAnsi="仿宋" w:eastAsia="仿宋" w:cs="仿宋"/>
          <w:sz w:val="32"/>
          <w:szCs w:val="32"/>
          <w:highlight w:val="none"/>
        </w:rPr>
        <w:t>万元。</w:t>
      </w:r>
    </w:p>
    <w:p w14:paraId="02135E24">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lang w:val="en-US" w:eastAsia="zh-CN"/>
        </w:rPr>
        <w:t>环江县长美乡卫生院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szCs w:val="32"/>
          <w:highlight w:val="none"/>
          <w:lang w:val="en-US" w:eastAsia="zh-CN"/>
        </w:rPr>
        <w:t>227.35</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370.48</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162.96</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p>
    <w:p w14:paraId="3A2DAFF7">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ascii="仿宋" w:hAnsi="仿宋" w:eastAsia="仿宋"/>
          <w:sz w:val="32"/>
          <w:szCs w:val="32"/>
          <w:highlight w:val="none"/>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本单位没有此项目支出。</w:t>
      </w:r>
    </w:p>
    <w:p w14:paraId="139CE1BD">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ascii="仿宋" w:hAnsi="仿宋" w:eastAsia="仿宋"/>
          <w:sz w:val="32"/>
          <w:szCs w:val="32"/>
          <w:highlight w:val="none"/>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25.04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16.48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65.81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原因是：年中</w:t>
      </w:r>
      <w:r>
        <w:rPr>
          <w:rFonts w:hint="eastAsia" w:ascii="仿宋" w:hAnsi="仿宋" w:eastAsia="仿宋" w:cs="仿宋"/>
          <w:i w:val="0"/>
          <w:iCs w:val="0"/>
          <w:caps w:val="0"/>
          <w:color w:val="333333"/>
          <w:spacing w:val="0"/>
          <w:sz w:val="32"/>
          <w:szCs w:val="32"/>
          <w:shd w:val="clear" w:fill="FFFFFF"/>
        </w:rPr>
        <w:t>缴纳基数的调整</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olor w:val="000000" w:themeColor="text1"/>
          <w:sz w:val="32"/>
          <w:szCs w:val="32"/>
          <w:highlight w:val="none"/>
          <w:lang w:val="en-US" w:eastAsia="zh-CN"/>
          <w14:textFill>
            <w14:solidFill>
              <w14:schemeClr w14:val="tx1"/>
            </w14:solidFill>
          </w14:textFill>
        </w:rPr>
        <w:t>本年度人员减少</w:t>
      </w:r>
      <w:r>
        <w:rPr>
          <w:rFonts w:hint="eastAsia" w:ascii="仿宋" w:hAnsi="仿宋" w:eastAsia="仿宋" w:cs="仿宋"/>
          <w:color w:val="auto"/>
          <w:kern w:val="2"/>
          <w:sz w:val="32"/>
          <w:szCs w:val="32"/>
          <w:highlight w:val="none"/>
          <w:lang w:val="en-US" w:eastAsia="zh-CN" w:bidi="ar"/>
        </w:rPr>
        <w:t>。</w:t>
      </w:r>
    </w:p>
    <w:p w14:paraId="6FB6F610">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ascii="仿宋" w:hAnsi="仿宋" w:eastAsia="仿宋"/>
          <w:sz w:val="32"/>
          <w:szCs w:val="32"/>
          <w:highlight w:val="none"/>
        </w:rPr>
      </w:pPr>
      <w:r>
        <w:rPr>
          <w:rFonts w:hint="eastAsia" w:ascii="仿宋" w:hAnsi="仿宋" w:eastAsia="仿宋"/>
          <w:sz w:val="32"/>
          <w:szCs w:val="32"/>
          <w:highlight w:val="none"/>
        </w:rPr>
        <w:t>卫生健康支出</w:t>
      </w:r>
      <w:r>
        <w:rPr>
          <w:rFonts w:ascii="仿宋" w:hAnsi="仿宋" w:eastAsia="仿宋"/>
          <w:sz w:val="32"/>
          <w:u w:color="auto"/>
        </w:rPr>
        <w:t>（210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185.48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325.22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175.34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i w:val="0"/>
          <w:iCs w:val="0"/>
          <w:caps w:val="0"/>
          <w:color w:val="333333"/>
          <w:spacing w:val="0"/>
          <w:sz w:val="32"/>
          <w:szCs w:val="32"/>
          <w:shd w:val="clear" w:fill="FFFFFF"/>
        </w:rPr>
        <w:t>年中追加乡镇卫生院补助资金</w:t>
      </w:r>
      <w:r>
        <w:rPr>
          <w:rFonts w:hint="eastAsia" w:ascii="仿宋" w:hAnsi="仿宋" w:eastAsia="仿宋" w:cs="仿宋"/>
          <w:i w:val="0"/>
          <w:iCs w:val="0"/>
          <w:caps w:val="0"/>
          <w:color w:val="333333"/>
          <w:spacing w:val="0"/>
          <w:sz w:val="32"/>
          <w:szCs w:val="32"/>
          <w:shd w:val="clear" w:fill="FFFFFF"/>
          <w:lang w:eastAsia="zh-CN"/>
        </w:rPr>
        <w:t>。</w:t>
      </w:r>
    </w:p>
    <w:p w14:paraId="6836B6B2">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农林水支出</w:t>
      </w:r>
      <w:r>
        <w:rPr>
          <w:rFonts w:ascii="仿宋" w:hAnsi="仿宋" w:eastAsia="仿宋"/>
          <w:sz w:val="32"/>
          <w:u w:color="auto"/>
        </w:rPr>
        <w:t>（213</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ascii="仿宋" w:hAnsi="仿宋" w:eastAsia="仿宋"/>
          <w:sz w:val="32"/>
          <w:szCs w:val="32"/>
          <w:highlight w:val="none"/>
        </w:rPr>
        <w:t>0</w:t>
      </w:r>
      <w:r>
        <w:rPr>
          <w:rFonts w:hint="eastAsia" w:ascii="仿宋" w:hAnsi="仿宋" w:eastAsia="仿宋"/>
          <w:sz w:val="32"/>
          <w:szCs w:val="32"/>
          <w:highlight w:val="none"/>
        </w:rPr>
        <w:t>万元，完成年初预算的</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原因是：本单位没有此项目支出。</w:t>
      </w:r>
    </w:p>
    <w:p w14:paraId="382D712B">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ascii="仿宋" w:hAnsi="仿宋" w:eastAsia="仿宋"/>
          <w:sz w:val="32"/>
          <w:szCs w:val="32"/>
          <w:highlight w:val="none"/>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14.77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14.77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原因是：无。</w:t>
      </w:r>
    </w:p>
    <w:p w14:paraId="013D11C3">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14:paraId="0ACAC19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环江县长美乡卫生院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370.48</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157.51</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15.2</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14:paraId="7FBE0CDB">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156.67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1.02</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主要原因是：预决算差异主要为在职人员变动。</w:t>
      </w:r>
    </w:p>
    <w:p w14:paraId="51491565">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48.69万元，30102津贴补贴13.77万元，30103奖金0万元，30106伙食补助费0万元，30107绩效工资37.44万元，30108机关事业单位基本养老保险缴费17.97万元，30110职工基本医疗保险缴费7.11万元，30111公务员医疗补助缴费0万元，30112其他社会保障缴费1.39万元，30113住房公积金14.77万元，30199其他工资福利支出6.68万元。</w:t>
      </w:r>
    </w:p>
    <w:p w14:paraId="6D714CE6">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15.2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用于开展乡村医生基本报酬及工会活动经费日常开支。</w:t>
      </w:r>
    </w:p>
    <w:p w14:paraId="78F130A9">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30201办公费0万元，30207邮电费0万元，30211差旅费0万元，30215会议费0万元，30216培训费0万元，30226劳务费13.14万元，30228工会经费2.06万元，30299其他商品和服务支出0万元。</w:t>
      </w:r>
    </w:p>
    <w:p w14:paraId="008D5BAD">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szCs w:val="32"/>
          <w:highlight w:val="none"/>
          <w:lang w:val="en-US" w:eastAsia="zh-CN"/>
        </w:rPr>
        <w:t>1.15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i w:val="0"/>
          <w:iCs w:val="0"/>
          <w:caps w:val="0"/>
          <w:color w:val="333333"/>
          <w:spacing w:val="0"/>
          <w:sz w:val="32"/>
          <w:szCs w:val="32"/>
        </w:rPr>
        <w:t>上级追加补助</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抚血金补助</w:t>
      </w:r>
      <w:r>
        <w:rPr>
          <w:rFonts w:hint="eastAsia" w:ascii="仿宋" w:hAnsi="仿宋" w:eastAsia="仿宋" w:cs="仿宋"/>
          <w:color w:val="auto"/>
          <w:kern w:val="2"/>
          <w:sz w:val="32"/>
          <w:szCs w:val="32"/>
          <w:highlight w:val="none"/>
          <w:lang w:val="en-US" w:eastAsia="zh-CN" w:bidi="ar"/>
        </w:rPr>
        <w:t>，年初预算时退休人员生活补助等由单位进行预算，实际发放不由单位进行发放。。</w:t>
      </w:r>
    </w:p>
    <w:p w14:paraId="04FAE757">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30301离休费0万元，30302退休费0万元，30304抚血金0.43万元，30305生活补助0.72万元。</w:t>
      </w:r>
    </w:p>
    <w:p w14:paraId="0532C7AA">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主要原因是：本单位无此项目支出。</w:t>
      </w:r>
    </w:p>
    <w:p w14:paraId="3C931C83">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主要原因是：本单位无此项目支出</w:t>
      </w:r>
    </w:p>
    <w:p w14:paraId="592B9C3C">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sz w:val="32"/>
          <w:szCs w:val="32"/>
          <w:highlight w:val="none"/>
        </w:rPr>
      </w:pPr>
      <w:r>
        <w:rPr>
          <w:rFonts w:hint="eastAsia" w:ascii="仿宋" w:hAnsi="仿宋" w:eastAsia="仿宋" w:cs="仿宋"/>
          <w:sz w:val="32"/>
          <w:szCs w:val="32"/>
          <w:highlight w:val="none"/>
        </w:rPr>
        <w:t>其他支出</w:t>
      </w:r>
      <w:r>
        <w:rPr>
          <w:rFonts w:hint="eastAsia" w:ascii="仿宋" w:hAnsi="仿宋" w:eastAsia="仿宋" w:cs="仿宋"/>
          <w:sz w:val="32"/>
          <w:u w:color="auto"/>
          <w:lang w:val="en-US" w:eastAsia="zh-CN"/>
        </w:rPr>
        <w:t>0.00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主要原因是：本单位无此项目支出</w:t>
      </w:r>
    </w:p>
    <w:p w14:paraId="201E4151">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14:paraId="38B10D8B">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环江县长美乡卫生院</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14:paraId="4B8846CD">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14:paraId="71F6F86B">
      <w:pPr>
        <w:ind w:firstLine="640" w:firstLineChars="200"/>
        <w:jc w:val="left"/>
        <w:rPr>
          <w:rFonts w:hint="eastAsia" w:ascii="仿宋" w:hAnsi="仿宋" w:eastAsia="仿宋_GB2312" w:cs="仿宋"/>
          <w:sz w:val="32"/>
          <w:szCs w:val="32"/>
          <w:highlight w:val="none"/>
          <w:lang w:eastAsia="zh-CN"/>
        </w:rPr>
      </w:pPr>
      <w:bookmarkStart w:id="2" w:name="PO_part3A5B1C1DiffReason1"/>
      <w:r>
        <w:rPr>
          <w:rFonts w:hint="eastAsia" w:ascii="仿宋" w:hAnsi="仿宋" w:eastAsia="仿宋" w:cs="仿宋"/>
          <w:color w:val="auto"/>
          <w:sz w:val="32"/>
          <w:szCs w:val="32"/>
          <w:highlight w:val="none"/>
          <w:lang w:val="en-US" w:eastAsia="zh-CN"/>
        </w:rPr>
        <w:t>环江县长美乡卫生院</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w:t>
      </w:r>
      <w:bookmarkEnd w:id="2"/>
      <w:r>
        <w:rPr>
          <w:rFonts w:hint="eastAsia" w:ascii="仿宋_GB2312" w:hAnsi="Times New Roman" w:eastAsia="仿宋_GB2312" w:cs="Times New Roman"/>
          <w:color w:val="FF0000"/>
          <w:sz w:val="32"/>
          <w:szCs w:val="32"/>
          <w:lang w:eastAsia="zh-CN"/>
        </w:rPr>
        <w:t>。</w:t>
      </w:r>
    </w:p>
    <w:p w14:paraId="2C1E1BEF">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14:paraId="6400AE11">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14:paraId="63C11E2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7B05B22C">
      <w:pPr>
        <w:numPr>
          <w:ilvl w:val="0"/>
          <w:numId w:val="5"/>
        </w:numPr>
        <w:ind w:firstLine="640" w:firstLineChars="200"/>
        <w:jc w:val="left"/>
        <w:rPr>
          <w:rFonts w:hint="eastAsia" w:ascii="仿宋_GB2312" w:hAnsi="Times New Roman" w:eastAsia="仿宋_GB2312" w:cs="Times New Roman"/>
          <w:color w:val="FF0000"/>
          <w:sz w:val="32"/>
          <w:szCs w:val="32"/>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p>
    <w:p w14:paraId="10DFDB17">
      <w:pPr>
        <w:numPr>
          <w:ilvl w:val="0"/>
          <w:numId w:val="0"/>
        </w:numPr>
        <w:ind w:left="0" w:leftChars="0"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bookmarkStart w:id="3" w:name="PO_part3A6B2IncReason1"/>
      <w:r>
        <w:rPr>
          <w:rFonts w:hint="eastAsia" w:ascii="仿宋" w:hAnsi="仿宋" w:eastAsia="仿宋" w:cs="仿宋"/>
          <w:color w:val="auto"/>
          <w:sz w:val="32"/>
          <w:szCs w:val="32"/>
        </w:rPr>
        <w:t>本部门无公务用车购置</w:t>
      </w:r>
      <w:bookmarkEnd w:id="3"/>
      <w:r>
        <w:rPr>
          <w:rFonts w:hint="eastAsia" w:ascii="仿宋" w:hAnsi="仿宋" w:eastAsia="仿宋" w:cs="仿宋"/>
          <w:color w:val="auto"/>
          <w:sz w:val="32"/>
          <w:szCs w:val="32"/>
        </w:rPr>
        <w:t>。</w:t>
      </w:r>
    </w:p>
    <w:p w14:paraId="5327675F">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无</w:t>
      </w:r>
      <w:r>
        <w:rPr>
          <w:rFonts w:hint="eastAsia" w:ascii="仿宋" w:hAnsi="仿宋" w:eastAsia="仿宋" w:cs="仿宋"/>
          <w:color w:val="FF0000"/>
          <w:sz w:val="32"/>
          <w:szCs w:val="32"/>
          <w:highlight w:val="none"/>
        </w:rPr>
        <w:t>。</w:t>
      </w:r>
      <w:r>
        <w:rPr>
          <w:rFonts w:hint="eastAsia" w:ascii="仿宋" w:hAnsi="仿宋" w:eastAsia="仿宋" w:cs="仿宋"/>
          <w:color w:val="auto"/>
          <w:sz w:val="32"/>
          <w:szCs w:val="32"/>
          <w:highlight w:val="none"/>
        </w:rPr>
        <w:t>主要用于机要文件交换、因公出行以及开展业务所需车辆燃料费、维修费、过路过桥费、保险费等。</w:t>
      </w:r>
      <w:r>
        <w:rPr>
          <w:rFonts w:hint="eastAsia" w:ascii="仿宋" w:hAnsi="仿宋" w:eastAsia="仿宋" w:cs="仿宋"/>
          <w:sz w:val="32"/>
          <w:szCs w:val="32"/>
          <w:highlight w:val="none"/>
        </w:rPr>
        <w:t>2022年，</w:t>
      </w:r>
      <w:r>
        <w:rPr>
          <w:rFonts w:hint="eastAsia" w:ascii="仿宋" w:hAnsi="仿宋" w:eastAsia="仿宋" w:cs="仿宋"/>
          <w:sz w:val="32"/>
          <w:u w:color="auto"/>
          <w:lang w:val="en-US" w:eastAsia="zh-CN"/>
        </w:rPr>
        <w:t>环江县长美乡卫生院</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b w:val="0"/>
          <w:bCs w:val="0"/>
          <w:color w:val="auto"/>
          <w:sz w:val="32"/>
          <w:szCs w:val="32"/>
          <w:highlight w:val="none"/>
        </w:rPr>
        <w:t xml:space="preserve">平均每辆 </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color w:val="auto"/>
          <w:sz w:val="32"/>
          <w:szCs w:val="32"/>
          <w:highlight w:val="none"/>
        </w:rPr>
        <w:t>万元。</w:t>
      </w:r>
    </w:p>
    <w:p w14:paraId="74FBCBBD">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主要原因是：无。</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14:paraId="08BDCFB4">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2FD6D5E5">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14:paraId="00E47425">
      <w:pPr>
        <w:keepNext w:val="0"/>
        <w:keepLines w:val="0"/>
        <w:pageBreakBefore w:val="0"/>
        <w:widowControl/>
        <w:kinsoku/>
        <w:wordWrap/>
        <w:overflowPunct/>
        <w:topLinePunct w:val="0"/>
        <w:bidi w:val="0"/>
        <w:snapToGrid/>
        <w:spacing w:line="560" w:lineRule="exact"/>
        <w:ind w:firstLine="640"/>
        <w:textAlignment w:val="auto"/>
        <w:rPr>
          <w:rFonts w:hint="eastAsia" w:ascii="Times New Roman" w:hAnsi="Times New Roman" w:eastAsia="仿宋_GB2312" w:cs="Times New Roman"/>
          <w:b w:val="0"/>
          <w:bCs w:val="0"/>
          <w:kern w:val="0"/>
          <w:sz w:val="32"/>
          <w:szCs w:val="32"/>
          <w:highlight w:val="yellow"/>
          <w:lang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shd w:val="clear" w:color="auto" w:fill="auto"/>
        </w:rPr>
        <w:t>原因是：</w:t>
      </w:r>
      <w:r>
        <w:rPr>
          <w:rFonts w:hint="default" w:ascii="Times New Roman" w:hAnsi="Times New Roman" w:eastAsia="仿宋_GB2312" w:cs="Times New Roman"/>
          <w:b w:val="0"/>
          <w:bCs w:val="0"/>
          <w:color w:val="auto"/>
          <w:kern w:val="0"/>
          <w:sz w:val="32"/>
          <w:szCs w:val="32"/>
          <w:highlight w:val="none"/>
          <w:shd w:val="clear" w:color="auto" w:fill="auto"/>
        </w:rPr>
        <w:t>本部门无机关运行经费支出</w:t>
      </w:r>
      <w:r>
        <w:rPr>
          <w:rFonts w:hint="eastAsia" w:ascii="Times New Roman" w:hAnsi="Times New Roman" w:eastAsia="仿宋_GB2312" w:cs="Times New Roman"/>
          <w:b w:val="0"/>
          <w:bCs w:val="0"/>
          <w:color w:val="auto"/>
          <w:kern w:val="0"/>
          <w:sz w:val="32"/>
          <w:szCs w:val="32"/>
          <w:highlight w:val="none"/>
          <w:shd w:val="clear" w:color="auto" w:fill="auto"/>
          <w:lang w:eastAsia="zh-CN"/>
        </w:rPr>
        <w:t>。</w:t>
      </w:r>
    </w:p>
    <w:p w14:paraId="31112D89">
      <w:pPr>
        <w:jc w:val="left"/>
        <w:rPr>
          <w:rFonts w:hint="eastAsia" w:ascii="仿宋" w:hAnsi="仿宋" w:eastAsia="仿宋" w:cs="仿宋"/>
          <w:color w:val="FF0000"/>
          <w:sz w:val="32"/>
          <w:szCs w:val="32"/>
          <w:highlight w:val="none"/>
        </w:rPr>
      </w:pPr>
    </w:p>
    <w:p w14:paraId="52B37BB2">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391FF4EA">
      <w:pPr>
        <w:keepNext w:val="0"/>
        <w:keepLines w:val="0"/>
        <w:pageBreakBefore w:val="0"/>
        <w:widowControl/>
        <w:kinsoku/>
        <w:wordWrap/>
        <w:overflowPunct/>
        <w:topLinePunct w:val="0"/>
        <w:bidi w:val="0"/>
        <w:snapToGrid/>
        <w:spacing w:line="560" w:lineRule="exact"/>
        <w:ind w:firstLine="640"/>
        <w:textAlignment w:val="auto"/>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10.52</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10.52</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10.52</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767728B3">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560035CB">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w:t>
      </w:r>
    </w:p>
    <w:p w14:paraId="5D1E3CA4">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14:paraId="3922E441">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14:paraId="0A1AFA64">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209.52</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度政府性基金预算项目支出等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度国有资本经营预算项目等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bookmarkStart w:id="4" w:name="_GoBack"/>
      <w:bookmarkEnd w:id="4"/>
    </w:p>
    <w:p w14:paraId="15121CD2">
      <w:pPr>
        <w:ind w:firstLine="640" w:firstLineChars="200"/>
        <w:jc w:val="left"/>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组织对“202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年度一般公共预算项目支出全面开展绩效自评”等</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209.52</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auto"/>
          <w:sz w:val="32"/>
          <w:szCs w:val="32"/>
        </w:rPr>
        <w:t>从自评情况来看，各项项目的绩效目标均能够顺利完成，资金执行情况良好，各项严格按照项目规定的范围和金额进行使用，无挪用、挤占现象，做到了专款专用。</w:t>
      </w:r>
    </w:p>
    <w:p w14:paraId="7B7177F4">
      <w:pPr>
        <w:ind w:firstLine="640" w:firstLineChars="200"/>
        <w:jc w:val="left"/>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环江县长美乡卫生院</w:t>
      </w:r>
      <w:r>
        <w:rPr>
          <w:rFonts w:hint="eastAsia" w:ascii="仿宋" w:hAnsi="仿宋" w:eastAsia="仿宋" w:cs="仿宋"/>
          <w:color w:val="000000" w:themeColor="text1"/>
          <w:sz w:val="32"/>
          <w:szCs w:val="32"/>
          <w14:textFill>
            <w14:solidFill>
              <w14:schemeClr w14:val="tx1"/>
            </w14:solidFill>
          </w14:textFill>
        </w:rPr>
        <w:t>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209.52</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auto"/>
          <w:sz w:val="32"/>
          <w:szCs w:val="32"/>
        </w:rPr>
        <w:t>各项目标都能够很好完成，绩效目标未偏离。</w:t>
      </w:r>
    </w:p>
    <w:p w14:paraId="374421F1">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w:t>
      </w:r>
    </w:p>
    <w:p w14:paraId="09CEA27D">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_GB2312" w:hAnsi="仿宋_GB2312" w:eastAsia="仿宋_GB2312" w:cs="仿宋_GB2312"/>
          <w:b w:val="0"/>
          <w:bCs w:val="0"/>
          <w:i w:val="0"/>
          <w:iCs w:val="0"/>
          <w:color w:val="000000" w:themeColor="text1"/>
          <w:sz w:val="32"/>
          <w:szCs w:val="32"/>
          <w14:textFill>
            <w14:solidFill>
              <w14:schemeClr w14:val="tx1"/>
            </w14:solidFill>
          </w14:textFill>
        </w:rPr>
        <w:t>补助市县乡村医生生活补助经费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99.8</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未及时发放补助</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w:t>
      </w:r>
    </w:p>
    <w:p w14:paraId="3B8D152A">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奖励性补贴项目自评得分为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w:t>
      </w:r>
    </w:p>
    <w:p w14:paraId="3CB54F6F">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补助市县乡镇卫生院人员工资补助经费项目项目自评得分为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w:t>
      </w:r>
    </w:p>
    <w:p w14:paraId="228A656F">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中央财政基本公共卫生服务项目补助资金项目自评得分为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w:t>
      </w:r>
    </w:p>
    <w:p w14:paraId="77BFAB3C">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中央财政基本药物制度补助资金项目自评得分为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w:t>
      </w:r>
    </w:p>
    <w:p w14:paraId="01B19C2B">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医药卫生体制改革和事业发展以奖代补项目项目自评得分为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w:t>
      </w:r>
    </w:p>
    <w:p w14:paraId="1A306D2E">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3.绩效再评价情况。</w:t>
      </w:r>
    </w:p>
    <w:p w14:paraId="1B609D01">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年度我院没有项目被纳入本年度绩效再评价。</w:t>
      </w:r>
    </w:p>
    <w:p w14:paraId="24C3ED56">
      <w:pPr>
        <w:jc w:val="left"/>
        <w:rPr>
          <w:rFonts w:hint="eastAsia" w:ascii="仿宋" w:hAnsi="仿宋" w:eastAsia="仿宋" w:cs="仿宋"/>
          <w:sz w:val="32"/>
          <w:szCs w:val="32"/>
          <w:highlight w:val="none"/>
        </w:rPr>
      </w:pPr>
    </w:p>
    <w:p w14:paraId="668AA169">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14:paraId="71F66FB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14:paraId="3C0F712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14:paraId="55CB265C">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14:paraId="2E35372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14:paraId="4D250B6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6BC3D7B2">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14:paraId="13C72F50">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14:paraId="5B60B8A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14:paraId="0EB1E7AA">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14:paraId="694D299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14:paraId="1F7DECC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14:paraId="343E044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2933255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2A58611-388E-4EE5-94E5-6B6E13EC16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34545A-1641-4ACC-A6B1-73648A54D741}"/>
  </w:font>
  <w:font w:name="仿宋">
    <w:panose1 w:val="02010609060101010101"/>
    <w:charset w:val="86"/>
    <w:family w:val="modern"/>
    <w:pitch w:val="default"/>
    <w:sig w:usb0="800002BF" w:usb1="38CF7CFA" w:usb2="00000016" w:usb3="00000000" w:csb0="00040001" w:csb1="00000000"/>
    <w:embedRegular r:id="rId3" w:fontKey="{0B25F163-F382-472A-934C-98C55164A459}"/>
  </w:font>
  <w:font w:name="仿宋_GB2312">
    <w:panose1 w:val="02010609030101010101"/>
    <w:charset w:val="86"/>
    <w:family w:val="decorative"/>
    <w:pitch w:val="default"/>
    <w:sig w:usb0="00000001" w:usb1="080E0000" w:usb2="00000000" w:usb3="00000000" w:csb0="00040000" w:csb1="00000000"/>
    <w:embedRegular r:id="rId4" w:fontKey="{CF9D4EC6-478B-4D6E-AC83-6986D8C4E3A7}"/>
  </w:font>
  <w:font w:name="微软雅黑">
    <w:panose1 w:val="020B0503020204020204"/>
    <w:charset w:val="86"/>
    <w:family w:val="auto"/>
    <w:pitch w:val="default"/>
    <w:sig w:usb0="80000287" w:usb1="2ACF3C50" w:usb2="00000016" w:usb3="00000000" w:csb0="0004001F" w:csb1="00000000"/>
    <w:embedRegular r:id="rId5" w:fontKey="{F72C5F7C-8445-48CC-AA2C-A40084362F0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C440ED9D"/>
    <w:multiLevelType w:val="singleLevel"/>
    <w:tmpl w:val="C440ED9D"/>
    <w:lvl w:ilvl="0" w:tentative="0">
      <w:start w:val="1"/>
      <w:numFmt w:val="chineseCounting"/>
      <w:suff w:val="nothing"/>
      <w:lvlText w:val="（%1）"/>
      <w:lvlJc w:val="left"/>
      <w:rPr>
        <w:rFonts w:hint="eastAsia"/>
      </w:rPr>
    </w:lvl>
  </w:abstractNum>
  <w:abstractNum w:abstractNumId="2">
    <w:nsid w:val="C8CFD68E"/>
    <w:multiLevelType w:val="singleLevel"/>
    <w:tmpl w:val="C8CFD68E"/>
    <w:lvl w:ilvl="0" w:tentative="0">
      <w:start w:val="1"/>
      <w:numFmt w:val="chineseCounting"/>
      <w:suff w:val="nothing"/>
      <w:lvlText w:val="（%1）"/>
      <w:lvlJc w:val="left"/>
      <w:rPr>
        <w:rFonts w:hint="eastAsia"/>
      </w:rPr>
    </w:lvl>
  </w:abstractNum>
  <w:abstractNum w:abstractNumId="3">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4">
    <w:nsid w:val="5649C64B"/>
    <w:multiLevelType w:val="singleLevel"/>
    <w:tmpl w:val="5649C64B"/>
    <w:lvl w:ilvl="0" w:tentative="0">
      <w:start w:val="7"/>
      <w:numFmt w:val="decimal"/>
      <w:lvlText w:val="%1."/>
      <w:lvlJc w:val="left"/>
      <w:pPr>
        <w:tabs>
          <w:tab w:val="left" w:pos="312"/>
        </w:tabs>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MGQ5MDJhYzU1NTlkYzU4MDZlYjBjMjY4Y2Y4YjU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52D55"/>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274A03"/>
    <w:rsid w:val="015F1951"/>
    <w:rsid w:val="016814B1"/>
    <w:rsid w:val="020C171D"/>
    <w:rsid w:val="0216715F"/>
    <w:rsid w:val="0281653D"/>
    <w:rsid w:val="02CF483A"/>
    <w:rsid w:val="02E0291A"/>
    <w:rsid w:val="03B7227C"/>
    <w:rsid w:val="04E54546"/>
    <w:rsid w:val="05003798"/>
    <w:rsid w:val="05992762"/>
    <w:rsid w:val="06B13493"/>
    <w:rsid w:val="07B0770E"/>
    <w:rsid w:val="07F238DB"/>
    <w:rsid w:val="08BA6A96"/>
    <w:rsid w:val="0942143F"/>
    <w:rsid w:val="09D53AE5"/>
    <w:rsid w:val="0AFA38EF"/>
    <w:rsid w:val="0B42663F"/>
    <w:rsid w:val="0BBA0B5B"/>
    <w:rsid w:val="0BED268A"/>
    <w:rsid w:val="0C2741AE"/>
    <w:rsid w:val="0CF05E27"/>
    <w:rsid w:val="0D100297"/>
    <w:rsid w:val="0D202B45"/>
    <w:rsid w:val="0D3C7DAF"/>
    <w:rsid w:val="0DF81AB7"/>
    <w:rsid w:val="0EE93BDA"/>
    <w:rsid w:val="0F8D4C87"/>
    <w:rsid w:val="0FA1450C"/>
    <w:rsid w:val="104656D5"/>
    <w:rsid w:val="10505FAA"/>
    <w:rsid w:val="105F7E7E"/>
    <w:rsid w:val="106575C3"/>
    <w:rsid w:val="108035FE"/>
    <w:rsid w:val="110C3C07"/>
    <w:rsid w:val="11E56B5B"/>
    <w:rsid w:val="125C77AB"/>
    <w:rsid w:val="13343AEB"/>
    <w:rsid w:val="14577512"/>
    <w:rsid w:val="14CB726E"/>
    <w:rsid w:val="14EE1342"/>
    <w:rsid w:val="14FB1958"/>
    <w:rsid w:val="153C066D"/>
    <w:rsid w:val="155B59C2"/>
    <w:rsid w:val="15D46D86"/>
    <w:rsid w:val="170E4165"/>
    <w:rsid w:val="17E92249"/>
    <w:rsid w:val="186F0C4B"/>
    <w:rsid w:val="18D304F1"/>
    <w:rsid w:val="18D97C85"/>
    <w:rsid w:val="197D7D98"/>
    <w:rsid w:val="19F32577"/>
    <w:rsid w:val="19F45B80"/>
    <w:rsid w:val="1A294B27"/>
    <w:rsid w:val="1A4A57A0"/>
    <w:rsid w:val="1A644E10"/>
    <w:rsid w:val="1B0C078D"/>
    <w:rsid w:val="1B2B31E2"/>
    <w:rsid w:val="1B4C295A"/>
    <w:rsid w:val="1B5A7C65"/>
    <w:rsid w:val="1B6A187F"/>
    <w:rsid w:val="1B973C63"/>
    <w:rsid w:val="1BA1001E"/>
    <w:rsid w:val="1C832BEE"/>
    <w:rsid w:val="1CB17D58"/>
    <w:rsid w:val="1D143578"/>
    <w:rsid w:val="1D317259"/>
    <w:rsid w:val="1D6334B4"/>
    <w:rsid w:val="1E664F5B"/>
    <w:rsid w:val="1EB34BE1"/>
    <w:rsid w:val="1FF07E5E"/>
    <w:rsid w:val="215623D6"/>
    <w:rsid w:val="215E639F"/>
    <w:rsid w:val="21CD4909"/>
    <w:rsid w:val="21EC3183"/>
    <w:rsid w:val="22573150"/>
    <w:rsid w:val="225E72CD"/>
    <w:rsid w:val="22A3137D"/>
    <w:rsid w:val="242552B4"/>
    <w:rsid w:val="246E2F77"/>
    <w:rsid w:val="254B4E2B"/>
    <w:rsid w:val="265C0D35"/>
    <w:rsid w:val="267047E0"/>
    <w:rsid w:val="26BD6D28"/>
    <w:rsid w:val="273C772E"/>
    <w:rsid w:val="274B6DD8"/>
    <w:rsid w:val="283D7C94"/>
    <w:rsid w:val="284D6ED9"/>
    <w:rsid w:val="29480E03"/>
    <w:rsid w:val="2983634D"/>
    <w:rsid w:val="29CF5123"/>
    <w:rsid w:val="29ED23B8"/>
    <w:rsid w:val="2B5A3201"/>
    <w:rsid w:val="2BB02055"/>
    <w:rsid w:val="2C575A56"/>
    <w:rsid w:val="2CA153CF"/>
    <w:rsid w:val="2D5C161A"/>
    <w:rsid w:val="2E317F48"/>
    <w:rsid w:val="2EC04E69"/>
    <w:rsid w:val="2F257714"/>
    <w:rsid w:val="2F3275E5"/>
    <w:rsid w:val="2F89273E"/>
    <w:rsid w:val="2F951C1D"/>
    <w:rsid w:val="2FF174F4"/>
    <w:rsid w:val="30061838"/>
    <w:rsid w:val="30AA08EF"/>
    <w:rsid w:val="30D23D1C"/>
    <w:rsid w:val="31221CF5"/>
    <w:rsid w:val="31400178"/>
    <w:rsid w:val="321E3342"/>
    <w:rsid w:val="327759C8"/>
    <w:rsid w:val="32DC1283"/>
    <w:rsid w:val="33185FE3"/>
    <w:rsid w:val="334227D3"/>
    <w:rsid w:val="33D91C17"/>
    <w:rsid w:val="34A7186A"/>
    <w:rsid w:val="34EE2E36"/>
    <w:rsid w:val="35131158"/>
    <w:rsid w:val="3575313E"/>
    <w:rsid w:val="36777241"/>
    <w:rsid w:val="370C6D0A"/>
    <w:rsid w:val="373E0441"/>
    <w:rsid w:val="384F258A"/>
    <w:rsid w:val="389F6A0D"/>
    <w:rsid w:val="38A951DB"/>
    <w:rsid w:val="38B31605"/>
    <w:rsid w:val="39003F4F"/>
    <w:rsid w:val="39141E39"/>
    <w:rsid w:val="398B236F"/>
    <w:rsid w:val="3A184FE2"/>
    <w:rsid w:val="3A9E135D"/>
    <w:rsid w:val="3AC64543"/>
    <w:rsid w:val="3ADA498F"/>
    <w:rsid w:val="3AE55345"/>
    <w:rsid w:val="3B9E5EC2"/>
    <w:rsid w:val="3C07002B"/>
    <w:rsid w:val="3CB97C27"/>
    <w:rsid w:val="3CC3731B"/>
    <w:rsid w:val="3D0D152A"/>
    <w:rsid w:val="3DA45025"/>
    <w:rsid w:val="3DEB2C72"/>
    <w:rsid w:val="3DF62756"/>
    <w:rsid w:val="3E587BDC"/>
    <w:rsid w:val="3E9003D2"/>
    <w:rsid w:val="3EA67D17"/>
    <w:rsid w:val="3EB61B81"/>
    <w:rsid w:val="3F1B7587"/>
    <w:rsid w:val="3F395C5F"/>
    <w:rsid w:val="3F3D74FE"/>
    <w:rsid w:val="3FCE03D0"/>
    <w:rsid w:val="40972C3D"/>
    <w:rsid w:val="41942170"/>
    <w:rsid w:val="41E57B4F"/>
    <w:rsid w:val="42E46C80"/>
    <w:rsid w:val="4324765C"/>
    <w:rsid w:val="432F26F6"/>
    <w:rsid w:val="43880F63"/>
    <w:rsid w:val="441C5A6F"/>
    <w:rsid w:val="442D3C87"/>
    <w:rsid w:val="44535D92"/>
    <w:rsid w:val="44672F1A"/>
    <w:rsid w:val="44C44FCC"/>
    <w:rsid w:val="44CC7369"/>
    <w:rsid w:val="44E67CEF"/>
    <w:rsid w:val="457F5108"/>
    <w:rsid w:val="459373E9"/>
    <w:rsid w:val="45992FB4"/>
    <w:rsid w:val="46951B6B"/>
    <w:rsid w:val="46CC565F"/>
    <w:rsid w:val="47FE17F4"/>
    <w:rsid w:val="48D23237"/>
    <w:rsid w:val="49A34401"/>
    <w:rsid w:val="49C976C1"/>
    <w:rsid w:val="49F675BE"/>
    <w:rsid w:val="4A3E30AB"/>
    <w:rsid w:val="4A4830A7"/>
    <w:rsid w:val="4ABF0BAD"/>
    <w:rsid w:val="4AC14DAC"/>
    <w:rsid w:val="4AC272C0"/>
    <w:rsid w:val="4AEB2504"/>
    <w:rsid w:val="4AEB43E1"/>
    <w:rsid w:val="4BB75047"/>
    <w:rsid w:val="4C054A64"/>
    <w:rsid w:val="4C110CD4"/>
    <w:rsid w:val="4C5701CE"/>
    <w:rsid w:val="4D154C85"/>
    <w:rsid w:val="4DE04F2F"/>
    <w:rsid w:val="4DFC753E"/>
    <w:rsid w:val="4EC36873"/>
    <w:rsid w:val="4EC8553A"/>
    <w:rsid w:val="4F4641AC"/>
    <w:rsid w:val="4F6C6998"/>
    <w:rsid w:val="4FCA1072"/>
    <w:rsid w:val="508F4E24"/>
    <w:rsid w:val="50EB23E8"/>
    <w:rsid w:val="51461E90"/>
    <w:rsid w:val="51463753"/>
    <w:rsid w:val="51767037"/>
    <w:rsid w:val="519949D9"/>
    <w:rsid w:val="51A90ED3"/>
    <w:rsid w:val="522602C5"/>
    <w:rsid w:val="522C710D"/>
    <w:rsid w:val="52404B34"/>
    <w:rsid w:val="52553A93"/>
    <w:rsid w:val="525941F7"/>
    <w:rsid w:val="53521F8B"/>
    <w:rsid w:val="53E22F47"/>
    <w:rsid w:val="54522FF8"/>
    <w:rsid w:val="547D27DC"/>
    <w:rsid w:val="54B5164D"/>
    <w:rsid w:val="55450629"/>
    <w:rsid w:val="56692963"/>
    <w:rsid w:val="568B0F48"/>
    <w:rsid w:val="5786217B"/>
    <w:rsid w:val="578D1B02"/>
    <w:rsid w:val="57A345F0"/>
    <w:rsid w:val="580E24FF"/>
    <w:rsid w:val="589E6E07"/>
    <w:rsid w:val="59337A15"/>
    <w:rsid w:val="59436B91"/>
    <w:rsid w:val="59810274"/>
    <w:rsid w:val="59C503C4"/>
    <w:rsid w:val="59EF29C4"/>
    <w:rsid w:val="5BAA01E7"/>
    <w:rsid w:val="5CA96A00"/>
    <w:rsid w:val="5CF730BC"/>
    <w:rsid w:val="5D140797"/>
    <w:rsid w:val="5E3473B7"/>
    <w:rsid w:val="5E5A37D0"/>
    <w:rsid w:val="5E5F0DCE"/>
    <w:rsid w:val="5E6C74CD"/>
    <w:rsid w:val="5EAB5E7A"/>
    <w:rsid w:val="5EBB7FE7"/>
    <w:rsid w:val="5F526ED9"/>
    <w:rsid w:val="5FA40A7B"/>
    <w:rsid w:val="5FD56D29"/>
    <w:rsid w:val="5FEC7F3F"/>
    <w:rsid w:val="6071095D"/>
    <w:rsid w:val="60F74BC3"/>
    <w:rsid w:val="60FE664A"/>
    <w:rsid w:val="61160B5C"/>
    <w:rsid w:val="61287DA8"/>
    <w:rsid w:val="61493688"/>
    <w:rsid w:val="617D3BF8"/>
    <w:rsid w:val="61841F6A"/>
    <w:rsid w:val="61ED7FCA"/>
    <w:rsid w:val="623007A9"/>
    <w:rsid w:val="624A7B41"/>
    <w:rsid w:val="637D7558"/>
    <w:rsid w:val="643C226B"/>
    <w:rsid w:val="644F19AC"/>
    <w:rsid w:val="64852604"/>
    <w:rsid w:val="64C25C2B"/>
    <w:rsid w:val="64EF1CE7"/>
    <w:rsid w:val="65181CEF"/>
    <w:rsid w:val="65AA4920"/>
    <w:rsid w:val="66644AC0"/>
    <w:rsid w:val="66BD3534"/>
    <w:rsid w:val="66CE145A"/>
    <w:rsid w:val="671358D6"/>
    <w:rsid w:val="67335249"/>
    <w:rsid w:val="67694F1E"/>
    <w:rsid w:val="67FB4A72"/>
    <w:rsid w:val="69067138"/>
    <w:rsid w:val="693E784B"/>
    <w:rsid w:val="69425D09"/>
    <w:rsid w:val="69597934"/>
    <w:rsid w:val="69A7626C"/>
    <w:rsid w:val="6A4A66A6"/>
    <w:rsid w:val="6A971908"/>
    <w:rsid w:val="6A9C2E96"/>
    <w:rsid w:val="6AC97095"/>
    <w:rsid w:val="6B964DDC"/>
    <w:rsid w:val="6BA84570"/>
    <w:rsid w:val="6C6920F9"/>
    <w:rsid w:val="6C783074"/>
    <w:rsid w:val="6CA80079"/>
    <w:rsid w:val="6D5C5AB8"/>
    <w:rsid w:val="6D9E65C6"/>
    <w:rsid w:val="6DA81947"/>
    <w:rsid w:val="6DDE253A"/>
    <w:rsid w:val="6EB66DE2"/>
    <w:rsid w:val="6ED3075F"/>
    <w:rsid w:val="6F1A25BF"/>
    <w:rsid w:val="6F2A2D4B"/>
    <w:rsid w:val="6F7C7C3D"/>
    <w:rsid w:val="6F8A0C1E"/>
    <w:rsid w:val="703B48D1"/>
    <w:rsid w:val="703F45D4"/>
    <w:rsid w:val="70BE53AC"/>
    <w:rsid w:val="70F44A85"/>
    <w:rsid w:val="715D6546"/>
    <w:rsid w:val="71BE069E"/>
    <w:rsid w:val="731004AA"/>
    <w:rsid w:val="732D4BB8"/>
    <w:rsid w:val="73953409"/>
    <w:rsid w:val="73E069A3"/>
    <w:rsid w:val="740B06A5"/>
    <w:rsid w:val="741A2264"/>
    <w:rsid w:val="750162FC"/>
    <w:rsid w:val="757159A3"/>
    <w:rsid w:val="75D505AC"/>
    <w:rsid w:val="76C021E7"/>
    <w:rsid w:val="771A3517"/>
    <w:rsid w:val="773D5ECD"/>
    <w:rsid w:val="77E01D92"/>
    <w:rsid w:val="78104AA8"/>
    <w:rsid w:val="78E257C5"/>
    <w:rsid w:val="794B35BE"/>
    <w:rsid w:val="79893A01"/>
    <w:rsid w:val="7A0917AF"/>
    <w:rsid w:val="7B0A3A31"/>
    <w:rsid w:val="7B3360ED"/>
    <w:rsid w:val="7B5319F3"/>
    <w:rsid w:val="7BDF037E"/>
    <w:rsid w:val="7BF50948"/>
    <w:rsid w:val="7CAA1027"/>
    <w:rsid w:val="7CE66A78"/>
    <w:rsid w:val="7D23564C"/>
    <w:rsid w:val="7D341241"/>
    <w:rsid w:val="7D5E062D"/>
    <w:rsid w:val="7DF76CD8"/>
    <w:rsid w:val="7E69379E"/>
    <w:rsid w:val="7EE6179A"/>
    <w:rsid w:val="7EFC3B64"/>
    <w:rsid w:val="7F0653CC"/>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7160</Words>
  <Characters>7868</Characters>
  <Lines>90</Lines>
  <Paragraphs>25</Paragraphs>
  <TotalTime>17</TotalTime>
  <ScaleCrop>false</ScaleCrop>
  <LinksUpToDate>false</LinksUpToDate>
  <CharactersWithSpaces>7912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鱼丸</cp:lastModifiedBy>
  <dcterms:modified xsi:type="dcterms:W3CDTF">2024-12-31T08:31:20Z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16A5E58A4C184A0F8AAD5879DBB8AF73</vt:lpwstr>
  </property>
  <property fmtid="{D5CDD505-2E9C-101B-9397-08002B2CF9AE}" pid="4" name="KSOTemplateDocerSaveRecord">
    <vt:lpwstr>eyJoZGlkIjoiNzk2NGE3NzdiZTk2N2U1ZDdjMTdjOGJiY2I5OTExZWUiLCJ1c2VySWQiOiIyNTQ5NjU4MjAifQ==</vt:lpwstr>
  </property>
</Properties>
</file>