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52569">
      <w:pPr>
        <w:jc w:val="left"/>
        <w:rPr>
          <w:rFonts w:ascii="仿宋" w:hAnsi="仿宋" w:eastAsia="仿宋" w:cs="仿宋"/>
          <w:color w:val="auto"/>
          <w:sz w:val="32"/>
          <w:szCs w:val="32"/>
          <w:highlight w:val="none"/>
        </w:rPr>
      </w:pPr>
    </w:p>
    <w:p w14:paraId="61B66FBD">
      <w:pPr>
        <w:jc w:val="left"/>
        <w:rPr>
          <w:rFonts w:ascii="仿宋" w:hAnsi="仿宋" w:eastAsia="仿宋" w:cs="仿宋"/>
          <w:color w:val="auto"/>
          <w:sz w:val="32"/>
          <w:szCs w:val="32"/>
          <w:highlight w:val="none"/>
        </w:rPr>
      </w:pPr>
    </w:p>
    <w:p w14:paraId="5FEEE632">
      <w:pPr>
        <w:jc w:val="left"/>
        <w:rPr>
          <w:rFonts w:ascii="仿宋" w:hAnsi="仿宋" w:eastAsia="仿宋" w:cs="仿宋"/>
          <w:color w:val="auto"/>
          <w:sz w:val="32"/>
          <w:szCs w:val="32"/>
          <w:highlight w:val="none"/>
        </w:rPr>
      </w:pPr>
    </w:p>
    <w:p w14:paraId="57A49511">
      <w:pPr>
        <w:jc w:val="left"/>
        <w:rPr>
          <w:rFonts w:ascii="仿宋" w:hAnsi="仿宋" w:eastAsia="仿宋" w:cs="仿宋"/>
          <w:color w:val="auto"/>
          <w:sz w:val="32"/>
          <w:szCs w:val="32"/>
          <w:highlight w:val="none"/>
        </w:rPr>
      </w:pPr>
    </w:p>
    <w:p w14:paraId="7461BD69">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eastAsia="zh-CN"/>
        </w:rPr>
        <w:t>环江毛南族自治县大才乡卫生院</w:t>
      </w:r>
      <w:r>
        <w:rPr>
          <w:rFonts w:hint="eastAsia" w:ascii="黑体" w:hAnsi="黑体" w:eastAsia="黑体" w:cs="黑体"/>
          <w:b/>
          <w:bCs/>
          <w:color w:val="auto"/>
          <w:sz w:val="52"/>
          <w:szCs w:val="52"/>
          <w:highlight w:val="none"/>
        </w:rPr>
        <w:t>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14:paraId="1422109A">
      <w:pPr>
        <w:jc w:val="center"/>
        <w:rPr>
          <w:rFonts w:ascii="仿宋" w:hAnsi="仿宋" w:eastAsia="仿宋" w:cs="仿宋"/>
          <w:color w:val="auto"/>
          <w:sz w:val="32"/>
          <w:szCs w:val="32"/>
          <w:highlight w:val="none"/>
        </w:rPr>
      </w:pPr>
    </w:p>
    <w:p w14:paraId="7770B26B">
      <w:pPr>
        <w:jc w:val="left"/>
        <w:rPr>
          <w:rFonts w:ascii="仿宋" w:hAnsi="仿宋" w:eastAsia="仿宋" w:cs="仿宋"/>
          <w:color w:val="auto"/>
          <w:sz w:val="32"/>
          <w:szCs w:val="32"/>
          <w:highlight w:val="none"/>
        </w:rPr>
      </w:pPr>
    </w:p>
    <w:p w14:paraId="47BA5CDE">
      <w:pPr>
        <w:jc w:val="left"/>
        <w:rPr>
          <w:rFonts w:ascii="仿宋" w:hAnsi="仿宋" w:eastAsia="仿宋" w:cs="仿宋"/>
          <w:color w:val="auto"/>
          <w:sz w:val="32"/>
          <w:szCs w:val="32"/>
          <w:highlight w:val="none"/>
        </w:rPr>
      </w:pPr>
    </w:p>
    <w:p w14:paraId="093F95AA">
      <w:pPr>
        <w:jc w:val="left"/>
        <w:rPr>
          <w:rFonts w:ascii="仿宋" w:hAnsi="仿宋" w:eastAsia="仿宋" w:cs="仿宋"/>
          <w:color w:val="auto"/>
          <w:sz w:val="32"/>
          <w:szCs w:val="32"/>
          <w:highlight w:val="none"/>
        </w:rPr>
      </w:pPr>
    </w:p>
    <w:p w14:paraId="42149B99">
      <w:pPr>
        <w:jc w:val="left"/>
        <w:rPr>
          <w:rFonts w:ascii="仿宋" w:hAnsi="仿宋" w:eastAsia="仿宋" w:cs="仿宋"/>
          <w:color w:val="auto"/>
          <w:sz w:val="32"/>
          <w:szCs w:val="32"/>
          <w:highlight w:val="none"/>
        </w:rPr>
      </w:pPr>
    </w:p>
    <w:p w14:paraId="251D4486">
      <w:pPr>
        <w:jc w:val="left"/>
        <w:rPr>
          <w:rFonts w:ascii="仿宋" w:hAnsi="仿宋" w:eastAsia="仿宋" w:cs="仿宋"/>
          <w:color w:val="auto"/>
          <w:sz w:val="32"/>
          <w:szCs w:val="32"/>
          <w:highlight w:val="none"/>
        </w:rPr>
      </w:pPr>
    </w:p>
    <w:p w14:paraId="1CBA208B">
      <w:pPr>
        <w:jc w:val="left"/>
        <w:rPr>
          <w:rFonts w:ascii="仿宋" w:hAnsi="仿宋" w:eastAsia="仿宋" w:cs="仿宋"/>
          <w:color w:val="auto"/>
          <w:sz w:val="32"/>
          <w:szCs w:val="32"/>
          <w:highlight w:val="none"/>
        </w:rPr>
      </w:pPr>
    </w:p>
    <w:p w14:paraId="4A0A932F">
      <w:pPr>
        <w:jc w:val="left"/>
        <w:rPr>
          <w:rFonts w:ascii="仿宋" w:hAnsi="仿宋" w:eastAsia="仿宋" w:cs="仿宋"/>
          <w:color w:val="auto"/>
          <w:sz w:val="32"/>
          <w:szCs w:val="32"/>
          <w:highlight w:val="none"/>
        </w:rPr>
      </w:pPr>
    </w:p>
    <w:p w14:paraId="54592B0A">
      <w:pPr>
        <w:jc w:val="left"/>
        <w:rPr>
          <w:rFonts w:ascii="仿宋" w:hAnsi="仿宋" w:eastAsia="仿宋" w:cs="仿宋"/>
          <w:color w:val="auto"/>
          <w:sz w:val="32"/>
          <w:szCs w:val="32"/>
          <w:highlight w:val="none"/>
        </w:rPr>
      </w:pPr>
    </w:p>
    <w:p w14:paraId="651A7AA6">
      <w:pPr>
        <w:jc w:val="left"/>
        <w:rPr>
          <w:rFonts w:ascii="仿宋" w:hAnsi="仿宋" w:eastAsia="仿宋" w:cs="仿宋"/>
          <w:color w:val="auto"/>
          <w:sz w:val="32"/>
          <w:szCs w:val="32"/>
          <w:highlight w:val="none"/>
        </w:rPr>
      </w:pPr>
    </w:p>
    <w:p w14:paraId="712661AA">
      <w:pPr>
        <w:jc w:val="left"/>
        <w:rPr>
          <w:rFonts w:ascii="仿宋" w:hAnsi="仿宋" w:eastAsia="仿宋" w:cs="仿宋"/>
          <w:color w:val="auto"/>
          <w:sz w:val="32"/>
          <w:szCs w:val="32"/>
          <w:highlight w:val="none"/>
        </w:rPr>
      </w:pPr>
    </w:p>
    <w:p w14:paraId="6E63D126">
      <w:pPr>
        <w:jc w:val="left"/>
        <w:rPr>
          <w:rFonts w:ascii="仿宋" w:hAnsi="仿宋" w:eastAsia="仿宋" w:cs="仿宋"/>
          <w:color w:val="auto"/>
          <w:sz w:val="32"/>
          <w:szCs w:val="32"/>
          <w:highlight w:val="none"/>
        </w:rPr>
      </w:pPr>
    </w:p>
    <w:p w14:paraId="3AC210EA">
      <w:pPr>
        <w:jc w:val="left"/>
        <w:rPr>
          <w:rFonts w:ascii="仿宋" w:hAnsi="仿宋" w:eastAsia="仿宋" w:cs="仿宋"/>
          <w:color w:val="auto"/>
          <w:sz w:val="32"/>
          <w:szCs w:val="32"/>
          <w:highlight w:val="none"/>
        </w:rPr>
      </w:pPr>
    </w:p>
    <w:p w14:paraId="7B47609F">
      <w:pPr>
        <w:jc w:val="left"/>
        <w:rPr>
          <w:rFonts w:ascii="仿宋" w:hAnsi="仿宋" w:eastAsia="仿宋" w:cs="仿宋"/>
          <w:color w:val="auto"/>
          <w:sz w:val="32"/>
          <w:szCs w:val="32"/>
          <w:highlight w:val="none"/>
        </w:rPr>
      </w:pPr>
    </w:p>
    <w:p w14:paraId="5E270646">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4</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p>
    <w:p w14:paraId="4C9E6464">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62379A8">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14:paraId="2895E929">
      <w:pPr>
        <w:jc w:val="left"/>
        <w:rPr>
          <w:rFonts w:ascii="黑体" w:hAnsi="黑体" w:eastAsia="黑体" w:cs="黑体"/>
          <w:b/>
          <w:bCs/>
          <w:color w:val="auto"/>
          <w:sz w:val="36"/>
          <w:szCs w:val="36"/>
          <w:highlight w:val="none"/>
        </w:rPr>
      </w:pPr>
    </w:p>
    <w:p w14:paraId="33F9AC85">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u w:color="auto"/>
          <w:lang w:eastAsia="zh-CN"/>
        </w:rPr>
        <w:t>大才乡卫生院</w:t>
      </w:r>
      <w:r>
        <w:rPr>
          <w:rFonts w:hint="eastAsia" w:ascii="黑体" w:hAnsi="黑体" w:eastAsia="黑体" w:cs="黑体"/>
          <w:color w:val="auto"/>
          <w:sz w:val="32"/>
          <w:szCs w:val="32"/>
          <w:highlight w:val="none"/>
        </w:rPr>
        <w:t>概况</w:t>
      </w:r>
    </w:p>
    <w:p w14:paraId="18AA0D50">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14:paraId="7C4DBBFF">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_GB2312" w:hAnsi="仿宋_GB2312" w:eastAsia="仿宋_GB2312" w:cs="仿宋_GB2312"/>
          <w:sz w:val="32"/>
          <w:szCs w:val="32"/>
          <w:highlight w:val="none"/>
        </w:rPr>
        <w:t>机构设置情况</w:t>
      </w:r>
    </w:p>
    <w:p w14:paraId="4562D456">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大才乡卫生院</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p w14:paraId="5BFBE158">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14:paraId="3D45767B">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14:paraId="56468BE0">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14:paraId="4A72B698">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14:paraId="023C15CB">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14:paraId="658A445D">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14:paraId="6B3D6DC3">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14:paraId="1B0AB285">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14:paraId="79488862">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表九：一般公共预算财政拨款安排的“三公”经费支出决算表</w:t>
      </w:r>
    </w:p>
    <w:p w14:paraId="0556155E">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大才乡卫生院</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14:paraId="36FD7C6A">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年度收入支出决算总体情况。</w:t>
      </w:r>
    </w:p>
    <w:p w14:paraId="43008644">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14:paraId="05525E5D">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年度一般公共预算财政拨款基本支出决算情况说明。</w:t>
      </w:r>
    </w:p>
    <w:p w14:paraId="1F834245">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年度政府性基金支出决算情况。</w:t>
      </w:r>
    </w:p>
    <w:p w14:paraId="23055B38">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14:paraId="7BE43C5A">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ascii="仿宋_GB2312" w:eastAsia="仿宋_GB2312" w:cs="仿宋_GB2312"/>
          <w:kern w:val="0"/>
          <w:sz w:val="32"/>
          <w:szCs w:val="32"/>
        </w:rPr>
        <w:t>财政拨款安排的“三公”经费支出决算情况说明</w:t>
      </w:r>
      <w:r>
        <w:rPr>
          <w:rFonts w:hint="eastAsia" w:ascii="仿宋_GB2312" w:eastAsia="仿宋_GB2312" w:cs="仿宋_GB2312"/>
          <w:color w:val="auto"/>
          <w:kern w:val="0"/>
          <w:sz w:val="32"/>
          <w:szCs w:val="32"/>
          <w:highlight w:val="none"/>
        </w:rPr>
        <w:t>。</w:t>
      </w:r>
    </w:p>
    <w:p w14:paraId="548BC6B3">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14:paraId="5773D743">
      <w:pPr>
        <w:autoSpaceDE w:val="0"/>
        <w:autoSpaceDN w:val="0"/>
        <w:adjustRightInd w:val="0"/>
        <w:jc w:val="left"/>
        <w:rPr>
          <w:rFonts w:hint="default" w:ascii="仿宋_GB2312" w:eastAsia="仿宋_GB2312" w:cs="仿宋_GB2312"/>
          <w:color w:val="auto"/>
          <w:kern w:val="0"/>
          <w:sz w:val="32"/>
          <w:szCs w:val="32"/>
          <w:highlight w:val="none"/>
          <w:lang w:val="en-US" w:eastAsia="zh-CN"/>
        </w:rPr>
      </w:pPr>
      <w:r>
        <w:rPr>
          <w:rFonts w:hint="eastAsia" w:ascii="仿宋_GB2312" w:eastAsia="仿宋_GB2312" w:cs="仿宋_GB2312"/>
          <w:color w:val="auto"/>
          <w:kern w:val="0"/>
          <w:sz w:val="32"/>
          <w:szCs w:val="32"/>
          <w:highlight w:val="none"/>
          <w:lang w:val="en-US" w:eastAsia="zh-CN"/>
        </w:rPr>
        <w:t>八、预算绩效管理工作开展情况。</w:t>
      </w:r>
    </w:p>
    <w:p w14:paraId="0A27CF2A">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14:paraId="68913695">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2905C35E">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color w:val="auto"/>
          <w:sz w:val="32"/>
          <w:u w:color="auto"/>
          <w:lang w:eastAsia="zh-CN"/>
        </w:rPr>
        <w:t>大才乡卫生院</w:t>
      </w:r>
      <w:r>
        <w:rPr>
          <w:rFonts w:hint="eastAsia" w:ascii="黑体" w:hAnsi="黑体" w:eastAsia="黑体" w:cs="黑体"/>
          <w:b/>
          <w:bCs/>
          <w:color w:val="auto"/>
          <w:sz w:val="32"/>
          <w:szCs w:val="32"/>
          <w:highlight w:val="none"/>
        </w:rPr>
        <w:t>概况</w:t>
      </w:r>
    </w:p>
    <w:p w14:paraId="2EDF9E34">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14:paraId="50187EE0">
      <w:pPr>
        <w:widowControl/>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根据《环江毛南族自</w:t>
      </w:r>
      <w:r>
        <w:rPr>
          <w:rFonts w:hint="eastAsia" w:ascii="仿宋_GB2312" w:hAnsi="仿宋_GB2312" w:eastAsia="仿宋_GB2312" w:cs="仿宋_GB2312"/>
          <w:color w:val="auto"/>
          <w:sz w:val="32"/>
          <w:szCs w:val="32"/>
        </w:rPr>
        <w:t>治县人民政府办公室关于印发环江毛南族自治县卫生和计划生育委员会主要职责内设机构和人员编制规定的通知》（环政办发[2015]168</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rPr>
        <w:t>）文件规定，本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 xml:space="preserve">主要职责是： </w:t>
      </w:r>
    </w:p>
    <w:p w14:paraId="2E33B3CF">
      <w:pPr>
        <w:widowControl/>
        <w:wordWrap w:val="0"/>
        <w:autoSpaceDN w:val="0"/>
        <w:spacing w:line="580" w:lineRule="exact"/>
        <w:ind w:firstLine="640" w:firstLineChars="200"/>
        <w:jc w:val="left"/>
        <w:rPr>
          <w:rFonts w:hint="eastAsia" w:eastAsia="仿宋_GB2312"/>
          <w:color w:val="auto"/>
          <w:lang w:eastAsia="zh-CN"/>
        </w:rPr>
      </w:pPr>
      <w:r>
        <w:rPr>
          <w:rFonts w:hint="eastAsia" w:ascii="仿宋_GB2312" w:hAnsi="仿宋_GB2312" w:eastAsia="仿宋_GB2312" w:cs="仿宋_GB2312"/>
          <w:color w:val="auto"/>
          <w:kern w:val="0"/>
          <w:sz w:val="32"/>
          <w:szCs w:val="32"/>
          <w:lang w:eastAsia="zh-CN"/>
        </w:rPr>
        <w:t>我单位是一所集</w:t>
      </w:r>
      <w:r>
        <w:rPr>
          <w:rFonts w:hint="eastAsia" w:ascii="仿宋_GB2312" w:hAnsi="仿宋_GB2312" w:eastAsia="仿宋_GB2312" w:cs="仿宋_GB2312"/>
          <w:color w:val="auto"/>
          <w:kern w:val="0"/>
          <w:sz w:val="32"/>
          <w:szCs w:val="32"/>
        </w:rPr>
        <w:t>医疗</w:t>
      </w:r>
      <w:r>
        <w:rPr>
          <w:rFonts w:hint="eastAsia" w:ascii="仿宋_GB2312" w:hAnsi="仿宋_GB2312" w:eastAsia="仿宋_GB2312" w:cs="仿宋_GB2312"/>
          <w:color w:val="auto"/>
          <w:kern w:val="0"/>
          <w:sz w:val="32"/>
          <w:szCs w:val="32"/>
          <w:lang w:eastAsia="zh-CN"/>
        </w:rPr>
        <w:t>、公共卫生服务</w:t>
      </w:r>
      <w:r>
        <w:rPr>
          <w:rFonts w:hint="eastAsia" w:ascii="仿宋_GB2312" w:hAnsi="仿宋_GB2312" w:eastAsia="仿宋_GB2312" w:cs="仿宋_GB2312"/>
          <w:color w:val="auto"/>
          <w:kern w:val="0"/>
          <w:sz w:val="32"/>
          <w:szCs w:val="32"/>
        </w:rPr>
        <w:t>与预防保健</w:t>
      </w:r>
      <w:r>
        <w:rPr>
          <w:rFonts w:hint="eastAsia" w:ascii="仿宋_GB2312" w:hAnsi="仿宋_GB2312" w:eastAsia="仿宋_GB2312" w:cs="仿宋_GB2312"/>
          <w:color w:val="auto"/>
          <w:kern w:val="0"/>
          <w:sz w:val="32"/>
          <w:szCs w:val="32"/>
          <w:lang w:eastAsia="zh-CN"/>
        </w:rPr>
        <w:t>于一体的非营利性综合医疗机构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是我县定点医疗机构，坚持以健康服务为中心，为广大人民群众提供优质的医疗服务和基本公共卫生服务，</w:t>
      </w:r>
      <w:r>
        <w:rPr>
          <w:rFonts w:hint="eastAsia" w:ascii="仿宋_GB2312" w:hAnsi="仿宋_GB2312" w:eastAsia="仿宋_GB2312" w:cs="仿宋_GB2312"/>
          <w:color w:val="auto"/>
          <w:kern w:val="0"/>
          <w:sz w:val="32"/>
          <w:szCs w:val="32"/>
        </w:rPr>
        <w:t>提供常见病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多发病</w:t>
      </w:r>
      <w:r>
        <w:rPr>
          <w:rFonts w:hint="eastAsia" w:ascii="仿宋_GB2312" w:hAnsi="仿宋_GB2312" w:eastAsia="仿宋_GB2312" w:cs="仿宋_GB2312"/>
          <w:color w:val="auto"/>
          <w:kern w:val="0"/>
          <w:sz w:val="32"/>
          <w:szCs w:val="32"/>
          <w:lang w:eastAsia="zh-CN"/>
        </w:rPr>
        <w:t>的诊治及</w:t>
      </w:r>
      <w:r>
        <w:rPr>
          <w:rFonts w:hint="eastAsia" w:ascii="仿宋_GB2312" w:hAnsi="仿宋_GB2312" w:eastAsia="仿宋_GB2312" w:cs="仿宋_GB2312"/>
          <w:color w:val="auto"/>
          <w:kern w:val="0"/>
          <w:sz w:val="32"/>
          <w:szCs w:val="32"/>
        </w:rPr>
        <w:t>护理、恢复期病人康复与护理、预防保健、卫生技术人员培训、</w:t>
      </w:r>
      <w:r>
        <w:rPr>
          <w:rFonts w:hint="eastAsia" w:ascii="仿宋_GB2312" w:hAnsi="仿宋_GB2312" w:eastAsia="仿宋_GB2312" w:cs="仿宋_GB2312"/>
          <w:color w:val="auto"/>
          <w:kern w:val="0"/>
          <w:sz w:val="32"/>
          <w:szCs w:val="32"/>
          <w:lang w:eastAsia="zh-CN"/>
        </w:rPr>
        <w:t>医疗保障</w:t>
      </w:r>
      <w:r>
        <w:rPr>
          <w:rFonts w:hint="eastAsia" w:ascii="仿宋_GB2312" w:hAnsi="仿宋_GB2312" w:eastAsia="仿宋_GB2312" w:cs="仿宋_GB2312"/>
          <w:color w:val="auto"/>
          <w:kern w:val="0"/>
          <w:sz w:val="32"/>
          <w:szCs w:val="32"/>
        </w:rPr>
        <w:t>组织与管理、卫生监督与卫生信息管理</w:t>
      </w:r>
      <w:r>
        <w:rPr>
          <w:rFonts w:hint="eastAsia" w:ascii="仿宋_GB2312" w:hAnsi="仿宋_GB2312" w:eastAsia="仿宋_GB2312" w:cs="仿宋_GB2312"/>
          <w:color w:val="auto"/>
          <w:kern w:val="0"/>
          <w:sz w:val="32"/>
          <w:szCs w:val="32"/>
          <w:lang w:eastAsia="zh-CN"/>
        </w:rPr>
        <w:t>。</w:t>
      </w:r>
    </w:p>
    <w:p w14:paraId="1ACD3C69">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二、部门决算单位构成</w:t>
      </w:r>
    </w:p>
    <w:p w14:paraId="29FD0EE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rPr>
      </w:pPr>
      <w:r>
        <w:rPr>
          <w:rFonts w:hint="eastAsia" w:ascii="仿宋_GB2312" w:eastAsia="仿宋_GB2312"/>
          <w:sz w:val="32"/>
          <w:szCs w:val="32"/>
        </w:rPr>
        <w:t>我部门没有下属单位，按照部门决算编报要求，单独编制本部门决算。我部门</w:t>
      </w:r>
      <w:r>
        <w:rPr>
          <w:rFonts w:hint="eastAsia" w:ascii="仿宋_GB2312" w:eastAsia="仿宋_GB2312"/>
          <w:sz w:val="32"/>
          <w:szCs w:val="32"/>
          <w:lang w:val="en-US" w:eastAsia="zh-CN"/>
        </w:rPr>
        <w:t>现有职工25</w:t>
      </w:r>
      <w:r>
        <w:rPr>
          <w:rFonts w:hint="eastAsia" w:ascii="仿宋_GB2312" w:eastAsia="仿宋_GB2312"/>
          <w:sz w:val="32"/>
          <w:szCs w:val="32"/>
        </w:rPr>
        <w:t>人，</w:t>
      </w:r>
      <w:r>
        <w:rPr>
          <w:rFonts w:hint="eastAsia" w:ascii="仿宋_GB2312" w:eastAsia="仿宋_GB2312"/>
          <w:sz w:val="32"/>
          <w:szCs w:val="32"/>
          <w:lang w:eastAsia="zh-CN"/>
        </w:rPr>
        <w:t>（其中在职在编 15 人，后勤控制人员1人，聘用人员</w:t>
      </w:r>
      <w:r>
        <w:rPr>
          <w:rFonts w:hint="eastAsia" w:ascii="仿宋_GB2312" w:eastAsia="仿宋_GB2312"/>
          <w:sz w:val="32"/>
          <w:szCs w:val="32"/>
          <w:lang w:val="en-US" w:eastAsia="zh-CN"/>
        </w:rPr>
        <w:t>9</w:t>
      </w:r>
      <w:r>
        <w:rPr>
          <w:rFonts w:hint="eastAsia" w:ascii="仿宋_GB2312" w:eastAsia="仿宋_GB2312"/>
          <w:sz w:val="32"/>
          <w:szCs w:val="32"/>
          <w:lang w:eastAsia="zh-CN"/>
        </w:rPr>
        <w:t>人，另退休人员4人），专业技术人员23名（其中高级职称0名、中级职称3名、初级职称 4人）, 会计1人，报帐出纳1人</w:t>
      </w:r>
    </w:p>
    <w:tbl>
      <w:tblPr>
        <w:tblStyle w:val="8"/>
        <w:tblW w:w="8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6"/>
        <w:gridCol w:w="3780"/>
      </w:tblGrid>
      <w:tr w14:paraId="6F9E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836" w:type="dxa"/>
            <w:tcBorders>
              <w:top w:val="single" w:color="auto" w:sz="4" w:space="0"/>
              <w:left w:val="single" w:color="auto" w:sz="4" w:space="0"/>
              <w:bottom w:val="single" w:color="auto" w:sz="4" w:space="0"/>
              <w:right w:val="single" w:color="auto" w:sz="4" w:space="0"/>
            </w:tcBorders>
            <w:noWrap w:val="0"/>
            <w:vAlign w:val="center"/>
          </w:tcPr>
          <w:p w14:paraId="33E5BACD">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center"/>
              <w:rPr>
                <w:rFonts w:hint="eastAsia" w:ascii="仿宋" w:hAnsi="仿宋" w:eastAsia="仿宋" w:cs="仿宋"/>
                <w:b/>
                <w:color w:val="auto"/>
                <w:kern w:val="0"/>
                <w:sz w:val="32"/>
                <w:szCs w:val="32"/>
              </w:rPr>
            </w:pPr>
            <w:bookmarkStart w:id="0" w:name="_Hlk109379180"/>
            <w:r>
              <w:rPr>
                <w:rFonts w:hint="eastAsia" w:ascii="仿宋" w:hAnsi="仿宋" w:eastAsia="仿宋" w:cs="仿宋"/>
                <w:b/>
                <w:color w:val="auto"/>
                <w:kern w:val="0"/>
                <w:sz w:val="32"/>
                <w:szCs w:val="32"/>
              </w:rPr>
              <w:t>单位名称</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C84E13D">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单位性质</w:t>
            </w:r>
          </w:p>
        </w:tc>
      </w:tr>
      <w:tr w14:paraId="2075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836" w:type="dxa"/>
            <w:tcBorders>
              <w:top w:val="single" w:color="auto" w:sz="4" w:space="0"/>
              <w:left w:val="single" w:color="auto" w:sz="4" w:space="0"/>
              <w:bottom w:val="single" w:color="auto" w:sz="4" w:space="0"/>
              <w:right w:val="single" w:color="auto" w:sz="4" w:space="0"/>
            </w:tcBorders>
            <w:noWrap w:val="0"/>
            <w:vAlign w:val="top"/>
          </w:tcPr>
          <w:p w14:paraId="5D88E63A">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环江毛南族自治县大才乡卫生院</w:t>
            </w:r>
          </w:p>
        </w:tc>
        <w:tc>
          <w:tcPr>
            <w:tcW w:w="3780" w:type="dxa"/>
            <w:tcBorders>
              <w:top w:val="single" w:color="auto" w:sz="4" w:space="0"/>
              <w:left w:val="single" w:color="auto" w:sz="4" w:space="0"/>
              <w:bottom w:val="single" w:color="auto" w:sz="4" w:space="0"/>
              <w:right w:val="single" w:color="auto" w:sz="4" w:space="0"/>
            </w:tcBorders>
            <w:noWrap w:val="0"/>
            <w:vAlign w:val="top"/>
          </w:tcPr>
          <w:p w14:paraId="09D0AA86">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公益一类差额拨款单位</w:t>
            </w:r>
          </w:p>
        </w:tc>
      </w:tr>
      <w:tr w14:paraId="6143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836" w:type="dxa"/>
            <w:tcBorders>
              <w:top w:val="single" w:color="auto" w:sz="4" w:space="0"/>
              <w:left w:val="single" w:color="auto" w:sz="4" w:space="0"/>
              <w:bottom w:val="single" w:color="auto" w:sz="4" w:space="0"/>
              <w:right w:val="single" w:color="auto" w:sz="4" w:space="0"/>
            </w:tcBorders>
            <w:noWrap w:val="0"/>
            <w:vAlign w:val="center"/>
          </w:tcPr>
          <w:p w14:paraId="08D48AD9">
            <w:pPr>
              <w:keepNext w:val="0"/>
              <w:keepLines w:val="0"/>
              <w:suppressLineNumbers w:val="0"/>
              <w:spacing w:before="0" w:beforeAutospacing="0" w:after="0" w:afterAutospacing="0"/>
              <w:ind w:left="0" w:right="0"/>
              <w:jc w:val="left"/>
              <w:rPr>
                <w:rFonts w:hint="eastAsia" w:ascii="仿宋" w:hAnsi="仿宋" w:eastAsia="仿宋" w:cs="仿宋"/>
                <w:color w:val="auto"/>
                <w:sz w:val="32"/>
                <w:szCs w:val="32"/>
              </w:rPr>
            </w:pP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A5C1030">
            <w:pPr>
              <w:keepNext w:val="0"/>
              <w:keepLines w:val="0"/>
              <w:suppressLineNumbers w:val="0"/>
              <w:spacing w:before="0" w:beforeAutospacing="0" w:after="0" w:afterAutospacing="0"/>
              <w:ind w:left="0" w:right="0"/>
              <w:jc w:val="left"/>
              <w:rPr>
                <w:rFonts w:hint="eastAsia" w:ascii="仿宋" w:hAnsi="仿宋" w:eastAsia="仿宋" w:cs="仿宋"/>
                <w:color w:val="auto"/>
                <w:sz w:val="32"/>
                <w:szCs w:val="32"/>
              </w:rPr>
            </w:pPr>
          </w:p>
        </w:tc>
      </w:tr>
      <w:bookmarkEnd w:id="0"/>
    </w:tbl>
    <w:p w14:paraId="3182E887">
      <w:pPr>
        <w:jc w:val="both"/>
        <w:rPr>
          <w:rFonts w:hint="eastAsia" w:ascii="黑体" w:hAnsi="黑体" w:eastAsia="黑体" w:cs="黑体"/>
          <w:color w:val="auto"/>
          <w:sz w:val="32"/>
          <w:szCs w:val="32"/>
          <w:highlight w:val="none"/>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1B0406E3">
      <w:pPr>
        <w:jc w:val="center"/>
        <w:rPr>
          <w:rFonts w:hint="eastAsia" w:ascii="黑体" w:hAnsi="黑体" w:eastAsia="黑体" w:cs="黑体"/>
          <w:color w:val="auto"/>
          <w:sz w:val="32"/>
          <w:u w:color="auto"/>
          <w:lang w:eastAsia="zh-CN"/>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环江毛南族自治县大才乡卫生院</w:t>
      </w:r>
    </w:p>
    <w:p w14:paraId="419B982F">
      <w:pPr>
        <w:jc w:val="center"/>
        <w:rPr>
          <w:rFonts w:ascii="黑体" w:hAnsi="黑体" w:eastAsia="黑体" w:cs="黑体"/>
          <w:color w:val="auto"/>
          <w:sz w:val="32"/>
          <w:szCs w:val="32"/>
          <w:highlight w:val="none"/>
        </w:rPr>
      </w:pPr>
      <w:r>
        <w:rPr>
          <w:rFonts w:hint="eastAsia" w:ascii="黑体" w:hAnsi="黑体" w:eastAsia="黑体" w:cs="黑体"/>
          <w:color w:val="auto"/>
          <w:sz w:val="32"/>
          <w:u w:color="auto"/>
          <w:lang w:val="en-US" w:eastAsia="zh-CN"/>
        </w:rPr>
        <w:t xml:space="preserve">      </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tbl>
      <w:tblPr>
        <w:tblStyle w:val="8"/>
        <w:tblW w:w="5000" w:type="pct"/>
        <w:tblInd w:w="0" w:type="dxa"/>
        <w:tblLayout w:type="autofit"/>
        <w:tblCellMar>
          <w:top w:w="0" w:type="dxa"/>
          <w:left w:w="108" w:type="dxa"/>
          <w:bottom w:w="0" w:type="dxa"/>
          <w:right w:w="108" w:type="dxa"/>
        </w:tblCellMar>
      </w:tblPr>
      <w:tblGrid>
        <w:gridCol w:w="91"/>
        <w:gridCol w:w="3485"/>
        <w:gridCol w:w="1935"/>
        <w:gridCol w:w="1779"/>
        <w:gridCol w:w="3516"/>
        <w:gridCol w:w="1740"/>
        <w:gridCol w:w="726"/>
        <w:gridCol w:w="902"/>
      </w:tblGrid>
      <w:tr w14:paraId="43ABE5DB">
        <w:tblPrEx>
          <w:tblCellMar>
            <w:top w:w="0" w:type="dxa"/>
            <w:left w:w="108" w:type="dxa"/>
            <w:bottom w:w="0" w:type="dxa"/>
            <w:right w:w="108" w:type="dxa"/>
          </w:tblCellMar>
        </w:tblPrEx>
        <w:trPr>
          <w:trHeight w:val="902" w:hRule="atLeast"/>
        </w:trPr>
        <w:tc>
          <w:tcPr>
            <w:tcW w:w="5000" w:type="pct"/>
            <w:gridSpan w:val="8"/>
            <w:tcBorders>
              <w:top w:val="nil"/>
              <w:left w:val="nil"/>
              <w:bottom w:val="nil"/>
              <w:right w:val="nil"/>
            </w:tcBorders>
            <w:shd w:val="clear" w:color="auto" w:fill="auto"/>
            <w:noWrap/>
            <w:vAlign w:val="bottom"/>
          </w:tcPr>
          <w:p w14:paraId="6DB4D969">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14:paraId="6C5C0F3B">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14:paraId="1522A8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14:paraId="2B171E2D">
        <w:tblPrEx>
          <w:tblCellMar>
            <w:top w:w="0" w:type="dxa"/>
            <w:left w:w="108" w:type="dxa"/>
            <w:bottom w:w="0" w:type="dxa"/>
            <w:right w:w="108" w:type="dxa"/>
          </w:tblCellMar>
        </w:tblPrEx>
        <w:trPr>
          <w:trHeight w:val="301" w:hRule="atLeast"/>
        </w:trPr>
        <w:tc>
          <w:tcPr>
            <w:tcW w:w="1261" w:type="pct"/>
            <w:gridSpan w:val="2"/>
            <w:tcBorders>
              <w:top w:val="nil"/>
              <w:left w:val="nil"/>
              <w:bottom w:val="nil"/>
              <w:right w:val="nil"/>
            </w:tcBorders>
            <w:shd w:val="clear" w:color="auto" w:fill="auto"/>
            <w:noWrap/>
            <w:vAlign w:val="bottom"/>
          </w:tcPr>
          <w:p w14:paraId="438C244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83" w:type="pct"/>
            <w:tcBorders>
              <w:top w:val="nil"/>
              <w:left w:val="nil"/>
              <w:bottom w:val="nil"/>
              <w:right w:val="nil"/>
            </w:tcBorders>
            <w:shd w:val="clear" w:color="auto" w:fill="auto"/>
            <w:noWrap/>
            <w:vAlign w:val="bottom"/>
          </w:tcPr>
          <w:p w14:paraId="1D9CDD1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27" w:type="pct"/>
            <w:tcBorders>
              <w:top w:val="nil"/>
              <w:left w:val="nil"/>
              <w:bottom w:val="nil"/>
              <w:right w:val="nil"/>
            </w:tcBorders>
            <w:shd w:val="clear" w:color="auto" w:fill="auto"/>
            <w:noWrap/>
            <w:vAlign w:val="bottom"/>
          </w:tcPr>
          <w:p w14:paraId="56F6D7B5">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40" w:type="pct"/>
            <w:tcBorders>
              <w:top w:val="nil"/>
              <w:left w:val="nil"/>
              <w:bottom w:val="nil"/>
              <w:right w:val="nil"/>
            </w:tcBorders>
            <w:shd w:val="clear" w:color="auto" w:fill="auto"/>
            <w:noWrap/>
            <w:vAlign w:val="bottom"/>
          </w:tcPr>
          <w:p w14:paraId="072E7E2D">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14" w:type="pct"/>
            <w:tcBorders>
              <w:top w:val="nil"/>
              <w:left w:val="nil"/>
              <w:bottom w:val="nil"/>
              <w:right w:val="nil"/>
            </w:tcBorders>
            <w:shd w:val="clear" w:color="auto" w:fill="auto"/>
            <w:noWrap/>
            <w:vAlign w:val="bottom"/>
          </w:tcPr>
          <w:p w14:paraId="2AACC9F5">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72" w:type="pct"/>
            <w:gridSpan w:val="2"/>
            <w:tcBorders>
              <w:top w:val="nil"/>
              <w:left w:val="nil"/>
              <w:bottom w:val="nil"/>
              <w:right w:val="nil"/>
            </w:tcBorders>
            <w:shd w:val="clear" w:color="auto" w:fill="auto"/>
            <w:noWrap/>
            <w:vAlign w:val="bottom"/>
          </w:tcPr>
          <w:p w14:paraId="0ED17A6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14:paraId="38711CE4">
        <w:tblPrEx>
          <w:tblCellMar>
            <w:top w:w="0" w:type="dxa"/>
            <w:left w:w="108" w:type="dxa"/>
            <w:bottom w:w="0" w:type="dxa"/>
            <w:right w:w="108" w:type="dxa"/>
          </w:tblCellMar>
        </w:tblPrEx>
        <w:trPr>
          <w:trHeight w:val="301" w:hRule="atLeast"/>
        </w:trPr>
        <w:tc>
          <w:tcPr>
            <w:tcW w:w="2572" w:type="pct"/>
            <w:gridSpan w:val="4"/>
            <w:tcBorders>
              <w:top w:val="nil"/>
              <w:left w:val="nil"/>
              <w:bottom w:val="single" w:color="auto" w:sz="4" w:space="0"/>
              <w:right w:val="nil"/>
            </w:tcBorders>
            <w:shd w:val="clear" w:color="auto" w:fill="auto"/>
            <w:noWrap/>
            <w:vAlign w:val="bottom"/>
          </w:tcPr>
          <w:p w14:paraId="6F76EA66">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240" w:type="pct"/>
            <w:tcBorders>
              <w:top w:val="nil"/>
              <w:left w:val="nil"/>
              <w:bottom w:val="single" w:color="auto" w:sz="4" w:space="0"/>
              <w:right w:val="nil"/>
            </w:tcBorders>
            <w:shd w:val="clear" w:color="auto" w:fill="auto"/>
            <w:noWrap/>
            <w:vAlign w:val="bottom"/>
          </w:tcPr>
          <w:p w14:paraId="6790832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14" w:type="pct"/>
            <w:tcBorders>
              <w:top w:val="nil"/>
              <w:left w:val="nil"/>
              <w:bottom w:val="single" w:color="auto" w:sz="4" w:space="0"/>
              <w:right w:val="nil"/>
            </w:tcBorders>
            <w:shd w:val="clear" w:color="auto" w:fill="auto"/>
            <w:noWrap/>
            <w:vAlign w:val="bottom"/>
          </w:tcPr>
          <w:p w14:paraId="10184D9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72" w:type="pct"/>
            <w:gridSpan w:val="2"/>
            <w:tcBorders>
              <w:top w:val="nil"/>
              <w:left w:val="nil"/>
              <w:bottom w:val="single" w:color="auto" w:sz="4" w:space="0"/>
              <w:right w:val="nil"/>
            </w:tcBorders>
            <w:shd w:val="clear" w:color="auto" w:fill="auto"/>
            <w:noWrap/>
            <w:vAlign w:val="bottom"/>
          </w:tcPr>
          <w:p w14:paraId="6F26CCA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4911B4DA">
        <w:tblPrEx>
          <w:tblCellMar>
            <w:top w:w="0" w:type="dxa"/>
            <w:left w:w="108" w:type="dxa"/>
            <w:bottom w:w="0" w:type="dxa"/>
            <w:right w:w="108" w:type="dxa"/>
          </w:tblCellMar>
        </w:tblPrEx>
        <w:trPr>
          <w:trHeight w:val="315" w:hRule="atLeast"/>
        </w:trPr>
        <w:tc>
          <w:tcPr>
            <w:tcW w:w="257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0323D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24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56D1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14:paraId="7DE0355D">
        <w:tblPrEx>
          <w:tblCellMar>
            <w:top w:w="0" w:type="dxa"/>
            <w:left w:w="108" w:type="dxa"/>
            <w:bottom w:w="0" w:type="dxa"/>
            <w:right w:w="108" w:type="dxa"/>
          </w:tblCellMar>
        </w:tblPrEx>
        <w:trPr>
          <w:trHeight w:val="315"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A7C0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491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C12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0E7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427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5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E838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14:paraId="3BCF9F28">
        <w:tblPrEx>
          <w:tblCellMar>
            <w:top w:w="0" w:type="dxa"/>
            <w:left w:w="108" w:type="dxa"/>
            <w:bottom w:w="0" w:type="dxa"/>
            <w:right w:w="108" w:type="dxa"/>
          </w:tblCellMar>
        </w:tblPrEx>
        <w:trPr>
          <w:trHeight w:val="315"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D9F3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CB94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504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902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E8E2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9E4D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14:paraId="143D2544">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0C0087">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2BD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FBD9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361.32</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4F2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50E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45A4A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2.20</w:t>
            </w:r>
          </w:p>
        </w:tc>
      </w:tr>
      <w:tr w14:paraId="607AB2B9">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51E7FA">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401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55A3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59D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4A8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A1BB5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0E537B6A">
        <w:tblPrEx>
          <w:tblCellMar>
            <w:top w:w="0" w:type="dxa"/>
            <w:left w:w="108" w:type="dxa"/>
            <w:bottom w:w="0" w:type="dxa"/>
            <w:right w:w="108" w:type="dxa"/>
          </w:tblCellMar>
        </w:tblPrEx>
        <w:trPr>
          <w:trHeight w:val="90"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EDC72F">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EA8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994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3E1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7D3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39CE0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3F8DA1BF">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D5D499">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169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FC8E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2"/>
                <w:szCs w:val="22"/>
                <w:highlight w:val="none"/>
                <w:lang w:eastAsia="zh-CN"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7A1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CC8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23E0E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4C432C63">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65953B">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5DA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526E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221.09</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07D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D86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00417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r>
      <w:tr w14:paraId="05510921">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19B8E8">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BF7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1296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C4A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19B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9F351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21A2A805">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E60336">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EB9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9E0B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D94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6E4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F0AED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6F1E212C">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ECC095">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78A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4FF7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49A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1F4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2AC46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26.77</w:t>
            </w:r>
          </w:p>
        </w:tc>
      </w:tr>
      <w:tr w14:paraId="00586290">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98E809">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F1A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BAA4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893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FF8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51225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522.02</w:t>
            </w:r>
          </w:p>
        </w:tc>
      </w:tr>
      <w:tr w14:paraId="53717490">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E54C0C">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6A2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BEF7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A12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A07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36C7A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1E3B4F0D">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5C305D">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140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FA148">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F59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687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4BC54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10D663CD">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8ACC69">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8AB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60C3E">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95D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4F22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76BFE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r>
      <w:tr w14:paraId="657DC020">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D7842D">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04C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059A4">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456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196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3742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0E7845FF">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8517B1">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94E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3F01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F16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88E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9175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3C04F3D2">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CA07E5">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1E6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CB01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0A6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81D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A83AF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50079FFD">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E997A3">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918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820CB">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77D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499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B504F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15319E85">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DE0702">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9A7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759A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3A0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960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5EE1C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bidi="ar"/>
              </w:rPr>
            </w:pPr>
          </w:p>
        </w:tc>
      </w:tr>
      <w:tr w14:paraId="57A8AB51">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813D61">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1F9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D8F23">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E19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F1E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5F08B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71C0EEDA">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2B6075">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FA9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61476">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4C3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183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B442D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r>
      <w:tr w14:paraId="5962ADB3">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38D3A1">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AFB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5515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109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71EE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FEAA0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66679E9E">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066D72">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E61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9AEE4">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98D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4F8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A35C2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16997D25">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CF65C0">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4C4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D36D8">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6B6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919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CA466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0246804F">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B450EE">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5E4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91812">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406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551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983AF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r>
      <w:tr w14:paraId="77D80189">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A42F47">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2B8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07FE7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ABB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69D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2691D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72B69CFF">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C9F671">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BD6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C7B4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1B0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7C6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3DAC3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42D44D23">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E9D508">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8A2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D0B2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4E1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01A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9497F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3167AD19">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AAD57B">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560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09E7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582.41</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D44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1AA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08A1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579.38</w:t>
            </w:r>
          </w:p>
        </w:tc>
      </w:tr>
      <w:tr w14:paraId="54645281">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939780">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736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A1BA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61B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D6C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5C0889">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3.03</w:t>
            </w:r>
          </w:p>
        </w:tc>
      </w:tr>
      <w:tr w14:paraId="7A23AA18">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974D66">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A45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7E1E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CE4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554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B5C373">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color w:val="auto"/>
                <w:kern w:val="0"/>
                <w:sz w:val="22"/>
                <w:szCs w:val="22"/>
                <w:highlight w:val="none"/>
                <w:lang w:bidi="ar"/>
              </w:rPr>
            </w:pPr>
          </w:p>
        </w:tc>
      </w:tr>
      <w:tr w14:paraId="5F3703DE">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3321FA">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D06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7EBDE">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2"/>
                <w:szCs w:val="22"/>
                <w:highlight w:val="none"/>
                <w:lang w:bidi="ar"/>
              </w:rPr>
            </w:pP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3A1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7C0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3BC78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r>
      <w:tr w14:paraId="0CFD9759">
        <w:tblPrEx>
          <w:tblCellMar>
            <w:top w:w="0" w:type="dxa"/>
            <w:left w:w="108" w:type="dxa"/>
            <w:bottom w:w="0" w:type="dxa"/>
            <w:right w:w="108" w:type="dxa"/>
          </w:tblCellMar>
        </w:tblPrEx>
        <w:trPr>
          <w:trHeight w:val="334" w:hRule="atLeast"/>
        </w:trPr>
        <w:tc>
          <w:tcPr>
            <w:tcW w:w="12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4BF8E6">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9A8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1294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582.41</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105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C33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A0890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582.41</w:t>
            </w:r>
          </w:p>
        </w:tc>
      </w:tr>
      <w:tr w14:paraId="530E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317" w:type="pct"/>
          <w:trHeight w:val="308" w:hRule="atLeast"/>
        </w:trPr>
        <w:tc>
          <w:tcPr>
            <w:tcW w:w="4650" w:type="pct"/>
            <w:gridSpan w:val="6"/>
            <w:tcBorders>
              <w:top w:val="nil"/>
              <w:left w:val="nil"/>
              <w:bottom w:val="nil"/>
              <w:right w:val="nil"/>
            </w:tcBorders>
            <w:shd w:val="clear" w:color="auto" w:fill="auto"/>
            <w:noWrap/>
            <w:vAlign w:val="center"/>
          </w:tcPr>
          <w:p w14:paraId="2401AA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48E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 w:type="pct"/>
          <w:wAfter w:w="317" w:type="pct"/>
          <w:trHeight w:val="297" w:hRule="atLeast"/>
        </w:trPr>
        <w:tc>
          <w:tcPr>
            <w:tcW w:w="4650" w:type="pct"/>
            <w:gridSpan w:val="6"/>
            <w:tcBorders>
              <w:top w:val="nil"/>
              <w:left w:val="nil"/>
              <w:bottom w:val="nil"/>
              <w:right w:val="nil"/>
            </w:tcBorders>
            <w:shd w:val="clear" w:color="auto" w:fill="auto"/>
            <w:noWrap/>
            <w:vAlign w:val="center"/>
          </w:tcPr>
          <w:p w14:paraId="0C001B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2B0756A">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tbl>
      <w:tblPr>
        <w:tblStyle w:val="8"/>
        <w:tblW w:w="5000" w:type="pct"/>
        <w:tblInd w:w="0" w:type="dxa"/>
        <w:tblLayout w:type="autofit"/>
        <w:tblCellMar>
          <w:top w:w="0" w:type="dxa"/>
          <w:left w:w="108" w:type="dxa"/>
          <w:bottom w:w="0" w:type="dxa"/>
          <w:right w:w="108" w:type="dxa"/>
        </w:tblCellMar>
      </w:tblPr>
      <w:tblGrid>
        <w:gridCol w:w="1163"/>
        <w:gridCol w:w="2350"/>
        <w:gridCol w:w="326"/>
        <w:gridCol w:w="326"/>
        <w:gridCol w:w="734"/>
        <w:gridCol w:w="1416"/>
        <w:gridCol w:w="1348"/>
        <w:gridCol w:w="1266"/>
        <w:gridCol w:w="1362"/>
        <w:gridCol w:w="1374"/>
        <w:gridCol w:w="1334"/>
        <w:gridCol w:w="1175"/>
      </w:tblGrid>
      <w:tr w14:paraId="5FD9E3B7">
        <w:tblPrEx>
          <w:tblCellMar>
            <w:top w:w="0" w:type="dxa"/>
            <w:left w:w="108" w:type="dxa"/>
            <w:bottom w:w="0" w:type="dxa"/>
            <w:right w:w="108" w:type="dxa"/>
          </w:tblCellMar>
        </w:tblPrEx>
        <w:trPr>
          <w:trHeight w:val="951" w:hRule="atLeast"/>
        </w:trPr>
        <w:tc>
          <w:tcPr>
            <w:tcW w:w="5000" w:type="pct"/>
            <w:gridSpan w:val="12"/>
            <w:tcBorders>
              <w:top w:val="nil"/>
              <w:left w:val="nil"/>
              <w:bottom w:val="nil"/>
              <w:right w:val="nil"/>
            </w:tcBorders>
            <w:shd w:val="clear" w:color="auto" w:fill="auto"/>
            <w:noWrap/>
            <w:vAlign w:val="bottom"/>
          </w:tcPr>
          <w:p w14:paraId="0B6D6CB3">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p w14:paraId="4F997203">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14:paraId="7843DF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收入决算表</w:t>
            </w:r>
          </w:p>
        </w:tc>
      </w:tr>
      <w:tr w14:paraId="7C2F19B8">
        <w:tblPrEx>
          <w:tblCellMar>
            <w:top w:w="0" w:type="dxa"/>
            <w:left w:w="108" w:type="dxa"/>
            <w:bottom w:w="0" w:type="dxa"/>
            <w:right w:w="108" w:type="dxa"/>
          </w:tblCellMar>
        </w:tblPrEx>
        <w:trPr>
          <w:trHeight w:val="317" w:hRule="atLeast"/>
        </w:trPr>
        <w:tc>
          <w:tcPr>
            <w:tcW w:w="1060" w:type="pct"/>
            <w:gridSpan w:val="2"/>
            <w:tcBorders>
              <w:top w:val="nil"/>
              <w:left w:val="nil"/>
              <w:bottom w:val="nil"/>
              <w:right w:val="nil"/>
            </w:tcBorders>
            <w:shd w:val="clear" w:color="auto" w:fill="auto"/>
            <w:noWrap/>
            <w:vAlign w:val="bottom"/>
          </w:tcPr>
          <w:p w14:paraId="335BC973">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4" w:type="pct"/>
            <w:tcBorders>
              <w:top w:val="nil"/>
              <w:left w:val="nil"/>
              <w:bottom w:val="nil"/>
              <w:right w:val="nil"/>
            </w:tcBorders>
            <w:shd w:val="clear" w:color="auto" w:fill="auto"/>
            <w:noWrap/>
            <w:vAlign w:val="bottom"/>
          </w:tcPr>
          <w:p w14:paraId="5F0E5BED">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4" w:type="pct"/>
            <w:tcBorders>
              <w:top w:val="nil"/>
              <w:left w:val="nil"/>
              <w:bottom w:val="nil"/>
              <w:right w:val="nil"/>
            </w:tcBorders>
            <w:shd w:val="clear" w:color="auto" w:fill="auto"/>
            <w:noWrap/>
            <w:vAlign w:val="bottom"/>
          </w:tcPr>
          <w:p w14:paraId="162C7D1F">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7" w:type="pct"/>
            <w:tcBorders>
              <w:top w:val="nil"/>
              <w:left w:val="nil"/>
              <w:bottom w:val="nil"/>
              <w:right w:val="nil"/>
            </w:tcBorders>
            <w:shd w:val="clear" w:color="auto" w:fill="auto"/>
            <w:noWrap/>
            <w:vAlign w:val="bottom"/>
          </w:tcPr>
          <w:p w14:paraId="58D4E9B4">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44" w:type="pct"/>
            <w:tcBorders>
              <w:top w:val="nil"/>
              <w:left w:val="nil"/>
              <w:bottom w:val="nil"/>
              <w:right w:val="nil"/>
            </w:tcBorders>
            <w:shd w:val="clear" w:color="auto" w:fill="auto"/>
            <w:noWrap/>
            <w:vAlign w:val="bottom"/>
          </w:tcPr>
          <w:p w14:paraId="233869A4">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0" w:type="pct"/>
            <w:tcBorders>
              <w:top w:val="nil"/>
              <w:left w:val="nil"/>
              <w:bottom w:val="nil"/>
              <w:right w:val="nil"/>
            </w:tcBorders>
            <w:shd w:val="clear" w:color="auto" w:fill="auto"/>
            <w:noWrap/>
            <w:vAlign w:val="bottom"/>
          </w:tcPr>
          <w:p w14:paraId="2A4AB685">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91" w:type="pct"/>
            <w:tcBorders>
              <w:top w:val="nil"/>
              <w:left w:val="nil"/>
              <w:bottom w:val="nil"/>
              <w:right w:val="nil"/>
            </w:tcBorders>
            <w:shd w:val="clear" w:color="auto" w:fill="auto"/>
            <w:noWrap/>
            <w:vAlign w:val="bottom"/>
          </w:tcPr>
          <w:p w14:paraId="7AB9F0A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5" w:type="pct"/>
            <w:tcBorders>
              <w:top w:val="nil"/>
              <w:left w:val="nil"/>
              <w:bottom w:val="nil"/>
              <w:right w:val="nil"/>
            </w:tcBorders>
            <w:shd w:val="clear" w:color="auto" w:fill="auto"/>
            <w:noWrap/>
            <w:vAlign w:val="bottom"/>
          </w:tcPr>
          <w:p w14:paraId="2F680D17">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9" w:type="pct"/>
            <w:tcBorders>
              <w:top w:val="nil"/>
              <w:left w:val="nil"/>
              <w:bottom w:val="nil"/>
              <w:right w:val="nil"/>
            </w:tcBorders>
            <w:shd w:val="clear" w:color="auto" w:fill="auto"/>
            <w:noWrap/>
            <w:vAlign w:val="bottom"/>
          </w:tcPr>
          <w:p w14:paraId="3DF3E5D4">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971" w:type="pct"/>
            <w:gridSpan w:val="2"/>
            <w:tcBorders>
              <w:top w:val="nil"/>
              <w:left w:val="nil"/>
              <w:bottom w:val="nil"/>
              <w:right w:val="nil"/>
            </w:tcBorders>
            <w:shd w:val="clear" w:color="auto" w:fill="auto"/>
            <w:noWrap/>
            <w:vAlign w:val="bottom"/>
          </w:tcPr>
          <w:p w14:paraId="4E7E060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公开02表</w:t>
            </w:r>
          </w:p>
        </w:tc>
      </w:tr>
      <w:tr w14:paraId="4B7FA3AE">
        <w:tblPrEx>
          <w:tblCellMar>
            <w:top w:w="0" w:type="dxa"/>
            <w:left w:w="108" w:type="dxa"/>
            <w:bottom w:w="0" w:type="dxa"/>
            <w:right w:w="108" w:type="dxa"/>
          </w:tblCellMar>
        </w:tblPrEx>
        <w:trPr>
          <w:trHeight w:val="317" w:hRule="atLeast"/>
        </w:trPr>
        <w:tc>
          <w:tcPr>
            <w:tcW w:w="2481" w:type="pct"/>
            <w:gridSpan w:val="7"/>
            <w:tcBorders>
              <w:top w:val="nil"/>
              <w:left w:val="nil"/>
              <w:bottom w:val="single" w:color="auto" w:sz="4" w:space="0"/>
              <w:right w:val="nil"/>
            </w:tcBorders>
            <w:shd w:val="clear" w:color="auto" w:fill="auto"/>
            <w:noWrap/>
            <w:vAlign w:val="bottom"/>
          </w:tcPr>
          <w:p w14:paraId="2A46CDEB">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491" w:type="pct"/>
            <w:tcBorders>
              <w:top w:val="nil"/>
              <w:left w:val="nil"/>
              <w:bottom w:val="single" w:color="auto" w:sz="4" w:space="0"/>
              <w:right w:val="nil"/>
            </w:tcBorders>
            <w:shd w:val="clear" w:color="auto" w:fill="auto"/>
            <w:noWrap/>
            <w:vAlign w:val="bottom"/>
          </w:tcPr>
          <w:p w14:paraId="7CD68AA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5" w:type="pct"/>
            <w:tcBorders>
              <w:top w:val="nil"/>
              <w:left w:val="nil"/>
              <w:bottom w:val="single" w:color="auto" w:sz="4" w:space="0"/>
              <w:right w:val="nil"/>
            </w:tcBorders>
            <w:shd w:val="clear" w:color="auto" w:fill="auto"/>
            <w:noWrap/>
            <w:vAlign w:val="bottom"/>
          </w:tcPr>
          <w:p w14:paraId="4F42B171">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9" w:type="pct"/>
            <w:tcBorders>
              <w:top w:val="nil"/>
              <w:left w:val="nil"/>
              <w:bottom w:val="single" w:color="auto" w:sz="4" w:space="0"/>
              <w:right w:val="nil"/>
            </w:tcBorders>
            <w:shd w:val="clear" w:color="auto" w:fill="auto"/>
            <w:noWrap/>
            <w:vAlign w:val="bottom"/>
          </w:tcPr>
          <w:p w14:paraId="6950541B">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971" w:type="pct"/>
            <w:gridSpan w:val="2"/>
            <w:tcBorders>
              <w:top w:val="nil"/>
              <w:left w:val="nil"/>
              <w:bottom w:val="single" w:color="auto" w:sz="4" w:space="0"/>
            </w:tcBorders>
            <w:shd w:val="clear" w:color="auto" w:fill="auto"/>
            <w:noWrap/>
            <w:vAlign w:val="bottom"/>
          </w:tcPr>
          <w:p w14:paraId="18B7135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69030118">
        <w:tblPrEx>
          <w:tblCellMar>
            <w:top w:w="0" w:type="dxa"/>
            <w:left w:w="108" w:type="dxa"/>
            <w:bottom w:w="0" w:type="dxa"/>
            <w:right w:w="108" w:type="dxa"/>
          </w:tblCellMar>
        </w:tblPrEx>
        <w:trPr>
          <w:trHeight w:val="327" w:hRule="atLeast"/>
        </w:trPr>
        <w:tc>
          <w:tcPr>
            <w:tcW w:w="141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D9AFD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E18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本年收入合计</w:t>
            </w:r>
          </w:p>
        </w:tc>
        <w:tc>
          <w:tcPr>
            <w:tcW w:w="5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058F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财政拨款收入</w:t>
            </w:r>
          </w:p>
        </w:tc>
        <w:tc>
          <w:tcPr>
            <w:tcW w:w="4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02B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上级补助收入</w:t>
            </w:r>
          </w:p>
        </w:tc>
        <w:tc>
          <w:tcPr>
            <w:tcW w:w="5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994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事业收入</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229C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经营收入</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8FE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附属单位上缴收入</w:t>
            </w:r>
          </w:p>
        </w:tc>
        <w:tc>
          <w:tcPr>
            <w:tcW w:w="4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648D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其他收入</w:t>
            </w:r>
          </w:p>
        </w:tc>
      </w:tr>
      <w:tr w14:paraId="0270B63D">
        <w:tblPrEx>
          <w:tblCellMar>
            <w:top w:w="0" w:type="dxa"/>
            <w:left w:w="108" w:type="dxa"/>
            <w:bottom w:w="0" w:type="dxa"/>
            <w:right w:w="108" w:type="dxa"/>
          </w:tblCellMar>
        </w:tblPrEx>
        <w:trPr>
          <w:trHeight w:val="327" w:hRule="atLeast"/>
        </w:trPr>
        <w:tc>
          <w:tcPr>
            <w:tcW w:w="4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7E0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961"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033A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C18F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9C19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6026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2929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1936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992E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5ECE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661192AE">
        <w:tblPrEx>
          <w:tblCellMar>
            <w:top w:w="0" w:type="dxa"/>
            <w:left w:w="108" w:type="dxa"/>
            <w:bottom w:w="0" w:type="dxa"/>
            <w:right w:w="108" w:type="dxa"/>
          </w:tblCellMar>
        </w:tblPrEx>
        <w:trPr>
          <w:trHeight w:val="327"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E67B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61"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C1F48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EB68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EBD5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841B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C835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3A73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F390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3D4B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54BBF259">
        <w:tblPrEx>
          <w:tblCellMar>
            <w:top w:w="0" w:type="dxa"/>
            <w:left w:w="108" w:type="dxa"/>
            <w:bottom w:w="0" w:type="dxa"/>
            <w:right w:w="108" w:type="dxa"/>
          </w:tblCellMar>
        </w:tblPrEx>
        <w:trPr>
          <w:trHeight w:val="327"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2000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61"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CBA30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3271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16F8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D10A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4130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4519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A97B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ED2F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565A4E2B">
        <w:tblPrEx>
          <w:tblCellMar>
            <w:top w:w="0" w:type="dxa"/>
            <w:left w:w="108" w:type="dxa"/>
            <w:bottom w:w="0" w:type="dxa"/>
            <w:right w:w="108" w:type="dxa"/>
          </w:tblCellMar>
        </w:tblPrEx>
        <w:trPr>
          <w:trHeight w:val="327" w:hRule="atLeast"/>
        </w:trPr>
        <w:tc>
          <w:tcPr>
            <w:tcW w:w="141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7101E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4053EE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4A2C2D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1FB796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1C2611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14:paraId="31A0DD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C8859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14:paraId="4E835E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14:paraId="58A7ABAF">
        <w:tblPrEx>
          <w:tblCellMar>
            <w:top w:w="0" w:type="dxa"/>
            <w:left w:w="108" w:type="dxa"/>
            <w:bottom w:w="0" w:type="dxa"/>
            <w:right w:w="108" w:type="dxa"/>
          </w:tblCellMar>
        </w:tblPrEx>
        <w:trPr>
          <w:trHeight w:val="684" w:hRule="atLeast"/>
        </w:trPr>
        <w:tc>
          <w:tcPr>
            <w:tcW w:w="141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5F135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E8F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582.41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68E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361.32</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C4D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223A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221.09</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AC9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39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69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r>
      <w:tr w14:paraId="7A411081">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2D3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201</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ECF7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966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2.20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869A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2.20</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348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E28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492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C8B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293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EB63B47">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DD0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897D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831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B89C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2.20</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8A9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3C0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234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C52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F84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E532AE9">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D67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6061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388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1E61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2.20</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DFE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3DB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4A6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0DE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885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9440ACD">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530C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7D2E9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C9F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26.77</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2959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26.77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1DE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EEB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D3A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7E5B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B0D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06FEE01">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350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E86A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8D9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26.77</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BDB1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26.77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76C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F32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88C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47A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0BD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203E339">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9EC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CD5B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659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17.61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15D1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17.61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530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3B7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3DE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AF0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9E5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D851B8A">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1CE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2080506</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C50A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14F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9.61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1B7D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9.61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B32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A9E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A83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8B9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4A1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CB48EAB">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71C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1A5E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卫生健康支出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C9E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525.05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6BF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303.96</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49E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879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221.09</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F35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F42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AB2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0407C1E">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989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CAF8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基层医疗卫生机构</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902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377.62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D42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156.53</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321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3A5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221.09</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8D3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B45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ABE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BF1C312">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840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59C0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乡镇卫生院</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4F1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344.65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970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123.56</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226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4E9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221.09</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0DD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564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A00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FDF801F">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BDB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B17E6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D95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32.97</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FA6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32.97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E67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B56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B04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FA2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59B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2E4DECC">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3D2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378C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公共卫生</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DF8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125.44</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4F0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125.44</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018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E4D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B45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A1C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C41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71D34BF">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4C3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4D782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E76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92.81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2EF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92.81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769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388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EE8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D57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7FE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E4D68B8">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7D3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6C07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FCB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5.02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83D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5.02</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B16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CED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77A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4FB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210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804EFB2">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9D9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1657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68E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27.61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C650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27.61</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05C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A0F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26D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BBE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B53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306174E">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670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DD16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CDC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109D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22.00</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A53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B8B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3EE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8DC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8E9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1C32B86">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68A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C6F23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B0C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ABCA7">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E33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0EE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E6D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9A1D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314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3C84900">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657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EEE2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F60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B62F4">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14E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5C69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801A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D3E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E48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80C22E6">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2451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EFC7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B03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2EC60">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024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E0A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746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6D3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3AD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C6A5D8">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721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A2E1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FA8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F547A">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FD4C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A7C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9DF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665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6F9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313EA9A">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D0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DC70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D35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C757E">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551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FD0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52A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31C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D1C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6062ED1">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AA9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63DD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F3B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22C48">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1A2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BEA2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944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213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072F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801C23E">
        <w:tblPrEx>
          <w:tblCellMar>
            <w:top w:w="0" w:type="dxa"/>
            <w:left w:w="108" w:type="dxa"/>
            <w:bottom w:w="0" w:type="dxa"/>
            <w:right w:w="108" w:type="dxa"/>
          </w:tblCellMar>
        </w:tblPrEx>
        <w:trPr>
          <w:trHeight w:val="327"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A86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96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00B7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D51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36856">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83E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56F4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F82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B3B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B6D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50E4A08">
        <w:tblPrEx>
          <w:tblCellMar>
            <w:top w:w="0" w:type="dxa"/>
            <w:left w:w="108" w:type="dxa"/>
            <w:bottom w:w="0" w:type="dxa"/>
            <w:right w:w="108" w:type="dxa"/>
          </w:tblCellMar>
        </w:tblPrEx>
        <w:trPr>
          <w:trHeight w:val="327" w:hRule="atLeast"/>
        </w:trPr>
        <w:tc>
          <w:tcPr>
            <w:tcW w:w="5000" w:type="pct"/>
            <w:gridSpan w:val="12"/>
            <w:tcBorders>
              <w:top w:val="single" w:color="auto" w:sz="4" w:space="0"/>
              <w:left w:val="nil"/>
              <w:bottom w:val="nil"/>
              <w:right w:val="nil"/>
            </w:tcBorders>
            <w:shd w:val="clear" w:color="auto" w:fill="auto"/>
            <w:noWrap/>
            <w:vAlign w:val="center"/>
          </w:tcPr>
          <w:p w14:paraId="50AFE8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注：本表反映部门本年度取得的各项收入情况。</w:t>
            </w:r>
          </w:p>
        </w:tc>
      </w:tr>
    </w:tbl>
    <w:p w14:paraId="5FA9F64F">
      <w:pPr>
        <w:jc w:val="left"/>
        <w:rPr>
          <w:rFonts w:hint="eastAsia" w:ascii="仿宋" w:hAnsi="仿宋" w:eastAsia="仿宋" w:cs="仿宋"/>
          <w:color w:val="auto"/>
          <w:sz w:val="24"/>
          <w:highlight w:val="none"/>
        </w:rPr>
      </w:pPr>
    </w:p>
    <w:p w14:paraId="1937DF0E">
      <w:pPr>
        <w:jc w:val="left"/>
        <w:rPr>
          <w:rFonts w:hint="eastAsia" w:ascii="仿宋" w:hAnsi="仿宋" w:eastAsia="仿宋" w:cs="仿宋"/>
          <w:color w:val="auto"/>
          <w:sz w:val="24"/>
          <w:highlight w:val="none"/>
        </w:rPr>
      </w:pPr>
    </w:p>
    <w:p w14:paraId="2DBF49DD">
      <w:pPr>
        <w:jc w:val="left"/>
        <w:rPr>
          <w:rFonts w:hint="eastAsia" w:ascii="仿宋" w:hAnsi="仿宋" w:eastAsia="仿宋" w:cs="仿宋"/>
          <w:color w:val="auto"/>
          <w:sz w:val="24"/>
          <w:highlight w:val="none"/>
        </w:rPr>
      </w:pPr>
    </w:p>
    <w:p w14:paraId="3FF72707">
      <w:pPr>
        <w:jc w:val="left"/>
        <w:rPr>
          <w:rFonts w:hint="eastAsia" w:ascii="仿宋" w:hAnsi="仿宋" w:eastAsia="仿宋" w:cs="仿宋"/>
          <w:color w:val="auto"/>
          <w:sz w:val="24"/>
          <w:highlight w:val="none"/>
        </w:rPr>
      </w:pPr>
    </w:p>
    <w:p w14:paraId="6B2FE8A5">
      <w:pPr>
        <w:jc w:val="left"/>
        <w:rPr>
          <w:rFonts w:hint="eastAsia" w:ascii="仿宋" w:hAnsi="仿宋" w:eastAsia="仿宋" w:cs="仿宋"/>
          <w:color w:val="auto"/>
          <w:sz w:val="24"/>
          <w:highlight w:val="none"/>
        </w:rPr>
      </w:pPr>
    </w:p>
    <w:p w14:paraId="6DC1F8B9">
      <w:pPr>
        <w:jc w:val="left"/>
        <w:rPr>
          <w:rFonts w:hint="eastAsia" w:ascii="仿宋" w:hAnsi="仿宋" w:eastAsia="仿宋" w:cs="仿宋"/>
          <w:color w:val="auto"/>
          <w:sz w:val="24"/>
          <w:highlight w:val="none"/>
        </w:rPr>
      </w:pPr>
    </w:p>
    <w:p w14:paraId="21FA83A7">
      <w:pPr>
        <w:jc w:val="left"/>
        <w:rPr>
          <w:rFonts w:hint="eastAsia" w:ascii="仿宋" w:hAnsi="仿宋" w:eastAsia="仿宋" w:cs="仿宋"/>
          <w:color w:val="auto"/>
          <w:sz w:val="24"/>
          <w:highlight w:val="none"/>
        </w:rPr>
      </w:pPr>
    </w:p>
    <w:p w14:paraId="5BFC2A9C">
      <w:pPr>
        <w:jc w:val="left"/>
        <w:rPr>
          <w:rFonts w:hint="eastAsia" w:ascii="仿宋" w:hAnsi="仿宋" w:eastAsia="仿宋" w:cs="仿宋"/>
          <w:color w:val="auto"/>
          <w:sz w:val="24"/>
          <w:highlight w:val="none"/>
        </w:rPr>
      </w:pPr>
    </w:p>
    <w:p w14:paraId="75B39C10">
      <w:pPr>
        <w:jc w:val="left"/>
        <w:rPr>
          <w:rFonts w:hint="eastAsia" w:ascii="仿宋" w:hAnsi="仿宋" w:eastAsia="仿宋" w:cs="仿宋"/>
          <w:color w:val="auto"/>
          <w:sz w:val="24"/>
          <w:highlight w:val="none"/>
        </w:rPr>
      </w:pPr>
    </w:p>
    <w:p w14:paraId="4D94F684">
      <w:pPr>
        <w:jc w:val="left"/>
        <w:rPr>
          <w:rFonts w:hint="eastAsia" w:ascii="仿宋" w:hAnsi="仿宋" w:eastAsia="仿宋" w:cs="仿宋"/>
          <w:color w:val="auto"/>
          <w:sz w:val="24"/>
          <w:highlight w:val="none"/>
        </w:rPr>
      </w:pPr>
    </w:p>
    <w:p w14:paraId="2550C49B">
      <w:pPr>
        <w:jc w:val="left"/>
        <w:rPr>
          <w:rFonts w:hint="eastAsia" w:ascii="仿宋" w:hAnsi="仿宋" w:eastAsia="仿宋" w:cs="仿宋"/>
          <w:color w:val="auto"/>
          <w:sz w:val="24"/>
          <w:highlight w:val="none"/>
        </w:rPr>
      </w:pPr>
    </w:p>
    <w:p w14:paraId="068B0AD0">
      <w:pPr>
        <w:jc w:val="left"/>
        <w:rPr>
          <w:rFonts w:hint="eastAsia" w:ascii="仿宋" w:hAnsi="仿宋" w:eastAsia="仿宋" w:cs="仿宋"/>
          <w:color w:val="auto"/>
          <w:sz w:val="24"/>
          <w:highlight w:val="none"/>
        </w:rPr>
      </w:pPr>
    </w:p>
    <w:tbl>
      <w:tblPr>
        <w:tblStyle w:val="8"/>
        <w:tblW w:w="5000" w:type="pct"/>
        <w:tblInd w:w="0" w:type="dxa"/>
        <w:tblLayout w:type="autofit"/>
        <w:tblCellMar>
          <w:top w:w="0" w:type="dxa"/>
          <w:left w:w="108" w:type="dxa"/>
          <w:bottom w:w="0" w:type="dxa"/>
          <w:right w:w="108" w:type="dxa"/>
        </w:tblCellMar>
      </w:tblPr>
      <w:tblGrid>
        <w:gridCol w:w="961"/>
        <w:gridCol w:w="222"/>
        <w:gridCol w:w="201"/>
        <w:gridCol w:w="105"/>
        <w:gridCol w:w="3852"/>
        <w:gridCol w:w="1142"/>
        <w:gridCol w:w="1502"/>
        <w:gridCol w:w="1607"/>
        <w:gridCol w:w="1480"/>
        <w:gridCol w:w="1480"/>
        <w:gridCol w:w="1622"/>
      </w:tblGrid>
      <w:tr w14:paraId="743CEB87">
        <w:tblPrEx>
          <w:tblCellMar>
            <w:top w:w="0" w:type="dxa"/>
            <w:left w:w="108" w:type="dxa"/>
            <w:bottom w:w="0" w:type="dxa"/>
            <w:right w:w="108" w:type="dxa"/>
          </w:tblCellMar>
        </w:tblPrEx>
        <w:trPr>
          <w:trHeight w:val="623" w:hRule="atLeast"/>
        </w:trPr>
        <w:tc>
          <w:tcPr>
            <w:tcW w:w="5000" w:type="pct"/>
            <w:gridSpan w:val="11"/>
            <w:tcBorders>
              <w:top w:val="nil"/>
              <w:left w:val="nil"/>
              <w:bottom w:val="nil"/>
              <w:right w:val="nil"/>
            </w:tcBorders>
            <w:shd w:val="clear" w:color="auto" w:fill="auto"/>
            <w:noWrap/>
            <w:vAlign w:val="center"/>
          </w:tcPr>
          <w:p w14:paraId="6F4E8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14:paraId="2B09FDDE">
        <w:tblPrEx>
          <w:tblCellMar>
            <w:top w:w="0" w:type="dxa"/>
            <w:left w:w="108" w:type="dxa"/>
            <w:bottom w:w="0" w:type="dxa"/>
            <w:right w:w="108" w:type="dxa"/>
          </w:tblCellMar>
        </w:tblPrEx>
        <w:trPr>
          <w:trHeight w:val="312" w:hRule="atLeast"/>
        </w:trPr>
        <w:tc>
          <w:tcPr>
            <w:tcW w:w="339" w:type="pct"/>
            <w:tcBorders>
              <w:top w:val="nil"/>
              <w:left w:val="nil"/>
              <w:bottom w:val="nil"/>
              <w:right w:val="nil"/>
            </w:tcBorders>
            <w:shd w:val="clear" w:color="auto" w:fill="auto"/>
            <w:noWrap/>
            <w:vAlign w:val="center"/>
          </w:tcPr>
          <w:p w14:paraId="2E1F928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78" w:type="pct"/>
            <w:tcBorders>
              <w:top w:val="nil"/>
              <w:left w:val="nil"/>
              <w:bottom w:val="nil"/>
              <w:right w:val="nil"/>
            </w:tcBorders>
            <w:shd w:val="clear" w:color="auto" w:fill="auto"/>
            <w:noWrap/>
            <w:vAlign w:val="center"/>
          </w:tcPr>
          <w:p w14:paraId="075229B3">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8" w:type="pct"/>
            <w:gridSpan w:val="2"/>
            <w:tcBorders>
              <w:top w:val="nil"/>
              <w:left w:val="nil"/>
              <w:bottom w:val="nil"/>
              <w:right w:val="nil"/>
            </w:tcBorders>
            <w:shd w:val="clear" w:color="auto" w:fill="auto"/>
            <w:noWrap/>
            <w:vAlign w:val="center"/>
          </w:tcPr>
          <w:p w14:paraId="57AE65A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58" w:type="pct"/>
            <w:tcBorders>
              <w:top w:val="nil"/>
              <w:left w:val="nil"/>
              <w:bottom w:val="nil"/>
              <w:right w:val="nil"/>
            </w:tcBorders>
            <w:shd w:val="clear" w:color="auto" w:fill="auto"/>
            <w:noWrap/>
            <w:vAlign w:val="center"/>
          </w:tcPr>
          <w:p w14:paraId="4EB08C0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03" w:type="pct"/>
            <w:tcBorders>
              <w:top w:val="nil"/>
              <w:left w:val="nil"/>
              <w:bottom w:val="nil"/>
              <w:right w:val="nil"/>
            </w:tcBorders>
            <w:shd w:val="clear" w:color="auto" w:fill="auto"/>
            <w:noWrap/>
            <w:vAlign w:val="center"/>
          </w:tcPr>
          <w:p w14:paraId="42259F0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30" w:type="pct"/>
            <w:tcBorders>
              <w:top w:val="nil"/>
              <w:left w:val="nil"/>
              <w:bottom w:val="nil"/>
              <w:right w:val="nil"/>
            </w:tcBorders>
            <w:shd w:val="clear" w:color="auto" w:fill="auto"/>
            <w:noWrap/>
            <w:vAlign w:val="center"/>
          </w:tcPr>
          <w:p w14:paraId="17564C2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65" w:type="pct"/>
            <w:tcBorders>
              <w:top w:val="nil"/>
              <w:left w:val="nil"/>
              <w:bottom w:val="nil"/>
              <w:right w:val="nil"/>
            </w:tcBorders>
            <w:shd w:val="clear" w:color="auto" w:fill="auto"/>
            <w:noWrap/>
            <w:vAlign w:val="center"/>
          </w:tcPr>
          <w:p w14:paraId="497B7BFD">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2" w:type="pct"/>
            <w:tcBorders>
              <w:top w:val="nil"/>
              <w:left w:val="nil"/>
              <w:bottom w:val="nil"/>
              <w:right w:val="nil"/>
            </w:tcBorders>
            <w:shd w:val="clear" w:color="auto" w:fill="auto"/>
            <w:noWrap/>
            <w:vAlign w:val="center"/>
          </w:tcPr>
          <w:p w14:paraId="771E73B2">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2" w:type="pct"/>
            <w:tcBorders>
              <w:top w:val="nil"/>
              <w:left w:val="nil"/>
              <w:bottom w:val="nil"/>
              <w:right w:val="nil"/>
            </w:tcBorders>
            <w:shd w:val="clear" w:color="auto" w:fill="auto"/>
            <w:noWrap/>
            <w:vAlign w:val="center"/>
          </w:tcPr>
          <w:p w14:paraId="216DAC7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71" w:type="pct"/>
            <w:tcBorders>
              <w:top w:val="nil"/>
              <w:left w:val="nil"/>
              <w:bottom w:val="nil"/>
              <w:right w:val="nil"/>
            </w:tcBorders>
            <w:shd w:val="clear" w:color="auto" w:fill="auto"/>
            <w:noWrap/>
            <w:vAlign w:val="center"/>
          </w:tcPr>
          <w:p w14:paraId="77A9EF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14:paraId="425F51F2">
        <w:tblPrEx>
          <w:tblCellMar>
            <w:top w:w="0" w:type="dxa"/>
            <w:left w:w="108" w:type="dxa"/>
            <w:bottom w:w="0" w:type="dxa"/>
            <w:right w:w="108" w:type="dxa"/>
          </w:tblCellMar>
        </w:tblPrEx>
        <w:trPr>
          <w:trHeight w:val="312" w:hRule="atLeast"/>
        </w:trPr>
        <w:tc>
          <w:tcPr>
            <w:tcW w:w="3384" w:type="pct"/>
            <w:gridSpan w:val="8"/>
            <w:tcBorders>
              <w:top w:val="nil"/>
              <w:left w:val="nil"/>
              <w:bottom w:val="single" w:color="auto" w:sz="4" w:space="0"/>
              <w:right w:val="nil"/>
            </w:tcBorders>
            <w:shd w:val="clear" w:color="auto" w:fill="auto"/>
            <w:noWrap/>
            <w:vAlign w:val="center"/>
          </w:tcPr>
          <w:p w14:paraId="5336524D">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522" w:type="pct"/>
            <w:tcBorders>
              <w:top w:val="nil"/>
              <w:left w:val="nil"/>
              <w:bottom w:val="single" w:color="auto" w:sz="4" w:space="0"/>
              <w:right w:val="nil"/>
            </w:tcBorders>
            <w:shd w:val="clear" w:color="auto" w:fill="auto"/>
            <w:noWrap/>
            <w:vAlign w:val="center"/>
          </w:tcPr>
          <w:p w14:paraId="1B58131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2" w:type="pct"/>
            <w:tcBorders>
              <w:top w:val="nil"/>
              <w:left w:val="nil"/>
              <w:bottom w:val="single" w:color="auto" w:sz="4" w:space="0"/>
              <w:right w:val="nil"/>
            </w:tcBorders>
            <w:shd w:val="clear" w:color="auto" w:fill="auto"/>
            <w:noWrap/>
            <w:vAlign w:val="center"/>
          </w:tcPr>
          <w:p w14:paraId="76F0E079">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71" w:type="pct"/>
            <w:tcBorders>
              <w:top w:val="nil"/>
              <w:left w:val="nil"/>
              <w:bottom w:val="single" w:color="auto" w:sz="4" w:space="0"/>
              <w:right w:val="nil"/>
            </w:tcBorders>
            <w:shd w:val="clear" w:color="auto" w:fill="auto"/>
            <w:noWrap/>
            <w:vAlign w:val="center"/>
          </w:tcPr>
          <w:p w14:paraId="36A3B7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1E3797E6">
        <w:tblPrEx>
          <w:tblCellMar>
            <w:top w:w="0" w:type="dxa"/>
            <w:left w:w="108" w:type="dxa"/>
            <w:bottom w:w="0" w:type="dxa"/>
            <w:right w:w="108" w:type="dxa"/>
          </w:tblCellMar>
        </w:tblPrEx>
        <w:trPr>
          <w:trHeight w:val="322" w:hRule="atLeast"/>
        </w:trPr>
        <w:tc>
          <w:tcPr>
            <w:tcW w:w="188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9BA15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6E3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本年支出合计</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0552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5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E694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5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90D1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上缴上级支出</w:t>
            </w:r>
          </w:p>
        </w:tc>
        <w:tc>
          <w:tcPr>
            <w:tcW w:w="5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ECE5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经营支出</w:t>
            </w:r>
          </w:p>
        </w:tc>
        <w:tc>
          <w:tcPr>
            <w:tcW w:w="5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D596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对附属单位补助支出</w:t>
            </w:r>
          </w:p>
        </w:tc>
      </w:tr>
      <w:tr w14:paraId="5E2CCEC9">
        <w:tblPrEx>
          <w:tblCellMar>
            <w:top w:w="0" w:type="dxa"/>
            <w:left w:w="108" w:type="dxa"/>
            <w:bottom w:w="0" w:type="dxa"/>
            <w:right w:w="108" w:type="dxa"/>
          </w:tblCellMar>
        </w:tblPrEx>
        <w:trPr>
          <w:trHeight w:val="322" w:hRule="atLeast"/>
        </w:trPr>
        <w:tc>
          <w:tcPr>
            <w:tcW w:w="488"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67AF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39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C2A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C81F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E693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4CCD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7EFF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3C0F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3137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1D06BD45">
        <w:tblPrEx>
          <w:tblCellMar>
            <w:top w:w="0" w:type="dxa"/>
            <w:left w:w="108" w:type="dxa"/>
            <w:bottom w:w="0" w:type="dxa"/>
            <w:right w:w="108" w:type="dxa"/>
          </w:tblCellMar>
        </w:tblPrEx>
        <w:trPr>
          <w:trHeight w:val="465" w:hRule="atLeast"/>
        </w:trPr>
        <w:tc>
          <w:tcPr>
            <w:tcW w:w="488"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C916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9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AAC04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F7B9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50A8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7884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99F4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9351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03AA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22B7FEDA">
        <w:tblPrEx>
          <w:tblCellMar>
            <w:top w:w="0" w:type="dxa"/>
            <w:left w:w="108" w:type="dxa"/>
            <w:bottom w:w="0" w:type="dxa"/>
            <w:right w:w="108" w:type="dxa"/>
          </w:tblCellMar>
        </w:tblPrEx>
        <w:trPr>
          <w:trHeight w:val="982" w:hRule="atLeast"/>
        </w:trPr>
        <w:tc>
          <w:tcPr>
            <w:tcW w:w="488"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1611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9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36CEC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52A2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19FC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44A6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7122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A096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C3DD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7BCABEEB">
        <w:tblPrEx>
          <w:tblCellMar>
            <w:top w:w="0" w:type="dxa"/>
            <w:left w:w="108" w:type="dxa"/>
            <w:bottom w:w="0" w:type="dxa"/>
            <w:right w:w="108" w:type="dxa"/>
          </w:tblCellMar>
        </w:tblPrEx>
        <w:trPr>
          <w:trHeight w:val="322" w:hRule="atLeast"/>
        </w:trPr>
        <w:tc>
          <w:tcPr>
            <w:tcW w:w="188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B5628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73C07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006AD9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14:paraId="6D5DAF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0D5821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55FD37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3B0790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14:paraId="3616483C">
        <w:tblPrEx>
          <w:tblCellMar>
            <w:top w:w="0" w:type="dxa"/>
            <w:left w:w="108" w:type="dxa"/>
            <w:bottom w:w="0" w:type="dxa"/>
            <w:right w:w="108" w:type="dxa"/>
          </w:tblCellMar>
        </w:tblPrEx>
        <w:trPr>
          <w:trHeight w:val="643" w:hRule="atLeast"/>
        </w:trPr>
        <w:tc>
          <w:tcPr>
            <w:tcW w:w="188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0645B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4EB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579.38</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6D9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390.30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A1F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189.08</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0DB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5F6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8C1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u w:val="none"/>
                <w:lang w:val="en-US" w:eastAsia="zh-CN" w:bidi="ar"/>
              </w:rPr>
              <w:t>0.00</w:t>
            </w:r>
          </w:p>
        </w:tc>
      </w:tr>
      <w:tr w14:paraId="40A023BC">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9E11C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4D805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9E0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2.20</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B8A3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8E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5C0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FA7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411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E4AB370">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7678A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2BE93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733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4238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527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583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09C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83D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10A167FD">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5FA32B">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258679">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151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8DC0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FCA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733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586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C4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1AE384D">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9CCA1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A6001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609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26.77</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856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26.77</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343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447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C9A9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3D3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7DD5318">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9CB81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EEB814">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A9B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26.77</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75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26.77</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C52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510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BFE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2CE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C0692C4">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21F4CC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27943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B70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17.61</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0766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17.61</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C4D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355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E99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FDF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F407559">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C05DF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2080506</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82F05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2BB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9.16</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F8C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9.16</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D08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C18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67E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5BA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70E1B7B">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5944691">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0E687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卫生健康支出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52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522.02</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23D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340.86</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A41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181.17</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573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2B4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626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F23570F">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F8D88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E0FA0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基层医疗卫生机构</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56A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374.59</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DC9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340.86</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99B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33.73</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DE2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996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029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D872847">
        <w:tblPrEx>
          <w:tblCellMar>
            <w:top w:w="0" w:type="dxa"/>
            <w:left w:w="108" w:type="dxa"/>
            <w:bottom w:w="0" w:type="dxa"/>
            <w:right w:w="108" w:type="dxa"/>
          </w:tblCellMar>
        </w:tblPrEx>
        <w:trPr>
          <w:trHeight w:val="377"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25A38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8511D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乡镇卫生院</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A02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341.62</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099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330.14</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BD2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11.48</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0D2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DE9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7D1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7C437A2A">
        <w:tblPrEx>
          <w:tblCellMar>
            <w:top w:w="0" w:type="dxa"/>
            <w:left w:w="108" w:type="dxa"/>
            <w:bottom w:w="0" w:type="dxa"/>
            <w:right w:w="108" w:type="dxa"/>
          </w:tblCellMar>
        </w:tblPrEx>
        <w:trPr>
          <w:trHeight w:val="447"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C790A8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AB19A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5F3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32.97</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83FC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10.72</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A70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22.25</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B94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9BB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AB9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21CB464B">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892FD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0898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公共卫生</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23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125.44</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A4B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2DC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125.44</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AAE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ED5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A5C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65FF27B6">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F8DE6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67DE3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806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92.81</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D02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7A6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92.81</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C7D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53A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0D7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3C39B3E3">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981C831">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429F9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25F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5.02</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815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626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5.02</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B94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D41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125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051E8BB9">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3446B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98EECB">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430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27.61</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404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CCB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27.61</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D3C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0FF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123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48B1B8B4">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32A2D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18AE9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D8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22.00</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DEF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223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8E4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086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6A7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14:paraId="5FEAE707">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23AFF8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F34DA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720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90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049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A9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D8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EA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C4ADC73">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BA386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65872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7A5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106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C8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71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F5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A1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6E9ABB7">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69867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0DCC3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E10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0C9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38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7F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4E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F7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FFEF141">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CD4F5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1F4E7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739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13E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77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C8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03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21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7D81FF9">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5C977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01729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5D8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AF0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9FB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83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45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C1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68CD956">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346A2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E7B58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569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E5B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73C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03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5B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A5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2B7A78">
        <w:tblPrEx>
          <w:tblCellMar>
            <w:top w:w="0" w:type="dxa"/>
            <w:left w:w="108" w:type="dxa"/>
            <w:bottom w:w="0" w:type="dxa"/>
            <w:right w:w="108" w:type="dxa"/>
          </w:tblCellMar>
        </w:tblPrEx>
        <w:trPr>
          <w:trHeight w:val="322" w:hRule="atLeast"/>
        </w:trPr>
        <w:tc>
          <w:tcPr>
            <w:tcW w:w="4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FBC2F9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13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42506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62B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091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B6F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75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4F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2A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BD1C124">
        <w:tblPrEx>
          <w:tblCellMar>
            <w:top w:w="0" w:type="dxa"/>
            <w:left w:w="108" w:type="dxa"/>
            <w:bottom w:w="0" w:type="dxa"/>
            <w:right w:w="108" w:type="dxa"/>
          </w:tblCellMar>
        </w:tblPrEx>
        <w:trPr>
          <w:trHeight w:val="322" w:hRule="atLeast"/>
        </w:trPr>
        <w:tc>
          <w:tcPr>
            <w:tcW w:w="5000" w:type="pct"/>
            <w:gridSpan w:val="11"/>
            <w:tcBorders>
              <w:top w:val="single" w:color="auto" w:sz="4" w:space="0"/>
              <w:left w:val="nil"/>
              <w:bottom w:val="nil"/>
              <w:right w:val="nil"/>
            </w:tcBorders>
            <w:shd w:val="clear" w:color="auto" w:fill="auto"/>
            <w:noWrap/>
            <w:vAlign w:val="center"/>
          </w:tcPr>
          <w:p w14:paraId="6FD665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注：本表反映部门本年度各项支出情况。</w:t>
            </w:r>
          </w:p>
        </w:tc>
      </w:tr>
    </w:tbl>
    <w:p w14:paraId="0FB87879">
      <w:pPr>
        <w:jc w:val="center"/>
        <w:rPr>
          <w:rFonts w:ascii="仿宋" w:hAnsi="仿宋" w:eastAsia="仿宋" w:cs="仿宋"/>
          <w:color w:val="auto"/>
          <w:sz w:val="24"/>
          <w:highlight w:val="none"/>
        </w:rPr>
      </w:pPr>
    </w:p>
    <w:p w14:paraId="7E8EF4E8">
      <w:pPr>
        <w:jc w:val="center"/>
        <w:rPr>
          <w:rFonts w:ascii="仿宋" w:hAnsi="仿宋" w:eastAsia="仿宋" w:cs="仿宋"/>
          <w:color w:val="auto"/>
          <w:sz w:val="24"/>
          <w:highlight w:val="none"/>
        </w:rPr>
      </w:pPr>
    </w:p>
    <w:p w14:paraId="6E051A3B">
      <w:pPr>
        <w:jc w:val="center"/>
        <w:rPr>
          <w:rFonts w:ascii="仿宋" w:hAnsi="仿宋" w:eastAsia="仿宋" w:cs="仿宋"/>
          <w:color w:val="auto"/>
          <w:sz w:val="24"/>
          <w:highlight w:val="none"/>
        </w:rPr>
      </w:pPr>
    </w:p>
    <w:p w14:paraId="4F626BFC">
      <w:pPr>
        <w:jc w:val="center"/>
        <w:rPr>
          <w:rFonts w:ascii="仿宋" w:hAnsi="仿宋" w:eastAsia="仿宋" w:cs="仿宋"/>
          <w:color w:val="auto"/>
          <w:sz w:val="24"/>
          <w:highlight w:val="none"/>
        </w:rPr>
      </w:pPr>
    </w:p>
    <w:p w14:paraId="41596C3E">
      <w:pPr>
        <w:jc w:val="center"/>
        <w:rPr>
          <w:rFonts w:ascii="仿宋" w:hAnsi="仿宋" w:eastAsia="仿宋" w:cs="仿宋"/>
          <w:color w:val="auto"/>
          <w:sz w:val="24"/>
          <w:highlight w:val="none"/>
        </w:rPr>
      </w:pPr>
    </w:p>
    <w:p w14:paraId="18DD73E4">
      <w:pPr>
        <w:jc w:val="center"/>
        <w:rPr>
          <w:rFonts w:ascii="仿宋" w:hAnsi="仿宋" w:eastAsia="仿宋" w:cs="仿宋"/>
          <w:color w:val="auto"/>
          <w:sz w:val="24"/>
          <w:highlight w:val="none"/>
        </w:rPr>
      </w:pPr>
    </w:p>
    <w:p w14:paraId="154E2E06">
      <w:pPr>
        <w:jc w:val="center"/>
        <w:rPr>
          <w:rFonts w:ascii="仿宋" w:hAnsi="仿宋" w:eastAsia="仿宋" w:cs="仿宋"/>
          <w:color w:val="auto"/>
          <w:sz w:val="24"/>
          <w:highlight w:val="none"/>
        </w:rPr>
      </w:pPr>
    </w:p>
    <w:p w14:paraId="637B6107">
      <w:pPr>
        <w:jc w:val="center"/>
        <w:rPr>
          <w:rFonts w:ascii="仿宋" w:hAnsi="仿宋" w:eastAsia="仿宋" w:cs="仿宋"/>
          <w:color w:val="auto"/>
          <w:sz w:val="24"/>
          <w:highlight w:val="none"/>
        </w:rPr>
      </w:pPr>
    </w:p>
    <w:p w14:paraId="6DA1B134">
      <w:pPr>
        <w:jc w:val="center"/>
        <w:rPr>
          <w:rFonts w:ascii="仿宋" w:hAnsi="仿宋" w:eastAsia="仿宋" w:cs="仿宋"/>
          <w:color w:val="auto"/>
          <w:sz w:val="24"/>
          <w:highlight w:val="none"/>
        </w:rPr>
      </w:pPr>
    </w:p>
    <w:p w14:paraId="77C06E92">
      <w:pPr>
        <w:jc w:val="center"/>
        <w:rPr>
          <w:rFonts w:ascii="仿宋" w:hAnsi="仿宋" w:eastAsia="仿宋" w:cs="仿宋"/>
          <w:color w:val="auto"/>
          <w:sz w:val="24"/>
          <w:highlight w:val="none"/>
        </w:rPr>
      </w:pPr>
    </w:p>
    <w:p w14:paraId="6D0063A4">
      <w:pPr>
        <w:jc w:val="both"/>
        <w:rPr>
          <w:rFonts w:ascii="仿宋" w:hAnsi="仿宋" w:eastAsia="仿宋" w:cs="仿宋"/>
          <w:color w:val="auto"/>
          <w:sz w:val="24"/>
          <w:highlight w:val="none"/>
        </w:rPr>
      </w:pPr>
    </w:p>
    <w:p w14:paraId="52AEAD64">
      <w:pPr>
        <w:jc w:val="center"/>
        <w:rPr>
          <w:rFonts w:ascii="仿宋" w:hAnsi="仿宋" w:eastAsia="仿宋" w:cs="仿宋"/>
          <w:color w:val="auto"/>
          <w:sz w:val="24"/>
          <w:highlight w:val="none"/>
        </w:rPr>
      </w:pPr>
    </w:p>
    <w:p w14:paraId="2CA3C5E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14:paraId="216E9303">
      <w:pPr>
        <w:jc w:val="left"/>
        <w:rPr>
          <w:rFonts w:hint="eastAsia" w:ascii="仿宋" w:hAnsi="仿宋" w:eastAsia="仿宋" w:cs="仿宋"/>
          <w:color w:val="auto"/>
          <w:sz w:val="24"/>
          <w:highlight w:val="none"/>
        </w:rPr>
      </w:pPr>
    </w:p>
    <w:tbl>
      <w:tblPr>
        <w:tblStyle w:val="8"/>
        <w:tblW w:w="5055" w:type="pct"/>
        <w:tblInd w:w="0" w:type="dxa"/>
        <w:tblLayout w:type="fixed"/>
        <w:tblCellMar>
          <w:top w:w="0" w:type="dxa"/>
          <w:left w:w="108" w:type="dxa"/>
          <w:bottom w:w="0" w:type="dxa"/>
          <w:right w:w="108" w:type="dxa"/>
        </w:tblCellMar>
      </w:tblPr>
      <w:tblGrid>
        <w:gridCol w:w="3256"/>
        <w:gridCol w:w="719"/>
        <w:gridCol w:w="1175"/>
        <w:gridCol w:w="3474"/>
        <w:gridCol w:w="777"/>
        <w:gridCol w:w="1000"/>
        <w:gridCol w:w="1545"/>
        <w:gridCol w:w="1576"/>
        <w:gridCol w:w="808"/>
      </w:tblGrid>
      <w:tr w14:paraId="428AD8AD">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5F735E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14:paraId="7D25347E">
        <w:tblPrEx>
          <w:tblCellMar>
            <w:top w:w="0" w:type="dxa"/>
            <w:left w:w="108" w:type="dxa"/>
            <w:bottom w:w="0" w:type="dxa"/>
            <w:right w:w="108" w:type="dxa"/>
          </w:tblCellMar>
        </w:tblPrEx>
        <w:trPr>
          <w:trHeight w:val="260" w:hRule="atLeast"/>
        </w:trPr>
        <w:tc>
          <w:tcPr>
            <w:tcW w:w="1136" w:type="pct"/>
            <w:tcBorders>
              <w:top w:val="nil"/>
              <w:left w:val="nil"/>
              <w:bottom w:val="nil"/>
              <w:right w:val="nil"/>
            </w:tcBorders>
            <w:shd w:val="clear" w:color="auto" w:fill="auto"/>
            <w:noWrap/>
            <w:vAlign w:val="bottom"/>
          </w:tcPr>
          <w:p w14:paraId="55153F09">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50" w:type="pct"/>
            <w:tcBorders>
              <w:top w:val="nil"/>
              <w:left w:val="nil"/>
              <w:bottom w:val="nil"/>
              <w:right w:val="nil"/>
            </w:tcBorders>
            <w:shd w:val="clear" w:color="auto" w:fill="auto"/>
            <w:noWrap/>
            <w:vAlign w:val="bottom"/>
          </w:tcPr>
          <w:p w14:paraId="3ED3EAE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09" w:type="pct"/>
            <w:tcBorders>
              <w:top w:val="nil"/>
              <w:left w:val="nil"/>
              <w:bottom w:val="nil"/>
              <w:right w:val="nil"/>
            </w:tcBorders>
            <w:shd w:val="clear" w:color="auto" w:fill="auto"/>
            <w:noWrap/>
            <w:vAlign w:val="bottom"/>
          </w:tcPr>
          <w:p w14:paraId="50096524">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12" w:type="pct"/>
            <w:tcBorders>
              <w:top w:val="nil"/>
              <w:left w:val="nil"/>
              <w:bottom w:val="nil"/>
              <w:right w:val="nil"/>
            </w:tcBorders>
            <w:shd w:val="clear" w:color="auto" w:fill="auto"/>
            <w:noWrap/>
            <w:vAlign w:val="bottom"/>
          </w:tcPr>
          <w:p w14:paraId="5E47F728">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1" w:type="pct"/>
            <w:tcBorders>
              <w:top w:val="nil"/>
              <w:left w:val="nil"/>
              <w:bottom w:val="nil"/>
              <w:right w:val="nil"/>
            </w:tcBorders>
            <w:shd w:val="clear" w:color="auto" w:fill="auto"/>
            <w:noWrap/>
            <w:vAlign w:val="bottom"/>
          </w:tcPr>
          <w:p w14:paraId="476FC5CF">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8" w:type="pct"/>
            <w:tcBorders>
              <w:top w:val="nil"/>
              <w:left w:val="nil"/>
              <w:bottom w:val="nil"/>
              <w:right w:val="nil"/>
            </w:tcBorders>
            <w:shd w:val="clear" w:color="auto" w:fill="auto"/>
            <w:noWrap/>
            <w:vAlign w:val="bottom"/>
          </w:tcPr>
          <w:p w14:paraId="48228CA6">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39" w:type="pct"/>
            <w:tcBorders>
              <w:top w:val="nil"/>
              <w:left w:val="nil"/>
              <w:bottom w:val="nil"/>
              <w:right w:val="nil"/>
            </w:tcBorders>
            <w:shd w:val="clear" w:color="auto" w:fill="auto"/>
            <w:noWrap/>
            <w:vAlign w:val="bottom"/>
          </w:tcPr>
          <w:p w14:paraId="240FA95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31" w:type="pct"/>
            <w:gridSpan w:val="2"/>
            <w:tcBorders>
              <w:top w:val="nil"/>
              <w:left w:val="nil"/>
              <w:bottom w:val="nil"/>
              <w:right w:val="nil"/>
            </w:tcBorders>
            <w:shd w:val="clear" w:color="auto" w:fill="auto"/>
            <w:noWrap/>
            <w:vAlign w:val="bottom"/>
          </w:tcPr>
          <w:p w14:paraId="0A80F7D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14:paraId="6984FA5C">
        <w:tblPrEx>
          <w:tblCellMar>
            <w:top w:w="0" w:type="dxa"/>
            <w:left w:w="108" w:type="dxa"/>
            <w:bottom w:w="0" w:type="dxa"/>
            <w:right w:w="108" w:type="dxa"/>
          </w:tblCellMar>
        </w:tblPrEx>
        <w:trPr>
          <w:trHeight w:val="260" w:hRule="atLeast"/>
        </w:trPr>
        <w:tc>
          <w:tcPr>
            <w:tcW w:w="3629" w:type="pct"/>
            <w:gridSpan w:val="6"/>
            <w:tcBorders>
              <w:top w:val="nil"/>
              <w:left w:val="nil"/>
              <w:bottom w:val="single" w:color="auto" w:sz="4" w:space="0"/>
              <w:right w:val="nil"/>
            </w:tcBorders>
            <w:shd w:val="clear" w:color="auto" w:fill="auto"/>
            <w:noWrap/>
            <w:vAlign w:val="bottom"/>
          </w:tcPr>
          <w:p w14:paraId="77A7733A">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539" w:type="pct"/>
            <w:tcBorders>
              <w:top w:val="nil"/>
              <w:left w:val="nil"/>
              <w:bottom w:val="single" w:color="auto" w:sz="4" w:space="0"/>
              <w:right w:val="nil"/>
            </w:tcBorders>
            <w:shd w:val="clear" w:color="auto" w:fill="auto"/>
            <w:noWrap/>
            <w:vAlign w:val="bottom"/>
          </w:tcPr>
          <w:p w14:paraId="22F77BC0">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31" w:type="pct"/>
            <w:gridSpan w:val="2"/>
            <w:tcBorders>
              <w:top w:val="nil"/>
              <w:left w:val="nil"/>
              <w:bottom w:val="single" w:color="auto" w:sz="4" w:space="0"/>
              <w:right w:val="nil"/>
            </w:tcBorders>
            <w:shd w:val="clear" w:color="auto" w:fill="auto"/>
            <w:noWrap/>
            <w:vAlign w:val="bottom"/>
          </w:tcPr>
          <w:p w14:paraId="1CBBEB5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67C3521A">
        <w:tblPrEx>
          <w:tblCellMar>
            <w:top w:w="0" w:type="dxa"/>
            <w:left w:w="108" w:type="dxa"/>
            <w:bottom w:w="0" w:type="dxa"/>
            <w:right w:w="108" w:type="dxa"/>
          </w:tblCellMar>
        </w:tblPrEx>
        <w:trPr>
          <w:trHeight w:val="268" w:hRule="atLeast"/>
        </w:trPr>
        <w:tc>
          <w:tcPr>
            <w:tcW w:w="1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C9A8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     入</w:t>
            </w:r>
          </w:p>
        </w:tc>
        <w:tc>
          <w:tcPr>
            <w:tcW w:w="3203"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45297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     出</w:t>
            </w:r>
          </w:p>
        </w:tc>
      </w:tr>
      <w:tr w14:paraId="1D385E2A">
        <w:tblPrEx>
          <w:tblCellMar>
            <w:top w:w="0" w:type="dxa"/>
            <w:left w:w="108" w:type="dxa"/>
            <w:bottom w:w="0" w:type="dxa"/>
            <w:right w:w="108" w:type="dxa"/>
          </w:tblCellMar>
        </w:tblPrEx>
        <w:trPr>
          <w:trHeight w:val="312" w:hRule="atLeast"/>
        </w:trPr>
        <w:tc>
          <w:tcPr>
            <w:tcW w:w="11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289C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3F62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4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AFF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1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FB81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4CB0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34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365F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5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301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一般公共预算财政拨款</w:t>
            </w:r>
          </w:p>
        </w:tc>
        <w:tc>
          <w:tcPr>
            <w:tcW w:w="5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37A9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政府性基金预算财政拨款</w:t>
            </w:r>
          </w:p>
        </w:tc>
        <w:tc>
          <w:tcPr>
            <w:tcW w:w="2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A03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国有资本经营预算财政拨款</w:t>
            </w:r>
          </w:p>
        </w:tc>
      </w:tr>
      <w:tr w14:paraId="535C9F31">
        <w:tblPrEx>
          <w:tblCellMar>
            <w:top w:w="0" w:type="dxa"/>
            <w:left w:w="108" w:type="dxa"/>
            <w:bottom w:w="0" w:type="dxa"/>
            <w:right w:w="108" w:type="dxa"/>
          </w:tblCellMar>
        </w:tblPrEx>
        <w:trPr>
          <w:trHeight w:val="536" w:hRule="atLeast"/>
        </w:trPr>
        <w:tc>
          <w:tcPr>
            <w:tcW w:w="11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3FFB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B30E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0182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B261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C97B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4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F5169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0B58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6F8F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ED76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0D565D0">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FC8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CA19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C3AA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14A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3A95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9CC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E08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BC7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DEA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14:paraId="491A4806">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C3B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一、一般公共预算财政拨款</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F410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188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361.32</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602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一、一般公共服务支出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ECE5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33</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684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val="en-US" w:bidi="ar"/>
              </w:rPr>
            </w:pPr>
            <w:r>
              <w:rPr>
                <w:rFonts w:hint="eastAsia" w:ascii="宋体" w:hAnsi="宋体" w:eastAsia="宋体" w:cs="宋体"/>
                <w:i w:val="0"/>
                <w:iCs w:val="0"/>
                <w:color w:val="auto"/>
                <w:kern w:val="0"/>
                <w:sz w:val="22"/>
                <w:szCs w:val="22"/>
                <w:u w:val="none"/>
                <w:lang w:val="en-US" w:eastAsia="zh-CN" w:bidi="ar"/>
              </w:rPr>
              <w:t>2.20</w:t>
            </w: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FEF2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2.20</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D2A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DB4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1FB75F43">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0A5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二、政府性基金预算财政拨款</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0059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B8A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EB4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二、外交支出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9561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34</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DC2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D62F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D55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75B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3D0DAEA0">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778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三、国有资本经营预算财政拨款</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35B8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BAF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350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三、国防支出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A81AE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35</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D0E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BF0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5C9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153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38DFA8C3">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289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589C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51F35">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4A9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四、公共安全支出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C74C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36</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E10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0A50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E1D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ADB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60C3F647">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DE7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0829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5A2E6">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95C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五、教育支出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FF20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37</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068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AF47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335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CC0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010FD1DB">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233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2B90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B5935">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E41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六、科学技术支出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3459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38</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F4D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2806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817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460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21FE44F4">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0E3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9129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1395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68C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七、文化旅游体育与传媒支出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46DD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39</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A03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FECD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DEC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58A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7F61AF82">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387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5476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F8833">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08D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八、社会保障和就业支出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FEDC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40</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768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26.77</w:t>
            </w: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5F26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26.77</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7DF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2E0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77A1ACDD">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FD9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B2C4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5EB4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481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九、卫生健康支出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CD88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41</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878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303.96</w:t>
            </w: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76E8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u w:val="none"/>
                <w:lang w:val="en-US" w:eastAsia="zh-CN" w:bidi="ar"/>
              </w:rPr>
              <w:t>303.96</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F6B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A06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11FA3A7D">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DA7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FFB7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DE80F">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681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十、节能环保支出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D21E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42</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24F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E38C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0F3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37B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55C62874">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29E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8AE0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847F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BE0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十一、城乡社区支出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5B9F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43</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DAE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61BB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val="en-US" w:eastAsia="zh-CN"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894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CD5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70A7E451">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482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F40D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3AC1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387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十二、农林水支出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5E57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44</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C58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23E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756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EA8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45A36998">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8DC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37CC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69BFF">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1F6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十三、交通运输支出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FB47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45</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BA1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F59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F9E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845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29AB2AA5">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2C3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FE8B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49CC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322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十四、资源勘探工业信息等支出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ABFF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46</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3278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63C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E37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31F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327579B1">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7AD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A81D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3B26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6A1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十五、商业服务业等支出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CDF4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47</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833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761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F04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EDD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1F38FA9A">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E2F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9FD5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98EF8">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80B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十六、金融支出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41A0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48</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B33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6E8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858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02B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58442FB3">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255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B6D6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58E08">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91A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十七、援助其他地区支出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DFCB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49</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541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D44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B49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2D7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11630E87">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26E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D334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04492">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EF8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十八、自然资源海洋气象等支出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6D51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50</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CA0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4AA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9F7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CD7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335A6C2B">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22C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C799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4B975">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2A1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十九、住房保障支出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6FC7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51</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993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15.67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C54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15.67</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DF5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11F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2D17675E">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FAB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BA8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57F32">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104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二十、粮油物资储备支出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D3AD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52</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78C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3B3A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7DE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C5C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5399A54B">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8D8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A39A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A38C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727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二十一、国有资本经营预算支出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2A04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53</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1F4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8C7D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34D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CC3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646E108B">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E0B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8FDF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85B9B">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163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二十二、灾害防治及应急管理支出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10F5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54</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402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D2F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E1B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85C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786D7879">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548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A732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836F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AAE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二十三、其他支出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0935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55</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28E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12.72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B85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12.72</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996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76C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7066E0BA">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C8D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7A4C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3835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63A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二十四、债务还本支出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340B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56</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1EF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E49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372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748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11B1BE28">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145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3A88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9557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8FB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二十五、债务付息支出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F1D1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57</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900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01A8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62C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FA2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67B65D7F">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2EF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8177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9FA9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3FA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二十六、抗疫特别国债安排的支出</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70F7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58</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7FE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750D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A7E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B05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5587F4D3">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53A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本年收入合计</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E369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D71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361.32</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089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b/>
                <w:bCs/>
                <w:color w:val="auto"/>
                <w:kern w:val="0"/>
                <w:sz w:val="22"/>
                <w:szCs w:val="22"/>
                <w:highlight w:val="none"/>
                <w:lang w:bidi="ar"/>
              </w:rPr>
              <w:t>本年支出合计</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5742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59</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F54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361.32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97B0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361.32</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C73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37E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596BBBDB">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F90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年初财政拨款结转和结余</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D9C0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64C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4A1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年末财政拨款结转和结余</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939B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60</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2AF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E72B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38F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DB2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31214635">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CCF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一般公共预算财政拨款</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A765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572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4CB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A04D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61</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FC6A6">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AB1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90F09">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E990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r>
      <w:tr w14:paraId="4AEE8995">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6F5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政府性基金预算财政拨款</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77AB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AD4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AC2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1423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62</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AC2BF">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F53F8">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F0083">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B6022">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r>
      <w:tr w14:paraId="2F4A6E80">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73A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国有资本经营预算财政拨款</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743E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F06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63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FDD9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63</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4E40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913B5">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0"/>
                <w:sz w:val="22"/>
                <w:szCs w:val="22"/>
                <w:highlight w:val="none"/>
                <w:lang w:bidi="ar"/>
              </w:rPr>
            </w:pP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F691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82429">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bidi="ar"/>
              </w:rPr>
            </w:pPr>
          </w:p>
        </w:tc>
      </w:tr>
      <w:tr w14:paraId="407373DA">
        <w:tblPrEx>
          <w:tblCellMar>
            <w:top w:w="0" w:type="dxa"/>
            <w:left w:w="108" w:type="dxa"/>
            <w:bottom w:w="0" w:type="dxa"/>
            <w:right w:w="108" w:type="dxa"/>
          </w:tblCellMar>
        </w:tblPrEx>
        <w:trPr>
          <w:trHeight w:val="268"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8AF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总计</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DBC0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A53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361.32</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843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b/>
                <w:bCs/>
                <w:color w:val="auto"/>
                <w:kern w:val="0"/>
                <w:sz w:val="22"/>
                <w:szCs w:val="22"/>
                <w:highlight w:val="none"/>
                <w:lang w:bidi="ar"/>
              </w:rPr>
              <w:t>总计</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0467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64</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504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361.32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4454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361.32</w:t>
            </w:r>
          </w:p>
        </w:tc>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190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662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r>
      <w:tr w14:paraId="55BFE014">
        <w:tblPrEx>
          <w:tblCellMar>
            <w:top w:w="0" w:type="dxa"/>
            <w:left w:w="108" w:type="dxa"/>
            <w:bottom w:w="0" w:type="dxa"/>
            <w:right w:w="108" w:type="dxa"/>
          </w:tblCellMar>
        </w:tblPrEx>
        <w:trPr>
          <w:trHeight w:val="268" w:hRule="atLeast"/>
        </w:trPr>
        <w:tc>
          <w:tcPr>
            <w:tcW w:w="4718" w:type="pct"/>
            <w:gridSpan w:val="8"/>
            <w:tcBorders>
              <w:top w:val="single" w:color="auto" w:sz="4" w:space="0"/>
              <w:left w:val="nil"/>
              <w:bottom w:val="nil"/>
              <w:right w:val="nil"/>
            </w:tcBorders>
            <w:shd w:val="clear" w:color="auto" w:fill="auto"/>
            <w:noWrap/>
            <w:vAlign w:val="center"/>
          </w:tcPr>
          <w:p w14:paraId="02B172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注：本表反映部门本年度一般公共预算财政拨款、政府性基金预算财政拨款和国有资本经营预算财政拨款的总收支和年末结转结余情况。</w:t>
            </w:r>
          </w:p>
          <w:p w14:paraId="1D6140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281" w:type="pct"/>
            <w:tcBorders>
              <w:top w:val="single" w:color="auto" w:sz="4" w:space="0"/>
              <w:left w:val="nil"/>
              <w:bottom w:val="nil"/>
              <w:right w:val="nil"/>
            </w:tcBorders>
            <w:shd w:val="clear" w:color="auto" w:fill="auto"/>
            <w:noWrap/>
            <w:vAlign w:val="center"/>
          </w:tcPr>
          <w:p w14:paraId="15355E6D">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14:paraId="2E0D6BB6">
      <w:pPr>
        <w:jc w:val="left"/>
        <w:rPr>
          <w:rFonts w:ascii="仿宋" w:hAnsi="仿宋" w:eastAsia="仿宋" w:cs="仿宋"/>
          <w:color w:val="auto"/>
          <w:sz w:val="24"/>
          <w:highlight w:val="none"/>
        </w:rPr>
      </w:pPr>
    </w:p>
    <w:p w14:paraId="4A9A2274">
      <w:pPr>
        <w:rPr>
          <w:rFonts w:ascii="仿宋" w:hAnsi="仿宋" w:eastAsia="仿宋" w:cs="仿宋"/>
          <w:color w:val="auto"/>
          <w:sz w:val="24"/>
          <w:highlight w:val="none"/>
        </w:rPr>
      </w:pPr>
      <w:r>
        <w:rPr>
          <w:rFonts w:ascii="仿宋" w:hAnsi="仿宋" w:eastAsia="仿宋" w:cs="仿宋"/>
          <w:color w:val="auto"/>
          <w:sz w:val="24"/>
          <w:highlight w:val="none"/>
        </w:rPr>
        <w:br w:type="page"/>
      </w:r>
    </w:p>
    <w:p w14:paraId="3D13436C">
      <w:pPr>
        <w:jc w:val="left"/>
        <w:rPr>
          <w:rFonts w:hint="eastAsia" w:ascii="仿宋" w:hAnsi="仿宋" w:eastAsia="仿宋" w:cs="仿宋"/>
          <w:color w:val="auto"/>
          <w:sz w:val="24"/>
          <w:highlight w:val="none"/>
        </w:rPr>
      </w:pPr>
    </w:p>
    <w:tbl>
      <w:tblPr>
        <w:tblStyle w:val="8"/>
        <w:tblW w:w="5000" w:type="pct"/>
        <w:tblInd w:w="0" w:type="dxa"/>
        <w:tblLayout w:type="autofit"/>
        <w:tblCellMar>
          <w:top w:w="0" w:type="dxa"/>
          <w:left w:w="108" w:type="dxa"/>
          <w:bottom w:w="0" w:type="dxa"/>
          <w:right w:w="108" w:type="dxa"/>
        </w:tblCellMar>
      </w:tblPr>
      <w:tblGrid>
        <w:gridCol w:w="1751"/>
        <w:gridCol w:w="385"/>
        <w:gridCol w:w="332"/>
        <w:gridCol w:w="332"/>
        <w:gridCol w:w="2906"/>
        <w:gridCol w:w="2937"/>
        <w:gridCol w:w="2866"/>
        <w:gridCol w:w="2665"/>
      </w:tblGrid>
      <w:tr w14:paraId="3613A32A">
        <w:tblPrEx>
          <w:tblCellMar>
            <w:top w:w="0" w:type="dxa"/>
            <w:left w:w="108" w:type="dxa"/>
            <w:bottom w:w="0" w:type="dxa"/>
            <w:right w:w="108" w:type="dxa"/>
          </w:tblCellMar>
        </w:tblPrEx>
        <w:trPr>
          <w:trHeight w:val="693" w:hRule="atLeast"/>
        </w:trPr>
        <w:tc>
          <w:tcPr>
            <w:tcW w:w="5000" w:type="pct"/>
            <w:gridSpan w:val="8"/>
            <w:tcBorders>
              <w:top w:val="nil"/>
              <w:left w:val="nil"/>
              <w:bottom w:val="nil"/>
              <w:right w:val="nil"/>
            </w:tcBorders>
            <w:shd w:val="clear" w:color="auto" w:fill="auto"/>
            <w:noWrap/>
            <w:vAlign w:val="bottom"/>
          </w:tcPr>
          <w:p w14:paraId="6F25F6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一般公共预算财政拨款支出决算表</w:t>
            </w:r>
          </w:p>
        </w:tc>
      </w:tr>
      <w:tr w14:paraId="25DC7AC8">
        <w:tblPrEx>
          <w:tblCellMar>
            <w:top w:w="0" w:type="dxa"/>
            <w:left w:w="108" w:type="dxa"/>
            <w:bottom w:w="0" w:type="dxa"/>
            <w:right w:w="108" w:type="dxa"/>
          </w:tblCellMar>
        </w:tblPrEx>
        <w:trPr>
          <w:trHeight w:val="346" w:hRule="atLeast"/>
        </w:trPr>
        <w:tc>
          <w:tcPr>
            <w:tcW w:w="754" w:type="pct"/>
            <w:gridSpan w:val="2"/>
            <w:tcBorders>
              <w:top w:val="nil"/>
              <w:left w:val="nil"/>
              <w:bottom w:val="nil"/>
              <w:right w:val="nil"/>
            </w:tcBorders>
            <w:shd w:val="clear" w:color="auto" w:fill="auto"/>
            <w:noWrap/>
            <w:vAlign w:val="bottom"/>
          </w:tcPr>
          <w:p w14:paraId="5B904086">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 w:type="pct"/>
            <w:tcBorders>
              <w:top w:val="nil"/>
              <w:left w:val="nil"/>
              <w:bottom w:val="nil"/>
              <w:right w:val="nil"/>
            </w:tcBorders>
            <w:shd w:val="clear" w:color="auto" w:fill="auto"/>
            <w:noWrap/>
            <w:vAlign w:val="bottom"/>
          </w:tcPr>
          <w:p w14:paraId="0C47E7C3">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 w:type="pct"/>
            <w:tcBorders>
              <w:top w:val="nil"/>
              <w:left w:val="nil"/>
              <w:bottom w:val="nil"/>
              <w:right w:val="nil"/>
            </w:tcBorders>
            <w:shd w:val="clear" w:color="auto" w:fill="auto"/>
            <w:noWrap/>
            <w:vAlign w:val="bottom"/>
          </w:tcPr>
          <w:p w14:paraId="4E464336">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24" w:type="pct"/>
            <w:tcBorders>
              <w:top w:val="nil"/>
              <w:left w:val="nil"/>
              <w:bottom w:val="nil"/>
              <w:right w:val="nil"/>
            </w:tcBorders>
            <w:shd w:val="clear" w:color="auto" w:fill="auto"/>
            <w:noWrap/>
            <w:vAlign w:val="bottom"/>
          </w:tcPr>
          <w:p w14:paraId="22F61380">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35" w:type="pct"/>
            <w:tcBorders>
              <w:top w:val="nil"/>
              <w:left w:val="nil"/>
              <w:bottom w:val="nil"/>
              <w:right w:val="nil"/>
            </w:tcBorders>
            <w:shd w:val="clear" w:color="auto" w:fill="auto"/>
            <w:noWrap/>
            <w:vAlign w:val="bottom"/>
          </w:tcPr>
          <w:p w14:paraId="4B5EB127">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11" w:type="pct"/>
            <w:tcBorders>
              <w:top w:val="nil"/>
              <w:left w:val="nil"/>
              <w:bottom w:val="nil"/>
              <w:right w:val="nil"/>
            </w:tcBorders>
            <w:shd w:val="clear" w:color="auto" w:fill="auto"/>
            <w:noWrap/>
            <w:vAlign w:val="bottom"/>
          </w:tcPr>
          <w:p w14:paraId="7D79C03B">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938" w:type="pct"/>
            <w:tcBorders>
              <w:top w:val="nil"/>
              <w:left w:val="nil"/>
              <w:bottom w:val="nil"/>
              <w:right w:val="nil"/>
            </w:tcBorders>
            <w:shd w:val="clear" w:color="auto" w:fill="auto"/>
            <w:noWrap/>
            <w:vAlign w:val="bottom"/>
          </w:tcPr>
          <w:p w14:paraId="71D33E1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公开05表</w:t>
            </w:r>
          </w:p>
        </w:tc>
      </w:tr>
      <w:tr w14:paraId="4A01E318">
        <w:tblPrEx>
          <w:tblCellMar>
            <w:top w:w="0" w:type="dxa"/>
            <w:left w:w="108" w:type="dxa"/>
            <w:bottom w:w="0" w:type="dxa"/>
            <w:right w:w="108" w:type="dxa"/>
          </w:tblCellMar>
        </w:tblPrEx>
        <w:trPr>
          <w:trHeight w:val="346" w:hRule="atLeast"/>
        </w:trPr>
        <w:tc>
          <w:tcPr>
            <w:tcW w:w="3049" w:type="pct"/>
            <w:gridSpan w:val="6"/>
            <w:tcBorders>
              <w:top w:val="nil"/>
              <w:left w:val="nil"/>
              <w:bottom w:val="single" w:color="auto" w:sz="4" w:space="0"/>
              <w:right w:val="nil"/>
            </w:tcBorders>
            <w:shd w:val="clear" w:color="auto" w:fill="auto"/>
            <w:noWrap/>
            <w:vAlign w:val="bottom"/>
          </w:tcPr>
          <w:p w14:paraId="221460A8">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011" w:type="pct"/>
            <w:tcBorders>
              <w:top w:val="nil"/>
              <w:left w:val="nil"/>
              <w:bottom w:val="single" w:color="auto" w:sz="4" w:space="0"/>
              <w:right w:val="nil"/>
            </w:tcBorders>
            <w:shd w:val="clear" w:color="auto" w:fill="auto"/>
            <w:noWrap/>
            <w:vAlign w:val="bottom"/>
          </w:tcPr>
          <w:p w14:paraId="426F0AAF">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938" w:type="pct"/>
            <w:tcBorders>
              <w:top w:val="nil"/>
              <w:left w:val="nil"/>
              <w:bottom w:val="single" w:color="auto" w:sz="4" w:space="0"/>
              <w:right w:val="nil"/>
            </w:tcBorders>
            <w:shd w:val="clear" w:color="auto" w:fill="auto"/>
            <w:noWrap/>
            <w:vAlign w:val="bottom"/>
          </w:tcPr>
          <w:p w14:paraId="46E2B17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010201CC">
        <w:tblPrEx>
          <w:tblCellMar>
            <w:top w:w="0" w:type="dxa"/>
            <w:left w:w="108" w:type="dxa"/>
            <w:bottom w:w="0" w:type="dxa"/>
            <w:right w:w="108" w:type="dxa"/>
          </w:tblCellMar>
        </w:tblPrEx>
        <w:trPr>
          <w:trHeight w:val="358" w:hRule="atLeast"/>
        </w:trPr>
        <w:tc>
          <w:tcPr>
            <w:tcW w:w="201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D221A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9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C528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14:paraId="44A03E82">
        <w:tblPrEx>
          <w:tblCellMar>
            <w:top w:w="0" w:type="dxa"/>
            <w:left w:w="108" w:type="dxa"/>
            <w:bottom w:w="0" w:type="dxa"/>
            <w:right w:w="108" w:type="dxa"/>
          </w:tblCellMar>
        </w:tblPrEx>
        <w:trPr>
          <w:trHeight w:val="353" w:hRule="atLeast"/>
        </w:trPr>
        <w:tc>
          <w:tcPr>
            <w:tcW w:w="6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3115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395"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3DA9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0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D557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0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2937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3A0A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14:paraId="353BCC88">
        <w:tblPrEx>
          <w:tblCellMar>
            <w:top w:w="0" w:type="dxa"/>
            <w:left w:w="108" w:type="dxa"/>
            <w:bottom w:w="0" w:type="dxa"/>
            <w:right w:w="108" w:type="dxa"/>
          </w:tblCellMar>
        </w:tblPrEx>
        <w:trPr>
          <w:trHeight w:val="319" w:hRule="atLeast"/>
        </w:trPr>
        <w:tc>
          <w:tcPr>
            <w:tcW w:w="6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8F20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95"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08416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EF1E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7267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A650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2FA837EC">
        <w:tblPrEx>
          <w:tblCellMar>
            <w:top w:w="0" w:type="dxa"/>
            <w:left w:w="108" w:type="dxa"/>
            <w:bottom w:w="0" w:type="dxa"/>
            <w:right w:w="108" w:type="dxa"/>
          </w:tblCellMar>
        </w:tblPrEx>
        <w:trPr>
          <w:trHeight w:val="478" w:hRule="atLeast"/>
        </w:trPr>
        <w:tc>
          <w:tcPr>
            <w:tcW w:w="6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5C96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95"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E57DA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EAB5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1FEA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2000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7110399A">
        <w:tblPrEx>
          <w:tblCellMar>
            <w:top w:w="0" w:type="dxa"/>
            <w:left w:w="108" w:type="dxa"/>
            <w:bottom w:w="0" w:type="dxa"/>
            <w:right w:w="108" w:type="dxa"/>
          </w:tblCellMar>
        </w:tblPrEx>
        <w:trPr>
          <w:trHeight w:val="358" w:hRule="atLeast"/>
        </w:trPr>
        <w:tc>
          <w:tcPr>
            <w:tcW w:w="201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60C7B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29C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EF3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FBB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14:paraId="2901CC7D">
        <w:tblPrEx>
          <w:tblCellMar>
            <w:top w:w="0" w:type="dxa"/>
            <w:left w:w="108" w:type="dxa"/>
            <w:bottom w:w="0" w:type="dxa"/>
            <w:right w:w="108" w:type="dxa"/>
          </w:tblCellMar>
        </w:tblPrEx>
        <w:trPr>
          <w:trHeight w:val="358" w:hRule="atLeast"/>
        </w:trPr>
        <w:tc>
          <w:tcPr>
            <w:tcW w:w="201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2AAB0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022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361.32</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16B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172.24</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BA6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2"/>
                <w:szCs w:val="22"/>
                <w:highlight w:val="none"/>
                <w:lang w:val="en-US"/>
              </w:rPr>
            </w:pPr>
            <w:r>
              <w:rPr>
                <w:rFonts w:hint="eastAsia" w:ascii="宋体" w:hAnsi="宋体" w:eastAsia="宋体" w:cs="宋体"/>
                <w:b/>
                <w:bCs/>
                <w:i w:val="0"/>
                <w:iCs w:val="0"/>
                <w:color w:val="auto"/>
                <w:kern w:val="0"/>
                <w:sz w:val="22"/>
                <w:szCs w:val="22"/>
                <w:u w:val="none"/>
                <w:lang w:val="en-US" w:eastAsia="zh-CN" w:bidi="ar"/>
              </w:rPr>
              <w:t>189.08</w:t>
            </w:r>
          </w:p>
        </w:tc>
      </w:tr>
      <w:tr w14:paraId="4C80596A">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4A25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F7DC7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F8E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2.20</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3FC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2.20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0CB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BC7110A">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B58F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F563E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7FC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577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2.20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695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133A85B">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FD4B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6B0451B">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B42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F383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2.20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B29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275D58F">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6466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960C39">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CEF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26.77</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277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26.77</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BCE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8263B2E">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A28F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6F42B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B58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26.77</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3C4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26.77</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861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81D6066">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581E4">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98E684">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289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17.61</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3C0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17.61</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D055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BAE70B1">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4AE6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2080506</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245AE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FD6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9.16</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9BC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9.16</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01F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45F1724">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AF1B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F285E9">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973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303.96</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296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122.80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466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181.17</w:t>
            </w:r>
          </w:p>
        </w:tc>
      </w:tr>
      <w:tr w14:paraId="215E1E8A">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AFD9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21003</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92FFD5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FCC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156.53</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CBF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122.80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367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33.73</w:t>
            </w:r>
          </w:p>
        </w:tc>
      </w:tr>
      <w:tr w14:paraId="53EE5845">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F96FB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2100302</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2AEFC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乡镇卫生院</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76A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123.56</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7E8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112.08</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829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11.48</w:t>
            </w:r>
          </w:p>
        </w:tc>
      </w:tr>
      <w:tr w14:paraId="4A7FE729">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1A564">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2100399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42E1F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8A7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32.97</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19D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10.72</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89C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22.25</w:t>
            </w:r>
          </w:p>
        </w:tc>
      </w:tr>
      <w:tr w14:paraId="2AC568D0">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2ABB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21004</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7784E9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公共卫生</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BC9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125.44</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731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4BF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125.44</w:t>
            </w:r>
          </w:p>
        </w:tc>
      </w:tr>
      <w:tr w14:paraId="0F3200E1">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8EDB4">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2100408</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7E830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1DC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92.81</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704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B33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92.81</w:t>
            </w:r>
          </w:p>
        </w:tc>
      </w:tr>
      <w:tr w14:paraId="7850A6AC">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12CBB">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B1EC5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C74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5.02</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F7A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571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5.02</w:t>
            </w:r>
          </w:p>
        </w:tc>
      </w:tr>
      <w:tr w14:paraId="5E59B640">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C3CF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2100410</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597F5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750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27.61</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FED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7B2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27.61</w:t>
            </w:r>
          </w:p>
        </w:tc>
      </w:tr>
      <w:tr w14:paraId="62735A1E">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ED4F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21099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49AF7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41E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22.00</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EF4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75D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22.00</w:t>
            </w:r>
          </w:p>
        </w:tc>
      </w:tr>
      <w:tr w14:paraId="7915BADD">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023A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431AC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B00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5E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795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r>
      <w:tr w14:paraId="1C42EB87">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1EF1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66567F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FDF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5DA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4C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673F9FF">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84F0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3EB82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E66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D28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4A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2DD969E">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479B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FBDDB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7BF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E508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15.67</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D9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D9C081B">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03F8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7198C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467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139F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191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r>
      <w:tr w14:paraId="71B5A41D">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76A2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1AE71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526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E264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16B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r>
      <w:tr w14:paraId="0CC0334A">
        <w:tblPrEx>
          <w:tblCellMar>
            <w:top w:w="0" w:type="dxa"/>
            <w:left w:w="108" w:type="dxa"/>
            <w:bottom w:w="0" w:type="dxa"/>
            <w:right w:w="108" w:type="dxa"/>
          </w:tblCellMar>
        </w:tblPrEx>
        <w:trPr>
          <w:trHeight w:val="358" w:hRule="atLeast"/>
        </w:trPr>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D97C5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13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07710A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D94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7BD9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E2B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r>
      <w:tr w14:paraId="143C8FE5">
        <w:tblPrEx>
          <w:tblCellMar>
            <w:top w:w="0" w:type="dxa"/>
            <w:left w:w="108" w:type="dxa"/>
            <w:bottom w:w="0" w:type="dxa"/>
            <w:right w:w="108" w:type="dxa"/>
          </w:tblCellMar>
        </w:tblPrEx>
        <w:trPr>
          <w:trHeight w:val="358" w:hRule="atLeast"/>
        </w:trPr>
        <w:tc>
          <w:tcPr>
            <w:tcW w:w="5000" w:type="pct"/>
            <w:gridSpan w:val="8"/>
            <w:tcBorders>
              <w:top w:val="single" w:color="auto" w:sz="4" w:space="0"/>
              <w:left w:val="nil"/>
              <w:bottom w:val="nil"/>
              <w:right w:val="nil"/>
            </w:tcBorders>
            <w:shd w:val="clear" w:color="auto" w:fill="auto"/>
            <w:noWrap/>
            <w:vAlign w:val="center"/>
          </w:tcPr>
          <w:p w14:paraId="6B98B1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注：本表反映部门本年度一般公共预算财政拨款支出情况。</w:t>
            </w:r>
          </w:p>
        </w:tc>
      </w:tr>
    </w:tbl>
    <w:p w14:paraId="4B833EC4">
      <w:pPr>
        <w:rPr>
          <w:rFonts w:ascii="仿宋" w:hAnsi="仿宋" w:eastAsia="仿宋" w:cs="仿宋"/>
          <w:color w:val="auto"/>
          <w:sz w:val="24"/>
          <w:highlight w:val="none"/>
        </w:rPr>
      </w:pPr>
      <w:r>
        <w:rPr>
          <w:rFonts w:ascii="仿宋" w:hAnsi="仿宋" w:eastAsia="仿宋" w:cs="仿宋"/>
          <w:color w:val="auto"/>
          <w:sz w:val="24"/>
          <w:highlight w:val="none"/>
        </w:rPr>
        <w:br w:type="page"/>
      </w:r>
    </w:p>
    <w:p w14:paraId="0E525FD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14:paraId="308BC263">
      <w:pPr>
        <w:jc w:val="left"/>
        <w:rPr>
          <w:rFonts w:hint="eastAsia" w:ascii="仿宋" w:hAnsi="仿宋" w:eastAsia="仿宋" w:cs="仿宋"/>
          <w:color w:val="auto"/>
          <w:sz w:val="24"/>
          <w:highlight w:val="none"/>
        </w:rPr>
      </w:pPr>
    </w:p>
    <w:tbl>
      <w:tblPr>
        <w:tblStyle w:val="8"/>
        <w:tblW w:w="5000" w:type="pct"/>
        <w:tblInd w:w="0" w:type="dxa"/>
        <w:tblLayout w:type="fixed"/>
        <w:tblCellMar>
          <w:top w:w="0" w:type="dxa"/>
          <w:left w:w="108" w:type="dxa"/>
          <w:bottom w:w="0" w:type="dxa"/>
          <w:right w:w="108" w:type="dxa"/>
        </w:tblCellMar>
      </w:tblPr>
      <w:tblGrid>
        <w:gridCol w:w="892"/>
        <w:gridCol w:w="2475"/>
        <w:gridCol w:w="1260"/>
        <w:gridCol w:w="1155"/>
        <w:gridCol w:w="2263"/>
        <w:gridCol w:w="882"/>
        <w:gridCol w:w="813"/>
        <w:gridCol w:w="3479"/>
        <w:gridCol w:w="955"/>
      </w:tblGrid>
      <w:tr w14:paraId="4A2A8719">
        <w:tblPrEx>
          <w:tblCellMar>
            <w:top w:w="0" w:type="dxa"/>
            <w:left w:w="108" w:type="dxa"/>
            <w:bottom w:w="0" w:type="dxa"/>
            <w:right w:w="108" w:type="dxa"/>
          </w:tblCellMar>
        </w:tblPrEx>
        <w:trPr>
          <w:trHeight w:val="614" w:hRule="atLeast"/>
        </w:trPr>
        <w:tc>
          <w:tcPr>
            <w:tcW w:w="5000" w:type="pct"/>
            <w:gridSpan w:val="9"/>
            <w:tcBorders>
              <w:top w:val="nil"/>
              <w:left w:val="nil"/>
              <w:bottom w:val="nil"/>
              <w:right w:val="nil"/>
            </w:tcBorders>
            <w:shd w:val="clear" w:color="auto" w:fill="auto"/>
            <w:noWrap/>
            <w:vAlign w:val="bottom"/>
          </w:tcPr>
          <w:p w14:paraId="67AC94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14:paraId="14345C8B">
        <w:tblPrEx>
          <w:tblCellMar>
            <w:top w:w="0" w:type="dxa"/>
            <w:left w:w="108" w:type="dxa"/>
            <w:bottom w:w="0" w:type="dxa"/>
            <w:right w:w="108" w:type="dxa"/>
          </w:tblCellMar>
        </w:tblPrEx>
        <w:trPr>
          <w:trHeight w:val="307" w:hRule="atLeast"/>
        </w:trPr>
        <w:tc>
          <w:tcPr>
            <w:tcW w:w="314" w:type="pct"/>
            <w:tcBorders>
              <w:top w:val="nil"/>
              <w:left w:val="nil"/>
              <w:bottom w:val="nil"/>
              <w:right w:val="nil"/>
            </w:tcBorders>
            <w:shd w:val="clear" w:color="auto" w:fill="auto"/>
            <w:noWrap/>
            <w:vAlign w:val="bottom"/>
          </w:tcPr>
          <w:p w14:paraId="26CB626B">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73" w:type="pct"/>
            <w:tcBorders>
              <w:top w:val="nil"/>
              <w:left w:val="nil"/>
              <w:bottom w:val="nil"/>
              <w:right w:val="nil"/>
            </w:tcBorders>
            <w:shd w:val="clear" w:color="auto" w:fill="auto"/>
            <w:noWrap/>
            <w:vAlign w:val="bottom"/>
          </w:tcPr>
          <w:p w14:paraId="12335D13">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44" w:type="pct"/>
            <w:tcBorders>
              <w:top w:val="nil"/>
              <w:left w:val="nil"/>
              <w:bottom w:val="nil"/>
              <w:right w:val="nil"/>
            </w:tcBorders>
            <w:shd w:val="clear" w:color="auto" w:fill="auto"/>
            <w:noWrap/>
            <w:vAlign w:val="bottom"/>
          </w:tcPr>
          <w:p w14:paraId="2967ACEB">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07" w:type="pct"/>
            <w:tcBorders>
              <w:top w:val="nil"/>
              <w:left w:val="nil"/>
              <w:bottom w:val="nil"/>
              <w:right w:val="nil"/>
            </w:tcBorders>
            <w:shd w:val="clear" w:color="auto" w:fill="auto"/>
            <w:noWrap/>
            <w:vAlign w:val="bottom"/>
          </w:tcPr>
          <w:p w14:paraId="3F49B465">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798" w:type="pct"/>
            <w:tcBorders>
              <w:top w:val="nil"/>
              <w:left w:val="nil"/>
              <w:bottom w:val="nil"/>
              <w:right w:val="nil"/>
            </w:tcBorders>
            <w:shd w:val="clear" w:color="auto" w:fill="auto"/>
            <w:noWrap/>
            <w:vAlign w:val="bottom"/>
          </w:tcPr>
          <w:p w14:paraId="0FC1781D">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1" w:type="pct"/>
            <w:tcBorders>
              <w:top w:val="nil"/>
              <w:left w:val="nil"/>
              <w:bottom w:val="nil"/>
              <w:right w:val="nil"/>
            </w:tcBorders>
            <w:shd w:val="clear" w:color="auto" w:fill="auto"/>
            <w:noWrap/>
            <w:vAlign w:val="bottom"/>
          </w:tcPr>
          <w:p w14:paraId="3D1B36CB">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6" w:type="pct"/>
            <w:tcBorders>
              <w:top w:val="nil"/>
              <w:left w:val="nil"/>
              <w:bottom w:val="nil"/>
              <w:right w:val="nil"/>
            </w:tcBorders>
            <w:shd w:val="clear" w:color="auto" w:fill="auto"/>
            <w:noWrap/>
            <w:vAlign w:val="bottom"/>
          </w:tcPr>
          <w:p w14:paraId="5986FA70">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27" w:type="pct"/>
            <w:tcBorders>
              <w:top w:val="nil"/>
              <w:left w:val="nil"/>
              <w:bottom w:val="nil"/>
              <w:right w:val="nil"/>
            </w:tcBorders>
            <w:shd w:val="clear" w:color="auto" w:fill="auto"/>
            <w:noWrap/>
            <w:vAlign w:val="bottom"/>
          </w:tcPr>
          <w:p w14:paraId="5D3EA26F">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36" w:type="pct"/>
            <w:tcBorders>
              <w:top w:val="nil"/>
              <w:left w:val="nil"/>
              <w:bottom w:val="nil"/>
              <w:right w:val="nil"/>
            </w:tcBorders>
            <w:shd w:val="clear" w:color="auto" w:fill="auto"/>
            <w:noWrap/>
            <w:vAlign w:val="bottom"/>
          </w:tcPr>
          <w:p w14:paraId="74949AD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14:paraId="5A14783D">
        <w:tblPrEx>
          <w:tblCellMar>
            <w:top w:w="0" w:type="dxa"/>
            <w:left w:w="108" w:type="dxa"/>
            <w:bottom w:w="0" w:type="dxa"/>
            <w:right w:w="108" w:type="dxa"/>
          </w:tblCellMar>
        </w:tblPrEx>
        <w:trPr>
          <w:trHeight w:val="569" w:hRule="atLeast"/>
        </w:trPr>
        <w:tc>
          <w:tcPr>
            <w:tcW w:w="2837" w:type="pct"/>
            <w:gridSpan w:val="5"/>
            <w:tcBorders>
              <w:top w:val="nil"/>
              <w:left w:val="nil"/>
              <w:bottom w:val="single" w:color="auto" w:sz="4" w:space="0"/>
              <w:right w:val="nil"/>
            </w:tcBorders>
            <w:shd w:val="clear" w:color="auto" w:fill="auto"/>
            <w:noWrap/>
            <w:vAlign w:val="bottom"/>
          </w:tcPr>
          <w:p w14:paraId="10C65FE3">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311" w:type="pct"/>
            <w:tcBorders>
              <w:top w:val="nil"/>
              <w:left w:val="nil"/>
              <w:bottom w:val="single" w:color="auto" w:sz="4" w:space="0"/>
              <w:right w:val="nil"/>
            </w:tcBorders>
            <w:shd w:val="clear" w:color="auto" w:fill="auto"/>
            <w:noWrap/>
            <w:vAlign w:val="bottom"/>
          </w:tcPr>
          <w:p w14:paraId="64683D05">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6" w:type="pct"/>
            <w:tcBorders>
              <w:top w:val="nil"/>
              <w:left w:val="nil"/>
              <w:bottom w:val="single" w:color="auto" w:sz="4" w:space="0"/>
              <w:right w:val="nil"/>
            </w:tcBorders>
            <w:shd w:val="clear" w:color="auto" w:fill="auto"/>
            <w:noWrap/>
            <w:vAlign w:val="bottom"/>
          </w:tcPr>
          <w:p w14:paraId="57901A2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64" w:type="pct"/>
            <w:gridSpan w:val="2"/>
            <w:tcBorders>
              <w:top w:val="nil"/>
              <w:left w:val="nil"/>
              <w:bottom w:val="single" w:color="auto" w:sz="4" w:space="0"/>
            </w:tcBorders>
            <w:shd w:val="clear" w:color="auto" w:fill="auto"/>
            <w:noWrap/>
            <w:vAlign w:val="bottom"/>
          </w:tcPr>
          <w:p w14:paraId="3535AFF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112965AA">
        <w:tblPrEx>
          <w:tblCellMar>
            <w:top w:w="0" w:type="dxa"/>
            <w:left w:w="108" w:type="dxa"/>
            <w:bottom w:w="0" w:type="dxa"/>
            <w:right w:w="108" w:type="dxa"/>
          </w:tblCellMar>
        </w:tblPrEx>
        <w:trPr>
          <w:trHeight w:val="319" w:hRule="atLeast"/>
        </w:trPr>
        <w:tc>
          <w:tcPr>
            <w:tcW w:w="163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513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人员经费</w:t>
            </w:r>
          </w:p>
        </w:tc>
        <w:tc>
          <w:tcPr>
            <w:tcW w:w="3367"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D29A7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公用经费</w:t>
            </w:r>
          </w:p>
        </w:tc>
      </w:tr>
      <w:tr w14:paraId="60E2DA14">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43A063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科目编码</w:t>
            </w:r>
          </w:p>
          <w:p w14:paraId="5B76C8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DC16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B9A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5AD9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79E0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DF30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CB3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12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766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966F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14:paraId="0E0D1A4B">
        <w:tblPrEx>
          <w:tblCellMar>
            <w:top w:w="0" w:type="dxa"/>
            <w:left w:w="108" w:type="dxa"/>
            <w:bottom w:w="0" w:type="dxa"/>
            <w:right w:w="108" w:type="dxa"/>
          </w:tblCellMar>
        </w:tblPrEx>
        <w:trPr>
          <w:trHeight w:val="90" w:hRule="atLeast"/>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357109A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8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C743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CDFC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0D55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780E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80355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20EF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93CE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36D5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4E7E1AEF">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BC9B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E8717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工资福利支出</w:t>
            </w:r>
            <w:bookmarkStart w:id="1" w:name="OLE_LINK4"/>
            <w:bookmarkStart w:id="2" w:name="OLE_LINK3"/>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0F2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154.90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C0B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AF46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商品和服务支出</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A56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12.92</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DA5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58A8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债务利息及费用支出</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5C8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71A2BED3">
        <w:tblPrEx>
          <w:tblCellMar>
            <w:top w:w="0" w:type="dxa"/>
            <w:left w:w="108" w:type="dxa"/>
            <w:bottom w:w="0" w:type="dxa"/>
            <w:right w:w="108" w:type="dxa"/>
          </w:tblCellMar>
        </w:tblPrEx>
        <w:trPr>
          <w:trHeight w:val="559"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1D4F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C46B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基本工资</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F91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44.62</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D7A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95DC3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办公费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552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DBE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30701</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A407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国内债务付息</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270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36763C0F">
        <w:tblPrEx>
          <w:tblCellMar>
            <w:top w:w="0" w:type="dxa"/>
            <w:left w:w="108" w:type="dxa"/>
            <w:bottom w:w="0" w:type="dxa"/>
            <w:right w:w="108" w:type="dxa"/>
          </w:tblCellMar>
        </w:tblPrEx>
        <w:trPr>
          <w:trHeight w:val="54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C9B2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30102</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31E7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津贴补贴</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AED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21.79</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51E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B839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印刷费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AEF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C0B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30702</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A688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国外债务付息</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F5E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042AF149">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FF5F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30103</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3708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奖金</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B71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B73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30203</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8575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咨询费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6A2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96A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59DC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资本性支出</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B48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709CC886">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9C2C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30106</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8E78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伙食补助费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0B6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076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1E52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手续费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24D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B68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31001</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5F1D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房屋建筑物购建</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4BA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307BCF02">
        <w:tblPrEx>
          <w:tblCellMar>
            <w:top w:w="0" w:type="dxa"/>
            <w:left w:w="108" w:type="dxa"/>
            <w:bottom w:w="0" w:type="dxa"/>
            <w:right w:w="108" w:type="dxa"/>
          </w:tblCellMar>
        </w:tblPrEx>
        <w:trPr>
          <w:trHeight w:val="482"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1919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30107</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EAA6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绩效工资</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F5A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35.61</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594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702E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60C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F19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31002</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4FDE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办公设备购置</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697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0567D55C">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FBBA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30108</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64C4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机关事业单位基本养老保险缴费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F86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19.03</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B2A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F872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7FD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A7E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31003</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D42D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专用设备购置</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BD6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0638FE53">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C75C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30109</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CAEA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职业年金缴费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A28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9.16</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928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30207</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A90F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邮电费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0A6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188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31005</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61F3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基础设施建设</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7F4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6D3D44AE">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B413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30110</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1469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职工基本医疗保险缴费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028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7.55</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1F9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30208</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32ED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取暖费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A6A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803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31006</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5E04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大型修缮</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732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346A245F">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6A9C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3804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公务员医疗补助缴费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206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C34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30209</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F095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物业管理费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F8B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4B2C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31007</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2C20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信息网络及软件购置更新</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7A7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74956CA2">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F703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30112</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182B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其他社会保障缴费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59C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1.46</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87A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8C2E1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差旅费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053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4DC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31008</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2762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物资储备</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6FF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274F5887">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8767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30113</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C190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住房公积金</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E26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15.67</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126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B129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因公出国（境）费用</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663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601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31009</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8315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土地补偿</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DDC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6195EF28">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F059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30114</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09F8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医疗费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148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E5B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30213</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01D2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维修（护）费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24B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547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31010</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34FE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安置补助</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A5F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0A548836">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BB1B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30199</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3B0D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其他工资福利支出</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B46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422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B55E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租赁费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0A8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694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31011</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3347C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地上附着物和青苗补偿</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B9D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0D63C76D">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AC26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09E3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对个人和家庭的补助</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C10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4.42</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094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914A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会议费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FDE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4C0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31012</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0E08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拆迁补偿</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16B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0848A860">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5DD7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36FE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离休费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0D7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D47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A53A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培训费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09B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43E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31013</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9DAA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D74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72A20DFC">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5E11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30302</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3D7E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退休费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0CB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E6E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30217</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2625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B95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CA2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31019</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A69D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其他交通工具购置</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CF4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4B917282">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3C08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30303</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BA6D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退职（役）费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C1D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CE5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30218</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2B38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专用材料费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04F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2C7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31021</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06D1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文物和陈列品购置</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93F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2382C79E">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6177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30304</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D2F2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抚恤金</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94D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250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3237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被装购置费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DB0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0FB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31022</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4DD3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无形资产购置</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FF5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6A5B3534">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4749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30305</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B192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生活补助</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A8B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4.41</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317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C2D67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专用燃料费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B78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B65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31099</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6FE8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其他资本性支出</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B4A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319801C0">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5EF1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30306</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8014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救济费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E15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1DD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F9D3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劳务费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618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10.72</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9AC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37B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其他支出</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EAA9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3DA2C389">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201E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30307</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88A4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医疗费补助</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797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282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30227</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4121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委托业务费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9E3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DD9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39907</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3D5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国家赔偿费用支出</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CEC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42B4D769">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E5C9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30308</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9304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助学金</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42D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73D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30228</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8244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工会经费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965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2.20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D14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39908</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7AF0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对民间非营利组织和群众性自治组织补贴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34A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22BCB58A">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E83D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30309</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1C61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奖励金</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60F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2F5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30229</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2D74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福利费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0DF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5DB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39909</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A64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经常性赠与</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30D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57E7D2EE">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9593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30310</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4B84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个人农业生产补贴</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6AB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662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0642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公务用车运行维护费</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012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DAE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39910</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234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资本性赠与</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AFD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11037163">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85A6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FEC7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代缴社会保险费</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D27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CF6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30239</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718F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其他交通费用</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AFE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76B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39999</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F85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其他支出</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3F9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r>
      <w:tr w14:paraId="040B6FE2">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5CBC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30399</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1A98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其他对个人和家庭的补助</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8D1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0.01</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B8F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30240</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D5DF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税金及附加费用</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FC4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943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9C1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0BE14">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1DFC8EF4">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58CA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93D2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7D1F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FAD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30299</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324C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其他商品和服务支出</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F63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u w:val="none"/>
                <w:lang w:val="en-US" w:eastAsia="zh-CN" w:bidi="ar"/>
              </w:rPr>
              <w:t>0.00</w:t>
            </w:r>
          </w:p>
        </w:tc>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C5F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7C6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8CA9D">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12E1D59A">
        <w:tblPrEx>
          <w:tblCellMar>
            <w:top w:w="0" w:type="dxa"/>
            <w:left w:w="108" w:type="dxa"/>
            <w:bottom w:w="0" w:type="dxa"/>
            <w:right w:w="108" w:type="dxa"/>
          </w:tblCellMar>
        </w:tblPrEx>
        <w:trPr>
          <w:trHeight w:val="624"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9313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人员经费合计</w:t>
            </w:r>
          </w:p>
          <w:bookmarkEnd w:id="1"/>
          <w:bookmarkEnd w:id="2"/>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85E9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228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159.32</w:t>
            </w:r>
          </w:p>
        </w:tc>
        <w:tc>
          <w:tcPr>
            <w:tcW w:w="303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E6EC8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公用经费合计</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473E7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12.92</w:t>
            </w:r>
          </w:p>
        </w:tc>
      </w:tr>
      <w:tr w14:paraId="003A85F9">
        <w:tblPrEx>
          <w:tblCellMar>
            <w:top w:w="0" w:type="dxa"/>
            <w:left w:w="108" w:type="dxa"/>
            <w:bottom w:w="0" w:type="dxa"/>
            <w:right w:w="108" w:type="dxa"/>
          </w:tblCellMar>
        </w:tblPrEx>
        <w:trPr>
          <w:trHeight w:val="319" w:hRule="atLeast"/>
        </w:trPr>
        <w:tc>
          <w:tcPr>
            <w:tcW w:w="5000" w:type="pct"/>
            <w:gridSpan w:val="9"/>
            <w:tcBorders>
              <w:top w:val="single" w:color="auto" w:sz="4" w:space="0"/>
              <w:left w:val="nil"/>
              <w:bottom w:val="nil"/>
              <w:right w:val="nil"/>
            </w:tcBorders>
            <w:shd w:val="clear" w:color="auto" w:fill="auto"/>
            <w:noWrap/>
            <w:vAlign w:val="center"/>
          </w:tcPr>
          <w:p w14:paraId="709035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注：本表反映部门本年度一般公共预算财政拨款基本支出明细情况。</w:t>
            </w:r>
          </w:p>
        </w:tc>
      </w:tr>
    </w:tbl>
    <w:p w14:paraId="4ED362D5">
      <w:pPr>
        <w:jc w:val="left"/>
        <w:rPr>
          <w:rFonts w:ascii="仿宋" w:hAnsi="仿宋" w:eastAsia="仿宋" w:cs="仿宋"/>
          <w:color w:val="auto"/>
          <w:sz w:val="24"/>
          <w:highlight w:val="none"/>
        </w:rPr>
      </w:pPr>
    </w:p>
    <w:p w14:paraId="4AA12682">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14:paraId="3DA1240E">
      <w:pPr>
        <w:jc w:val="left"/>
        <w:rPr>
          <w:rFonts w:hint="eastAsia" w:ascii="仿宋" w:hAnsi="仿宋" w:eastAsia="仿宋" w:cs="仿宋"/>
          <w:color w:val="auto"/>
          <w:sz w:val="24"/>
          <w:highlight w:val="none"/>
        </w:rPr>
      </w:pPr>
    </w:p>
    <w:tbl>
      <w:tblPr>
        <w:tblStyle w:val="8"/>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4159802C">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119627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14:paraId="0B052298">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1330B25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 w:type="dxa"/>
            <w:tcBorders>
              <w:top w:val="nil"/>
              <w:left w:val="nil"/>
              <w:bottom w:val="nil"/>
              <w:right w:val="nil"/>
            </w:tcBorders>
            <w:shd w:val="clear" w:color="auto" w:fill="auto"/>
            <w:noWrap/>
            <w:vAlign w:val="bottom"/>
          </w:tcPr>
          <w:p w14:paraId="58646558">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14:paraId="3065B75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5" w:type="dxa"/>
            <w:tcBorders>
              <w:top w:val="nil"/>
              <w:left w:val="nil"/>
              <w:bottom w:val="nil"/>
              <w:right w:val="nil"/>
            </w:tcBorders>
            <w:shd w:val="clear" w:color="auto" w:fill="auto"/>
            <w:noWrap/>
            <w:vAlign w:val="bottom"/>
          </w:tcPr>
          <w:p w14:paraId="4DD58513">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73" w:type="dxa"/>
            <w:tcBorders>
              <w:top w:val="nil"/>
              <w:left w:val="nil"/>
              <w:bottom w:val="nil"/>
              <w:right w:val="nil"/>
            </w:tcBorders>
            <w:shd w:val="clear" w:color="auto" w:fill="auto"/>
            <w:noWrap/>
            <w:vAlign w:val="bottom"/>
          </w:tcPr>
          <w:p w14:paraId="174FB7A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bottom"/>
          </w:tcPr>
          <w:p w14:paraId="64FA960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00" w:type="dxa"/>
            <w:tcBorders>
              <w:top w:val="nil"/>
              <w:left w:val="nil"/>
              <w:bottom w:val="nil"/>
              <w:right w:val="nil"/>
            </w:tcBorders>
            <w:shd w:val="clear" w:color="auto" w:fill="auto"/>
            <w:noWrap/>
            <w:vAlign w:val="bottom"/>
          </w:tcPr>
          <w:p w14:paraId="39FE2BD4">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bottom"/>
          </w:tcPr>
          <w:p w14:paraId="5F9D1945">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0" w:type="dxa"/>
            <w:gridSpan w:val="2"/>
            <w:tcBorders>
              <w:top w:val="nil"/>
              <w:left w:val="nil"/>
              <w:bottom w:val="nil"/>
              <w:right w:val="nil"/>
            </w:tcBorders>
            <w:shd w:val="clear" w:color="auto" w:fill="auto"/>
            <w:noWrap/>
            <w:vAlign w:val="bottom"/>
          </w:tcPr>
          <w:p w14:paraId="2A61E5E1">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nil"/>
              <w:right w:val="nil"/>
            </w:tcBorders>
            <w:shd w:val="clear" w:color="auto" w:fill="auto"/>
            <w:noWrap/>
            <w:vAlign w:val="bottom"/>
          </w:tcPr>
          <w:p w14:paraId="5E91EB4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14:paraId="3AE95D51">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48281321">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680" w:type="dxa"/>
            <w:tcBorders>
              <w:top w:val="nil"/>
              <w:left w:val="nil"/>
              <w:bottom w:val="single" w:color="auto" w:sz="4" w:space="0"/>
              <w:right w:val="nil"/>
            </w:tcBorders>
            <w:shd w:val="clear" w:color="auto" w:fill="auto"/>
            <w:noWrap/>
            <w:vAlign w:val="bottom"/>
          </w:tcPr>
          <w:p w14:paraId="726771DF">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0A891A96">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3C5FE46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1B958BAE">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DAF8F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72EB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4519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C32A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8097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14:paraId="2085B8CC">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36A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69B7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2851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3D5E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1A9A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3654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9654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1A85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2D081F6D">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19CA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2C4EB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F1A2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8854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C8CB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0367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894C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8419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24F0AC73">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B7C1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60191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2D4F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FB32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FB04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85F8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88CB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6C1A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2E4AA966">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54264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0A5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20C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744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EF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DA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891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14:paraId="7C906E30">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F3DA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BD79C">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AABA4">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796E1">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6C0A5">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F7320">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D7F9A3">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14:paraId="51C9983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D22556">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21331E">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BF1E2">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D46A8">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3F9E0">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8C48">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61996">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73801A">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3F578CC9">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7397FA">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3BBCBB">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AC764">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BBA5F">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9561E">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3D2C3">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4DE45">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579687">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7A73C71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96F3E2">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2C7853">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875D7">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E18A7">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2EA93">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385F4">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5B7D4">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1B9034">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28FD0AD6">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A983DE9">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570DDA1C">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41B43293">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4BC73CB0">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34973FCA">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2C4EF6A0">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24916F72">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2C2D3232">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3E204969">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64A79378">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06529951">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3BD2E6B1">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2816A8B8">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2C2CE1DA">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7C0361F1">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73D0CDC0">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06BDA760">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6EB2DC05">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26E37F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14:paraId="1FB316C0">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14:paraId="0E1176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14:paraId="0CC3700E">
      <w:pPr>
        <w:rPr>
          <w:rFonts w:ascii="仿宋" w:hAnsi="仿宋" w:eastAsia="仿宋" w:cs="仿宋"/>
          <w:color w:val="auto"/>
          <w:sz w:val="24"/>
          <w:highlight w:val="none"/>
        </w:rPr>
      </w:pPr>
      <w:r>
        <w:rPr>
          <w:rFonts w:ascii="仿宋" w:hAnsi="仿宋" w:eastAsia="仿宋" w:cs="仿宋"/>
          <w:color w:val="auto"/>
          <w:sz w:val="24"/>
          <w:highlight w:val="none"/>
        </w:rPr>
        <w:br w:type="page"/>
      </w:r>
    </w:p>
    <w:p w14:paraId="4CEC9A1A">
      <w:pPr>
        <w:jc w:val="left"/>
        <w:rPr>
          <w:rFonts w:ascii="仿宋" w:hAnsi="仿宋" w:eastAsia="仿宋" w:cs="仿宋"/>
          <w:color w:val="auto"/>
          <w:sz w:val="24"/>
          <w:highlight w:val="none"/>
        </w:rPr>
      </w:pPr>
    </w:p>
    <w:p w14:paraId="768D2AB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14:paraId="73FBED64">
      <w:pPr>
        <w:jc w:val="left"/>
        <w:rPr>
          <w:rFonts w:hint="eastAsia" w:ascii="仿宋" w:hAnsi="仿宋" w:eastAsia="仿宋" w:cs="仿宋"/>
          <w:color w:val="auto"/>
          <w:sz w:val="24"/>
          <w:highlight w:val="none"/>
        </w:rPr>
      </w:pPr>
    </w:p>
    <w:tbl>
      <w:tblPr>
        <w:tblStyle w:val="8"/>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26E446DD">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1B02DE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14:paraId="19DF6626">
        <w:trPr>
          <w:trHeight w:val="264" w:hRule="atLeast"/>
        </w:trPr>
        <w:tc>
          <w:tcPr>
            <w:tcW w:w="2139" w:type="dxa"/>
            <w:gridSpan w:val="2"/>
            <w:tcBorders>
              <w:top w:val="nil"/>
              <w:left w:val="nil"/>
              <w:bottom w:val="nil"/>
              <w:right w:val="nil"/>
            </w:tcBorders>
            <w:shd w:val="clear" w:color="auto" w:fill="auto"/>
            <w:noWrap/>
            <w:vAlign w:val="bottom"/>
          </w:tcPr>
          <w:p w14:paraId="790626AC">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14:paraId="21F1B54A">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14:paraId="0850BB4D">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14:paraId="7D8D1FC0">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14:paraId="30138171">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14:paraId="3B5965C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14:paraId="761D1DB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14:paraId="2FE9FA3C">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11F5D1F5">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3135" w:type="dxa"/>
            <w:tcBorders>
              <w:top w:val="nil"/>
              <w:left w:val="nil"/>
              <w:bottom w:val="nil"/>
              <w:right w:val="nil"/>
            </w:tcBorders>
            <w:shd w:val="clear" w:color="auto" w:fill="auto"/>
            <w:noWrap/>
            <w:vAlign w:val="bottom"/>
          </w:tcPr>
          <w:p w14:paraId="7C16A6BF">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14:paraId="6AE0BB6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2BB1D587">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9E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1663E3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14:paraId="359BB98C">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73AD77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6D5696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574A04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317F09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46D56D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14:paraId="7900B23C">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7B38EA0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09AAA99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44F029B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0093186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6F06278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302674C5">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76978F2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07893D7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3657997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6E2F90E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602E432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5785E36E">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128460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24199B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1D3608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200A62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14:paraId="7035CC73">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17FCC0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7C89C786">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17E81280">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61108715">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14:paraId="1A689224">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305413CB">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DC7FA8A">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15EFAADB">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238761CF">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47D8C354">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61AF3A33">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FA2BACE">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EA9E9D8">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1E73096">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0ECF2682">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2C0F429F">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14:paraId="6FB139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14:paraId="3B6186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8"/>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2111A1BA">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54E9D9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14:paraId="14640ABE">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0C4C6B60">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一般公共预算财政拨款安排的“三公”经费支出决算表</w:t>
            </w:r>
          </w:p>
          <w:p w14:paraId="37F086D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14:paraId="4E88F2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一般公共预算财政拨款“三公”经费支出决算表</w:t>
            </w:r>
          </w:p>
        </w:tc>
      </w:tr>
      <w:tr w14:paraId="6AEC3553">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49FBC04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14:paraId="151B9D4B">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14:paraId="281C841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14:paraId="5D2CE8C9">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14:paraId="3B45871E">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14:paraId="51CB69E1">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14:paraId="75A91C24">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14:paraId="4C7FC6F9">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14:paraId="18B97808">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14:paraId="6B7A52A6">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14:paraId="67F5E115">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14:paraId="484AAED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14:paraId="21633AEB">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136F398E">
            <w:pPr>
              <w:keepNext w:val="0"/>
              <w:keepLines w:val="0"/>
              <w:suppressLineNumbers w:val="0"/>
              <w:spacing w:before="0" w:beforeAutospacing="0" w:after="0" w:afterAutospacing="0"/>
              <w:ind w:left="0" w:right="0"/>
              <w:rPr>
                <w:rFonts w:hint="eastAsia" w:ascii="Arial" w:hAnsi="Arial" w:eastAsia="宋体" w:cs="Arial"/>
                <w:color w:val="auto"/>
                <w:sz w:val="20"/>
                <w:szCs w:val="20"/>
                <w:highlight w:val="none"/>
                <w:lang w:eastAsia="zh-CN"/>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环江毛南族自治县大才乡卫生院</w:t>
            </w:r>
          </w:p>
        </w:tc>
        <w:tc>
          <w:tcPr>
            <w:tcW w:w="1066" w:type="dxa"/>
            <w:tcBorders>
              <w:top w:val="nil"/>
              <w:left w:val="nil"/>
              <w:bottom w:val="nil"/>
              <w:right w:val="nil"/>
            </w:tcBorders>
            <w:shd w:val="clear" w:color="auto" w:fill="auto"/>
            <w:noWrap/>
            <w:vAlign w:val="bottom"/>
          </w:tcPr>
          <w:p w14:paraId="7462EB17">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14:paraId="49CBA401">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14:paraId="797213E0">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14:paraId="75E42DF1">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14:paraId="1E3B979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14:paraId="220C8234">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9DD1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2775AC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14:paraId="54168863">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078AE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557104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50A15D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28608B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506532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26DD4A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635B19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4AB0D8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14:paraId="7BE28331">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BF20F7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4B06CA0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44A232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38BBF8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5AF1D7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40385C0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491B44D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7DFD4C6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760051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48C3EF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4FAA9D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15EE4DB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794141D7">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754BEA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14:paraId="0F6E21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77F088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2B1D1A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3755DF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4601E2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1BFF3E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5D4260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23DCBD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37713F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43CBB0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16D7EB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4C64C4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14:paraId="68853E2C">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563091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0.32</w:t>
            </w:r>
          </w:p>
        </w:tc>
        <w:tc>
          <w:tcPr>
            <w:tcW w:w="1425" w:type="dxa"/>
            <w:tcBorders>
              <w:top w:val="nil"/>
              <w:left w:val="nil"/>
              <w:bottom w:val="single" w:color="000000" w:sz="4" w:space="0"/>
              <w:right w:val="single" w:color="000000" w:sz="4" w:space="0"/>
            </w:tcBorders>
            <w:shd w:val="clear" w:color="auto" w:fill="auto"/>
            <w:noWrap/>
            <w:vAlign w:val="center"/>
          </w:tcPr>
          <w:p w14:paraId="054CB2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094" w:type="dxa"/>
            <w:tcBorders>
              <w:top w:val="nil"/>
              <w:left w:val="nil"/>
              <w:bottom w:val="single" w:color="000000" w:sz="4" w:space="0"/>
              <w:right w:val="single" w:color="000000" w:sz="4" w:space="0"/>
            </w:tcBorders>
            <w:shd w:val="clear" w:color="auto" w:fill="auto"/>
            <w:noWrap/>
            <w:vAlign w:val="center"/>
          </w:tcPr>
          <w:p w14:paraId="4752BE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vAlign w:val="center"/>
          </w:tcPr>
          <w:p w14:paraId="1B6CA9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66792C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040" w:type="dxa"/>
            <w:tcBorders>
              <w:top w:val="nil"/>
              <w:left w:val="nil"/>
              <w:bottom w:val="single" w:color="000000" w:sz="4" w:space="0"/>
              <w:right w:val="single" w:color="000000" w:sz="4" w:space="0"/>
            </w:tcBorders>
            <w:shd w:val="clear" w:color="auto" w:fill="auto"/>
            <w:noWrap/>
            <w:vAlign w:val="center"/>
          </w:tcPr>
          <w:p w14:paraId="65FA08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0.32</w:t>
            </w:r>
          </w:p>
        </w:tc>
        <w:tc>
          <w:tcPr>
            <w:tcW w:w="1066" w:type="dxa"/>
            <w:tcBorders>
              <w:top w:val="nil"/>
              <w:left w:val="nil"/>
              <w:bottom w:val="single" w:color="000000" w:sz="4" w:space="0"/>
              <w:right w:val="single" w:color="000000" w:sz="4" w:space="0"/>
            </w:tcBorders>
            <w:shd w:val="clear" w:color="auto" w:fill="auto"/>
            <w:noWrap/>
            <w:vAlign w:val="center"/>
          </w:tcPr>
          <w:p w14:paraId="6C1012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auto"/>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vAlign w:val="center"/>
          </w:tcPr>
          <w:p w14:paraId="6D6DDD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053" w:type="dxa"/>
            <w:tcBorders>
              <w:top w:val="nil"/>
              <w:left w:val="nil"/>
              <w:bottom w:val="single" w:color="000000" w:sz="4" w:space="0"/>
              <w:right w:val="single" w:color="000000" w:sz="4" w:space="0"/>
            </w:tcBorders>
            <w:shd w:val="clear" w:color="auto" w:fill="auto"/>
            <w:noWrap/>
            <w:vAlign w:val="center"/>
          </w:tcPr>
          <w:p w14:paraId="77C0B1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48" w:type="dxa"/>
            <w:tcBorders>
              <w:top w:val="nil"/>
              <w:left w:val="nil"/>
              <w:bottom w:val="single" w:color="000000" w:sz="4" w:space="0"/>
              <w:right w:val="single" w:color="000000" w:sz="4" w:space="0"/>
            </w:tcBorders>
            <w:shd w:val="clear" w:color="auto" w:fill="auto"/>
            <w:noWrap/>
            <w:vAlign w:val="center"/>
          </w:tcPr>
          <w:p w14:paraId="32FD23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021A260E">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宋体" w:hAnsi="宋体" w:eastAsia="宋体" w:cs="宋体"/>
                <w:i w:val="0"/>
                <w:iCs w:val="0"/>
                <w:color w:val="auto"/>
                <w:kern w:val="0"/>
                <w:sz w:val="22"/>
                <w:szCs w:val="22"/>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vAlign w:val="center"/>
          </w:tcPr>
          <w:p w14:paraId="5BD69A91">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宋体" w:hAnsi="宋体" w:eastAsia="宋体" w:cs="宋体"/>
                <w:i w:val="0"/>
                <w:iCs w:val="0"/>
                <w:color w:val="auto"/>
                <w:kern w:val="0"/>
                <w:sz w:val="22"/>
                <w:szCs w:val="22"/>
                <w:u w:val="none"/>
                <w:lang w:val="en-US" w:eastAsia="zh-CN" w:bidi="ar"/>
              </w:rPr>
              <w:t>0.00</w:t>
            </w:r>
          </w:p>
        </w:tc>
      </w:tr>
      <w:tr w14:paraId="3F2B1599">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265905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6346AC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14:paraId="7C044CDF">
      <w:pPr>
        <w:ind w:firstLine="420" w:firstLineChars="0"/>
        <w:jc w:val="left"/>
        <w:rPr>
          <w:rFonts w:ascii="仿宋" w:hAnsi="仿宋" w:eastAsia="仿宋" w:cs="仿宋"/>
          <w:color w:val="auto"/>
          <w:sz w:val="24"/>
          <w:highlight w:val="none"/>
        </w:rPr>
        <w:sectPr>
          <w:headerReference r:id="rId7" w:type="default"/>
          <w:pgSz w:w="16838" w:h="11906" w:orient="landscape"/>
          <w:pgMar w:top="1800" w:right="1440" w:bottom="1800" w:left="1440" w:header="851" w:footer="992" w:gutter="0"/>
          <w:cols w:space="425" w:num="1"/>
          <w:docGrid w:type="lines" w:linePitch="312" w:charSpace="0"/>
        </w:sectPr>
      </w:pPr>
    </w:p>
    <w:p w14:paraId="3EA6CB0F">
      <w:pPr>
        <w:jc w:val="left"/>
        <w:rPr>
          <w:rFonts w:ascii="仿宋" w:hAnsi="仿宋" w:eastAsia="仿宋" w:cs="仿宋"/>
          <w:color w:val="auto"/>
          <w:sz w:val="24"/>
          <w:highlight w:val="none"/>
        </w:rPr>
      </w:pPr>
    </w:p>
    <w:p w14:paraId="77584A89">
      <w:pPr>
        <w:jc w:val="center"/>
        <w:rPr>
          <w:rFonts w:hint="eastAsia" w:ascii="黑体" w:hAnsi="黑体" w:eastAsia="黑体" w:cs="黑体"/>
          <w:color w:val="auto"/>
          <w:sz w:val="32"/>
          <w:u w:color="auto"/>
          <w:lang w:eastAsia="zh-CN"/>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环江毛南族自治县大才乡卫生院</w:t>
      </w:r>
    </w:p>
    <w:p w14:paraId="4CD6A149">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14:paraId="29B62D1F">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年度收入支出决算总体情况</w:t>
      </w:r>
    </w:p>
    <w:p w14:paraId="00531329">
      <w:pPr>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（一）本部门202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年度总收入</w:t>
      </w:r>
      <w:r>
        <w:rPr>
          <w:rFonts w:hint="eastAsia" w:ascii="仿宋_GB2312" w:hAnsi="仿宋_GB2312" w:eastAsia="仿宋_GB2312" w:cs="仿宋_GB2312"/>
          <w:color w:val="auto"/>
          <w:sz w:val="32"/>
          <w:szCs w:val="32"/>
          <w:u w:color="auto"/>
          <w:lang w:val="en-US" w:eastAsia="zh-CN"/>
        </w:rPr>
        <w:t>582.41</w:t>
      </w:r>
      <w:r>
        <w:rPr>
          <w:rFonts w:hint="eastAsia" w:ascii="仿宋_GB2312" w:hAnsi="仿宋_GB2312" w:eastAsia="仿宋_GB2312" w:cs="仿宋_GB2312"/>
          <w:color w:val="auto"/>
          <w:sz w:val="32"/>
          <w:szCs w:val="32"/>
          <w:highlight w:val="none"/>
        </w:rPr>
        <w:t>万元，较202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val="en-US" w:eastAsia="zh-CN"/>
        </w:rPr>
        <w:t>减少</w:t>
      </w:r>
      <w:r>
        <w:rPr>
          <w:rFonts w:hint="eastAsia" w:ascii="仿宋_GB2312" w:hAnsi="仿宋_GB2312" w:eastAsia="仿宋_GB2312" w:cs="仿宋_GB2312"/>
          <w:color w:val="auto"/>
          <w:sz w:val="32"/>
          <w:szCs w:val="32"/>
          <w:u w:color="auto"/>
          <w:lang w:val="en-US" w:eastAsia="zh-CN"/>
        </w:rPr>
        <w:t>43.31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u w:color="auto"/>
          <w:lang w:val="en-US" w:eastAsia="zh-CN"/>
        </w:rPr>
        <w:t>下降6.92</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highlight w:val="none"/>
        </w:rPr>
        <w:t>，其中本年收入</w:t>
      </w:r>
      <w:r>
        <w:rPr>
          <w:rFonts w:hint="eastAsia" w:ascii="仿宋_GB2312" w:hAnsi="仿宋_GB2312" w:eastAsia="仿宋_GB2312" w:cs="仿宋_GB2312"/>
          <w:color w:val="auto"/>
          <w:sz w:val="32"/>
          <w:szCs w:val="32"/>
          <w:u w:color="auto"/>
          <w:lang w:val="en-US" w:eastAsia="zh-CN"/>
        </w:rPr>
        <w:t>582.41</w:t>
      </w:r>
      <w:r>
        <w:rPr>
          <w:rFonts w:hint="eastAsia" w:ascii="仿宋_GB2312" w:hAnsi="仿宋_GB2312" w:eastAsia="仿宋_GB2312" w:cs="仿宋_GB2312"/>
          <w:color w:val="auto"/>
          <w:sz w:val="32"/>
          <w:szCs w:val="32"/>
          <w:highlight w:val="none"/>
        </w:rPr>
        <w:t>万元。收入具体情况如下。</w:t>
      </w:r>
    </w:p>
    <w:p w14:paraId="1FC22B45">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1.一般公共预算财政拨款收入</w:t>
      </w:r>
      <w:r>
        <w:rPr>
          <w:rFonts w:hint="eastAsia" w:ascii="仿宋_GB2312" w:hAnsi="仿宋_GB2312" w:eastAsia="仿宋_GB2312" w:cs="仿宋_GB2312"/>
          <w:color w:val="auto"/>
          <w:sz w:val="32"/>
          <w:szCs w:val="32"/>
          <w:u w:color="auto"/>
          <w:lang w:val="en-US" w:eastAsia="zh-CN"/>
        </w:rPr>
        <w:t>361.32</w:t>
      </w:r>
      <w:r>
        <w:rPr>
          <w:rFonts w:hint="eastAsia" w:ascii="仿宋_GB2312" w:hAnsi="仿宋_GB2312" w:eastAsia="仿宋_GB2312" w:cs="仿宋_GB2312"/>
          <w:color w:val="auto"/>
          <w:kern w:val="2"/>
          <w:sz w:val="32"/>
          <w:szCs w:val="32"/>
          <w:highlight w:val="none"/>
          <w:lang w:val="en-US" w:eastAsia="zh-CN" w:bidi="ar"/>
        </w:rPr>
        <w:t>万元，为</w:t>
      </w:r>
      <w:r>
        <w:rPr>
          <w:rFonts w:hint="eastAsia" w:ascii="仿宋_GB2312" w:hAnsi="仿宋_GB2312" w:eastAsia="仿宋_GB2312" w:cs="仿宋_GB2312"/>
          <w:color w:val="auto"/>
          <w:sz w:val="32"/>
          <w:szCs w:val="32"/>
          <w:highlight w:val="none"/>
          <w:lang w:eastAsia="zh-CN"/>
        </w:rPr>
        <w:t>环江县</w:t>
      </w:r>
      <w:r>
        <w:rPr>
          <w:rFonts w:hint="eastAsia" w:ascii="仿宋_GB2312" w:hAnsi="仿宋_GB2312" w:eastAsia="仿宋_GB2312" w:cs="仿宋_GB2312"/>
          <w:color w:val="auto"/>
          <w:kern w:val="2"/>
          <w:sz w:val="32"/>
          <w:szCs w:val="32"/>
          <w:highlight w:val="none"/>
          <w:lang w:val="en-US" w:eastAsia="zh-CN" w:bidi="ar"/>
        </w:rPr>
        <w:t>财政当年拨付的资金。较2022年度决算数减少</w:t>
      </w:r>
      <w:r>
        <w:rPr>
          <w:rFonts w:hint="eastAsia" w:ascii="仿宋_GB2312" w:hAnsi="仿宋_GB2312" w:eastAsia="仿宋_GB2312" w:cs="仿宋_GB2312"/>
          <w:color w:val="auto"/>
          <w:sz w:val="32"/>
          <w:szCs w:val="32"/>
          <w:u w:color="auto"/>
          <w:lang w:val="en-US" w:eastAsia="zh-CN"/>
        </w:rPr>
        <w:t>37.26</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lang w:val="en-US" w:eastAsia="zh-CN"/>
        </w:rPr>
        <w:t>下降9.35</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kern w:val="2"/>
          <w:sz w:val="32"/>
          <w:szCs w:val="32"/>
          <w:highlight w:val="none"/>
          <w:lang w:val="en-US" w:eastAsia="zh-CN" w:bidi="ar"/>
        </w:rPr>
        <w:t>，主要原因：本年度基本支出较上年度增加4.02万元，原因为本年度工资调资等，本年度项目支出较上年减少41.28万元，原因为</w:t>
      </w:r>
      <w:r>
        <w:rPr>
          <w:rFonts w:hint="eastAsia" w:ascii="仿宋_GB2312" w:hAnsi="仿宋_GB2312" w:eastAsia="仿宋_GB2312" w:cs="仿宋_GB2312"/>
          <w:bCs/>
          <w:color w:val="auto"/>
          <w:kern w:val="0"/>
          <w:sz w:val="32"/>
          <w:szCs w:val="32"/>
          <w:lang w:eastAsia="zh-CN"/>
        </w:rPr>
        <w:t>基本公共卫生项目资金</w:t>
      </w:r>
      <w:r>
        <w:rPr>
          <w:rFonts w:hint="eastAsia" w:ascii="仿宋_GB2312" w:hAnsi="仿宋_GB2312" w:eastAsia="仿宋_GB2312" w:cs="仿宋_GB2312"/>
          <w:bCs/>
          <w:color w:val="auto"/>
          <w:kern w:val="0"/>
          <w:sz w:val="32"/>
          <w:szCs w:val="32"/>
          <w:lang w:val="en-US" w:eastAsia="zh-CN"/>
        </w:rPr>
        <w:t>及</w:t>
      </w:r>
      <w:r>
        <w:rPr>
          <w:rFonts w:hint="eastAsia" w:ascii="仿宋_GB2312" w:hAnsi="仿宋_GB2312" w:eastAsia="仿宋_GB2312" w:cs="仿宋_GB2312"/>
          <w:bCs/>
          <w:color w:val="auto"/>
          <w:kern w:val="0"/>
          <w:sz w:val="32"/>
          <w:szCs w:val="32"/>
          <w:lang w:eastAsia="zh-CN"/>
        </w:rPr>
        <w:t>重大公共卫生项目资金</w:t>
      </w:r>
      <w:r>
        <w:rPr>
          <w:rFonts w:hint="eastAsia" w:ascii="仿宋_GB2312" w:hAnsi="仿宋_GB2312" w:eastAsia="仿宋_GB2312" w:cs="仿宋_GB2312"/>
          <w:bCs/>
          <w:color w:val="auto"/>
          <w:kern w:val="0"/>
          <w:sz w:val="32"/>
          <w:szCs w:val="32"/>
          <w:lang w:val="en-US" w:eastAsia="zh-CN"/>
        </w:rPr>
        <w:t>支出等</w:t>
      </w:r>
      <w:r>
        <w:rPr>
          <w:rFonts w:hint="eastAsia" w:ascii="仿宋_GB2312" w:hAnsi="仿宋_GB2312" w:eastAsia="仿宋_GB2312" w:cs="仿宋_GB2312"/>
          <w:color w:val="auto"/>
          <w:kern w:val="2"/>
          <w:sz w:val="32"/>
          <w:szCs w:val="32"/>
          <w:highlight w:val="none"/>
          <w:lang w:val="en-US" w:eastAsia="zh-CN" w:bidi="ar"/>
        </w:rPr>
        <w:t>。</w:t>
      </w:r>
    </w:p>
    <w:p w14:paraId="4061EFAF">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2.政府性基金预算财政拨款收入</w:t>
      </w:r>
      <w:r>
        <w:rPr>
          <w:rFonts w:hint="eastAsia" w:ascii="仿宋_GB2312" w:hAnsi="仿宋_GB2312" w:eastAsia="仿宋_GB2312" w:cs="仿宋_GB2312"/>
          <w:color w:val="auto"/>
          <w:sz w:val="32"/>
          <w:szCs w:val="32"/>
          <w:u w:color="auto"/>
        </w:rPr>
        <w:t>0.00</w:t>
      </w:r>
      <w:r>
        <w:rPr>
          <w:rFonts w:hint="eastAsia" w:ascii="仿宋_GB2312" w:hAnsi="仿宋_GB2312" w:eastAsia="仿宋_GB2312" w:cs="仿宋_GB2312"/>
          <w:color w:val="auto"/>
          <w:kern w:val="2"/>
          <w:sz w:val="32"/>
          <w:szCs w:val="32"/>
          <w:highlight w:val="none"/>
          <w:lang w:val="en-US" w:eastAsia="zh-CN" w:bidi="ar"/>
        </w:rPr>
        <w:t>万元，为</w:t>
      </w:r>
      <w:r>
        <w:rPr>
          <w:rFonts w:hint="eastAsia" w:ascii="仿宋_GB2312" w:hAnsi="仿宋_GB2312" w:eastAsia="仿宋_GB2312" w:cs="仿宋_GB2312"/>
          <w:color w:val="auto"/>
          <w:sz w:val="32"/>
          <w:szCs w:val="32"/>
          <w:highlight w:val="none"/>
          <w:lang w:eastAsia="zh-CN"/>
        </w:rPr>
        <w:t>环江县</w:t>
      </w:r>
      <w:r>
        <w:rPr>
          <w:rFonts w:hint="eastAsia" w:ascii="仿宋_GB2312" w:hAnsi="仿宋_GB2312" w:eastAsia="仿宋_GB2312" w:cs="仿宋_GB2312"/>
          <w:color w:val="auto"/>
          <w:kern w:val="2"/>
          <w:sz w:val="32"/>
          <w:szCs w:val="32"/>
          <w:highlight w:val="none"/>
          <w:lang w:val="en-US" w:eastAsia="zh-CN" w:bidi="ar"/>
        </w:rPr>
        <w:t>财政当年拨付的资金。较2022年度决算数</w:t>
      </w:r>
      <w:r>
        <w:rPr>
          <w:rFonts w:hint="eastAsia" w:ascii="仿宋_GB2312" w:hAnsi="仿宋_GB2312" w:eastAsia="仿宋_GB2312" w:cs="仿宋_GB2312"/>
          <w:color w:val="auto"/>
          <w:sz w:val="32"/>
          <w:szCs w:val="32"/>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rPr>
        <w:t>增长0%</w:t>
      </w:r>
      <w:r>
        <w:rPr>
          <w:rFonts w:hint="eastAsia" w:ascii="仿宋_GB2312" w:hAnsi="仿宋_GB2312" w:eastAsia="仿宋_GB2312" w:cs="仿宋_GB2312"/>
          <w:color w:val="auto"/>
          <w:kern w:val="2"/>
          <w:sz w:val="32"/>
          <w:szCs w:val="32"/>
          <w:highlight w:val="none"/>
          <w:lang w:val="en-US" w:eastAsia="zh-CN" w:bidi="ar"/>
        </w:rPr>
        <w:t>，主要原因：本单位没有政府性基金预算财政拨款收入。</w:t>
      </w:r>
    </w:p>
    <w:p w14:paraId="1EBF6828">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3.国有资本经营预算财政拨款收入</w:t>
      </w:r>
      <w:r>
        <w:rPr>
          <w:rFonts w:hint="eastAsia" w:ascii="仿宋_GB2312" w:hAnsi="仿宋_GB2312" w:eastAsia="仿宋_GB2312" w:cs="仿宋_GB2312"/>
          <w:color w:val="auto"/>
          <w:sz w:val="32"/>
          <w:szCs w:val="32"/>
          <w:u w:color="auto"/>
        </w:rPr>
        <w:t>0.00</w:t>
      </w:r>
      <w:r>
        <w:rPr>
          <w:rFonts w:hint="eastAsia" w:ascii="仿宋_GB2312" w:hAnsi="仿宋_GB2312" w:eastAsia="仿宋_GB2312" w:cs="仿宋_GB2312"/>
          <w:color w:val="auto"/>
          <w:kern w:val="2"/>
          <w:sz w:val="32"/>
          <w:szCs w:val="32"/>
          <w:highlight w:val="none"/>
          <w:lang w:val="en-US" w:eastAsia="zh-CN" w:bidi="ar"/>
        </w:rPr>
        <w:t>万元。为</w:t>
      </w:r>
      <w:r>
        <w:rPr>
          <w:rFonts w:hint="eastAsia" w:ascii="仿宋_GB2312" w:hAnsi="仿宋_GB2312" w:eastAsia="仿宋_GB2312" w:cs="仿宋_GB2312"/>
          <w:color w:val="auto"/>
          <w:sz w:val="32"/>
          <w:szCs w:val="32"/>
          <w:highlight w:val="none"/>
          <w:lang w:eastAsia="zh-CN"/>
        </w:rPr>
        <w:t>环江县</w:t>
      </w:r>
      <w:r>
        <w:rPr>
          <w:rFonts w:hint="eastAsia" w:ascii="仿宋_GB2312" w:hAnsi="仿宋_GB2312" w:eastAsia="仿宋_GB2312" w:cs="仿宋_GB2312"/>
          <w:color w:val="auto"/>
          <w:kern w:val="2"/>
          <w:sz w:val="32"/>
          <w:szCs w:val="32"/>
          <w:highlight w:val="none"/>
          <w:lang w:val="en-US" w:eastAsia="zh-CN" w:bidi="ar"/>
        </w:rPr>
        <w:t>财政当年拨付的资金。较2022年度决算数</w:t>
      </w:r>
      <w:r>
        <w:rPr>
          <w:rFonts w:hint="eastAsia" w:ascii="仿宋_GB2312" w:hAnsi="仿宋_GB2312" w:eastAsia="仿宋_GB2312" w:cs="仿宋_GB2312"/>
          <w:color w:val="auto"/>
          <w:sz w:val="32"/>
          <w:szCs w:val="32"/>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rPr>
        <w:t>增长0%</w:t>
      </w:r>
      <w:r>
        <w:rPr>
          <w:rFonts w:hint="eastAsia" w:ascii="仿宋_GB2312" w:hAnsi="仿宋_GB2312" w:eastAsia="仿宋_GB2312" w:cs="仿宋_GB2312"/>
          <w:color w:val="auto"/>
          <w:kern w:val="2"/>
          <w:sz w:val="32"/>
          <w:szCs w:val="32"/>
          <w:highlight w:val="none"/>
          <w:lang w:val="en-US" w:eastAsia="zh-CN" w:bidi="ar"/>
        </w:rPr>
        <w:t>，主要原因是：本单位没有国有资本经营预算财政拨款收入。</w:t>
      </w:r>
    </w:p>
    <w:p w14:paraId="5A3F098E">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4.事业收入</w:t>
      </w:r>
      <w:r>
        <w:rPr>
          <w:rFonts w:hint="eastAsia" w:ascii="仿宋_GB2312" w:hAnsi="仿宋_GB2312" w:eastAsia="仿宋_GB2312" w:cs="仿宋_GB2312"/>
          <w:color w:val="auto"/>
          <w:sz w:val="32"/>
          <w:szCs w:val="32"/>
          <w:u w:color="auto"/>
          <w:lang w:val="en-US" w:eastAsia="zh-CN"/>
        </w:rPr>
        <w:t>221.09</w:t>
      </w:r>
      <w:r>
        <w:rPr>
          <w:rFonts w:hint="eastAsia" w:ascii="仿宋_GB2312" w:hAnsi="仿宋_GB2312" w:eastAsia="仿宋_GB2312" w:cs="仿宋_GB2312"/>
          <w:color w:val="auto"/>
          <w:kern w:val="2"/>
          <w:sz w:val="32"/>
          <w:szCs w:val="32"/>
          <w:highlight w:val="none"/>
          <w:lang w:val="en-US" w:eastAsia="zh-CN" w:bidi="ar"/>
        </w:rPr>
        <w:t>万元，为事业单位开展业务活动取得的收入。较2022年度决算数</w:t>
      </w:r>
      <w:r>
        <w:rPr>
          <w:rFonts w:hint="eastAsia" w:ascii="仿宋_GB2312" w:hAnsi="仿宋_GB2312" w:eastAsia="仿宋_GB2312" w:cs="仿宋_GB2312"/>
          <w:color w:val="auto"/>
          <w:sz w:val="32"/>
          <w:szCs w:val="32"/>
          <w:u w:color="auto"/>
          <w:lang w:val="en-US" w:eastAsia="zh-CN"/>
        </w:rPr>
        <w:t>减少6.05</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lang w:val="en-US" w:eastAsia="zh-CN"/>
        </w:rPr>
        <w:t>下降2.66</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kern w:val="2"/>
          <w:sz w:val="32"/>
          <w:szCs w:val="32"/>
          <w:highlight w:val="none"/>
          <w:lang w:val="en-US" w:eastAsia="zh-CN" w:bidi="ar"/>
        </w:rPr>
        <w:t>，主要原因是：医疗机构业务收入减少。</w:t>
      </w:r>
    </w:p>
    <w:p w14:paraId="30489BE8">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5.经营收入0.00万,为事业单位在业务活动之外开展非独立核算经营活动取得的收入。较2022年度决算数</w:t>
      </w:r>
      <w:r>
        <w:rPr>
          <w:rFonts w:hint="eastAsia" w:ascii="仿宋_GB2312" w:hAnsi="仿宋_GB2312" w:eastAsia="仿宋_GB2312" w:cs="仿宋_GB2312"/>
          <w:color w:val="auto"/>
          <w:sz w:val="32"/>
          <w:szCs w:val="32"/>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rPr>
        <w:t>增长0%</w:t>
      </w:r>
      <w:r>
        <w:rPr>
          <w:rFonts w:hint="eastAsia" w:ascii="仿宋_GB2312" w:hAnsi="仿宋_GB2312" w:eastAsia="仿宋_GB2312" w:cs="仿宋_GB2312"/>
          <w:color w:val="auto"/>
          <w:kern w:val="2"/>
          <w:sz w:val="32"/>
          <w:szCs w:val="32"/>
          <w:highlight w:val="none"/>
          <w:lang w:val="en-US" w:eastAsia="zh-CN" w:bidi="ar"/>
        </w:rPr>
        <w:t>，主要原因是：本单位没有经营性收入。</w:t>
      </w:r>
    </w:p>
    <w:p w14:paraId="2B4F69F0">
      <w:pPr>
        <w:keepNext w:val="0"/>
        <w:keepLines w:val="0"/>
        <w:widowControl w:val="0"/>
        <w:suppressLineNumbers w:val="0"/>
        <w:spacing w:before="0" w:beforeAutospacing="0" w:after="0" w:afterAutospacing="0"/>
        <w:ind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6.其他收入</w:t>
      </w:r>
      <w:r>
        <w:rPr>
          <w:rFonts w:hint="eastAsia" w:ascii="仿宋_GB2312" w:hAnsi="仿宋_GB2312" w:eastAsia="仿宋_GB2312" w:cs="仿宋_GB2312"/>
          <w:color w:val="auto"/>
          <w:sz w:val="32"/>
          <w:szCs w:val="32"/>
          <w:u w:color="auto"/>
          <w:lang w:val="en-US" w:eastAsia="zh-CN"/>
        </w:rPr>
        <w:t>0</w:t>
      </w:r>
      <w:r>
        <w:rPr>
          <w:rFonts w:hint="eastAsia" w:ascii="仿宋_GB2312" w:hAnsi="仿宋_GB2312" w:eastAsia="仿宋_GB2312" w:cs="仿宋_GB2312"/>
          <w:color w:val="auto"/>
          <w:kern w:val="2"/>
          <w:sz w:val="32"/>
          <w:szCs w:val="32"/>
          <w:highlight w:val="none"/>
          <w:lang w:val="en-US" w:eastAsia="zh-CN" w:bidi="ar"/>
        </w:rPr>
        <w:t>万元,为预算单位在“财政拨款收入”“事业收入”“经营收入”之外取得的收入。较2022年度决算数</w:t>
      </w:r>
      <w:r>
        <w:rPr>
          <w:rFonts w:hint="eastAsia" w:ascii="仿宋_GB2312" w:hAnsi="仿宋_GB2312" w:eastAsia="仿宋_GB2312" w:cs="仿宋_GB2312"/>
          <w:color w:val="auto"/>
          <w:sz w:val="32"/>
          <w:szCs w:val="32"/>
          <w:u w:color="auto"/>
          <w:lang w:val="en-US" w:eastAsia="zh-CN"/>
        </w:rPr>
        <w:t>增加0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lang w:val="en-US" w:eastAsia="zh-CN"/>
        </w:rPr>
        <w:t>增长0</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kern w:val="2"/>
          <w:sz w:val="32"/>
          <w:szCs w:val="32"/>
          <w:highlight w:val="none"/>
          <w:lang w:val="en-US" w:eastAsia="zh-CN" w:bidi="ar"/>
        </w:rPr>
        <w:t>，主要原因是：本单位没有其他收入。</w:t>
      </w:r>
    </w:p>
    <w:p w14:paraId="18C90279">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
        </w:rPr>
        <w:t>7.使用非财政拨款结余</w:t>
      </w:r>
      <w:r>
        <w:rPr>
          <w:rFonts w:hint="eastAsia" w:ascii="仿宋_GB2312" w:hAnsi="仿宋_GB2312" w:eastAsia="仿宋_GB2312" w:cs="仿宋_GB2312"/>
          <w:color w:val="auto"/>
          <w:sz w:val="32"/>
          <w:szCs w:val="32"/>
          <w:u w:color="auto"/>
        </w:rPr>
        <w:t>0.00</w:t>
      </w:r>
      <w:r>
        <w:rPr>
          <w:rFonts w:hint="eastAsia" w:ascii="仿宋_GB2312" w:hAnsi="仿宋_GB2312" w:eastAsia="仿宋_GB2312" w:cs="仿宋_GB2312"/>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hint="eastAsia" w:ascii="仿宋_GB2312" w:hAnsi="仿宋_GB2312" w:eastAsia="仿宋_GB2312" w:cs="仿宋_GB2312"/>
          <w:color w:val="auto"/>
          <w:sz w:val="32"/>
          <w:szCs w:val="32"/>
          <w:u w:color="auto"/>
        </w:rPr>
        <w:t>增加0.00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rPr>
        <w:t>增长0%</w:t>
      </w:r>
      <w:r>
        <w:rPr>
          <w:rFonts w:hint="eastAsia" w:ascii="仿宋_GB2312" w:hAnsi="仿宋_GB2312" w:eastAsia="仿宋_GB2312" w:cs="仿宋_GB2312"/>
          <w:color w:val="auto"/>
          <w:kern w:val="2"/>
          <w:sz w:val="32"/>
          <w:szCs w:val="32"/>
          <w:highlight w:val="none"/>
          <w:lang w:val="en-US" w:eastAsia="zh-CN" w:bidi="ar"/>
        </w:rPr>
        <w:t>，主要原因是：本单位没有非财政拨款结余。</w:t>
      </w:r>
    </w:p>
    <w:p w14:paraId="3FA6CBD3">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8.上年结转和结余</w:t>
      </w:r>
      <w:r>
        <w:rPr>
          <w:rFonts w:hint="eastAsia" w:ascii="仿宋_GB2312" w:hAnsi="仿宋_GB2312" w:eastAsia="仿宋_GB2312" w:cs="仿宋_GB2312"/>
          <w:color w:val="auto"/>
          <w:sz w:val="32"/>
          <w:szCs w:val="32"/>
          <w:u w:color="auto"/>
          <w:lang w:val="en-US" w:eastAsia="zh-CN"/>
        </w:rPr>
        <w:t>0</w:t>
      </w:r>
      <w:r>
        <w:rPr>
          <w:rFonts w:hint="eastAsia" w:ascii="仿宋_GB2312" w:hAnsi="仿宋_GB2312" w:eastAsia="仿宋_GB2312" w:cs="仿宋_GB2312"/>
          <w:color w:val="auto"/>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仿宋_GB2312" w:hAnsi="仿宋_GB2312" w:eastAsia="仿宋_GB2312" w:cs="仿宋_GB2312"/>
          <w:color w:val="auto"/>
          <w:sz w:val="32"/>
          <w:szCs w:val="32"/>
          <w:u w:color="auto"/>
          <w:lang w:val="en-US" w:eastAsia="zh-CN"/>
        </w:rPr>
        <w:t>增加0</w:t>
      </w:r>
      <w:r>
        <w:rPr>
          <w:rFonts w:hint="eastAsia" w:ascii="仿宋_GB2312" w:hAnsi="仿宋_GB2312" w:eastAsia="仿宋_GB2312" w:cs="仿宋_GB2312"/>
          <w:color w:val="auto"/>
          <w:kern w:val="2"/>
          <w:sz w:val="32"/>
          <w:szCs w:val="32"/>
          <w:highlight w:val="none"/>
          <w:lang w:val="en-US" w:eastAsia="zh-CN" w:bidi="ar"/>
        </w:rPr>
        <w:t>万元，</w:t>
      </w:r>
      <w:r>
        <w:rPr>
          <w:rFonts w:hint="eastAsia" w:ascii="仿宋_GB2312" w:hAnsi="仿宋_GB2312" w:eastAsia="仿宋_GB2312" w:cs="仿宋_GB2312"/>
          <w:color w:val="auto"/>
          <w:sz w:val="32"/>
          <w:szCs w:val="32"/>
          <w:u w:color="auto"/>
          <w:lang w:val="en-US" w:eastAsia="zh-CN"/>
        </w:rPr>
        <w:t>增长</w:t>
      </w:r>
      <w:r>
        <w:rPr>
          <w:rFonts w:hint="eastAsia" w:ascii="仿宋_GB2312" w:hAnsi="仿宋_GB2312" w:eastAsia="仿宋_GB2312" w:cs="仿宋_GB2312"/>
          <w:color w:val="auto"/>
          <w:sz w:val="32"/>
          <w:szCs w:val="32"/>
          <w:u w:color="auto"/>
        </w:rPr>
        <w:t>降</w:t>
      </w:r>
      <w:r>
        <w:rPr>
          <w:rFonts w:hint="eastAsia" w:ascii="仿宋_GB2312" w:hAnsi="仿宋_GB2312" w:eastAsia="仿宋_GB2312" w:cs="仿宋_GB2312"/>
          <w:color w:val="auto"/>
          <w:sz w:val="32"/>
          <w:szCs w:val="32"/>
          <w:u w:color="auto"/>
          <w:lang w:val="en-US" w:eastAsia="zh-CN"/>
        </w:rPr>
        <w:t>0</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kern w:val="2"/>
          <w:sz w:val="32"/>
          <w:szCs w:val="32"/>
          <w:highlight w:val="none"/>
          <w:lang w:val="en-US" w:eastAsia="zh-CN" w:bidi="ar"/>
        </w:rPr>
        <w:t>，主要原因：部分项目已在本年执行完毕，不需要结转至下年继续执行。</w:t>
      </w:r>
    </w:p>
    <w:p w14:paraId="040FE8C8">
      <w:pPr>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（二）本部门202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年度总支出</w:t>
      </w:r>
      <w:r>
        <w:rPr>
          <w:rFonts w:hint="eastAsia" w:ascii="仿宋_GB2312" w:hAnsi="仿宋_GB2312" w:eastAsia="仿宋_GB2312" w:cs="仿宋_GB2312"/>
          <w:color w:val="auto"/>
          <w:sz w:val="32"/>
          <w:szCs w:val="32"/>
          <w:u w:color="auto"/>
          <w:lang w:val="en-US" w:eastAsia="zh-CN"/>
        </w:rPr>
        <w:t>582.41</w:t>
      </w:r>
      <w:r>
        <w:rPr>
          <w:rFonts w:hint="eastAsia" w:ascii="仿宋_GB2312" w:hAnsi="仿宋_GB2312" w:eastAsia="仿宋_GB2312" w:cs="仿宋_GB2312"/>
          <w:color w:val="auto"/>
          <w:sz w:val="32"/>
          <w:szCs w:val="32"/>
          <w:highlight w:val="none"/>
        </w:rPr>
        <w:t>万元，其中本年支出</w:t>
      </w:r>
      <w:r>
        <w:rPr>
          <w:rFonts w:hint="eastAsia" w:ascii="仿宋_GB2312" w:hAnsi="仿宋_GB2312" w:eastAsia="仿宋_GB2312" w:cs="仿宋_GB2312"/>
          <w:color w:val="auto"/>
          <w:sz w:val="32"/>
          <w:szCs w:val="32"/>
          <w:u w:color="auto"/>
          <w:lang w:val="en-US" w:eastAsia="zh-CN"/>
        </w:rPr>
        <w:t>582.41</w:t>
      </w:r>
      <w:r>
        <w:rPr>
          <w:rFonts w:hint="eastAsia" w:ascii="仿宋_GB2312" w:hAnsi="仿宋_GB2312" w:eastAsia="仿宋_GB2312" w:cs="仿宋_GB2312"/>
          <w:color w:val="auto"/>
          <w:sz w:val="32"/>
          <w:szCs w:val="32"/>
          <w:highlight w:val="none"/>
        </w:rPr>
        <w:t>万元，较202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val="en-US" w:eastAsia="zh-CN"/>
        </w:rPr>
        <w:t>减少43.31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u w:color="auto"/>
          <w:lang w:val="en-US" w:eastAsia="zh-CN"/>
        </w:rPr>
        <w:t>下降6.92</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highlight w:val="none"/>
        </w:rPr>
        <w:t>。支出具体情况如下：</w:t>
      </w:r>
    </w:p>
    <w:p w14:paraId="69A7967F">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u w:color="auto"/>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u w:color="auto"/>
          <w:lang w:val="en-US" w:eastAsia="zh-CN"/>
        </w:rPr>
        <w:t>一般公共服务支出2.20万元：主要用于：其他群众团体事务支出。较2022年度数增加2.20万元，增长100%，主要原因是：</w:t>
      </w:r>
      <w:r>
        <w:rPr>
          <w:rFonts w:hint="eastAsia" w:ascii="仿宋_GB2312" w:hAnsi="仿宋_GB2312" w:eastAsia="仿宋_GB2312" w:cs="仿宋_GB2312"/>
          <w:color w:val="auto"/>
          <w:sz w:val="32"/>
          <w:szCs w:val="32"/>
          <w:highlight w:val="none"/>
          <w:u w:color="auto"/>
          <w:lang w:val="en-US" w:eastAsia="zh-CN"/>
        </w:rPr>
        <w:t>用于工会经费支出</w:t>
      </w:r>
      <w:r>
        <w:rPr>
          <w:rFonts w:hint="eastAsia" w:ascii="仿宋_GB2312" w:hAnsi="仿宋_GB2312" w:eastAsia="仿宋_GB2312" w:cs="仿宋_GB2312"/>
          <w:color w:val="auto"/>
          <w:sz w:val="32"/>
          <w:szCs w:val="32"/>
          <w:u w:color="auto"/>
          <w:lang w:val="en-US" w:eastAsia="zh-CN"/>
        </w:rPr>
        <w:t>。</w:t>
      </w:r>
    </w:p>
    <w:p w14:paraId="3DD4F661">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u w:color="auto"/>
          <w:lang w:val="en-US" w:eastAsia="zh-CN"/>
        </w:rPr>
        <w:t>2.</w:t>
      </w:r>
      <w:r>
        <w:rPr>
          <w:rFonts w:hint="eastAsia" w:ascii="仿宋_GB2312" w:hAnsi="仿宋_GB2312" w:eastAsia="仿宋_GB2312" w:cs="仿宋_GB2312"/>
          <w:color w:val="auto"/>
          <w:sz w:val="32"/>
          <w:szCs w:val="32"/>
          <w:highlight w:val="none"/>
          <w:lang w:bidi="ar"/>
        </w:rPr>
        <w:t>社会保障和就业支出</w:t>
      </w:r>
      <w:r>
        <w:rPr>
          <w:rFonts w:hint="eastAsia" w:ascii="仿宋_GB2312" w:hAnsi="仿宋_GB2312" w:eastAsia="仿宋_GB2312" w:cs="仿宋_GB2312"/>
          <w:color w:val="auto"/>
          <w:sz w:val="32"/>
          <w:szCs w:val="32"/>
          <w:highlight w:val="none"/>
          <w:lang w:val="en-US" w:eastAsia="zh-CN" w:bidi="ar"/>
        </w:rPr>
        <w:t>26.77</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主要用于在职在编人员养老保险费支出</w:t>
      </w:r>
      <w:r>
        <w:rPr>
          <w:rFonts w:hint="eastAsia" w:ascii="仿宋_GB2312" w:hAnsi="仿宋_GB2312" w:eastAsia="仿宋_GB2312" w:cs="仿宋_GB2312"/>
          <w:color w:val="auto"/>
          <w:sz w:val="32"/>
          <w:szCs w:val="32"/>
          <w:highlight w:val="none"/>
        </w:rPr>
        <w:t>。较202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eastAsia="zh-CN" w:bidi="ar"/>
        </w:rPr>
        <w:t>增加</w:t>
      </w:r>
      <w:r>
        <w:rPr>
          <w:rFonts w:hint="eastAsia" w:ascii="仿宋_GB2312" w:hAnsi="仿宋_GB2312" w:eastAsia="仿宋_GB2312" w:cs="仿宋_GB2312"/>
          <w:color w:val="auto"/>
          <w:sz w:val="32"/>
          <w:szCs w:val="32"/>
          <w:highlight w:val="none"/>
          <w:lang w:val="en-US" w:eastAsia="zh-CN" w:bidi="ar"/>
        </w:rPr>
        <w:t>8.5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bidi="ar"/>
        </w:rPr>
        <w:t>增长</w:t>
      </w:r>
      <w:r>
        <w:rPr>
          <w:rFonts w:hint="eastAsia" w:ascii="仿宋_GB2312" w:hAnsi="仿宋_GB2312" w:eastAsia="仿宋_GB2312" w:cs="仿宋_GB2312"/>
          <w:color w:val="auto"/>
          <w:sz w:val="32"/>
          <w:szCs w:val="32"/>
          <w:highlight w:val="none"/>
          <w:lang w:val="en-US" w:eastAsia="zh-CN" w:bidi="ar"/>
        </w:rPr>
        <w:t>46.52</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主要原因是：人员变动所致，属于正常变动。</w:t>
      </w:r>
    </w:p>
    <w:p w14:paraId="62B0A9A9">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highlight w:val="none"/>
          <w:lang w:bidi="ar"/>
        </w:rPr>
        <w:t>卫生健康支出</w:t>
      </w:r>
      <w:r>
        <w:rPr>
          <w:rFonts w:hint="eastAsia" w:ascii="仿宋_GB2312" w:hAnsi="仿宋_GB2312" w:eastAsia="仿宋_GB2312" w:cs="仿宋_GB2312"/>
          <w:color w:val="auto"/>
          <w:sz w:val="32"/>
          <w:szCs w:val="32"/>
          <w:highlight w:val="none"/>
          <w:lang w:val="en-US" w:eastAsia="zh-CN" w:bidi="ar"/>
        </w:rPr>
        <w:t>522.02</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rPr>
        <w:t>一是医疗卫生机构按国家规定发放的在职人员工资津补贴及离退休人员工</w:t>
      </w:r>
      <w:r>
        <w:rPr>
          <w:rFonts w:hint="eastAsia" w:ascii="仿宋_GB2312" w:hAnsi="仿宋_GB2312" w:eastAsia="仿宋_GB2312" w:cs="仿宋_GB2312"/>
          <w:color w:val="auto"/>
          <w:kern w:val="0"/>
          <w:sz w:val="32"/>
          <w:szCs w:val="32"/>
          <w:lang w:eastAsia="zh-CN"/>
        </w:rPr>
        <w:t>资等</w:t>
      </w:r>
      <w:r>
        <w:rPr>
          <w:rFonts w:hint="eastAsia" w:ascii="仿宋_GB2312" w:hAnsi="仿宋_GB2312" w:eastAsia="仿宋_GB2312" w:cs="仿宋_GB2312"/>
          <w:color w:val="auto"/>
          <w:kern w:val="0"/>
          <w:sz w:val="32"/>
          <w:szCs w:val="32"/>
        </w:rPr>
        <w:t>方面</w:t>
      </w:r>
      <w:r>
        <w:rPr>
          <w:rFonts w:hint="eastAsia" w:ascii="仿宋_GB2312" w:hAnsi="仿宋_GB2312" w:eastAsia="仿宋_GB2312" w:cs="仿宋_GB2312"/>
          <w:color w:val="auto"/>
          <w:kern w:val="0"/>
          <w:sz w:val="32"/>
          <w:szCs w:val="32"/>
          <w:lang w:eastAsia="zh-CN"/>
        </w:rPr>
        <w:t>基本</w:t>
      </w:r>
      <w:r>
        <w:rPr>
          <w:rFonts w:hint="eastAsia" w:ascii="仿宋_GB2312" w:hAnsi="仿宋_GB2312" w:eastAsia="仿宋_GB2312" w:cs="仿宋_GB2312"/>
          <w:color w:val="auto"/>
          <w:kern w:val="0"/>
          <w:sz w:val="32"/>
          <w:szCs w:val="32"/>
        </w:rPr>
        <w:t>支出；二是项目类支出</w:t>
      </w:r>
      <w:r>
        <w:rPr>
          <w:rFonts w:hint="eastAsia" w:ascii="仿宋_GB2312" w:hAnsi="仿宋_GB2312" w:eastAsia="仿宋_GB2312" w:cs="仿宋_GB2312"/>
          <w:color w:val="auto"/>
          <w:sz w:val="32"/>
          <w:szCs w:val="32"/>
          <w:highlight w:val="none"/>
        </w:rPr>
        <w:t>。较202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val="en-US" w:eastAsia="zh-CN" w:bidi="ar"/>
        </w:rPr>
        <w:t>减少20.55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bidi="ar"/>
        </w:rPr>
        <w:t>下降3.79</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主要原因是：人员变动所致，属于正常变动。</w:t>
      </w:r>
    </w:p>
    <w:p w14:paraId="6C1206F8">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highlight w:val="none"/>
          <w:lang w:bidi="ar"/>
        </w:rPr>
        <w:t>住房保障支出</w:t>
      </w:r>
      <w:r>
        <w:rPr>
          <w:rFonts w:hint="eastAsia" w:ascii="仿宋_GB2312" w:hAnsi="仿宋_GB2312" w:eastAsia="仿宋_GB2312" w:cs="仿宋_GB2312"/>
          <w:color w:val="auto"/>
          <w:sz w:val="32"/>
          <w:szCs w:val="32"/>
          <w:highlight w:val="none"/>
          <w:lang w:val="en-US" w:eastAsia="zh-CN" w:bidi="ar"/>
        </w:rPr>
        <w:t>15.67</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用于在职在编及聘用人员住房公积金支出</w:t>
      </w:r>
      <w:r>
        <w:rPr>
          <w:rFonts w:hint="eastAsia" w:ascii="仿宋_GB2312" w:hAnsi="仿宋_GB2312" w:eastAsia="仿宋_GB2312" w:cs="仿宋_GB2312"/>
          <w:color w:val="auto"/>
          <w:sz w:val="32"/>
          <w:szCs w:val="32"/>
          <w:highlight w:val="none"/>
        </w:rPr>
        <w:t>。较202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highlight w:val="none"/>
          <w:lang w:val="en-US" w:eastAsia="zh-CN" w:bidi="ar"/>
        </w:rPr>
        <w:t>减少28.57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下降</w:t>
      </w:r>
      <w:r>
        <w:rPr>
          <w:rFonts w:hint="eastAsia" w:ascii="仿宋_GB2312" w:hAnsi="仿宋_GB2312" w:eastAsia="仿宋_GB2312" w:cs="仿宋_GB2312"/>
          <w:color w:val="auto"/>
          <w:sz w:val="32"/>
          <w:szCs w:val="32"/>
          <w:highlight w:val="none"/>
          <w:lang w:val="en-US" w:eastAsia="zh-CN" w:bidi="ar"/>
        </w:rPr>
        <w:t>64.58</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主要原因是：人员变动所致，聘用人员公积金未在年初预算反应，是属于正常变动。</w:t>
      </w:r>
    </w:p>
    <w:p w14:paraId="284078ED">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结余分配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3.03</w:t>
      </w:r>
      <w:r>
        <w:rPr>
          <w:rFonts w:hint="eastAsia" w:ascii="仿宋_GB2312" w:hAnsi="仿宋_GB2312" w:eastAsia="仿宋_GB2312" w:cs="仿宋_GB2312"/>
          <w:i w:val="0"/>
          <w:iCs w:val="0"/>
          <w:caps w:val="0"/>
          <w:color w:val="auto"/>
          <w:spacing w:val="0"/>
          <w:sz w:val="32"/>
          <w:szCs w:val="32"/>
          <w:highlight w:val="none"/>
          <w:shd w:val="clear" w:color="auto" w:fill="FFFFFF"/>
        </w:rPr>
        <w:t>万元，为事业单位按规定提取的专用结余、缴纳所得税和转入非财政拨款结余等。较2022年度决算数增加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0.94</w:t>
      </w:r>
      <w:r>
        <w:rPr>
          <w:rFonts w:hint="eastAsia" w:ascii="仿宋_GB2312" w:hAnsi="仿宋_GB2312" w:eastAsia="仿宋_GB2312" w:cs="仿宋_GB2312"/>
          <w:i w:val="0"/>
          <w:iCs w:val="0"/>
          <w:caps w:val="0"/>
          <w:color w:val="auto"/>
          <w:spacing w:val="0"/>
          <w:sz w:val="32"/>
          <w:szCs w:val="32"/>
          <w:highlight w:val="none"/>
          <w:shd w:val="clear" w:color="auto" w:fill="FFFFFF"/>
        </w:rPr>
        <w:t>万元，增长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44.98</w:t>
      </w:r>
      <w:r>
        <w:rPr>
          <w:rFonts w:hint="eastAsia" w:ascii="仿宋_GB2312" w:hAnsi="仿宋_GB2312" w:eastAsia="仿宋_GB2312" w:cs="仿宋_GB2312"/>
          <w:i w:val="0"/>
          <w:iCs w:val="0"/>
          <w:caps w:val="0"/>
          <w:color w:val="auto"/>
          <w:spacing w:val="0"/>
          <w:sz w:val="32"/>
          <w:szCs w:val="32"/>
          <w:highlight w:val="none"/>
          <w:shd w:val="clear" w:color="auto" w:fill="FFFFFF"/>
        </w:rPr>
        <w:t>%，主要原因是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收入增加，支出减少，属于正常变动。</w:t>
      </w:r>
    </w:p>
    <w:p w14:paraId="0ACAA07A">
      <w:pPr>
        <w:keepNext w:val="0"/>
        <w:keepLines w:val="0"/>
        <w:widowControl w:val="0"/>
        <w:suppressLineNumbers w:val="0"/>
        <w:spacing w:before="0" w:beforeAutospacing="0" w:after="0" w:afterAutospacing="0"/>
        <w:ind w:righ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年末结转和结余</w:t>
      </w:r>
      <w:r>
        <w:rPr>
          <w:rFonts w:hint="eastAsia" w:ascii="仿宋_GB2312" w:hAnsi="仿宋_GB2312" w:eastAsia="仿宋_GB2312" w:cs="仿宋_GB2312"/>
          <w:color w:val="auto"/>
          <w:sz w:val="32"/>
          <w:szCs w:val="32"/>
          <w:u w:color="auto"/>
          <w:lang w:val="en-US" w:eastAsia="zh-CN"/>
        </w:rPr>
        <w:t>0.00</w:t>
      </w:r>
      <w:r>
        <w:rPr>
          <w:rFonts w:hint="eastAsia" w:ascii="仿宋_GB2312" w:hAnsi="仿宋_GB2312" w:eastAsia="仿宋_GB2312" w:cs="仿宋_GB2312"/>
          <w:color w:val="auto"/>
          <w:sz w:val="32"/>
          <w:szCs w:val="32"/>
          <w:highlight w:val="none"/>
        </w:rPr>
        <w:t>万元，为本年度或以前年度预算安排、因客观条件发生变化无法按原计划实施，需要延迟到以后年度按有关规定继续使用的资金。较202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u w:color="auto"/>
        </w:rPr>
        <w:t>增加</w:t>
      </w:r>
      <w:r>
        <w:rPr>
          <w:rFonts w:hint="eastAsia" w:ascii="仿宋_GB2312" w:hAnsi="仿宋_GB2312" w:eastAsia="仿宋_GB2312" w:cs="仿宋_GB2312"/>
          <w:color w:val="auto"/>
          <w:sz w:val="32"/>
          <w:szCs w:val="32"/>
          <w:u w:color="auto"/>
          <w:lang w:val="en-US" w:eastAsia="zh-CN"/>
        </w:rPr>
        <w:t>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u w:color="auto"/>
        </w:rPr>
        <w:t>增长</w:t>
      </w:r>
      <w:r>
        <w:rPr>
          <w:rFonts w:hint="eastAsia" w:ascii="仿宋_GB2312" w:hAnsi="仿宋_GB2312" w:eastAsia="仿宋_GB2312" w:cs="仿宋_GB2312"/>
          <w:color w:val="auto"/>
          <w:sz w:val="32"/>
          <w:szCs w:val="32"/>
          <w:u w:color="auto"/>
          <w:lang w:val="en-US" w:eastAsia="zh-CN"/>
        </w:rPr>
        <w:t>0</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
        </w:rPr>
        <w:t>主要原因是：无项目结转资金。</w:t>
      </w:r>
    </w:p>
    <w:p w14:paraId="0FDD5FEA">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3" w:name="OLE_LINK1"/>
      <w:r>
        <w:rPr>
          <w:rFonts w:hint="eastAsia" w:ascii="黑体" w:hAnsi="黑体" w:eastAsia="黑体" w:cs="黑体"/>
          <w:color w:val="auto"/>
          <w:sz w:val="32"/>
          <w:szCs w:val="32"/>
          <w:highlight w:val="none"/>
        </w:rPr>
        <w:t>一般公共预算财政拨款支出决算情况</w:t>
      </w:r>
      <w:bookmarkEnd w:id="3"/>
    </w:p>
    <w:p w14:paraId="72193D6B">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环江毛南族自治县大才乡卫生院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年度一般公共预算财政拨款支出</w:t>
      </w:r>
      <w:r>
        <w:rPr>
          <w:rFonts w:hint="eastAsia" w:ascii="仿宋_GB2312" w:hAnsi="仿宋_GB2312" w:eastAsia="仿宋_GB2312" w:cs="仿宋_GB2312"/>
          <w:color w:val="auto"/>
          <w:sz w:val="32"/>
          <w:szCs w:val="32"/>
          <w:u w:color="auto"/>
          <w:lang w:val="en-US" w:eastAsia="zh-CN"/>
        </w:rPr>
        <w:t>361.32</w:t>
      </w:r>
      <w:r>
        <w:rPr>
          <w:rFonts w:hint="eastAsia" w:ascii="仿宋_GB2312" w:hAnsi="仿宋_GB2312" w:eastAsia="仿宋_GB2312" w:cs="仿宋_GB2312"/>
          <w:color w:val="auto"/>
          <w:sz w:val="32"/>
          <w:szCs w:val="32"/>
          <w:highlight w:val="none"/>
        </w:rPr>
        <w:t>万元，较202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w:t>
      </w:r>
      <w:r>
        <w:rPr>
          <w:rFonts w:hint="eastAsia" w:ascii="仿宋_GB2312" w:hAnsi="仿宋_GB2312" w:eastAsia="仿宋_GB2312" w:cs="仿宋_GB2312"/>
          <w:color w:val="auto"/>
          <w:sz w:val="32"/>
          <w:szCs w:val="32"/>
          <w:u w:color="auto"/>
          <w:lang w:val="en-US" w:eastAsia="zh-CN"/>
        </w:rPr>
        <w:t>减少37.26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u w:color="auto"/>
          <w:lang w:val="en-US" w:eastAsia="zh-CN"/>
        </w:rPr>
        <w:t>下降9.35</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highlight w:val="none"/>
        </w:rPr>
        <w:t>。其中：基本支出</w:t>
      </w:r>
      <w:r>
        <w:rPr>
          <w:rFonts w:hint="eastAsia" w:ascii="仿宋_GB2312" w:hAnsi="仿宋_GB2312" w:eastAsia="仿宋_GB2312" w:cs="仿宋_GB2312"/>
          <w:color w:val="auto"/>
          <w:sz w:val="32"/>
          <w:szCs w:val="32"/>
          <w:highlight w:val="none"/>
          <w:u w:color="auto"/>
          <w:lang w:val="en-US" w:eastAsia="zh-CN"/>
        </w:rPr>
        <w:t>172.24</w:t>
      </w:r>
      <w:r>
        <w:rPr>
          <w:rFonts w:hint="eastAsia" w:ascii="仿宋_GB2312" w:hAnsi="仿宋_GB2312" w:eastAsia="仿宋_GB2312" w:cs="仿宋_GB2312"/>
          <w:color w:val="auto"/>
          <w:sz w:val="32"/>
          <w:szCs w:val="32"/>
          <w:highlight w:val="none"/>
        </w:rPr>
        <w:t>万元，项目支出</w:t>
      </w:r>
      <w:r>
        <w:rPr>
          <w:rFonts w:hint="eastAsia" w:ascii="仿宋_GB2312" w:hAnsi="仿宋_GB2312" w:eastAsia="仿宋_GB2312" w:cs="仿宋_GB2312"/>
          <w:color w:val="auto"/>
          <w:sz w:val="32"/>
          <w:szCs w:val="32"/>
          <w:highlight w:val="none"/>
          <w:u w:color="auto"/>
          <w:lang w:val="en-US" w:eastAsia="zh-CN"/>
        </w:rPr>
        <w:t>189.08</w:t>
      </w:r>
      <w:r>
        <w:rPr>
          <w:rFonts w:hint="eastAsia" w:ascii="仿宋_GB2312" w:hAnsi="仿宋_GB2312" w:eastAsia="仿宋_GB2312" w:cs="仿宋_GB2312"/>
          <w:color w:val="auto"/>
          <w:sz w:val="32"/>
          <w:szCs w:val="32"/>
          <w:highlight w:val="none"/>
        </w:rPr>
        <w:t>万元。</w:t>
      </w:r>
    </w:p>
    <w:p w14:paraId="1936DD1D">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环江毛南族自治县大才乡卫生院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年度一般公共预算财政拨款支出年初预算为</w:t>
      </w:r>
      <w:r>
        <w:rPr>
          <w:rFonts w:hint="eastAsia" w:ascii="仿宋_GB2312" w:hAnsi="仿宋_GB2312" w:eastAsia="仿宋_GB2312" w:cs="仿宋_GB2312"/>
          <w:color w:val="auto"/>
          <w:sz w:val="32"/>
          <w:szCs w:val="32"/>
          <w:highlight w:val="none"/>
          <w:lang w:val="en-US" w:eastAsia="zh-CN"/>
        </w:rPr>
        <w:t>172.24</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u w:color="auto"/>
          <w:lang w:val="en-US" w:eastAsia="zh-CN"/>
        </w:rPr>
        <w:t>361.32</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u w:color="auto"/>
          <w:lang w:val="en-US" w:eastAsia="zh-CN"/>
        </w:rPr>
        <w:t>209.78</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highlight w:val="none"/>
        </w:rPr>
        <w:t>。</w:t>
      </w:r>
    </w:p>
    <w:p w14:paraId="542BAB9B">
      <w:pPr>
        <w:jc w:val="left"/>
        <w:rPr>
          <w:rFonts w:hint="eastAsia" w:ascii="仿宋_GB2312" w:hAnsi="仿宋_GB2312" w:eastAsia="仿宋_GB2312" w:cs="仿宋_GB2312"/>
          <w:color w:val="auto"/>
          <w:sz w:val="32"/>
          <w:szCs w:val="32"/>
          <w:highlight w:val="none"/>
          <w:lang w:val="en-US" w:eastAsia="zh-CN"/>
        </w:rPr>
      </w:pPr>
      <w:bookmarkStart w:id="4" w:name="OLE_LINK2"/>
      <w:bookmarkEnd w:id="4"/>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一般公共服务支出</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u w:color="auto"/>
          <w:lang w:val="en-US" w:eastAsia="zh-CN"/>
        </w:rPr>
        <w:t>201</w:t>
      </w:r>
      <w:r>
        <w:rPr>
          <w:rFonts w:hint="eastAsia" w:ascii="仿宋_GB2312" w:hAnsi="仿宋_GB2312" w:eastAsia="仿宋_GB2312" w:cs="仿宋_GB2312"/>
          <w:color w:val="auto"/>
          <w:sz w:val="32"/>
          <w:szCs w:val="32"/>
          <w:highlight w:val="none"/>
        </w:rPr>
        <w:t>类）年初预算为</w:t>
      </w:r>
      <w:r>
        <w:rPr>
          <w:rFonts w:hint="eastAsia" w:ascii="仿宋_GB2312" w:hAnsi="仿宋_GB2312" w:eastAsia="仿宋_GB2312" w:cs="仿宋_GB2312"/>
          <w:color w:val="auto"/>
          <w:sz w:val="32"/>
          <w:szCs w:val="32"/>
          <w:highlight w:val="none"/>
          <w:lang w:val="en-US" w:eastAsia="zh-CN"/>
        </w:rPr>
        <w:t>2.20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2.20</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%。预决算</w:t>
      </w:r>
      <w:r>
        <w:rPr>
          <w:rFonts w:hint="eastAsia" w:ascii="仿宋_GB2312" w:hAnsi="仿宋_GB2312" w:eastAsia="仿宋_GB2312" w:cs="仿宋_GB2312"/>
          <w:color w:val="auto"/>
          <w:sz w:val="32"/>
          <w:szCs w:val="32"/>
          <w:highlight w:val="none"/>
          <w:lang w:val="en-US" w:eastAsia="zh-CN"/>
        </w:rPr>
        <w:t>存有</w:t>
      </w:r>
      <w:r>
        <w:rPr>
          <w:rFonts w:hint="eastAsia" w:ascii="仿宋_GB2312" w:hAnsi="仿宋_GB2312" w:eastAsia="仿宋_GB2312" w:cs="仿宋_GB2312"/>
          <w:color w:val="auto"/>
          <w:sz w:val="32"/>
          <w:szCs w:val="32"/>
          <w:highlight w:val="none"/>
        </w:rPr>
        <w:t>差异</w:t>
      </w:r>
      <w:r>
        <w:rPr>
          <w:rFonts w:hint="eastAsia" w:ascii="仿宋_GB2312" w:hAnsi="仿宋_GB2312" w:eastAsia="仿宋_GB2312" w:cs="仿宋_GB2312"/>
          <w:color w:val="auto"/>
          <w:sz w:val="32"/>
          <w:szCs w:val="32"/>
          <w:highlight w:val="none"/>
          <w:lang w:val="en-US" w:eastAsia="zh-CN"/>
        </w:rPr>
        <w:t>原因是：</w:t>
      </w:r>
      <w:r>
        <w:rPr>
          <w:rFonts w:hint="eastAsia" w:ascii="仿宋_GB2312" w:hAnsi="仿宋_GB2312" w:eastAsia="仿宋_GB2312" w:cs="仿宋_GB2312"/>
          <w:color w:val="auto"/>
          <w:kern w:val="2"/>
          <w:sz w:val="32"/>
          <w:szCs w:val="32"/>
          <w:highlight w:val="none"/>
          <w:lang w:val="en-US" w:eastAsia="zh-CN" w:bidi="ar"/>
        </w:rPr>
        <w:t>用于工会经费支出，属正常变动。</w:t>
      </w:r>
    </w:p>
    <w:p w14:paraId="5C1037AC">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B80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EDD1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102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CDE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B86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B412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828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9E5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14:paraId="70A8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C2D6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CD7F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5D02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6BE1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2.20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4B93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4BE0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0EFC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8"/>
                <w:szCs w:val="18"/>
                <w:highlight w:val="none"/>
                <w:lang w:val="en-US" w:eastAsia="zh-CN" w:bidi="ar"/>
              </w:rPr>
              <w:t>年内有工会经费支出，属正常变动。</w:t>
            </w:r>
          </w:p>
        </w:tc>
      </w:tr>
      <w:tr w14:paraId="1B07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BAB4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99B9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18A7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9883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2.20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604D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1F84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BAC5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4D7002F">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u w:color="auto"/>
          <w:lang w:val="en-US" w:eastAsia="zh-CN"/>
        </w:rPr>
        <w:t>208</w:t>
      </w:r>
      <w:r>
        <w:rPr>
          <w:rFonts w:hint="eastAsia" w:ascii="仿宋_GB2312" w:hAnsi="仿宋_GB2312" w:eastAsia="仿宋_GB2312" w:cs="仿宋_GB2312"/>
          <w:color w:val="auto"/>
          <w:sz w:val="32"/>
          <w:szCs w:val="32"/>
          <w:highlight w:val="none"/>
        </w:rPr>
        <w:t>类）年初预算为</w:t>
      </w:r>
      <w:r>
        <w:rPr>
          <w:rFonts w:hint="eastAsia" w:ascii="仿宋_GB2312" w:hAnsi="仿宋_GB2312" w:eastAsia="仿宋_GB2312" w:cs="仿宋_GB2312"/>
          <w:color w:val="auto"/>
          <w:sz w:val="32"/>
          <w:szCs w:val="32"/>
          <w:highlight w:val="none"/>
          <w:lang w:val="en-US" w:eastAsia="zh-CN"/>
        </w:rPr>
        <w:t>26.77</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26.77</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%。预决算</w:t>
      </w:r>
      <w:r>
        <w:rPr>
          <w:rFonts w:hint="eastAsia" w:ascii="仿宋_GB2312" w:hAnsi="仿宋_GB2312" w:eastAsia="仿宋_GB2312" w:cs="仿宋_GB2312"/>
          <w:color w:val="auto"/>
          <w:sz w:val="32"/>
          <w:szCs w:val="32"/>
          <w:highlight w:val="none"/>
          <w:lang w:val="en-US" w:eastAsia="zh-CN"/>
        </w:rPr>
        <w:t>存有</w:t>
      </w:r>
      <w:r>
        <w:rPr>
          <w:rFonts w:hint="eastAsia" w:ascii="仿宋_GB2312" w:hAnsi="仿宋_GB2312" w:eastAsia="仿宋_GB2312" w:cs="仿宋_GB2312"/>
          <w:color w:val="auto"/>
          <w:sz w:val="32"/>
          <w:szCs w:val="32"/>
          <w:highlight w:val="none"/>
        </w:rPr>
        <w:t>差异</w:t>
      </w:r>
      <w:r>
        <w:rPr>
          <w:rFonts w:hint="eastAsia" w:ascii="仿宋_GB2312" w:hAnsi="仿宋_GB2312" w:eastAsia="仿宋_GB2312" w:cs="仿宋_GB2312"/>
          <w:color w:val="auto"/>
          <w:sz w:val="32"/>
          <w:szCs w:val="32"/>
          <w:highlight w:val="none"/>
          <w:lang w:val="en-US" w:eastAsia="zh-CN"/>
        </w:rPr>
        <w:t>原因是：用于在职在编人员养老保险及职业年金缴纳支出，</w:t>
      </w:r>
      <w:r>
        <w:rPr>
          <w:rFonts w:hint="eastAsia" w:ascii="仿宋_GB2312" w:hAnsi="仿宋_GB2312" w:eastAsia="仿宋_GB2312" w:cs="仿宋_GB2312"/>
          <w:color w:val="auto"/>
          <w:kern w:val="2"/>
          <w:sz w:val="32"/>
          <w:szCs w:val="32"/>
          <w:highlight w:val="none"/>
          <w:lang w:val="en-US" w:eastAsia="zh-CN" w:bidi="ar"/>
        </w:rPr>
        <w:t>如期完成。</w:t>
      </w:r>
    </w:p>
    <w:p w14:paraId="71758059">
      <w:pPr>
        <w:jc w:val="left"/>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F37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40A4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FB9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AA2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7B0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BDB0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19C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BF0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14:paraId="4392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38B2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78FA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D88B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17.61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76D1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B0F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0832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用于在职在编人员养老保险支出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519A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用于在职在编人员养老保险缴纳支出，如期完成</w:t>
            </w:r>
          </w:p>
        </w:tc>
      </w:tr>
      <w:tr w14:paraId="0307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941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39A8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机关事业单位职业年金缴费支出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C388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9.16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74CF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ECF8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54C36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用于在职在编人员职业年金支出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373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用于在职在编人员职业年金缴纳支出，如期完成</w:t>
            </w:r>
          </w:p>
        </w:tc>
      </w:tr>
      <w:tr w14:paraId="203B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9ECC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87AE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E389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26.77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81E3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26.77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3D75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274.62%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B0B83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主要用于在职在编人员工资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54A1A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07056ED6">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u w:color="auto"/>
        </w:rPr>
        <w:t>（210</w:t>
      </w:r>
      <w:r>
        <w:rPr>
          <w:rFonts w:hint="eastAsia" w:ascii="仿宋_GB2312" w:hAnsi="仿宋_GB2312" w:eastAsia="仿宋_GB2312" w:cs="仿宋_GB2312"/>
          <w:color w:val="auto"/>
          <w:sz w:val="32"/>
          <w:szCs w:val="32"/>
          <w:highlight w:val="none"/>
        </w:rPr>
        <w:t>类）年初预算为</w:t>
      </w:r>
      <w:r>
        <w:rPr>
          <w:rFonts w:hint="eastAsia" w:ascii="仿宋_GB2312" w:hAnsi="仿宋_GB2312" w:eastAsia="仿宋_GB2312" w:cs="仿宋_GB2312"/>
          <w:color w:val="auto"/>
          <w:sz w:val="32"/>
          <w:szCs w:val="32"/>
          <w:highlight w:val="none"/>
          <w:lang w:val="en-US" w:eastAsia="zh-CN"/>
        </w:rPr>
        <w:t>184.18</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303.96</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165.03</w:t>
      </w:r>
      <w:r>
        <w:rPr>
          <w:rFonts w:hint="eastAsia" w:ascii="仿宋_GB2312" w:hAnsi="仿宋_GB2312" w:eastAsia="仿宋_GB2312" w:cs="仿宋_GB2312"/>
          <w:color w:val="auto"/>
          <w:sz w:val="32"/>
          <w:szCs w:val="32"/>
          <w:highlight w:val="none"/>
        </w:rPr>
        <w:t>%。预决算</w:t>
      </w:r>
      <w:r>
        <w:rPr>
          <w:rFonts w:hint="eastAsia" w:ascii="仿宋_GB2312" w:hAnsi="仿宋_GB2312" w:eastAsia="仿宋_GB2312" w:cs="仿宋_GB2312"/>
          <w:color w:val="auto"/>
          <w:sz w:val="32"/>
          <w:szCs w:val="32"/>
          <w:highlight w:val="none"/>
          <w:lang w:val="en-US" w:eastAsia="zh-CN"/>
        </w:rPr>
        <w:t>存有</w:t>
      </w:r>
      <w:r>
        <w:rPr>
          <w:rFonts w:hint="eastAsia" w:ascii="仿宋_GB2312" w:hAnsi="仿宋_GB2312" w:eastAsia="仿宋_GB2312" w:cs="仿宋_GB2312"/>
          <w:color w:val="auto"/>
          <w:sz w:val="32"/>
          <w:szCs w:val="32"/>
          <w:highlight w:val="none"/>
        </w:rPr>
        <w:t>差异</w:t>
      </w:r>
      <w:r>
        <w:rPr>
          <w:rFonts w:hint="eastAsia" w:ascii="仿宋_GB2312" w:hAnsi="仿宋_GB2312" w:eastAsia="仿宋_GB2312" w:cs="仿宋_GB2312"/>
          <w:color w:val="auto"/>
          <w:sz w:val="32"/>
          <w:szCs w:val="32"/>
          <w:highlight w:val="none"/>
          <w:lang w:val="en-US" w:eastAsia="zh-CN"/>
        </w:rPr>
        <w:t>原因是：工资提高所致及</w:t>
      </w:r>
      <w:r>
        <w:rPr>
          <w:rFonts w:hint="eastAsia" w:ascii="仿宋_GB2312" w:hAnsi="仿宋_GB2312" w:eastAsia="仿宋_GB2312" w:cs="仿宋_GB2312"/>
          <w:color w:val="auto"/>
          <w:kern w:val="2"/>
          <w:sz w:val="32"/>
          <w:szCs w:val="32"/>
          <w:highlight w:val="none"/>
          <w:lang w:val="en-US" w:eastAsia="zh-CN" w:bidi="ar"/>
        </w:rPr>
        <w:t>基本公共卫生项目资金不在年初预算反应。</w:t>
      </w:r>
    </w:p>
    <w:p w14:paraId="5A8B02A3">
      <w:pPr>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02CA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6C03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A8B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840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AC4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6223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531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98C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14:paraId="3E91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2367E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2101102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79CAC4">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事业单位医疗</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22F8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184.18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CB163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303.96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F7849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165.03%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42A39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主要用于在职在编人员工资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4283E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人员工资提高所致</w:t>
            </w:r>
          </w:p>
        </w:tc>
      </w:tr>
      <w:tr w14:paraId="7292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3281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F915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211A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97B4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80C3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6577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CAB4F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DBBF2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u w:color="auto"/>
        </w:rPr>
        <w:t>（</w:t>
      </w:r>
      <w:r>
        <w:rPr>
          <w:rFonts w:hint="eastAsia" w:ascii="仿宋_GB2312" w:hAnsi="仿宋_GB2312" w:eastAsia="仿宋_GB2312" w:cs="仿宋_GB2312"/>
          <w:color w:val="auto"/>
          <w:sz w:val="32"/>
          <w:szCs w:val="32"/>
          <w:u w:color="auto"/>
          <w:lang w:val="en-US" w:eastAsia="zh-CN"/>
        </w:rPr>
        <w:t>221</w:t>
      </w:r>
      <w:r>
        <w:rPr>
          <w:rFonts w:hint="eastAsia" w:ascii="仿宋_GB2312" w:hAnsi="仿宋_GB2312" w:eastAsia="仿宋_GB2312" w:cs="仿宋_GB2312"/>
          <w:color w:val="auto"/>
          <w:sz w:val="32"/>
          <w:szCs w:val="32"/>
          <w:highlight w:val="none"/>
        </w:rPr>
        <w:t>类）年初预算为</w:t>
      </w:r>
      <w:r>
        <w:rPr>
          <w:rFonts w:hint="eastAsia" w:ascii="仿宋_GB2312" w:hAnsi="仿宋_GB2312" w:eastAsia="仿宋_GB2312" w:cs="仿宋_GB2312"/>
          <w:color w:val="auto"/>
          <w:sz w:val="32"/>
          <w:szCs w:val="32"/>
          <w:highlight w:val="none"/>
          <w:lang w:val="en-US" w:eastAsia="zh-CN"/>
        </w:rPr>
        <w:t>15.67</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15.67</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%。预决算</w:t>
      </w:r>
      <w:r>
        <w:rPr>
          <w:rFonts w:hint="eastAsia" w:ascii="仿宋_GB2312" w:hAnsi="仿宋_GB2312" w:eastAsia="仿宋_GB2312" w:cs="仿宋_GB2312"/>
          <w:color w:val="auto"/>
          <w:sz w:val="32"/>
          <w:szCs w:val="32"/>
          <w:highlight w:val="none"/>
          <w:lang w:val="en-US" w:eastAsia="zh-CN"/>
        </w:rPr>
        <w:t>存有</w:t>
      </w:r>
      <w:r>
        <w:rPr>
          <w:rFonts w:hint="eastAsia" w:ascii="仿宋_GB2312" w:hAnsi="仿宋_GB2312" w:eastAsia="仿宋_GB2312" w:cs="仿宋_GB2312"/>
          <w:color w:val="auto"/>
          <w:sz w:val="32"/>
          <w:szCs w:val="32"/>
          <w:highlight w:val="none"/>
        </w:rPr>
        <w:t>差异</w:t>
      </w:r>
      <w:r>
        <w:rPr>
          <w:rFonts w:hint="eastAsia" w:ascii="仿宋_GB2312" w:hAnsi="仿宋_GB2312" w:eastAsia="仿宋_GB2312" w:cs="仿宋_GB2312"/>
          <w:color w:val="auto"/>
          <w:sz w:val="32"/>
          <w:szCs w:val="32"/>
          <w:highlight w:val="none"/>
          <w:lang w:val="en-US" w:eastAsia="zh-CN"/>
        </w:rPr>
        <w:t>原因是：用于在职在编人员住房公积金缴纳支出，</w:t>
      </w:r>
      <w:r>
        <w:rPr>
          <w:rFonts w:hint="eastAsia" w:ascii="仿宋_GB2312" w:hAnsi="仿宋_GB2312" w:eastAsia="仿宋_GB2312" w:cs="仿宋_GB2312"/>
          <w:color w:val="auto"/>
          <w:kern w:val="2"/>
          <w:sz w:val="32"/>
          <w:szCs w:val="32"/>
          <w:highlight w:val="none"/>
          <w:lang w:val="en-US" w:eastAsia="zh-CN" w:bidi="ar"/>
        </w:rPr>
        <w:t>如期完成。</w:t>
      </w:r>
    </w:p>
    <w:p w14:paraId="6CF32A47">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7D5F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64DA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29A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CD4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F99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2BDD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53D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510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14:paraId="35A3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9666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EAE3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128B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5945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0B02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DE186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主要用于在职在编人员住房公积金缴纳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75F82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用于在职在编人员住房公积金缴纳支出，如期完成</w:t>
            </w:r>
          </w:p>
        </w:tc>
      </w:tr>
      <w:tr w14:paraId="10ED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450E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522A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93C0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8976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ABF1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644F2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F8A4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0F44CE86">
      <w:pPr>
        <w:pStyle w:val="3"/>
        <w:ind w:left="0" w:leftChars="0" w:firstLine="0" w:firstLineChars="0"/>
      </w:pPr>
    </w:p>
    <w:p w14:paraId="1E60CC60">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年度一般公共预算财政拨款基本支出决算情况说明</w:t>
      </w:r>
    </w:p>
    <w:p w14:paraId="315B491A">
      <w:pPr>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环江毛南族自治县大才乡卫生院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年度一般公共预算财政拨款基本支出</w:t>
      </w:r>
      <w:r>
        <w:rPr>
          <w:rFonts w:hint="eastAsia" w:ascii="仿宋_GB2312" w:hAnsi="仿宋_GB2312" w:eastAsia="仿宋_GB2312" w:cs="仿宋_GB2312"/>
          <w:color w:val="auto"/>
          <w:sz w:val="32"/>
          <w:szCs w:val="32"/>
          <w:u w:color="auto"/>
          <w:lang w:val="en-US" w:eastAsia="zh-CN"/>
        </w:rPr>
        <w:t>361.32</w:t>
      </w:r>
      <w:r>
        <w:rPr>
          <w:rFonts w:hint="eastAsia" w:ascii="仿宋_GB2312" w:hAnsi="仿宋_GB2312" w:eastAsia="仿宋_GB2312" w:cs="仿宋_GB2312"/>
          <w:color w:val="auto"/>
          <w:sz w:val="32"/>
          <w:szCs w:val="32"/>
          <w:highlight w:val="none"/>
        </w:rPr>
        <w:t>万元，支出具体情况如下：</w:t>
      </w:r>
    </w:p>
    <w:p w14:paraId="0E409AF7">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szCs w:val="32"/>
          <w:u w:color="auto"/>
          <w:lang w:val="en-US" w:eastAsia="zh-CN"/>
        </w:rPr>
        <w:t>154.90</w:t>
      </w:r>
      <w:r>
        <w:rPr>
          <w:rFonts w:hint="eastAsia" w:ascii="仿宋_GB2312" w:hAnsi="仿宋_GB2312" w:eastAsia="仿宋_GB2312" w:cs="仿宋_GB2312"/>
          <w:color w:val="auto"/>
          <w:sz w:val="32"/>
          <w:szCs w:val="32"/>
          <w:u w:color="auto"/>
        </w:rPr>
        <w:t>万元，</w:t>
      </w:r>
      <w:r>
        <w:rPr>
          <w:rFonts w:hint="eastAsia" w:ascii="仿宋_GB2312" w:hAnsi="仿宋_GB2312" w:eastAsia="仿宋_GB2312" w:cs="仿宋_GB2312"/>
          <w:i w:val="0"/>
          <w:iCs w:val="0"/>
          <w:caps w:val="0"/>
          <w:color w:val="auto"/>
          <w:spacing w:val="0"/>
          <w:sz w:val="32"/>
          <w:szCs w:val="32"/>
          <w:highlight w:val="none"/>
          <w:shd w:val="clear" w:color="auto" w:fill="FFFFFF"/>
        </w:rPr>
        <w:t>完成年初预算</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94.77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color w:val="auto"/>
          <w:kern w:val="2"/>
          <w:sz w:val="32"/>
          <w:szCs w:val="32"/>
          <w:highlight w:val="none"/>
          <w:lang w:val="en-US" w:eastAsia="zh-CN" w:bidi="ar"/>
        </w:rPr>
        <w:t>主要原因：</w:t>
      </w:r>
      <w:r>
        <w:rPr>
          <w:rFonts w:hint="eastAsia" w:ascii="仿宋_GB2312" w:hAnsi="仿宋_GB2312" w:eastAsia="仿宋_GB2312" w:cs="仿宋_GB2312"/>
          <w:bCs/>
          <w:color w:val="auto"/>
          <w:kern w:val="0"/>
          <w:sz w:val="32"/>
          <w:szCs w:val="32"/>
          <w:lang w:eastAsia="zh-CN"/>
        </w:rPr>
        <w:t>人员变动，故工资变动所致</w:t>
      </w:r>
      <w:r>
        <w:rPr>
          <w:rFonts w:hint="eastAsia" w:ascii="仿宋_GB2312" w:hAnsi="仿宋_GB2312" w:eastAsia="仿宋_GB2312" w:cs="仿宋_GB2312"/>
          <w:color w:val="auto"/>
          <w:kern w:val="2"/>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30101基本工资44.62万元，30102津贴补贴21.79万元，30103奖金0.00万元，30106伙食补助费0.00万元，30107绩效工资35.61万元，30108机关事业单位基本养老保险缴费19.03万元，30109职业年金9.16万元，30110职工基本医疗保险缴费7.55万元，30111公务员医疗补助缴费0.00万元，30112其他社会保障缴费1.46万元，30113住房公积金15.67万元，30114医疗费0.00万元，30199其他工资福利支出0.00万元。</w:t>
      </w:r>
    </w:p>
    <w:p w14:paraId="1CE83709">
      <w:pPr>
        <w:keepNext w:val="0"/>
        <w:keepLines w:val="0"/>
        <w:widowControl w:val="0"/>
        <w:numPr>
          <w:ilvl w:val="0"/>
          <w:numId w:val="1"/>
        </w:numPr>
        <w:suppressLineNumbers w:val="0"/>
        <w:spacing w:before="0" w:beforeAutospacing="0" w:after="0" w:afterAutospacing="0"/>
        <w:ind w:left="0" w:leftChars="0" w:right="0" w:firstLine="42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商品和服务支出</w:t>
      </w:r>
      <w:r>
        <w:rPr>
          <w:rFonts w:hint="eastAsia" w:ascii="仿宋_GB2312" w:hAnsi="仿宋_GB2312" w:eastAsia="仿宋_GB2312" w:cs="仿宋_GB2312"/>
          <w:color w:val="auto"/>
          <w:sz w:val="32"/>
          <w:szCs w:val="32"/>
          <w:u w:color="auto"/>
          <w:lang w:val="en-US" w:eastAsia="zh-CN"/>
        </w:rPr>
        <w:t>12.92</w:t>
      </w:r>
      <w:r>
        <w:rPr>
          <w:rFonts w:hint="eastAsia" w:ascii="仿宋_GB2312" w:hAnsi="仿宋_GB2312" w:eastAsia="仿宋_GB2312" w:cs="仿宋_GB2312"/>
          <w:color w:val="auto"/>
          <w:sz w:val="32"/>
          <w:szCs w:val="32"/>
          <w:u w:color="auto"/>
        </w:rPr>
        <w:t>万元，</w:t>
      </w:r>
      <w:r>
        <w:rPr>
          <w:rFonts w:hint="eastAsia" w:ascii="仿宋_GB2312" w:hAnsi="仿宋_GB2312" w:eastAsia="仿宋_GB2312" w:cs="仿宋_GB2312"/>
          <w:i w:val="0"/>
          <w:iCs w:val="0"/>
          <w:caps w:val="0"/>
          <w:color w:val="auto"/>
          <w:spacing w:val="0"/>
          <w:sz w:val="32"/>
          <w:szCs w:val="32"/>
          <w:highlight w:val="none"/>
          <w:shd w:val="clear" w:color="auto" w:fill="FFFFFF"/>
        </w:rPr>
        <w:t>完成年初预算的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587.27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
        </w:rPr>
        <w:t>主要原因是：</w:t>
      </w:r>
      <w:r>
        <w:rPr>
          <w:rFonts w:hint="eastAsia" w:ascii="仿宋_GB2312" w:hAnsi="仿宋_GB2312" w:eastAsia="仿宋_GB2312" w:cs="仿宋_GB2312"/>
          <w:i w:val="0"/>
          <w:iCs w:val="0"/>
          <w:caps w:val="0"/>
          <w:color w:val="auto"/>
          <w:spacing w:val="0"/>
          <w:sz w:val="32"/>
          <w:szCs w:val="32"/>
          <w:shd w:val="clear" w:fill="FFFFFF"/>
        </w:rPr>
        <w:t>为保证日常运转发生的基本支出</w:t>
      </w:r>
      <w:r>
        <w:rPr>
          <w:rFonts w:hint="eastAsia" w:ascii="仿宋_GB2312" w:hAnsi="仿宋_GB2312" w:eastAsia="仿宋_GB2312" w:cs="仿宋_GB2312"/>
          <w:color w:val="auto"/>
          <w:kern w:val="2"/>
          <w:sz w:val="32"/>
          <w:szCs w:val="32"/>
          <w:highlight w:val="none"/>
          <w:lang w:val="en-US" w:eastAsia="zh-CN" w:bidi="ar"/>
        </w:rPr>
        <w:t>。</w:t>
      </w:r>
    </w:p>
    <w:p w14:paraId="0392E264">
      <w:pPr>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30226劳务费10.72万元，30228工会经费2.20万元。</w:t>
      </w:r>
    </w:p>
    <w:p w14:paraId="6F356E55">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对个人和家庭的补助</w:t>
      </w:r>
      <w:r>
        <w:rPr>
          <w:rFonts w:hint="eastAsia" w:ascii="仿宋_GB2312" w:hAnsi="仿宋_GB2312" w:eastAsia="仿宋_GB2312" w:cs="仿宋_GB2312"/>
          <w:color w:val="auto"/>
          <w:sz w:val="32"/>
          <w:szCs w:val="32"/>
          <w:u w:color="auto"/>
          <w:lang w:val="en-US" w:eastAsia="zh-CN"/>
        </w:rPr>
        <w:t>4.42</w:t>
      </w:r>
      <w:r>
        <w:rPr>
          <w:rFonts w:hint="eastAsia" w:ascii="仿宋_GB2312" w:hAnsi="仿宋_GB2312" w:eastAsia="仿宋_GB2312" w:cs="仿宋_GB2312"/>
          <w:color w:val="auto"/>
          <w:sz w:val="32"/>
          <w:szCs w:val="32"/>
          <w:u w:color="auto"/>
        </w:rPr>
        <w:t>万元，</w:t>
      </w:r>
      <w:r>
        <w:rPr>
          <w:rFonts w:hint="eastAsia" w:ascii="仿宋_GB2312" w:hAnsi="仿宋_GB2312" w:eastAsia="仿宋_GB2312" w:cs="仿宋_GB2312"/>
          <w:i w:val="0"/>
          <w:iCs w:val="0"/>
          <w:caps w:val="0"/>
          <w:color w:val="auto"/>
          <w:spacing w:val="0"/>
          <w:sz w:val="32"/>
          <w:szCs w:val="32"/>
          <w:highlight w:val="none"/>
          <w:shd w:val="clear" w:color="auto" w:fill="FFFFFF"/>
        </w:rPr>
        <w:t>完成年初预算的</w:t>
      </w:r>
      <w:r>
        <w:rPr>
          <w:rFonts w:hint="eastAsia" w:ascii="仿宋_GB2312" w:hAnsi="仿宋_GB2312" w:eastAsia="仿宋_GB2312" w:cs="仿宋_GB2312"/>
          <w:color w:val="auto"/>
          <w:sz w:val="32"/>
          <w:szCs w:val="32"/>
          <w:highlight w:val="none"/>
          <w:lang w:val="en-US" w:eastAsia="zh-CN"/>
        </w:rPr>
        <w:t>36.44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
        </w:rPr>
        <w:t>主要原因是：主要用于退休人员生活补助及独生子女费支出。</w:t>
      </w:r>
    </w:p>
    <w:p w14:paraId="3EBBE50B">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支出具体情况如下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30305生活补助4.41万元，30399其他对个人和家庭的补助0.01万元。</w:t>
      </w:r>
    </w:p>
    <w:p w14:paraId="216DF983">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债务利息及费用支出</w:t>
      </w:r>
      <w:r>
        <w:rPr>
          <w:rFonts w:hint="eastAsia" w:ascii="仿宋_GB2312" w:hAnsi="仿宋_GB2312" w:eastAsia="仿宋_GB2312" w:cs="仿宋_GB2312"/>
          <w:color w:val="auto"/>
          <w:sz w:val="32"/>
          <w:szCs w:val="32"/>
          <w:u w:color="auto"/>
        </w:rPr>
        <w:t>0.00万元，</w:t>
      </w:r>
      <w:r>
        <w:rPr>
          <w:rFonts w:hint="eastAsia" w:ascii="仿宋_GB2312" w:hAnsi="仿宋_GB2312" w:eastAsia="仿宋_GB2312" w:cs="仿宋_GB2312"/>
          <w:i w:val="0"/>
          <w:iCs w:val="0"/>
          <w:caps w:val="0"/>
          <w:color w:val="auto"/>
          <w:spacing w:val="0"/>
          <w:sz w:val="32"/>
          <w:szCs w:val="32"/>
          <w:highlight w:val="none"/>
          <w:shd w:val="clear" w:color="auto" w:fill="FFFFFF"/>
        </w:rPr>
        <w:t>完成年初预算的</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
        </w:rPr>
        <w:t>主要原因是：本单位没有</w:t>
      </w:r>
      <w:r>
        <w:rPr>
          <w:rFonts w:hint="eastAsia" w:ascii="仿宋_GB2312" w:hAnsi="仿宋_GB2312" w:eastAsia="仿宋_GB2312" w:cs="仿宋_GB2312"/>
          <w:color w:val="auto"/>
          <w:sz w:val="32"/>
          <w:szCs w:val="32"/>
          <w:highlight w:val="none"/>
        </w:rPr>
        <w:t>债务利息及费用支出</w:t>
      </w:r>
      <w:r>
        <w:rPr>
          <w:rFonts w:hint="eastAsia" w:ascii="仿宋_GB2312" w:hAnsi="仿宋_GB2312" w:eastAsia="仿宋_GB2312" w:cs="仿宋_GB2312"/>
          <w:color w:val="auto"/>
          <w:kern w:val="2"/>
          <w:sz w:val="32"/>
          <w:szCs w:val="32"/>
          <w:highlight w:val="none"/>
          <w:lang w:val="en-US" w:eastAsia="zh-CN" w:bidi="ar"/>
        </w:rPr>
        <w:t>。</w:t>
      </w:r>
    </w:p>
    <w:p w14:paraId="0D9226C4">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资本性支出</w:t>
      </w:r>
      <w:r>
        <w:rPr>
          <w:rFonts w:hint="eastAsia" w:ascii="仿宋_GB2312" w:hAnsi="仿宋_GB2312" w:eastAsia="仿宋_GB2312" w:cs="仿宋_GB2312"/>
          <w:color w:val="auto"/>
          <w:sz w:val="32"/>
          <w:szCs w:val="32"/>
          <w:u w:color="auto"/>
        </w:rPr>
        <w:t>0.00万元，</w:t>
      </w:r>
      <w:r>
        <w:rPr>
          <w:rFonts w:hint="eastAsia" w:ascii="仿宋_GB2312" w:hAnsi="仿宋_GB2312" w:eastAsia="仿宋_GB2312" w:cs="仿宋_GB2312"/>
          <w:i w:val="0"/>
          <w:iCs w:val="0"/>
          <w:caps w:val="0"/>
          <w:color w:val="auto"/>
          <w:spacing w:val="0"/>
          <w:sz w:val="32"/>
          <w:szCs w:val="32"/>
          <w:highlight w:val="none"/>
          <w:shd w:val="clear" w:color="auto" w:fill="FFFFFF"/>
        </w:rPr>
        <w:t>完成年初预算的</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
        </w:rPr>
        <w:t>主要原因是：本单位没有资本性支出。</w:t>
      </w:r>
    </w:p>
    <w:p w14:paraId="7E8CDF4E">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其他支出</w:t>
      </w:r>
      <w:r>
        <w:rPr>
          <w:rFonts w:hint="eastAsia" w:ascii="仿宋_GB2312" w:hAnsi="仿宋_GB2312" w:eastAsia="仿宋_GB2312" w:cs="仿宋_GB2312"/>
          <w:color w:val="auto"/>
          <w:sz w:val="32"/>
          <w:szCs w:val="32"/>
          <w:u w:color="auto"/>
        </w:rPr>
        <w:t>0.00万元，</w:t>
      </w:r>
      <w:r>
        <w:rPr>
          <w:rFonts w:hint="eastAsia" w:ascii="仿宋_GB2312" w:hAnsi="仿宋_GB2312" w:eastAsia="仿宋_GB2312" w:cs="仿宋_GB2312"/>
          <w:i w:val="0"/>
          <w:iCs w:val="0"/>
          <w:caps w:val="0"/>
          <w:color w:val="auto"/>
          <w:spacing w:val="0"/>
          <w:sz w:val="32"/>
          <w:szCs w:val="32"/>
          <w:highlight w:val="none"/>
          <w:shd w:val="clear" w:color="auto" w:fill="FFFFFF"/>
        </w:rPr>
        <w:t>完成年初预算的</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
        </w:rPr>
        <w:t>主要原因是：本单位没有其他支出。</w:t>
      </w:r>
    </w:p>
    <w:p w14:paraId="1FC96E4C">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14:paraId="1EA15C73">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环江毛南族自治县大才乡卫生院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年度政府性基金支出0.00万元，较202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年度决算数增加0.00万元，增长0%其中：基本支出0.00万元，项目支出0.00万元。</w:t>
      </w:r>
    </w:p>
    <w:p w14:paraId="321DEAE9">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环江毛南族自治县大才乡卫生院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年度政府性基金支出年初预算为0.00万元，支出决算为0.00万元，完成年初预算的0%。</w:t>
      </w:r>
    </w:p>
    <w:p w14:paraId="520DDE7A">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环江毛南族自治县大才乡卫生院</w:t>
      </w:r>
      <w:r>
        <w:rPr>
          <w:rFonts w:hint="eastAsia" w:ascii="仿宋_GB2312" w:hAnsi="仿宋_GB2312" w:eastAsia="仿宋_GB2312" w:cs="仿宋_GB2312"/>
          <w:color w:val="auto"/>
          <w:sz w:val="32"/>
          <w:u w:color="auto"/>
        </w:rPr>
        <w:t>没有政府性基金收入，也没有政府性基金收入安排的支出</w:t>
      </w:r>
      <w:r>
        <w:rPr>
          <w:rFonts w:hint="eastAsia" w:ascii="仿宋_GB2312" w:hAnsi="仿宋_GB2312" w:eastAsia="仿宋_GB2312" w:cs="仿宋_GB2312"/>
          <w:color w:val="auto"/>
          <w:sz w:val="32"/>
          <w:szCs w:val="32"/>
          <w:lang w:eastAsia="zh-CN"/>
        </w:rPr>
        <w:t>。</w:t>
      </w:r>
    </w:p>
    <w:p w14:paraId="0978F96D">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年度国有资本经营预算支出决算情况</w:t>
      </w:r>
    </w:p>
    <w:p w14:paraId="5F551F8A">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环江毛南族自治县大才乡卫生院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年度国有资本经营预算支出0.00万元。其中：基本支出0.00万元，项目支出0.00万元。</w:t>
      </w:r>
    </w:p>
    <w:p w14:paraId="3099E00E">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环江毛南族自治县大才乡卫生院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年度国有资本经营预算支出年初预算为0.00万元，支出决算为0.00万元，完成年初预算的0%。</w:t>
      </w:r>
    </w:p>
    <w:p w14:paraId="4BC68779">
      <w:pPr>
        <w:ind w:firstLine="640" w:firstLineChars="200"/>
        <w:jc w:val="left"/>
        <w:rPr>
          <w:rFonts w:hint="eastAsia" w:ascii="仿宋" w:hAnsi="仿宋" w:eastAsia="仿宋" w:cs="仿宋"/>
          <w:color w:val="auto"/>
          <w:sz w:val="32"/>
          <w:szCs w:val="32"/>
          <w:highlight w:val="none"/>
        </w:rPr>
      </w:pPr>
      <w:bookmarkStart w:id="5" w:name="PO_part3A5B1C1DiffReason1"/>
      <w:r>
        <w:rPr>
          <w:rFonts w:hint="eastAsia" w:ascii="仿宋_GB2312" w:hAnsi="仿宋_GB2312" w:eastAsia="仿宋_GB2312" w:cs="仿宋_GB2312"/>
          <w:color w:val="auto"/>
          <w:sz w:val="32"/>
          <w:szCs w:val="32"/>
          <w:lang w:eastAsia="zh-CN"/>
        </w:rPr>
        <w:t>环江毛南族自治县大才乡卫生院</w:t>
      </w:r>
      <w:r>
        <w:rPr>
          <w:rFonts w:hint="eastAsia" w:ascii="仿宋_GB2312" w:hAnsi="仿宋_GB2312" w:eastAsia="仿宋_GB2312" w:cs="仿宋_GB2312"/>
          <w:color w:val="auto"/>
          <w:sz w:val="32"/>
          <w:u w:color="auto"/>
        </w:rPr>
        <w:t>没有国有资本经营预算收入，也没有国有资本经营预算收入</w:t>
      </w:r>
      <w:r>
        <w:rPr>
          <w:rFonts w:hint="eastAsia" w:ascii="仿宋_GB2312" w:hAnsi="仿宋_GB2312" w:eastAsia="仿宋_GB2312" w:cs="仿宋_GB2312"/>
          <w:color w:val="auto"/>
          <w:sz w:val="32"/>
          <w:szCs w:val="32"/>
          <w:lang w:eastAsia="zh-CN"/>
        </w:rPr>
        <w:t>。</w:t>
      </w:r>
      <w:bookmarkEnd w:id="5"/>
    </w:p>
    <w:p w14:paraId="7CA9A611">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六、一般公共预算财政拨款安排的“三公”经费支出决算情况说明</w:t>
      </w:r>
    </w:p>
    <w:p w14:paraId="283D5991">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年度一般公共预算财政拨款安排的“三公”经费支出</w:t>
      </w:r>
      <w:r>
        <w:rPr>
          <w:rFonts w:hint="eastAsia" w:ascii="仿宋_GB2312" w:hAnsi="仿宋_GB2312" w:eastAsia="仿宋_GB2312" w:cs="仿宋_GB2312"/>
          <w:color w:val="auto"/>
          <w:sz w:val="32"/>
          <w:szCs w:val="32"/>
          <w:highlight w:val="none"/>
          <w:lang w:val="en-US" w:eastAsia="zh-CN"/>
        </w:rPr>
        <w:t>0.32</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szCs w:val="32"/>
          <w:highlight w:val="none"/>
          <w:lang w:val="en-US" w:eastAsia="zh-CN"/>
        </w:rPr>
        <w:t>减少0.03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
          <w:sz w:val="32"/>
          <w:szCs w:val="32"/>
          <w:highlight w:val="none"/>
          <w:lang w:val="en-US" w:eastAsia="zh-CN" w:bidi="ar"/>
        </w:rPr>
        <w:t>主要原因是：公务接待支出减少。</w:t>
      </w:r>
      <w:r>
        <w:rPr>
          <w:rFonts w:hint="eastAsia" w:ascii="仿宋_GB2312" w:hAnsi="仿宋_GB2312" w:eastAsia="仿宋_GB2312" w:cs="仿宋_GB2312"/>
          <w:color w:val="auto"/>
          <w:sz w:val="32"/>
          <w:szCs w:val="32"/>
          <w:highlight w:val="none"/>
        </w:rPr>
        <w:t>其中：因公出国（境）费支出决算0.00万元，公务用车购置及运行费支出决算0.00万元，公务接待费支出决算</w:t>
      </w:r>
      <w:r>
        <w:rPr>
          <w:rFonts w:hint="eastAsia" w:ascii="仿宋_GB2312" w:hAnsi="仿宋_GB2312" w:eastAsia="仿宋_GB2312" w:cs="仿宋_GB2312"/>
          <w:color w:val="auto"/>
          <w:sz w:val="32"/>
          <w:szCs w:val="32"/>
          <w:highlight w:val="none"/>
          <w:lang w:val="en-US" w:eastAsia="zh-CN"/>
        </w:rPr>
        <w:t>0.32</w:t>
      </w:r>
      <w:r>
        <w:rPr>
          <w:rFonts w:hint="eastAsia" w:ascii="仿宋_GB2312" w:hAnsi="仿宋_GB2312" w:eastAsia="仿宋_GB2312" w:cs="仿宋_GB2312"/>
          <w:color w:val="auto"/>
          <w:sz w:val="32"/>
          <w:szCs w:val="32"/>
          <w:highlight w:val="none"/>
        </w:rPr>
        <w:t>万元。</w:t>
      </w:r>
    </w:p>
    <w:p w14:paraId="37C29F5D">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具体情况如下：</w:t>
      </w:r>
    </w:p>
    <w:p w14:paraId="1ECF02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因公出国（境）费支出0.00万元，完成年初预算的0%，比上年增加0.00 万元。</w:t>
      </w:r>
      <w:r>
        <w:rPr>
          <w:rFonts w:hint="eastAsia" w:ascii="仿宋_GB2312" w:hAnsi="仿宋_GB2312" w:eastAsia="仿宋_GB2312" w:cs="仿宋_GB2312"/>
          <w:color w:val="auto"/>
          <w:sz w:val="32"/>
          <w:szCs w:val="32"/>
          <w:highlight w:val="none"/>
          <w:lang w:val="en-US" w:eastAsia="zh-CN"/>
        </w:rPr>
        <w:t>原因是：</w:t>
      </w:r>
      <w:r>
        <w:rPr>
          <w:rFonts w:hint="eastAsia" w:ascii="仿宋_GB2312" w:hAnsi="仿宋_GB2312" w:eastAsia="仿宋_GB2312" w:cs="仿宋_GB2312"/>
          <w:color w:val="auto"/>
          <w:sz w:val="32"/>
          <w:szCs w:val="32"/>
          <w:lang w:val="en-US" w:eastAsia="zh-CN"/>
        </w:rPr>
        <w:t>本单位没有因公出国（境）费支出。</w:t>
      </w:r>
    </w:p>
    <w:p w14:paraId="6D71E5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（二）公务用车购置及运行维护费</w:t>
      </w:r>
      <w:r>
        <w:rPr>
          <w:rFonts w:hint="eastAsia" w:ascii="仿宋_GB2312" w:hAnsi="仿宋_GB2312" w:eastAsia="仿宋_GB2312" w:cs="仿宋_GB2312"/>
          <w:color w:val="auto"/>
          <w:sz w:val="32"/>
          <w:u w:color="auto"/>
        </w:rPr>
        <w:t>0.00</w:t>
      </w:r>
      <w:r>
        <w:rPr>
          <w:rFonts w:hint="eastAsia" w:ascii="仿宋_GB2312" w:hAnsi="仿宋_GB2312" w:eastAsia="仿宋_GB2312" w:cs="仿宋_GB2312"/>
          <w:color w:val="auto"/>
          <w:sz w:val="32"/>
          <w:szCs w:val="32"/>
          <w:highlight w:val="none"/>
        </w:rPr>
        <w:t>万元。其中：公务用车购置支出</w:t>
      </w:r>
      <w:r>
        <w:rPr>
          <w:rFonts w:hint="eastAsia" w:ascii="仿宋_GB2312" w:hAnsi="仿宋_GB2312" w:eastAsia="仿宋_GB2312" w:cs="仿宋_GB2312"/>
          <w:color w:val="auto"/>
          <w:sz w:val="32"/>
          <w:u w:color="auto"/>
        </w:rPr>
        <w:t>0.00</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u w:color="auto"/>
        </w:rPr>
        <w:t>0%</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u w:color="auto"/>
        </w:rPr>
        <w:t>增加0.00</w:t>
      </w:r>
      <w:r>
        <w:rPr>
          <w:rFonts w:hint="eastAsia" w:ascii="仿宋_GB2312" w:hAnsi="仿宋_GB2312" w:eastAsia="仿宋_GB2312" w:cs="仿宋_GB2312"/>
          <w:color w:val="auto"/>
          <w:sz w:val="32"/>
          <w:szCs w:val="32"/>
          <w:highlight w:val="none"/>
        </w:rPr>
        <w:t xml:space="preserve"> 万元。</w:t>
      </w:r>
      <w:r>
        <w:rPr>
          <w:rFonts w:hint="eastAsia" w:ascii="仿宋_GB2312" w:hAnsi="仿宋_GB2312" w:eastAsia="仿宋_GB2312" w:cs="仿宋_GB2312"/>
          <w:color w:val="auto"/>
          <w:sz w:val="32"/>
          <w:szCs w:val="32"/>
        </w:rPr>
        <w:t>主要原因是</w:t>
      </w:r>
      <w:bookmarkStart w:id="6" w:name="PO_part3A6B2IncReason1"/>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本部门无公务用车购置</w:t>
      </w:r>
      <w:r>
        <w:rPr>
          <w:rFonts w:hint="eastAsia" w:ascii="仿宋_GB2312" w:hAnsi="仿宋_GB2312" w:eastAsia="仿宋_GB2312" w:cs="仿宋_GB2312"/>
          <w:color w:val="auto"/>
          <w:sz w:val="32"/>
          <w:szCs w:val="32"/>
          <w:lang w:eastAsia="zh-CN"/>
        </w:rPr>
        <w:t>。</w:t>
      </w:r>
      <w:bookmarkEnd w:id="6"/>
      <w:r>
        <w:rPr>
          <w:rFonts w:hint="eastAsia" w:ascii="仿宋_GB2312" w:hAnsi="仿宋_GB2312" w:eastAsia="仿宋_GB2312" w:cs="仿宋_GB2312"/>
          <w:color w:val="auto"/>
          <w:sz w:val="32"/>
          <w:szCs w:val="32"/>
          <w:highlight w:val="none"/>
        </w:rPr>
        <w:t>公务用车运行维护支出</w:t>
      </w:r>
      <w:r>
        <w:rPr>
          <w:rFonts w:hint="eastAsia" w:ascii="仿宋_GB2312" w:hAnsi="仿宋_GB2312" w:eastAsia="仿宋_GB2312" w:cs="仿宋_GB2312"/>
          <w:color w:val="auto"/>
          <w:sz w:val="32"/>
          <w:u w:color="auto"/>
        </w:rPr>
        <w:t>0.00</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u w:color="auto"/>
        </w:rPr>
        <w:t>0%</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u w:color="auto"/>
        </w:rPr>
        <w:t>增加0.00</w:t>
      </w:r>
      <w:r>
        <w:rPr>
          <w:rFonts w:hint="eastAsia" w:ascii="仿宋_GB2312" w:hAnsi="仿宋_GB2312" w:eastAsia="仿宋_GB2312" w:cs="仿宋_GB2312"/>
          <w:color w:val="auto"/>
          <w:sz w:val="32"/>
          <w:szCs w:val="32"/>
          <w:highlight w:val="none"/>
        </w:rPr>
        <w:t>万元。主要原因是：</w:t>
      </w:r>
      <w:r>
        <w:rPr>
          <w:rFonts w:hint="eastAsia" w:ascii="仿宋_GB2312" w:hAnsi="仿宋_GB2312" w:eastAsia="仿宋_GB2312" w:cs="仿宋_GB2312"/>
          <w:color w:val="auto"/>
          <w:sz w:val="32"/>
          <w:szCs w:val="32"/>
        </w:rPr>
        <w:t>本部门无公务用车购置</w:t>
      </w:r>
      <w:r>
        <w:rPr>
          <w:rFonts w:hint="eastAsia" w:ascii="仿宋_GB2312" w:hAnsi="仿宋_GB2312" w:eastAsia="仿宋_GB2312" w:cs="仿宋_GB2312"/>
          <w:color w:val="auto"/>
          <w:sz w:val="32"/>
          <w:szCs w:val="32"/>
          <w:highlight w:val="none"/>
        </w:rPr>
        <w:t>。主要用于机要文件交换、市内因公出行以及开展业务所需车辆燃料费、维修费、过路过桥费、保险费等。202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u w:color="auto"/>
          <w:lang w:eastAsia="zh-CN"/>
        </w:rPr>
        <w:t>环江毛南族自治县大才乡卫生院</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开支财政拨款的公务用车保有量为</w:t>
      </w:r>
      <w:r>
        <w:rPr>
          <w:rFonts w:hint="eastAsia" w:ascii="仿宋_GB2312" w:hAnsi="仿宋_GB2312" w:eastAsia="仿宋_GB2312" w:cs="仿宋_GB2312"/>
          <w:color w:val="auto"/>
          <w:sz w:val="32"/>
          <w:u w:color="auto"/>
          <w:lang w:val="en-US" w:eastAsia="zh-CN"/>
        </w:rPr>
        <w:t>0</w:t>
      </w:r>
      <w:r>
        <w:rPr>
          <w:rFonts w:hint="eastAsia" w:ascii="仿宋_GB2312" w:hAnsi="仿宋_GB2312" w:eastAsia="仿宋_GB2312" w:cs="仿宋_GB2312"/>
          <w:color w:val="auto"/>
          <w:sz w:val="32"/>
          <w:szCs w:val="32"/>
          <w:highlight w:val="none"/>
        </w:rPr>
        <w:t>辆，全年运行费支出</w:t>
      </w:r>
      <w:r>
        <w:rPr>
          <w:rFonts w:hint="eastAsia" w:ascii="仿宋_GB2312" w:hAnsi="仿宋_GB2312" w:eastAsia="仿宋_GB2312" w:cs="仿宋_GB2312"/>
          <w:color w:val="auto"/>
          <w:sz w:val="32"/>
          <w:u w:color="auto"/>
        </w:rPr>
        <w:t>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平均每辆</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 xml:space="preserve"> 万元。</w:t>
      </w:r>
    </w:p>
    <w:p w14:paraId="61EE2E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（三）公务接待费支出</w:t>
      </w:r>
      <w:r>
        <w:rPr>
          <w:rFonts w:hint="eastAsia" w:ascii="仿宋_GB2312" w:hAnsi="仿宋_GB2312" w:eastAsia="仿宋_GB2312" w:cs="仿宋_GB2312"/>
          <w:color w:val="auto"/>
          <w:sz w:val="32"/>
          <w:szCs w:val="32"/>
          <w:highlight w:val="none"/>
          <w:lang w:val="en-US" w:eastAsia="zh-CN"/>
        </w:rPr>
        <w:t>0.32</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 比上年</w:t>
      </w:r>
      <w:r>
        <w:rPr>
          <w:rFonts w:hint="eastAsia" w:ascii="仿宋_GB2312" w:hAnsi="仿宋_GB2312" w:eastAsia="仿宋_GB2312" w:cs="仿宋_GB2312"/>
          <w:color w:val="auto"/>
          <w:sz w:val="32"/>
          <w:szCs w:val="32"/>
          <w:highlight w:val="none"/>
          <w:lang w:val="en-US" w:eastAsia="zh-CN"/>
        </w:rPr>
        <w:t>减少0.03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
          <w:sz w:val="32"/>
          <w:szCs w:val="32"/>
          <w:highlight w:val="none"/>
          <w:lang w:val="en-US" w:eastAsia="zh-CN" w:bidi="ar"/>
        </w:rPr>
        <w:t>主要原因是：公务接待支出减少。</w:t>
      </w:r>
      <w:r>
        <w:rPr>
          <w:rFonts w:hint="eastAsia" w:ascii="仿宋_GB2312" w:hAnsi="仿宋_GB2312" w:eastAsia="仿宋_GB2312" w:cs="仿宋_GB2312"/>
          <w:color w:val="auto"/>
          <w:sz w:val="32"/>
          <w:szCs w:val="32"/>
          <w:highlight w:val="none"/>
        </w:rPr>
        <w:t>国内公务接待批次</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次，人次</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次，国（境）外公务接待批次0次，人次0次。</w:t>
      </w:r>
    </w:p>
    <w:p w14:paraId="5EAA6A72">
      <w:pPr>
        <w:pStyle w:val="4"/>
        <w:bidi w:val="0"/>
        <w:rPr>
          <w:rFonts w:hint="eastAsia"/>
          <w:b w:val="0"/>
          <w:bCs/>
          <w:sz w:val="32"/>
          <w:szCs w:val="32"/>
        </w:rPr>
      </w:pPr>
      <w:r>
        <w:rPr>
          <w:rFonts w:hint="eastAsia"/>
          <w:b w:val="0"/>
          <w:bCs/>
          <w:sz w:val="32"/>
          <w:szCs w:val="32"/>
        </w:rPr>
        <w:t>七、其他重要事项情况说明</w:t>
      </w:r>
    </w:p>
    <w:p w14:paraId="51358023">
      <w:pPr>
        <w:pStyle w:val="4"/>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楷体_GB2312" w:eastAsia="楷体_GB2312" w:cs="仿宋_GB2312"/>
          <w:b w:val="0"/>
          <w:bCs/>
          <w:kern w:val="0"/>
          <w:sz w:val="32"/>
          <w:szCs w:val="32"/>
        </w:rPr>
        <w:t>（一）机关运行经费支出情况说明。</w:t>
      </w:r>
      <w:r>
        <w:rPr>
          <w:rFonts w:hint="eastAsia" w:ascii="仿宋_GB2312" w:hAnsi="仿宋_GB2312" w:eastAsia="仿宋_GB2312" w:cs="仿宋_GB2312"/>
          <w:b w:val="0"/>
          <w:bCs/>
          <w:color w:val="auto"/>
          <w:sz w:val="32"/>
          <w:szCs w:val="32"/>
          <w:highlight w:val="none"/>
        </w:rPr>
        <w:t>本部门202</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年度机关运行经费支出</w:t>
      </w:r>
      <w:r>
        <w:rPr>
          <w:rFonts w:hint="eastAsia" w:ascii="仿宋_GB2312" w:hAnsi="仿宋_GB2312" w:eastAsia="仿宋_GB2312" w:cs="仿宋_GB2312"/>
          <w:b w:val="0"/>
          <w:bCs/>
          <w:color w:val="auto"/>
          <w:sz w:val="32"/>
          <w:szCs w:val="32"/>
          <w:highlight w:val="none"/>
          <w:lang w:val="en-US" w:eastAsia="zh-CN"/>
        </w:rPr>
        <w:t>12.92</w:t>
      </w:r>
      <w:r>
        <w:rPr>
          <w:rFonts w:hint="eastAsia" w:ascii="仿宋_GB2312" w:hAnsi="仿宋_GB2312" w:eastAsia="仿宋_GB2312" w:cs="仿宋_GB2312"/>
          <w:b w:val="0"/>
          <w:bCs/>
          <w:color w:val="auto"/>
          <w:sz w:val="32"/>
          <w:szCs w:val="32"/>
          <w:highlight w:val="none"/>
        </w:rPr>
        <w:t>万元，比年初预算数</w:t>
      </w:r>
      <w:r>
        <w:rPr>
          <w:rFonts w:hint="eastAsia" w:ascii="仿宋_GB2312" w:hAnsi="仿宋_GB2312" w:eastAsia="仿宋_GB2312" w:cs="仿宋_GB2312"/>
          <w:b w:val="0"/>
          <w:bCs/>
          <w:color w:val="auto"/>
          <w:sz w:val="32"/>
          <w:szCs w:val="32"/>
          <w:highlight w:val="none"/>
          <w:lang w:val="en-US" w:eastAsia="zh-CN"/>
        </w:rPr>
        <w:t>减少0.21</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val="en-US" w:eastAsia="zh-CN"/>
        </w:rPr>
        <w:t>下降1.62</w:t>
      </w:r>
      <w:r>
        <w:rPr>
          <w:rFonts w:hint="eastAsia" w:ascii="仿宋_GB2312" w:hAnsi="仿宋_GB2312" w:eastAsia="仿宋_GB2312" w:cs="仿宋_GB2312"/>
          <w:b w:val="0"/>
          <w:bCs/>
          <w:color w:val="auto"/>
          <w:sz w:val="32"/>
          <w:szCs w:val="32"/>
          <w:highlight w:val="none"/>
        </w:rPr>
        <w:t>%，比上年决算数</w:t>
      </w:r>
      <w:r>
        <w:rPr>
          <w:rFonts w:hint="eastAsia" w:ascii="仿宋_GB2312" w:hAnsi="仿宋_GB2312" w:eastAsia="仿宋_GB2312" w:cs="仿宋_GB2312"/>
          <w:b w:val="0"/>
          <w:bCs/>
          <w:color w:val="auto"/>
          <w:sz w:val="32"/>
          <w:szCs w:val="32"/>
          <w:highlight w:val="none"/>
          <w:lang w:val="en-US" w:eastAsia="zh-CN"/>
        </w:rPr>
        <w:t>减少6.62</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val="en-US" w:eastAsia="zh-CN"/>
        </w:rPr>
        <w:t>下降33.88</w:t>
      </w:r>
      <w:r>
        <w:rPr>
          <w:rFonts w:hint="eastAsia" w:ascii="仿宋_GB2312" w:hAnsi="仿宋_GB2312" w:eastAsia="仿宋_GB2312" w:cs="仿宋_GB2312"/>
          <w:b w:val="0"/>
          <w:bCs/>
          <w:color w:val="auto"/>
          <w:sz w:val="32"/>
          <w:szCs w:val="32"/>
          <w:highlight w:val="none"/>
        </w:rPr>
        <w:t>%。原因是：</w:t>
      </w:r>
      <w:r>
        <w:rPr>
          <w:rFonts w:hint="eastAsia" w:ascii="仿宋_GB2312" w:hAnsi="仿宋_GB2312" w:eastAsia="仿宋_GB2312" w:cs="仿宋_GB2312"/>
          <w:b w:val="0"/>
          <w:bCs/>
          <w:color w:val="auto"/>
          <w:sz w:val="32"/>
          <w:szCs w:val="32"/>
          <w:highlight w:val="none"/>
          <w:lang w:val="en-US" w:eastAsia="zh-CN"/>
        </w:rPr>
        <w:t>人员变动所致</w:t>
      </w:r>
      <w:r>
        <w:rPr>
          <w:rFonts w:hint="eastAsia" w:ascii="仿宋_GB2312" w:hAnsi="仿宋_GB2312" w:eastAsia="仿宋_GB2312" w:cs="仿宋_GB2312"/>
          <w:b w:val="0"/>
          <w:bCs/>
          <w:color w:val="auto"/>
          <w:sz w:val="32"/>
          <w:szCs w:val="32"/>
          <w:highlight w:val="none"/>
        </w:rPr>
        <w:t>。</w:t>
      </w:r>
      <w:bookmarkStart w:id="7" w:name="_GoBack"/>
      <w:bookmarkEnd w:id="7"/>
    </w:p>
    <w:p w14:paraId="2F524EBF">
      <w:pPr>
        <w:pStyle w:val="4"/>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二</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政府采购支出情况说明。</w:t>
      </w:r>
      <w:r>
        <w:rPr>
          <w:rFonts w:hint="eastAsia" w:ascii="仿宋_GB2312" w:hAnsi="仿宋_GB2312" w:eastAsia="仿宋_GB2312" w:cs="仿宋_GB2312"/>
          <w:b w:val="0"/>
          <w:bCs/>
          <w:color w:val="auto"/>
          <w:sz w:val="32"/>
          <w:szCs w:val="32"/>
          <w:highlight w:val="none"/>
        </w:rPr>
        <w:t>本部门202</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年度政府采购支出总额</w:t>
      </w:r>
      <w:r>
        <w:rPr>
          <w:rFonts w:hint="eastAsia" w:ascii="仿宋_GB2312" w:hAnsi="仿宋_GB2312" w:eastAsia="仿宋_GB2312" w:cs="仿宋_GB2312"/>
          <w:b w:val="0"/>
          <w:bCs/>
          <w:color w:val="auto"/>
          <w:sz w:val="32"/>
          <w:szCs w:val="32"/>
          <w:highlight w:val="none"/>
          <w:lang w:val="en-US" w:eastAsia="zh-CN"/>
        </w:rPr>
        <w:t>2.66</w:t>
      </w:r>
      <w:r>
        <w:rPr>
          <w:rFonts w:hint="eastAsia" w:ascii="仿宋_GB2312" w:hAnsi="仿宋_GB2312" w:eastAsia="仿宋_GB2312" w:cs="仿宋_GB2312"/>
          <w:b w:val="0"/>
          <w:bCs/>
          <w:color w:val="auto"/>
          <w:sz w:val="32"/>
          <w:szCs w:val="32"/>
          <w:highlight w:val="none"/>
        </w:rPr>
        <w:t>万元，其中：政府采购货物支出</w:t>
      </w:r>
      <w:r>
        <w:rPr>
          <w:rFonts w:hint="eastAsia" w:ascii="仿宋_GB2312" w:hAnsi="仿宋_GB2312" w:eastAsia="仿宋_GB2312" w:cs="仿宋_GB2312"/>
          <w:b w:val="0"/>
          <w:bCs/>
          <w:color w:val="auto"/>
          <w:sz w:val="32"/>
          <w:szCs w:val="32"/>
          <w:highlight w:val="none"/>
          <w:lang w:val="en-US" w:eastAsia="zh-CN"/>
        </w:rPr>
        <w:t>2.66</w:t>
      </w:r>
      <w:r>
        <w:rPr>
          <w:rFonts w:hint="eastAsia" w:ascii="仿宋_GB2312" w:hAnsi="仿宋_GB2312" w:eastAsia="仿宋_GB2312" w:cs="仿宋_GB2312"/>
          <w:b w:val="0"/>
          <w:bCs/>
          <w:color w:val="auto"/>
          <w:sz w:val="32"/>
          <w:szCs w:val="32"/>
          <w:highlight w:val="none"/>
        </w:rPr>
        <w:t>万元、政府采购工程支出0.00万元、政府采购服务支出</w:t>
      </w:r>
      <w:r>
        <w:rPr>
          <w:rFonts w:hint="eastAsia" w:ascii="仿宋_GB2312" w:hAnsi="仿宋_GB2312" w:eastAsia="仿宋_GB2312" w:cs="仿宋_GB2312"/>
          <w:b w:val="0"/>
          <w:bCs/>
          <w:color w:val="auto"/>
          <w:sz w:val="32"/>
          <w:szCs w:val="32"/>
          <w:highlight w:val="none"/>
          <w:lang w:val="en-US" w:eastAsia="zh-CN"/>
        </w:rPr>
        <w:t>0.00</w:t>
      </w:r>
      <w:r>
        <w:rPr>
          <w:rFonts w:hint="eastAsia" w:ascii="仿宋_GB2312" w:hAnsi="仿宋_GB2312" w:eastAsia="仿宋_GB2312" w:cs="仿宋_GB2312"/>
          <w:b w:val="0"/>
          <w:bCs/>
          <w:color w:val="auto"/>
          <w:sz w:val="32"/>
          <w:szCs w:val="32"/>
          <w:highlight w:val="none"/>
        </w:rPr>
        <w:t>万元。授予中小企业合同金额0.00万元，占政府采购支出总额的0.00%，其中：授予小微企业合同金额0.00万元，占授予中小企业合同金额的0%。</w:t>
      </w:r>
    </w:p>
    <w:p w14:paraId="025AE82D">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eastAsia="楷体_GB2312" w:cs="仿宋_GB2312"/>
          <w:kern w:val="0"/>
          <w:sz w:val="32"/>
          <w:szCs w:val="32"/>
        </w:rPr>
        <w:t>（三）国有资产占用情况说明。</w:t>
      </w:r>
      <w:r>
        <w:rPr>
          <w:rFonts w:hint="eastAsia" w:ascii="仿宋_GB2312" w:hAnsi="仿宋_GB2312" w:eastAsia="仿宋_GB2312" w:cs="仿宋_GB2312"/>
          <w:color w:val="auto"/>
          <w:sz w:val="32"/>
          <w:szCs w:val="32"/>
          <w:highlight w:val="none"/>
        </w:rPr>
        <w:t>截至202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年12月31日，本部门共有车辆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辆，其中：副部（省）级领导干部用车0辆、机要通信用车0辆、应急保障用车0辆、执法执勤用车0辆、特种专业技术用车0辆、其他用车0辆；单位价值50万元以上通用设备0台（套）；单位价值</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元以上专用设备0台（套）。</w:t>
      </w:r>
    </w:p>
    <w:p w14:paraId="031AF2CD">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7AF7A48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6C14210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我部门为环江毛南族自治县卫生健康局二层单位，无需开展整体支出绩效评价。</w:t>
      </w:r>
    </w:p>
    <w:p w14:paraId="16142E2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1C471E5B">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color w:val="auto"/>
          <w:kern w:val="0"/>
          <w:sz w:val="32"/>
          <w:szCs w:val="32"/>
          <w:lang w:val="en-US" w:eastAsia="zh-CN"/>
        </w:rPr>
        <w:t>20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color w:val="auto"/>
          <w:kern w:val="0"/>
          <w:sz w:val="32"/>
          <w:szCs w:val="32"/>
          <w:lang w:val="en-US" w:eastAsia="zh-CN"/>
        </w:rPr>
        <w:t>193.88</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color w:val="auto"/>
          <w:kern w:val="0"/>
          <w:sz w:val="32"/>
          <w:szCs w:val="32"/>
          <w:lang w:val="en-US" w:eastAsia="zh-CN"/>
        </w:rPr>
        <w:t>20</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color w:val="auto"/>
          <w:kern w:val="0"/>
          <w:sz w:val="32"/>
          <w:szCs w:val="32"/>
          <w:lang w:val="en-US" w:eastAsia="zh-CN"/>
        </w:rPr>
        <w:t>193.88</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color w:val="auto"/>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color w:val="auto"/>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color w:val="auto"/>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color w:val="auto"/>
          <w:kern w:val="0"/>
          <w:sz w:val="32"/>
          <w:szCs w:val="32"/>
          <w:lang w:val="en-US" w:eastAsia="zh-CN"/>
        </w:rPr>
        <w:t>0.00万</w:t>
      </w:r>
      <w:r>
        <w:rPr>
          <w:rFonts w:hint="eastAsia" w:ascii="仿宋_GB2312" w:hAnsi="Times New Roman" w:eastAsia="仿宋_GB2312" w:cs="仿宋_GB2312"/>
          <w:b w:val="0"/>
          <w:bCs w:val="0"/>
          <w:caps w:val="0"/>
          <w:color w:val="auto"/>
          <w:kern w:val="0"/>
          <w:sz w:val="32"/>
          <w:szCs w:val="32"/>
          <w:vertAlign w:val="baseline"/>
          <w:lang w:val="en-US" w:eastAsia="zh-CN" w:bidi="ar"/>
        </w:rPr>
        <w:t>元。</w:t>
      </w:r>
    </w:p>
    <w:p w14:paraId="474CB16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color w:val="auto"/>
          <w:kern w:val="0"/>
          <w:sz w:val="32"/>
          <w:szCs w:val="32"/>
          <w:lang w:val="en-US" w:eastAsia="zh-CN"/>
        </w:rPr>
        <w:t>20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color w:val="auto"/>
          <w:kern w:val="0"/>
          <w:sz w:val="32"/>
          <w:szCs w:val="32"/>
          <w:lang w:val="en-US" w:eastAsia="zh-CN"/>
        </w:rPr>
        <w:t>193.88</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color w:val="auto"/>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%，占项目支出总额比例50.62%。自评发现的主要问题及原因：资金紧缺导致项目资金未能安排支付。下一步改进措施：积极争取资金完成项目资金的结算。</w:t>
      </w:r>
    </w:p>
    <w:p w14:paraId="541F4C7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w:t>
      </w:r>
      <w:r>
        <w:rPr>
          <w:rFonts w:hint="eastAsia" w:ascii="仿宋_GB2312" w:hAnsi="Times New Roman" w:eastAsia="仿宋_GB2312" w:cs="仿宋_GB2312"/>
          <w:b/>
          <w:bCs/>
          <w:caps w:val="0"/>
          <w:color w:val="auto"/>
          <w:kern w:val="0"/>
          <w:sz w:val="32"/>
          <w:szCs w:val="32"/>
          <w:vertAlign w:val="baseline"/>
          <w:lang w:val="en-US" w:eastAsia="zh-CN" w:bidi="ar"/>
        </w:rPr>
        <w:t>中央财政基本药物制度补助资</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项目自评得分为100分，一等，项目全年预算数为</w:t>
      </w:r>
      <w:r>
        <w:rPr>
          <w:rFonts w:hint="eastAsia" w:ascii="仿宋_GB2312" w:eastAsia="仿宋_GB2312" w:cs="仿宋_GB2312"/>
          <w:kern w:val="0"/>
          <w:sz w:val="32"/>
          <w:szCs w:val="32"/>
          <w:lang w:val="en-US" w:eastAsia="zh-CN"/>
        </w:rPr>
        <w:t>0.69</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0.69</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产出指标达成预期指标；二是效益指标达成预期指标；三是满意度指标完成85%。自评发现的主要问题及原因：各预算支出及整体绩效自评工作如期完成。下一步改进措施：确保绩效自评如期完成。</w:t>
      </w:r>
    </w:p>
    <w:p w14:paraId="0F11EE82">
      <w:pPr>
        <w:autoSpaceDE w:val="0"/>
        <w:autoSpaceDN w:val="0"/>
        <w:adjustRightInd w:val="0"/>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FB19213">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名词解释</w:t>
      </w:r>
    </w:p>
    <w:p w14:paraId="05F44FFE">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hint="eastAsia" w:ascii="仿宋" w:hAnsi="仿宋" w:eastAsia="仿宋" w:cs="仿宋"/>
          <w:color w:val="auto"/>
          <w:sz w:val="32"/>
          <w:u w:color="auto"/>
          <w:lang w:eastAsia="zh-CN"/>
        </w:rPr>
        <w:t>环江毛南族自治县</w:t>
      </w:r>
      <w:r>
        <w:rPr>
          <w:rFonts w:hint="eastAsia" w:ascii="仿宋" w:hAnsi="仿宋" w:eastAsia="仿宋" w:cs="仿宋"/>
          <w:color w:val="auto"/>
          <w:sz w:val="32"/>
          <w:u w:color="auto"/>
        </w:rPr>
        <w:t>财政部门当年拨付的资金。</w:t>
      </w:r>
    </w:p>
    <w:p w14:paraId="26156DFE">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14:paraId="5D3E2490">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14:paraId="04154243">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14:paraId="5F43EE85">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1FE13E06">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14:paraId="28D87DEB">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14:paraId="4235E340">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14:paraId="2112E03E">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14:paraId="6E990566">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14:paraId="57A73F44">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14:paraId="2475A508">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hint="eastAsia" w:ascii="仿宋" w:hAnsi="仿宋" w:eastAsia="仿宋" w:cs="仿宋"/>
          <w:color w:val="auto"/>
          <w:sz w:val="32"/>
          <w:u w:color="auto"/>
          <w:lang w:eastAsia="zh-CN"/>
        </w:rPr>
        <w:t>环江县</w:t>
      </w:r>
      <w:r>
        <w:rPr>
          <w:rFonts w:ascii="仿宋" w:hAnsi="仿宋" w:eastAsia="仿宋" w:cs="仿宋"/>
          <w:color w:val="auto"/>
          <w:sz w:val="32"/>
          <w:u w:color="auto"/>
        </w:rPr>
        <w:t>财政预决算管理的“三公”经费，是指</w:t>
      </w:r>
      <w:r>
        <w:rPr>
          <w:rFonts w:hint="eastAsia" w:ascii="仿宋" w:hAnsi="仿宋" w:eastAsia="仿宋" w:cs="仿宋"/>
          <w:color w:val="auto"/>
          <w:sz w:val="32"/>
          <w:u w:color="auto"/>
          <w:lang w:eastAsia="zh-CN"/>
        </w:rPr>
        <w:t>环江县</w:t>
      </w:r>
      <w:r>
        <w:rPr>
          <w:rFonts w:ascii="仿宋" w:hAnsi="仿宋" w:eastAsia="仿宋" w:cs="仿宋"/>
          <w:color w:val="auto"/>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042E483">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730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BC8B">
    <w:pPr>
      <w:pStyle w:val="6"/>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8D9B">
    <w:pPr>
      <w:pStyle w:val="6"/>
      <w:pBdr>
        <w:bottom w:val="none" w:color="auto" w:sz="0" w:space="1"/>
      </w:pBdr>
      <w:jc w:val="both"/>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jOTMyMWRhZTQxYmVhN2E3YWUyNDRhOTkwYzczMG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A868CF"/>
    <w:rsid w:val="01AA1AC9"/>
    <w:rsid w:val="01C50B90"/>
    <w:rsid w:val="01EC5C3E"/>
    <w:rsid w:val="020C171D"/>
    <w:rsid w:val="0216715F"/>
    <w:rsid w:val="025F5D4E"/>
    <w:rsid w:val="0298293C"/>
    <w:rsid w:val="02BC3D41"/>
    <w:rsid w:val="02E0291A"/>
    <w:rsid w:val="03527043"/>
    <w:rsid w:val="040C48A0"/>
    <w:rsid w:val="0479047E"/>
    <w:rsid w:val="04AA7AB6"/>
    <w:rsid w:val="04DD5D12"/>
    <w:rsid w:val="04E54546"/>
    <w:rsid w:val="051849A5"/>
    <w:rsid w:val="05204B33"/>
    <w:rsid w:val="05287C41"/>
    <w:rsid w:val="05533276"/>
    <w:rsid w:val="05992762"/>
    <w:rsid w:val="061C0FDE"/>
    <w:rsid w:val="06BC6A39"/>
    <w:rsid w:val="06E67100"/>
    <w:rsid w:val="07B0770E"/>
    <w:rsid w:val="07F41CF0"/>
    <w:rsid w:val="089E5946"/>
    <w:rsid w:val="09137F54"/>
    <w:rsid w:val="0942143F"/>
    <w:rsid w:val="097E7AC3"/>
    <w:rsid w:val="09931095"/>
    <w:rsid w:val="0A1B17AB"/>
    <w:rsid w:val="0A4725AB"/>
    <w:rsid w:val="0A9C67E8"/>
    <w:rsid w:val="0AE52FDE"/>
    <w:rsid w:val="0B725406"/>
    <w:rsid w:val="0C6754D4"/>
    <w:rsid w:val="0C7813B4"/>
    <w:rsid w:val="0CFF0F1B"/>
    <w:rsid w:val="0D100297"/>
    <w:rsid w:val="0D202B45"/>
    <w:rsid w:val="0D2E77CC"/>
    <w:rsid w:val="0DB735A4"/>
    <w:rsid w:val="0DC024E6"/>
    <w:rsid w:val="0DC174DD"/>
    <w:rsid w:val="0EAC50D3"/>
    <w:rsid w:val="0EF91A2E"/>
    <w:rsid w:val="0F8D4C87"/>
    <w:rsid w:val="0F9E7E58"/>
    <w:rsid w:val="0FF71AA5"/>
    <w:rsid w:val="10505FAA"/>
    <w:rsid w:val="105F7E7E"/>
    <w:rsid w:val="108C51BC"/>
    <w:rsid w:val="11E56B5B"/>
    <w:rsid w:val="125C77AB"/>
    <w:rsid w:val="12697720"/>
    <w:rsid w:val="12802AFE"/>
    <w:rsid w:val="12FE0E52"/>
    <w:rsid w:val="1444633F"/>
    <w:rsid w:val="14CB726E"/>
    <w:rsid w:val="14E80610"/>
    <w:rsid w:val="15A417A0"/>
    <w:rsid w:val="15B131F0"/>
    <w:rsid w:val="170E4165"/>
    <w:rsid w:val="17147CB9"/>
    <w:rsid w:val="173E4D36"/>
    <w:rsid w:val="175406C3"/>
    <w:rsid w:val="17E92249"/>
    <w:rsid w:val="17EF6030"/>
    <w:rsid w:val="18D304F1"/>
    <w:rsid w:val="19550D75"/>
    <w:rsid w:val="195B5C0A"/>
    <w:rsid w:val="19B215A2"/>
    <w:rsid w:val="19D01D5A"/>
    <w:rsid w:val="19DD6BFF"/>
    <w:rsid w:val="19F32577"/>
    <w:rsid w:val="19F45B80"/>
    <w:rsid w:val="19F636A6"/>
    <w:rsid w:val="19F86B2A"/>
    <w:rsid w:val="19F93196"/>
    <w:rsid w:val="1A58610F"/>
    <w:rsid w:val="1B0C078D"/>
    <w:rsid w:val="1B2B31E2"/>
    <w:rsid w:val="1B3061E5"/>
    <w:rsid w:val="1B4C295A"/>
    <w:rsid w:val="1B4D379A"/>
    <w:rsid w:val="1B973C63"/>
    <w:rsid w:val="1BA1001E"/>
    <w:rsid w:val="1C236088"/>
    <w:rsid w:val="1D317259"/>
    <w:rsid w:val="1D6334B4"/>
    <w:rsid w:val="1D916C98"/>
    <w:rsid w:val="1DF148B0"/>
    <w:rsid w:val="1DF71019"/>
    <w:rsid w:val="1E262080"/>
    <w:rsid w:val="1E664F5B"/>
    <w:rsid w:val="1EB34BE1"/>
    <w:rsid w:val="1EC6548A"/>
    <w:rsid w:val="1F5350F7"/>
    <w:rsid w:val="20520AC7"/>
    <w:rsid w:val="20DB4566"/>
    <w:rsid w:val="2149312A"/>
    <w:rsid w:val="215E639F"/>
    <w:rsid w:val="21EC3183"/>
    <w:rsid w:val="225E72CD"/>
    <w:rsid w:val="227B600E"/>
    <w:rsid w:val="22A73DA6"/>
    <w:rsid w:val="22F831C2"/>
    <w:rsid w:val="230D3141"/>
    <w:rsid w:val="232065F7"/>
    <w:rsid w:val="23264FFC"/>
    <w:rsid w:val="232A5278"/>
    <w:rsid w:val="233A4603"/>
    <w:rsid w:val="23B720F8"/>
    <w:rsid w:val="23C8253D"/>
    <w:rsid w:val="23E822B1"/>
    <w:rsid w:val="245676FA"/>
    <w:rsid w:val="246E2F77"/>
    <w:rsid w:val="2492046F"/>
    <w:rsid w:val="24DD07E2"/>
    <w:rsid w:val="254B4E2B"/>
    <w:rsid w:val="25A43474"/>
    <w:rsid w:val="25F0544D"/>
    <w:rsid w:val="269811C6"/>
    <w:rsid w:val="281713B7"/>
    <w:rsid w:val="283425F5"/>
    <w:rsid w:val="283D7C94"/>
    <w:rsid w:val="2870458C"/>
    <w:rsid w:val="28902F18"/>
    <w:rsid w:val="28CE52E6"/>
    <w:rsid w:val="28D728F5"/>
    <w:rsid w:val="29062390"/>
    <w:rsid w:val="29480E03"/>
    <w:rsid w:val="2952304E"/>
    <w:rsid w:val="2976210D"/>
    <w:rsid w:val="2983634D"/>
    <w:rsid w:val="29D86924"/>
    <w:rsid w:val="29F85218"/>
    <w:rsid w:val="29FD39F5"/>
    <w:rsid w:val="2AF649C3"/>
    <w:rsid w:val="2B25527B"/>
    <w:rsid w:val="2B345431"/>
    <w:rsid w:val="2BA5645F"/>
    <w:rsid w:val="2BB02055"/>
    <w:rsid w:val="2BD60D9E"/>
    <w:rsid w:val="2C575A56"/>
    <w:rsid w:val="2C7566AC"/>
    <w:rsid w:val="2C7A41A1"/>
    <w:rsid w:val="2C965046"/>
    <w:rsid w:val="2CD47877"/>
    <w:rsid w:val="2D17784C"/>
    <w:rsid w:val="2D672977"/>
    <w:rsid w:val="2DEE4968"/>
    <w:rsid w:val="2E7D3F3E"/>
    <w:rsid w:val="2F1A178D"/>
    <w:rsid w:val="2F1E127D"/>
    <w:rsid w:val="2F257714"/>
    <w:rsid w:val="2F3275E5"/>
    <w:rsid w:val="2F48454C"/>
    <w:rsid w:val="305A18DA"/>
    <w:rsid w:val="308F7E72"/>
    <w:rsid w:val="30AA08EF"/>
    <w:rsid w:val="30B96D0F"/>
    <w:rsid w:val="30D23D1C"/>
    <w:rsid w:val="31221CF5"/>
    <w:rsid w:val="31350B00"/>
    <w:rsid w:val="31400178"/>
    <w:rsid w:val="31822F4F"/>
    <w:rsid w:val="31B87B70"/>
    <w:rsid w:val="321E3342"/>
    <w:rsid w:val="32673AB6"/>
    <w:rsid w:val="326F3B9E"/>
    <w:rsid w:val="327759C8"/>
    <w:rsid w:val="32E46818"/>
    <w:rsid w:val="33185FE3"/>
    <w:rsid w:val="33492641"/>
    <w:rsid w:val="339A2E9C"/>
    <w:rsid w:val="34A22009"/>
    <w:rsid w:val="34EE2E36"/>
    <w:rsid w:val="34F234D4"/>
    <w:rsid w:val="35690D78"/>
    <w:rsid w:val="356B4AF0"/>
    <w:rsid w:val="35832B56"/>
    <w:rsid w:val="36777241"/>
    <w:rsid w:val="37403786"/>
    <w:rsid w:val="37755CB2"/>
    <w:rsid w:val="38A54D1B"/>
    <w:rsid w:val="38A951DB"/>
    <w:rsid w:val="38B31605"/>
    <w:rsid w:val="39003F4F"/>
    <w:rsid w:val="39850165"/>
    <w:rsid w:val="3A0821EA"/>
    <w:rsid w:val="3AF85078"/>
    <w:rsid w:val="3C07002B"/>
    <w:rsid w:val="3C2974B3"/>
    <w:rsid w:val="3CD643E7"/>
    <w:rsid w:val="3CE26EA2"/>
    <w:rsid w:val="3D033860"/>
    <w:rsid w:val="3D0D152A"/>
    <w:rsid w:val="3DC74D6C"/>
    <w:rsid w:val="3DF02037"/>
    <w:rsid w:val="3DF17B5D"/>
    <w:rsid w:val="3DF62756"/>
    <w:rsid w:val="3E3B6531"/>
    <w:rsid w:val="3F1B7587"/>
    <w:rsid w:val="3F2D72BA"/>
    <w:rsid w:val="3F67457A"/>
    <w:rsid w:val="3FCA2274"/>
    <w:rsid w:val="404C3770"/>
    <w:rsid w:val="413A0150"/>
    <w:rsid w:val="418F1B67"/>
    <w:rsid w:val="41D81760"/>
    <w:rsid w:val="41E57B4F"/>
    <w:rsid w:val="4201421A"/>
    <w:rsid w:val="421D3AAA"/>
    <w:rsid w:val="42E16ACB"/>
    <w:rsid w:val="432F26F6"/>
    <w:rsid w:val="43664E65"/>
    <w:rsid w:val="43880F63"/>
    <w:rsid w:val="43B96A7B"/>
    <w:rsid w:val="43C96054"/>
    <w:rsid w:val="44084F9F"/>
    <w:rsid w:val="441C5A6F"/>
    <w:rsid w:val="442E5667"/>
    <w:rsid w:val="446D6D8C"/>
    <w:rsid w:val="446E23E6"/>
    <w:rsid w:val="44A513E7"/>
    <w:rsid w:val="44C44FCC"/>
    <w:rsid w:val="44CC7369"/>
    <w:rsid w:val="44F07EF5"/>
    <w:rsid w:val="457F5108"/>
    <w:rsid w:val="45CA7611"/>
    <w:rsid w:val="468C2B19"/>
    <w:rsid w:val="46951B6B"/>
    <w:rsid w:val="46DD5D6D"/>
    <w:rsid w:val="47613705"/>
    <w:rsid w:val="483179B2"/>
    <w:rsid w:val="49312513"/>
    <w:rsid w:val="49A34401"/>
    <w:rsid w:val="4A3E30AB"/>
    <w:rsid w:val="4A767B3D"/>
    <w:rsid w:val="4AB83EDC"/>
    <w:rsid w:val="4AC14DAC"/>
    <w:rsid w:val="4B1550A5"/>
    <w:rsid w:val="4B7D753C"/>
    <w:rsid w:val="4BE1285E"/>
    <w:rsid w:val="4C1C66ED"/>
    <w:rsid w:val="4C3D2024"/>
    <w:rsid w:val="4CB61D51"/>
    <w:rsid w:val="4D154C85"/>
    <w:rsid w:val="4D312202"/>
    <w:rsid w:val="4D414E61"/>
    <w:rsid w:val="4DD03C33"/>
    <w:rsid w:val="4E8A5B90"/>
    <w:rsid w:val="4EC8553A"/>
    <w:rsid w:val="4ED94900"/>
    <w:rsid w:val="4F4028E5"/>
    <w:rsid w:val="4FB428B2"/>
    <w:rsid w:val="508F4E24"/>
    <w:rsid w:val="51461E90"/>
    <w:rsid w:val="51463753"/>
    <w:rsid w:val="515657C5"/>
    <w:rsid w:val="51981093"/>
    <w:rsid w:val="52553A93"/>
    <w:rsid w:val="52B534C8"/>
    <w:rsid w:val="53521F8B"/>
    <w:rsid w:val="53E22F47"/>
    <w:rsid w:val="53E76FF5"/>
    <w:rsid w:val="5403185A"/>
    <w:rsid w:val="54522FF8"/>
    <w:rsid w:val="54956BC5"/>
    <w:rsid w:val="54C3004D"/>
    <w:rsid w:val="54D538DD"/>
    <w:rsid w:val="54F72BA4"/>
    <w:rsid w:val="55450629"/>
    <w:rsid w:val="55F304BE"/>
    <w:rsid w:val="56692963"/>
    <w:rsid w:val="568B0F48"/>
    <w:rsid w:val="5786217B"/>
    <w:rsid w:val="579D0BC0"/>
    <w:rsid w:val="57FB26B9"/>
    <w:rsid w:val="58FA7DB6"/>
    <w:rsid w:val="59337A15"/>
    <w:rsid w:val="59700EB0"/>
    <w:rsid w:val="59745DBA"/>
    <w:rsid w:val="597A5E15"/>
    <w:rsid w:val="59810274"/>
    <w:rsid w:val="598B63BF"/>
    <w:rsid w:val="5AAB1367"/>
    <w:rsid w:val="5B63642D"/>
    <w:rsid w:val="5BC10BF5"/>
    <w:rsid w:val="5C0307D5"/>
    <w:rsid w:val="5C287FA0"/>
    <w:rsid w:val="5CA96A00"/>
    <w:rsid w:val="5CF730BC"/>
    <w:rsid w:val="5DA86032"/>
    <w:rsid w:val="5DC169AF"/>
    <w:rsid w:val="5E5F0DCE"/>
    <w:rsid w:val="5E8B56A9"/>
    <w:rsid w:val="5E916FA5"/>
    <w:rsid w:val="5EAD73F2"/>
    <w:rsid w:val="5F030931"/>
    <w:rsid w:val="5F6858DD"/>
    <w:rsid w:val="5FA40A7B"/>
    <w:rsid w:val="5FB2049C"/>
    <w:rsid w:val="5FD56D29"/>
    <w:rsid w:val="5FEC7F3F"/>
    <w:rsid w:val="60F74BC3"/>
    <w:rsid w:val="614147D4"/>
    <w:rsid w:val="617D3BF8"/>
    <w:rsid w:val="61841F6A"/>
    <w:rsid w:val="61E433B1"/>
    <w:rsid w:val="61E6537B"/>
    <w:rsid w:val="62175534"/>
    <w:rsid w:val="623007A9"/>
    <w:rsid w:val="623245FB"/>
    <w:rsid w:val="637D7558"/>
    <w:rsid w:val="6420238B"/>
    <w:rsid w:val="6424218B"/>
    <w:rsid w:val="64304B6A"/>
    <w:rsid w:val="644F19AC"/>
    <w:rsid w:val="64696175"/>
    <w:rsid w:val="64AC465A"/>
    <w:rsid w:val="650A312E"/>
    <w:rsid w:val="65141F00"/>
    <w:rsid w:val="65172926"/>
    <w:rsid w:val="65AA4920"/>
    <w:rsid w:val="662D17CA"/>
    <w:rsid w:val="66463A3B"/>
    <w:rsid w:val="671B7875"/>
    <w:rsid w:val="674E075B"/>
    <w:rsid w:val="67694F1E"/>
    <w:rsid w:val="69597934"/>
    <w:rsid w:val="69731BEA"/>
    <w:rsid w:val="69995197"/>
    <w:rsid w:val="6A4A35D4"/>
    <w:rsid w:val="6A9C6F1F"/>
    <w:rsid w:val="6AAB13EE"/>
    <w:rsid w:val="6AB26A82"/>
    <w:rsid w:val="6AFC176B"/>
    <w:rsid w:val="6B964DDC"/>
    <w:rsid w:val="6BC73B27"/>
    <w:rsid w:val="6C1B6100"/>
    <w:rsid w:val="6C783074"/>
    <w:rsid w:val="6CA770F1"/>
    <w:rsid w:val="6CB12F90"/>
    <w:rsid w:val="6D033285"/>
    <w:rsid w:val="6D9E65C6"/>
    <w:rsid w:val="6DA81947"/>
    <w:rsid w:val="6DFA6436"/>
    <w:rsid w:val="6EA10B3E"/>
    <w:rsid w:val="6EB66DE2"/>
    <w:rsid w:val="6ED3075F"/>
    <w:rsid w:val="6EEA23E8"/>
    <w:rsid w:val="6F2A2D4B"/>
    <w:rsid w:val="6F8A0C1E"/>
    <w:rsid w:val="70377442"/>
    <w:rsid w:val="703F45D4"/>
    <w:rsid w:val="71105F71"/>
    <w:rsid w:val="715D6546"/>
    <w:rsid w:val="71BE069E"/>
    <w:rsid w:val="736600CA"/>
    <w:rsid w:val="73953409"/>
    <w:rsid w:val="73C84DBF"/>
    <w:rsid w:val="73E069A3"/>
    <w:rsid w:val="73F2248E"/>
    <w:rsid w:val="73F27BAF"/>
    <w:rsid w:val="73FD58BA"/>
    <w:rsid w:val="742C481D"/>
    <w:rsid w:val="749C72C7"/>
    <w:rsid w:val="750B717B"/>
    <w:rsid w:val="76447C6A"/>
    <w:rsid w:val="769431A0"/>
    <w:rsid w:val="78104AA8"/>
    <w:rsid w:val="789A78BE"/>
    <w:rsid w:val="78E206D1"/>
    <w:rsid w:val="78E257C5"/>
    <w:rsid w:val="78F10436"/>
    <w:rsid w:val="792C3B64"/>
    <w:rsid w:val="794B35BE"/>
    <w:rsid w:val="7AA5772A"/>
    <w:rsid w:val="7AA80AB2"/>
    <w:rsid w:val="7AB63BC3"/>
    <w:rsid w:val="7AC26915"/>
    <w:rsid w:val="7B0A3A31"/>
    <w:rsid w:val="7B3360ED"/>
    <w:rsid w:val="7B5319F3"/>
    <w:rsid w:val="7B683919"/>
    <w:rsid w:val="7BDF037E"/>
    <w:rsid w:val="7BF50948"/>
    <w:rsid w:val="7BFF10BB"/>
    <w:rsid w:val="7CA80310"/>
    <w:rsid w:val="7CE66A78"/>
    <w:rsid w:val="7D1070E7"/>
    <w:rsid w:val="7D23564C"/>
    <w:rsid w:val="7D5E062D"/>
    <w:rsid w:val="7DF76CD8"/>
    <w:rsid w:val="7E0806FB"/>
    <w:rsid w:val="7E7713DD"/>
    <w:rsid w:val="7F3E057D"/>
    <w:rsid w:val="7F5819C8"/>
    <w:rsid w:val="7F695C26"/>
    <w:rsid w:val="7FCF62D3"/>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0"/>
    <w:rPr>
      <w:i/>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1859</Words>
  <Characters>2600</Characters>
  <Lines>90</Lines>
  <Paragraphs>25</Paragraphs>
  <TotalTime>2</TotalTime>
  <ScaleCrop>false</ScaleCrop>
  <LinksUpToDate>false</LinksUpToDate>
  <CharactersWithSpaces>2618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谭姐姐</cp:lastModifiedBy>
  <dcterms:modified xsi:type="dcterms:W3CDTF">2024-12-27T05:00:56Z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826B0A287C314E5B8A31BEB5792927F5_13</vt:lpwstr>
  </property>
  <property fmtid="{D5CDD505-2E9C-101B-9397-08002B2CF9AE}" pid="4" name="KSOTemplateDocerSaveRecord">
    <vt:lpwstr>eyJoZGlkIjoiODQ2Mjc1OWQ1OGY4YTM1MWYwODk1YTA1OWJmNjdiZTQiLCJ1c2VySWQiOiI0MDcyNzM2NjcifQ==</vt:lpwstr>
  </property>
</Properties>
</file>