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2A244">
      <w:pPr>
        <w:jc w:val="left"/>
        <w:rPr>
          <w:rFonts w:ascii="仿宋" w:hAnsi="仿宋" w:eastAsia="仿宋" w:cs="仿宋"/>
          <w:sz w:val="32"/>
          <w:szCs w:val="32"/>
          <w:highlight w:val="none"/>
        </w:rPr>
      </w:pPr>
    </w:p>
    <w:p w14:paraId="06B2278B">
      <w:pPr>
        <w:jc w:val="left"/>
        <w:rPr>
          <w:rFonts w:ascii="仿宋" w:hAnsi="仿宋" w:eastAsia="仿宋" w:cs="仿宋"/>
          <w:sz w:val="32"/>
          <w:szCs w:val="32"/>
          <w:highlight w:val="none"/>
        </w:rPr>
      </w:pPr>
    </w:p>
    <w:p w14:paraId="52D81B9C">
      <w:pPr>
        <w:jc w:val="left"/>
        <w:rPr>
          <w:rFonts w:ascii="仿宋" w:hAnsi="仿宋" w:eastAsia="仿宋" w:cs="仿宋"/>
          <w:sz w:val="32"/>
          <w:szCs w:val="32"/>
          <w:highlight w:val="none"/>
        </w:rPr>
      </w:pPr>
    </w:p>
    <w:p w14:paraId="5E6EC04B">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环江毛南族自治县川山镇中心卫生院</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14:paraId="0AAFA8AA">
      <w:pPr>
        <w:jc w:val="center"/>
        <w:rPr>
          <w:rFonts w:ascii="仿宋" w:hAnsi="仿宋" w:eastAsia="仿宋" w:cs="仿宋"/>
          <w:sz w:val="32"/>
          <w:szCs w:val="32"/>
          <w:highlight w:val="none"/>
        </w:rPr>
      </w:pPr>
    </w:p>
    <w:p w14:paraId="5B19F3CD">
      <w:pPr>
        <w:jc w:val="left"/>
        <w:rPr>
          <w:rFonts w:ascii="仿宋" w:hAnsi="仿宋" w:eastAsia="仿宋" w:cs="仿宋"/>
          <w:sz w:val="32"/>
          <w:szCs w:val="32"/>
          <w:highlight w:val="none"/>
        </w:rPr>
      </w:pPr>
    </w:p>
    <w:p w14:paraId="34C484F3">
      <w:pPr>
        <w:jc w:val="left"/>
        <w:rPr>
          <w:rFonts w:ascii="仿宋" w:hAnsi="仿宋" w:eastAsia="仿宋" w:cs="仿宋"/>
          <w:sz w:val="32"/>
          <w:szCs w:val="32"/>
          <w:highlight w:val="none"/>
        </w:rPr>
      </w:pPr>
    </w:p>
    <w:p w14:paraId="0D267428">
      <w:pPr>
        <w:jc w:val="left"/>
        <w:rPr>
          <w:rFonts w:ascii="仿宋" w:hAnsi="仿宋" w:eastAsia="仿宋" w:cs="仿宋"/>
          <w:sz w:val="32"/>
          <w:szCs w:val="32"/>
          <w:highlight w:val="none"/>
        </w:rPr>
      </w:pPr>
    </w:p>
    <w:p w14:paraId="6B22DD48">
      <w:pPr>
        <w:jc w:val="left"/>
        <w:rPr>
          <w:rFonts w:ascii="仿宋" w:hAnsi="仿宋" w:eastAsia="仿宋" w:cs="仿宋"/>
          <w:sz w:val="32"/>
          <w:szCs w:val="32"/>
          <w:highlight w:val="none"/>
        </w:rPr>
      </w:pPr>
    </w:p>
    <w:p w14:paraId="155911B1">
      <w:pPr>
        <w:jc w:val="left"/>
        <w:rPr>
          <w:rFonts w:ascii="仿宋" w:hAnsi="仿宋" w:eastAsia="仿宋" w:cs="仿宋"/>
          <w:sz w:val="32"/>
          <w:szCs w:val="32"/>
          <w:highlight w:val="none"/>
        </w:rPr>
      </w:pPr>
    </w:p>
    <w:p w14:paraId="6996CD27">
      <w:pPr>
        <w:jc w:val="left"/>
        <w:rPr>
          <w:rFonts w:ascii="仿宋" w:hAnsi="仿宋" w:eastAsia="仿宋" w:cs="仿宋"/>
          <w:sz w:val="32"/>
          <w:szCs w:val="32"/>
          <w:highlight w:val="none"/>
        </w:rPr>
      </w:pPr>
    </w:p>
    <w:p w14:paraId="2AF39296">
      <w:pPr>
        <w:jc w:val="left"/>
        <w:rPr>
          <w:rFonts w:ascii="仿宋" w:hAnsi="仿宋" w:eastAsia="仿宋" w:cs="仿宋"/>
          <w:sz w:val="32"/>
          <w:szCs w:val="32"/>
          <w:highlight w:val="none"/>
        </w:rPr>
      </w:pPr>
    </w:p>
    <w:p w14:paraId="2960C988">
      <w:pPr>
        <w:jc w:val="left"/>
        <w:rPr>
          <w:rFonts w:ascii="仿宋" w:hAnsi="仿宋" w:eastAsia="仿宋" w:cs="仿宋"/>
          <w:sz w:val="32"/>
          <w:szCs w:val="32"/>
          <w:highlight w:val="none"/>
        </w:rPr>
      </w:pPr>
    </w:p>
    <w:p w14:paraId="39EB156F">
      <w:pPr>
        <w:jc w:val="left"/>
        <w:rPr>
          <w:rFonts w:ascii="仿宋" w:hAnsi="仿宋" w:eastAsia="仿宋" w:cs="仿宋"/>
          <w:sz w:val="32"/>
          <w:szCs w:val="32"/>
          <w:highlight w:val="none"/>
        </w:rPr>
      </w:pPr>
    </w:p>
    <w:p w14:paraId="0834B724">
      <w:pPr>
        <w:jc w:val="left"/>
        <w:rPr>
          <w:rFonts w:ascii="仿宋" w:hAnsi="仿宋" w:eastAsia="仿宋" w:cs="仿宋"/>
          <w:sz w:val="32"/>
          <w:szCs w:val="32"/>
          <w:highlight w:val="none"/>
        </w:rPr>
      </w:pPr>
    </w:p>
    <w:p w14:paraId="32F53163">
      <w:pPr>
        <w:jc w:val="left"/>
        <w:rPr>
          <w:rFonts w:ascii="仿宋" w:hAnsi="仿宋" w:eastAsia="仿宋" w:cs="仿宋"/>
          <w:sz w:val="32"/>
          <w:szCs w:val="32"/>
          <w:highlight w:val="none"/>
        </w:rPr>
      </w:pPr>
    </w:p>
    <w:p w14:paraId="77F6C997">
      <w:pPr>
        <w:jc w:val="left"/>
        <w:rPr>
          <w:rFonts w:ascii="仿宋" w:hAnsi="仿宋" w:eastAsia="仿宋" w:cs="仿宋"/>
          <w:sz w:val="32"/>
          <w:szCs w:val="32"/>
          <w:highlight w:val="none"/>
        </w:rPr>
      </w:pPr>
    </w:p>
    <w:p w14:paraId="3B6571C4">
      <w:pPr>
        <w:jc w:val="left"/>
        <w:rPr>
          <w:rFonts w:ascii="仿宋" w:hAnsi="仿宋" w:eastAsia="仿宋" w:cs="仿宋"/>
          <w:sz w:val="32"/>
          <w:szCs w:val="32"/>
          <w:highlight w:val="none"/>
        </w:rPr>
      </w:pPr>
    </w:p>
    <w:p w14:paraId="1243A306">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14:paraId="3CD20D9A">
      <w:pPr>
        <w:rPr>
          <w:rFonts w:ascii="仿宋" w:hAnsi="仿宋" w:eastAsia="仿宋" w:cs="仿宋"/>
          <w:sz w:val="32"/>
          <w:szCs w:val="32"/>
          <w:highlight w:val="none"/>
        </w:rPr>
      </w:pPr>
      <w:r>
        <w:rPr>
          <w:rFonts w:ascii="仿宋" w:hAnsi="仿宋" w:eastAsia="仿宋" w:cs="仿宋"/>
          <w:sz w:val="32"/>
          <w:szCs w:val="32"/>
          <w:highlight w:val="none"/>
        </w:rPr>
        <w:br w:type="page"/>
      </w:r>
    </w:p>
    <w:p w14:paraId="26A72430">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11AFA26C">
      <w:pPr>
        <w:jc w:val="left"/>
        <w:rPr>
          <w:rFonts w:ascii="黑体" w:hAnsi="黑体" w:eastAsia="黑体" w:cs="黑体"/>
          <w:b/>
          <w:bCs/>
          <w:sz w:val="36"/>
          <w:szCs w:val="36"/>
          <w:highlight w:val="none"/>
        </w:rPr>
      </w:pPr>
    </w:p>
    <w:p w14:paraId="43C57954">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川山镇中心卫生院</w:t>
      </w:r>
      <w:r>
        <w:rPr>
          <w:rFonts w:hint="eastAsia" w:ascii="黑体" w:hAnsi="黑体" w:eastAsia="黑体" w:cs="黑体"/>
          <w:sz w:val="32"/>
          <w:szCs w:val="32"/>
          <w:highlight w:val="none"/>
        </w:rPr>
        <w:t>概况</w:t>
      </w:r>
    </w:p>
    <w:p w14:paraId="468F8224">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14:paraId="58F2045C">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14:paraId="60579024">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川山镇中心卫生院</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612C2AF4">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62827C89">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40451F89">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24BAF940">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2330F99E">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54AA55FB">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22A4821A">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792E3FB0">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283B4984">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14:paraId="11744DDF">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川山镇中心卫生院</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46D986D1">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14:paraId="6BFA1A60">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0B92017C">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14:paraId="1B93ECBF">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14:paraId="279A5F3A">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4BE55B5E">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14:paraId="0C9EF78C">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20375307">
      <w:pPr>
        <w:autoSpaceDE w:val="0"/>
        <w:autoSpaceDN w:val="0"/>
        <w:adjustRightInd w:val="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八、预算绩效管理工作开展情况。</w:t>
      </w:r>
    </w:p>
    <w:p w14:paraId="79EE4EB0">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7D450379">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13519901">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sz w:val="32"/>
          <w:u w:color="auto"/>
          <w:lang w:val="en-US" w:eastAsia="zh-CN"/>
        </w:rPr>
        <w:t>川山镇中心卫生院</w:t>
      </w:r>
      <w:r>
        <w:rPr>
          <w:rFonts w:hint="eastAsia" w:ascii="黑体" w:hAnsi="黑体" w:eastAsia="黑体" w:cs="黑体"/>
          <w:b/>
          <w:bCs/>
          <w:sz w:val="32"/>
          <w:szCs w:val="32"/>
          <w:highlight w:val="none"/>
        </w:rPr>
        <w:t>概况</w:t>
      </w:r>
    </w:p>
    <w:p w14:paraId="5B2B0C1A">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14:paraId="30C38473">
      <w:pPr>
        <w:keepNext w:val="0"/>
        <w:keepLines w:val="0"/>
        <w:pageBreakBefore w:val="0"/>
        <w:kinsoku/>
        <w:wordWrap/>
        <w:overflowPunct/>
        <w:topLinePunct w:val="0"/>
        <w:bidi w:val="0"/>
        <w:spacing w:line="560" w:lineRule="exact"/>
        <w:ind w:firstLine="645"/>
        <w:textAlignment w:val="auto"/>
        <w:rPr>
          <w:rFonts w:hint="eastAsia" w:ascii="宋体" w:hAnsi="宋体" w:eastAsia="宋体" w:cs="宋体"/>
          <w:b/>
          <w:bCs w:val="0"/>
          <w:sz w:val="28"/>
          <w:szCs w:val="28"/>
          <w:highlight w:val="none"/>
          <w:lang w:eastAsia="zh-CN"/>
        </w:rPr>
      </w:pPr>
      <w:r>
        <w:rPr>
          <w:rFonts w:hint="eastAsia" w:ascii="宋体" w:hAnsi="宋体" w:eastAsia="宋体" w:cs="宋体"/>
          <w:b/>
          <w:bCs w:val="0"/>
          <w:sz w:val="28"/>
          <w:szCs w:val="28"/>
          <w:highlight w:val="none"/>
        </w:rPr>
        <w:t>一、</w:t>
      </w:r>
      <w:r>
        <w:rPr>
          <w:rFonts w:hint="eastAsia" w:ascii="宋体" w:hAnsi="宋体" w:eastAsia="宋体" w:cs="宋体"/>
          <w:sz w:val="28"/>
          <w:szCs w:val="28"/>
        </w:rPr>
        <w:t>根据《环江毛南族自治县人民政府办公室关于印发环江毛南族自治县卫生和计划生育委员会主要职责内设机构和人员编制规定的通知》（环政办发[2015]168</w:t>
      </w:r>
      <w:r>
        <w:rPr>
          <w:rFonts w:hint="eastAsia" w:ascii="宋体" w:hAnsi="宋体" w:eastAsia="宋体" w:cs="宋体"/>
          <w:sz w:val="28"/>
          <w:szCs w:val="28"/>
          <w:lang w:eastAsia="zh-CN"/>
        </w:rPr>
        <w:t>号</w:t>
      </w:r>
      <w:r>
        <w:rPr>
          <w:rFonts w:hint="eastAsia" w:ascii="宋体" w:hAnsi="宋体" w:eastAsia="宋体" w:cs="宋体"/>
          <w:sz w:val="28"/>
          <w:szCs w:val="28"/>
        </w:rPr>
        <w:t>）文件规定，</w:t>
      </w:r>
      <w:r>
        <w:rPr>
          <w:rFonts w:hint="eastAsia" w:ascii="宋体" w:hAnsi="宋体" w:eastAsia="宋体" w:cs="宋体"/>
          <w:sz w:val="28"/>
          <w:szCs w:val="28"/>
          <w:highlight w:val="none"/>
          <w:lang w:val="en-US" w:eastAsia="zh-CN"/>
        </w:rPr>
        <w:t>本单位</w:t>
      </w:r>
      <w:r>
        <w:rPr>
          <w:rFonts w:hint="eastAsia" w:ascii="宋体" w:hAnsi="宋体" w:eastAsia="宋体" w:cs="宋体"/>
          <w:b w:val="0"/>
          <w:bCs/>
          <w:sz w:val="28"/>
          <w:szCs w:val="28"/>
          <w:highlight w:val="none"/>
        </w:rPr>
        <w:t>主要职能</w:t>
      </w:r>
      <w:r>
        <w:rPr>
          <w:rFonts w:hint="eastAsia" w:ascii="宋体" w:hAnsi="宋体" w:eastAsia="宋体" w:cs="宋体"/>
          <w:b w:val="0"/>
          <w:bCs/>
          <w:sz w:val="28"/>
          <w:szCs w:val="28"/>
          <w:highlight w:val="none"/>
          <w:lang w:eastAsia="zh-CN"/>
        </w:rPr>
        <w:t>：</w:t>
      </w:r>
    </w:p>
    <w:p w14:paraId="176871BE">
      <w:pPr>
        <w:numPr>
          <w:ilvl w:val="0"/>
          <w:numId w:val="0"/>
        </w:numPr>
        <w:rPr>
          <w:rFonts w:hint="eastAsia" w:cs="Times New Roman"/>
          <w:kern w:val="2"/>
          <w:sz w:val="28"/>
          <w:szCs w:val="28"/>
          <w:vertAlign w:val="baseline"/>
          <w:lang w:val="en-US" w:eastAsia="zh-CN" w:bidi="ar-SA"/>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1、</w:t>
      </w:r>
      <w:r>
        <w:rPr>
          <w:rFonts w:hint="eastAsia" w:ascii="宋体" w:hAnsi="宋体" w:eastAsia="宋体" w:cs="宋体"/>
          <w:i w:val="0"/>
          <w:caps w:val="0"/>
          <w:color w:val="333333"/>
          <w:spacing w:val="0"/>
          <w:kern w:val="0"/>
          <w:sz w:val="28"/>
          <w:szCs w:val="28"/>
          <w:shd w:val="clear" w:color="auto" w:fill="FFFFFF"/>
          <w:lang w:val="en-US" w:eastAsia="zh-CN" w:bidi="ar"/>
        </w:rPr>
        <w:t>提供基本医疗服务：按照</w:t>
      </w:r>
      <w:r>
        <w:rPr>
          <w:rFonts w:hint="eastAsia" w:cs="Times New Roman"/>
          <w:kern w:val="2"/>
          <w:sz w:val="28"/>
          <w:szCs w:val="28"/>
          <w:vertAlign w:val="baseline"/>
          <w:lang w:val="en-US" w:eastAsia="zh-CN" w:bidi="ar-SA"/>
        </w:rPr>
        <w:t>广西壮族自治区乡镇卫生院管理办法；建立门诊、住院科室；开展急诊急救、</w:t>
      </w:r>
      <w:r>
        <w:rPr>
          <w:rFonts w:hint="default" w:cs="Times New Roman"/>
          <w:kern w:val="2"/>
          <w:sz w:val="28"/>
          <w:szCs w:val="28"/>
          <w:vertAlign w:val="baseline"/>
          <w:lang w:val="en-US" w:eastAsia="zh-CN" w:bidi="ar-SA"/>
        </w:rPr>
        <w:t>内科</w:t>
      </w:r>
      <w:r>
        <w:rPr>
          <w:rFonts w:hint="eastAsia" w:cs="Times New Roman"/>
          <w:kern w:val="2"/>
          <w:sz w:val="28"/>
          <w:szCs w:val="28"/>
          <w:vertAlign w:val="baseline"/>
          <w:lang w:val="en-US" w:eastAsia="zh-CN" w:bidi="ar-SA"/>
        </w:rPr>
        <w:t>、外科、儿科、妇科、中医科、检查、检验等等基础</w:t>
      </w:r>
      <w:r>
        <w:rPr>
          <w:rFonts w:hint="default" w:cs="Times New Roman"/>
          <w:kern w:val="2"/>
          <w:sz w:val="28"/>
          <w:szCs w:val="28"/>
          <w:vertAlign w:val="baseline"/>
          <w:lang w:val="en-US" w:eastAsia="zh-CN" w:bidi="ar-SA"/>
        </w:rPr>
        <w:t>医疗</w:t>
      </w:r>
      <w:r>
        <w:rPr>
          <w:rFonts w:hint="eastAsia" w:cs="Times New Roman"/>
          <w:kern w:val="2"/>
          <w:sz w:val="28"/>
          <w:szCs w:val="28"/>
          <w:vertAlign w:val="baseline"/>
          <w:lang w:val="en-US" w:eastAsia="zh-CN" w:bidi="ar-SA"/>
        </w:rPr>
        <w:t>业务</w:t>
      </w:r>
      <w:r>
        <w:rPr>
          <w:rFonts w:hint="eastAsia" w:cs="Times New Roman"/>
          <w:kern w:val="2"/>
          <w:sz w:val="21"/>
          <w:szCs w:val="24"/>
          <w:vertAlign w:val="baseline"/>
          <w:lang w:val="en-US" w:eastAsia="zh-CN" w:bidi="ar-SA"/>
        </w:rPr>
        <w:t>；</w:t>
      </w:r>
      <w:r>
        <w:rPr>
          <w:rFonts w:hint="eastAsia" w:cs="Times New Roman"/>
          <w:kern w:val="2"/>
          <w:sz w:val="28"/>
          <w:szCs w:val="28"/>
          <w:vertAlign w:val="baseline"/>
          <w:lang w:val="en-US" w:eastAsia="zh-CN" w:bidi="ar-SA"/>
        </w:rPr>
        <w:t>服务于当地人民群众。</w:t>
      </w:r>
    </w:p>
    <w:p w14:paraId="6B0F23BD">
      <w:pPr>
        <w:numPr>
          <w:ilvl w:val="0"/>
          <w:numId w:val="0"/>
        </w:numPr>
        <w:rPr>
          <w:rFonts w:hint="eastAsia" w:cs="Times New Roman"/>
          <w:kern w:val="2"/>
          <w:sz w:val="28"/>
          <w:szCs w:val="28"/>
          <w:vertAlign w:val="baseline"/>
          <w:lang w:val="en-US" w:eastAsia="zh-CN" w:bidi="ar-SA"/>
        </w:rPr>
      </w:pPr>
      <w:r>
        <w:rPr>
          <w:rFonts w:hint="eastAsia" w:cs="Times New Roman"/>
          <w:kern w:val="2"/>
          <w:sz w:val="28"/>
          <w:szCs w:val="28"/>
          <w:vertAlign w:val="baseline"/>
          <w:lang w:val="en-US" w:eastAsia="zh-CN" w:bidi="ar-SA"/>
        </w:rPr>
        <w:t xml:space="preserve">   2、</w:t>
      </w:r>
      <w:r>
        <w:rPr>
          <w:rFonts w:hint="eastAsia" w:ascii="宋体" w:hAnsi="宋体" w:eastAsia="宋体" w:cs="宋体"/>
          <w:i w:val="0"/>
          <w:caps w:val="0"/>
          <w:color w:val="333333"/>
          <w:spacing w:val="0"/>
          <w:kern w:val="0"/>
          <w:sz w:val="24"/>
          <w:szCs w:val="24"/>
          <w:shd w:val="clear" w:color="auto" w:fill="FFFFFF"/>
          <w:lang w:val="en-US" w:eastAsia="zh-CN" w:bidi="ar"/>
        </w:rPr>
        <w:t>.</w:t>
      </w:r>
      <w:r>
        <w:rPr>
          <w:rFonts w:hint="eastAsia" w:ascii="宋体" w:hAnsi="宋体" w:eastAsia="宋体" w:cs="宋体"/>
          <w:i w:val="0"/>
          <w:caps w:val="0"/>
          <w:color w:val="333333"/>
          <w:spacing w:val="0"/>
          <w:kern w:val="0"/>
          <w:sz w:val="28"/>
          <w:szCs w:val="28"/>
          <w:shd w:val="clear" w:color="auto" w:fill="FFFFFF"/>
          <w:lang w:val="en-US" w:eastAsia="zh-CN" w:bidi="ar"/>
        </w:rPr>
        <w:t>提供预防保健服务</w:t>
      </w:r>
      <w:r>
        <w:rPr>
          <w:rFonts w:hint="eastAsia" w:hAnsi="宋体" w:eastAsia="宋体" w:cs="宋体"/>
          <w:i w:val="0"/>
          <w:caps w:val="0"/>
          <w:color w:val="333333"/>
          <w:spacing w:val="0"/>
          <w:kern w:val="0"/>
          <w:sz w:val="28"/>
          <w:szCs w:val="28"/>
          <w:shd w:val="clear" w:color="auto" w:fill="FFFFFF"/>
          <w:lang w:val="en-US" w:eastAsia="zh-CN" w:bidi="ar"/>
        </w:rPr>
        <w:t>：开展</w:t>
      </w:r>
      <w:r>
        <w:rPr>
          <w:rFonts w:hint="eastAsia" w:cs="Times New Roman"/>
          <w:kern w:val="2"/>
          <w:sz w:val="28"/>
          <w:szCs w:val="28"/>
          <w:vertAlign w:val="baseline"/>
          <w:lang w:val="en-US" w:eastAsia="zh-CN" w:bidi="ar-SA"/>
        </w:rPr>
        <w:t>健康教育、预防接种服务，执行</w:t>
      </w:r>
      <w:r>
        <w:rPr>
          <w:rFonts w:hint="default" w:cs="Times New Roman"/>
          <w:kern w:val="2"/>
          <w:sz w:val="28"/>
          <w:szCs w:val="28"/>
          <w:vertAlign w:val="baseline"/>
          <w:lang w:val="en-US" w:eastAsia="zh-CN" w:bidi="ar-SA"/>
        </w:rPr>
        <w:t>卫生</w:t>
      </w:r>
      <w:r>
        <w:rPr>
          <w:rFonts w:hint="eastAsia" w:cs="Times New Roman"/>
          <w:kern w:val="2"/>
          <w:sz w:val="28"/>
          <w:szCs w:val="28"/>
          <w:vertAlign w:val="baseline"/>
          <w:lang w:val="en-US" w:eastAsia="zh-CN" w:bidi="ar-SA"/>
        </w:rPr>
        <w:t>计生监督</w:t>
      </w:r>
      <w:r>
        <w:rPr>
          <w:rFonts w:hint="default" w:cs="Times New Roman"/>
          <w:kern w:val="2"/>
          <w:sz w:val="28"/>
          <w:szCs w:val="28"/>
          <w:vertAlign w:val="baseline"/>
          <w:lang w:val="en-US" w:eastAsia="zh-CN" w:bidi="ar-SA"/>
        </w:rPr>
        <w:t>协管</w:t>
      </w:r>
      <w:r>
        <w:rPr>
          <w:rFonts w:hint="eastAsia" w:cs="Times New Roman"/>
          <w:kern w:val="2"/>
          <w:sz w:val="28"/>
          <w:szCs w:val="28"/>
          <w:vertAlign w:val="baseline"/>
          <w:lang w:val="en-US" w:eastAsia="zh-CN" w:bidi="ar-SA"/>
        </w:rPr>
        <w:t>与传染病及突发公卫事件报告工作；预防重大公共领域健康安全事件发生。</w:t>
      </w:r>
    </w:p>
    <w:p w14:paraId="18B79B51">
      <w:pPr>
        <w:pStyle w:val="3"/>
        <w:rPr>
          <w:rFonts w:hint="eastAsia" w:cs="Times New Roman"/>
          <w:kern w:val="2"/>
          <w:sz w:val="28"/>
          <w:szCs w:val="28"/>
          <w:vertAlign w:val="baseline"/>
          <w:lang w:val="en-US" w:eastAsia="zh-CN" w:bidi="ar-SA"/>
        </w:rPr>
      </w:pPr>
      <w:r>
        <w:rPr>
          <w:rFonts w:hint="eastAsia" w:cs="Times New Roman"/>
          <w:kern w:val="2"/>
          <w:sz w:val="28"/>
          <w:szCs w:val="28"/>
          <w:vertAlign w:val="baseline"/>
          <w:lang w:val="en-US" w:eastAsia="zh-CN" w:bidi="ar-SA"/>
        </w:rPr>
        <w:t xml:space="preserve">   3、提供基本公共卫生、重大公共卫生服务，持续开展基本公共卫生、重大公共卫生项目下的各项子目业务，为本辖区人民群众的健康提供综合性、连续性的服务保障。</w:t>
      </w:r>
    </w:p>
    <w:p w14:paraId="19966F97">
      <w:pPr>
        <w:numPr>
          <w:ilvl w:val="0"/>
          <w:numId w:val="0"/>
        </w:numPr>
        <w:rPr>
          <w:rFonts w:hint="eastAsia" w:cs="Times New Roman"/>
          <w:kern w:val="2"/>
          <w:sz w:val="28"/>
          <w:szCs w:val="28"/>
          <w:vertAlign w:val="baseline"/>
          <w:lang w:val="en-US" w:eastAsia="zh-CN" w:bidi="ar-SA"/>
        </w:rPr>
      </w:pPr>
      <w:r>
        <w:rPr>
          <w:rFonts w:hint="eastAsia" w:cs="Times New Roman"/>
          <w:kern w:val="2"/>
          <w:sz w:val="28"/>
          <w:szCs w:val="28"/>
          <w:vertAlign w:val="baseline"/>
          <w:lang w:val="en-US" w:eastAsia="zh-CN" w:bidi="ar-SA"/>
        </w:rPr>
        <w:t xml:space="preserve">   4、</w:t>
      </w:r>
      <w:r>
        <w:rPr>
          <w:rFonts w:hint="eastAsia"/>
          <w:sz w:val="28"/>
          <w:szCs w:val="28"/>
          <w:lang w:val="en-US" w:eastAsia="zh-CN"/>
        </w:rPr>
        <w:t>承担县（区）级卫生行政部门委托的卫生管理职能：实施环江县医疗卫生服务县乡一体化改革实施工作、乡镇卫生院与村卫生室一体化管理工作；制定</w:t>
      </w:r>
      <w:r>
        <w:rPr>
          <w:rFonts w:hint="eastAsia" w:cs="Times New Roman"/>
          <w:kern w:val="2"/>
          <w:sz w:val="28"/>
          <w:szCs w:val="28"/>
          <w:vertAlign w:val="baseline"/>
          <w:lang w:val="en-US" w:eastAsia="zh-CN" w:bidi="ar-SA"/>
        </w:rPr>
        <w:t>村医基本公共卫生服务项目目标责任书及</w:t>
      </w:r>
      <w:r>
        <w:rPr>
          <w:rFonts w:hint="default" w:cs="Times New Roman"/>
          <w:kern w:val="2"/>
          <w:sz w:val="28"/>
          <w:szCs w:val="28"/>
          <w:vertAlign w:val="baseline"/>
          <w:lang w:val="en-US" w:eastAsia="zh-CN" w:bidi="ar-SA"/>
        </w:rPr>
        <w:t>乡村医生实施基本公共卫生服务项目绩效考核指标体系</w:t>
      </w:r>
      <w:r>
        <w:rPr>
          <w:rFonts w:hint="eastAsia" w:cs="Times New Roman"/>
          <w:kern w:val="2"/>
          <w:sz w:val="28"/>
          <w:szCs w:val="28"/>
          <w:vertAlign w:val="baseline"/>
          <w:lang w:val="en-US" w:eastAsia="zh-CN" w:bidi="ar-SA"/>
        </w:rPr>
        <w:t>、</w:t>
      </w:r>
      <w:r>
        <w:rPr>
          <w:rFonts w:hint="default" w:cs="Times New Roman"/>
          <w:kern w:val="2"/>
          <w:sz w:val="28"/>
          <w:szCs w:val="28"/>
          <w:vertAlign w:val="baseline"/>
          <w:lang w:val="en-US" w:eastAsia="zh-CN" w:bidi="ar-SA"/>
        </w:rPr>
        <w:t>评分细则</w:t>
      </w:r>
      <w:r>
        <w:rPr>
          <w:rFonts w:hint="eastAsia" w:cs="Times New Roman"/>
          <w:kern w:val="2"/>
          <w:sz w:val="28"/>
          <w:szCs w:val="28"/>
          <w:vertAlign w:val="baseline"/>
          <w:lang w:val="en-US" w:eastAsia="zh-CN" w:bidi="ar-SA"/>
        </w:rPr>
        <w:t>及</w:t>
      </w:r>
      <w:r>
        <w:rPr>
          <w:rFonts w:hint="default" w:cs="Times New Roman"/>
          <w:kern w:val="2"/>
          <w:sz w:val="28"/>
          <w:szCs w:val="28"/>
          <w:vertAlign w:val="baseline"/>
          <w:lang w:val="en-US" w:eastAsia="zh-CN" w:bidi="ar-SA"/>
        </w:rPr>
        <w:t>实施方案</w:t>
      </w:r>
      <w:r>
        <w:rPr>
          <w:rFonts w:hint="eastAsia" w:cs="Times New Roman"/>
          <w:kern w:val="2"/>
          <w:sz w:val="28"/>
          <w:szCs w:val="28"/>
          <w:vertAlign w:val="baseline"/>
          <w:lang w:val="en-US" w:eastAsia="zh-CN" w:bidi="ar-SA"/>
        </w:rPr>
        <w:t>等。</w:t>
      </w:r>
    </w:p>
    <w:p w14:paraId="03407C61">
      <w:pPr>
        <w:pStyle w:val="3"/>
        <w:rPr>
          <w:rFonts w:hint="default"/>
          <w:lang w:val="en-US" w:eastAsia="zh-CN"/>
        </w:rPr>
      </w:pPr>
      <w:r>
        <w:rPr>
          <w:rFonts w:hint="eastAsia" w:cs="Times New Roman"/>
          <w:kern w:val="2"/>
          <w:sz w:val="28"/>
          <w:szCs w:val="28"/>
          <w:vertAlign w:val="baseline"/>
          <w:lang w:val="en-US" w:eastAsia="zh-CN" w:bidi="ar-SA"/>
        </w:rPr>
        <w:t xml:space="preserve">    </w:t>
      </w:r>
      <w:r>
        <w:rPr>
          <w:rFonts w:hint="eastAsia" w:ascii="宋体" w:hAnsi="宋体" w:eastAsia="宋体" w:cs="宋体"/>
          <w:kern w:val="2"/>
          <w:sz w:val="28"/>
          <w:szCs w:val="28"/>
          <w:vertAlign w:val="baseline"/>
          <w:lang w:val="en-US" w:eastAsia="zh-CN" w:bidi="ar-SA"/>
        </w:rPr>
        <w:t>5、承担乡镇人民政府安</w:t>
      </w:r>
      <w:r>
        <w:rPr>
          <w:rFonts w:hint="eastAsia" w:ascii="宋体" w:hAnsi="宋体" w:eastAsia="宋体" w:cs="宋体"/>
          <w:kern w:val="0"/>
          <w:sz w:val="28"/>
          <w:szCs w:val="28"/>
        </w:rPr>
        <w:t>交办的其他事项。</w:t>
      </w:r>
    </w:p>
    <w:p w14:paraId="12EE91E6">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14:paraId="0B19746B">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年部门决算</w:t>
      </w:r>
      <w:r>
        <w:rPr>
          <w:rFonts w:hint="eastAsia" w:ascii="仿宋_GB2312" w:eastAsia="仿宋_GB2312"/>
          <w:sz w:val="32"/>
          <w:szCs w:val="32"/>
          <w:lang w:val="en-US" w:eastAsia="zh-CN"/>
        </w:rPr>
        <w:t>仅本级公益一类事业单位1</w:t>
      </w:r>
      <w:r>
        <w:rPr>
          <w:rFonts w:hint="eastAsia" w:ascii="仿宋_GB2312" w:eastAsia="仿宋_GB2312"/>
          <w:sz w:val="32"/>
          <w:szCs w:val="32"/>
        </w:rPr>
        <w:t>个</w:t>
      </w:r>
      <w:r>
        <w:rPr>
          <w:rFonts w:hint="eastAsia" w:ascii="仿宋_GB2312" w:eastAsia="仿宋_GB2312"/>
          <w:sz w:val="32"/>
          <w:szCs w:val="32"/>
          <w:lang w:val="en-US" w:eastAsia="zh-CN"/>
        </w:rPr>
        <w:t>单位。</w:t>
      </w:r>
    </w:p>
    <w:p w14:paraId="5559C91F">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81B35C">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川山镇中心卫生院</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5B8BE8D3">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14:paraId="0D75A198">
      <w:pPr>
        <w:rPr>
          <w:rFonts w:hint="eastAsia" w:ascii="宋体" w:hAnsi="宋体" w:eastAsia="宋体" w:cs="宋体"/>
          <w:color w:val="000000"/>
          <w:kern w:val="0"/>
          <w:sz w:val="30"/>
          <w:szCs w:val="30"/>
          <w:highlight w:val="none"/>
          <w:lang w:val="en-US" w:eastAsia="zh-CN" w:bidi="ar"/>
        </w:rPr>
      </w:pPr>
      <w:r>
        <w:rPr>
          <w:rFonts w:hint="eastAsia" w:ascii="宋体" w:hAnsi="宋体" w:eastAsia="宋体" w:cs="宋体"/>
          <w:color w:val="000000"/>
          <w:kern w:val="0"/>
          <w:sz w:val="30"/>
          <w:szCs w:val="30"/>
          <w:highlight w:val="none"/>
          <w:lang w:val="en-US" w:eastAsia="zh-CN" w:bidi="ar"/>
        </w:rPr>
        <w:t xml:space="preserve"> </w:t>
      </w: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89"/>
        <w:gridCol w:w="841"/>
        <w:gridCol w:w="1405"/>
        <w:gridCol w:w="4695"/>
        <w:gridCol w:w="876"/>
        <w:gridCol w:w="1464"/>
      </w:tblGrid>
      <w:tr w14:paraId="4F38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9E4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25B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58FA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713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4EC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B7F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D5A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98C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99F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1515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396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CC82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360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74E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216B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EB7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97B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7968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E21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37E4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1,128.71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BE90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E95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62F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r>
      <w:tr w14:paraId="1B90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F33A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5F3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86BD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CE27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E28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56A5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356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8B82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CF1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4F55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451D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53B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2E26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0CED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452F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BD7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883E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D570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4E3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94A2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F1C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B50E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D02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2A63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1,462.91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ED77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272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D397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A7B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6A17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8D4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D314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AF67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88A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340E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E02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B69C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953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3F7A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60CA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E9A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85E0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8417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C61D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656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FDC8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4BCD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9F6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4925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100.13</w:t>
            </w:r>
          </w:p>
        </w:tc>
      </w:tr>
      <w:tr w14:paraId="4EB3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C0B15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C0A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863F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1E02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9E2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6614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2,296.46</w:t>
            </w:r>
          </w:p>
        </w:tc>
      </w:tr>
      <w:tr w14:paraId="5030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F03E9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D3D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ED39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ED16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A21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B0D9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AD6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D472A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CC4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56A8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8279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111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02EB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0165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28D39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3CB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B10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1E33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643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608A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3FA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A1CC7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72F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1C10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0A34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A90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78C5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0D2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A9A73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57C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C20C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EBC8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AC1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2E0B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925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C0D64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D30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EC61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7218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B55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350F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1A4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E06DC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25B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398B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719C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352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4E9E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6A7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26446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5BA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491C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14A4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DA7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8D8D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6FA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77C82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F64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2D1D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7C0C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7B5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FBCA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514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72391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DC1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B0D5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5A3A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FE6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B38C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52.35</w:t>
            </w:r>
          </w:p>
        </w:tc>
      </w:tr>
      <w:tr w14:paraId="1976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5C734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CB4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18F5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68CB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5D0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DF52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EFE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06A7D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505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F1E0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801B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786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029E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5B0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E2999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D44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F535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F5AD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677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60BC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A421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79B5E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0A2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126A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276F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A94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2FB4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36.84</w:t>
            </w:r>
          </w:p>
        </w:tc>
      </w:tr>
      <w:tr w14:paraId="35BD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9F7D2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966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2C8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F456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45E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A916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DBBD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02AFF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F1F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F605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0601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F1D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27E7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31D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9C293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52E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5B60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7BC8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F7E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6769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8A5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E43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560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2BB4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2,595.76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C4B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A75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1FE8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2,494.01</w:t>
            </w:r>
          </w:p>
        </w:tc>
      </w:tr>
      <w:tr w14:paraId="087C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367A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9F2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4AFD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1AF1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C9E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A39B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101.75</w:t>
            </w:r>
          </w:p>
        </w:tc>
      </w:tr>
      <w:tr w14:paraId="4CB5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91F1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529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4346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F3B5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155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A300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F78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DF167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8C4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D770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EAE84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2C4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BC26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14:paraId="1B99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85D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F98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546A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2,595.76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451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D44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C198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2,595.76</w:t>
            </w:r>
          </w:p>
        </w:tc>
      </w:tr>
      <w:tr w14:paraId="298F6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FFFFFF"/>
            <w:noWrap/>
            <w:vAlign w:val="center"/>
          </w:tcPr>
          <w:p w14:paraId="759B30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2FEC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1AA39A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1EE5D4CA">
      <w:pPr>
        <w:rPr>
          <w:rFonts w:hint="default"/>
          <w:lang w:val="en-US" w:eastAsia="zh-CN"/>
        </w:rPr>
      </w:pPr>
    </w:p>
    <w:p w14:paraId="3D5CC836">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tbl>
      <w:tblPr>
        <w:tblStyle w:val="7"/>
        <w:tblW w:w="144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736"/>
        <w:gridCol w:w="1431"/>
        <w:gridCol w:w="1431"/>
        <w:gridCol w:w="1343"/>
        <w:gridCol w:w="1431"/>
        <w:gridCol w:w="1343"/>
        <w:gridCol w:w="1343"/>
        <w:gridCol w:w="1372"/>
      </w:tblGrid>
      <w:tr w14:paraId="10E9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49"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61A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F3E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36C5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97FA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4C01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5F0B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CB61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3E2C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72C2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0400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A4E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3A69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22B63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9F346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F94754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F274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7542A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D54EE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AF1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DB29A3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0043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471EA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6FAC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A21D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CF5B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CE8DE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EC335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10B8E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B27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2C6E5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25D0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626B2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C439B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DD18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73CA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3D323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1D7B6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9B2E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0CC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86A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8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7B22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9BF7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CC15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371F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D325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8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5DA0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8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B983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E07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D6F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D613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2,595.76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015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1,128.71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6AA88">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D85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1,462.91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BF103">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96C46">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CC0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4.14</w:t>
            </w:r>
          </w:p>
        </w:tc>
      </w:tr>
      <w:tr w14:paraId="5CF24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660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5F3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CA56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940A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A316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1D73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1954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BBB6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3D15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242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047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2D1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E84D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581B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A3A5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D99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6402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4A67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5766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71D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1A6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754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C559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B0F6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74C3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79D8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4933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FE02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0563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847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1F6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988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C28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1F14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EE02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E30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0811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4405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D300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r>
      <w:tr w14:paraId="602F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BC6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DD9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E5F3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FC79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5744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1DAA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3E38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9626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3D47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BA6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334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104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1803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8EE9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FCF0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3FE6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C358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BABB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A776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B3A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D02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5FE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1A3F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E33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78CE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811C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DD97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963C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F1F7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D66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49F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843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19BA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CA6B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BBCE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7832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E963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D8F0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AA04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2DE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1CD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B1E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8860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1731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9A8F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8DE8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3A2D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86DC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805A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BCF8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C4C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9D8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209E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8AA8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CA01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59F4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BD5C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4DA2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BC04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F7D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4CB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E8D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68F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7F6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1359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4EBD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9BED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DAD8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16DA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5AEF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9"/>
            <w:tcBorders>
              <w:top w:val="single" w:color="000000" w:sz="4" w:space="0"/>
              <w:left w:val="nil"/>
              <w:bottom w:val="nil"/>
              <w:right w:val="nil"/>
            </w:tcBorders>
            <w:shd w:val="clear" w:color="auto" w:fill="FFFFFF"/>
            <w:noWrap/>
            <w:vAlign w:val="center"/>
          </w:tcPr>
          <w:p w14:paraId="49E686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2C4360A9">
      <w:pPr>
        <w:jc w:val="center"/>
        <w:rPr>
          <w:rFonts w:ascii="仿宋" w:hAnsi="仿宋" w:eastAsia="仿宋" w:cs="仿宋"/>
          <w:sz w:val="24"/>
          <w:highlight w:val="none"/>
        </w:rPr>
      </w:pPr>
    </w:p>
    <w:p w14:paraId="74B3F35B">
      <w:pPr>
        <w:pStyle w:val="3"/>
      </w:pPr>
    </w:p>
    <w:p w14:paraId="4D92DCF7">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tbl>
      <w:tblPr>
        <w:tblStyle w:val="7"/>
        <w:tblW w:w="14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736"/>
        <w:gridCol w:w="1615"/>
        <w:gridCol w:w="1615"/>
        <w:gridCol w:w="1605"/>
        <w:gridCol w:w="1586"/>
        <w:gridCol w:w="1586"/>
        <w:gridCol w:w="1586"/>
      </w:tblGrid>
      <w:tr w14:paraId="7B22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48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84B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3EF9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C7D2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DB3B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F9AB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0967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4A88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4EF7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6F3C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596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616C54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C5C49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AB7D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ECA7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B791C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C08C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BAD7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2309C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4E3A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698A5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9CBDB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9417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74CB1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70DE3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D143F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653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C741A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541C4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F3F80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FA4A2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A8CB52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7F9E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BE1FD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1127B8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5D6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448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3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E773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2B3F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DE10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BCC4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27C0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3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2EB5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9A2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94C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6E85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2,494.01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59D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406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488.13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11C82">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8664B">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BDB30">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6AA4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589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6B3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5EB8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850A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19AC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C2D0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6808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7EA1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2DC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173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0FF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48A4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EC2E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A748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8F74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6672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BE8D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51F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E98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191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530C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6288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ECDB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C9EB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EA8E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F83A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B28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91C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5A6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7086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F509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B8E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EF8B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9787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56B8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DC3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599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C8A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3AC0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65E8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A4B0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2D56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22C5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8A30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CB3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1BB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DDA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AF5E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D6CA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02C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D93B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0BFD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8D5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361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69D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84B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10EB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FBF5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6D6A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C96E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EE50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1204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CAA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2D8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679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BE70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DAC8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A339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4527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97F4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B0CE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29C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E82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84D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F6F4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BA21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549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CE72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4E86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0C82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9AD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169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CE7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A149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0783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71E2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F2CD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A8B1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69D3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C05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2B8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679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75E0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23CC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811A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F7FB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59D4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A3A4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3A4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8"/>
            <w:tcBorders>
              <w:top w:val="single" w:color="000000" w:sz="4" w:space="0"/>
              <w:left w:val="nil"/>
              <w:bottom w:val="nil"/>
              <w:right w:val="nil"/>
            </w:tcBorders>
            <w:shd w:val="clear" w:color="auto" w:fill="FFFFFF"/>
            <w:noWrap/>
            <w:vAlign w:val="center"/>
          </w:tcPr>
          <w:p w14:paraId="56993B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09670026">
      <w:pPr>
        <w:jc w:val="left"/>
        <w:rPr>
          <w:rFonts w:hint="eastAsia" w:ascii="仿宋" w:hAnsi="仿宋" w:eastAsia="仿宋" w:cs="仿宋"/>
          <w:sz w:val="24"/>
          <w:highlight w:val="none"/>
        </w:rPr>
      </w:pPr>
    </w:p>
    <w:p w14:paraId="288E3668">
      <w:pPr>
        <w:rPr>
          <w:rFonts w:hint="eastAsia" w:ascii="仿宋" w:hAnsi="仿宋" w:eastAsia="仿宋" w:cs="仿宋"/>
          <w:sz w:val="24"/>
          <w:highlight w:val="none"/>
        </w:rPr>
      </w:pPr>
    </w:p>
    <w:p w14:paraId="4DD05E9D">
      <w:pPr>
        <w:rPr>
          <w:rFonts w:hint="eastAsia" w:ascii="仿宋" w:hAnsi="仿宋" w:eastAsia="仿宋" w:cs="仿宋"/>
          <w:sz w:val="24"/>
          <w:highlight w:val="none"/>
        </w:rPr>
      </w:pPr>
    </w:p>
    <w:p w14:paraId="747EA573">
      <w:pPr>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14:paraId="266EE93D">
      <w:pPr>
        <w:jc w:val="left"/>
        <w:rPr>
          <w:rFonts w:ascii="仿宋" w:hAnsi="仿宋" w:eastAsia="仿宋" w:cs="仿宋"/>
          <w:sz w:val="24"/>
          <w:highlight w:val="none"/>
        </w:rPr>
      </w:pPr>
    </w:p>
    <w:tbl>
      <w:tblPr>
        <w:tblStyle w:val="7"/>
        <w:tblW w:w="146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451"/>
        <w:gridCol w:w="1117"/>
        <w:gridCol w:w="4656"/>
        <w:gridCol w:w="599"/>
        <w:gridCol w:w="1288"/>
        <w:gridCol w:w="1556"/>
        <w:gridCol w:w="815"/>
        <w:gridCol w:w="841"/>
      </w:tblGrid>
      <w:tr w14:paraId="7AB3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4864"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D04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755"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E30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73D8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322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3E75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B984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F468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40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8E0E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6B94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C62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9D39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F063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35C8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14:paraId="1E2A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322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7B2D9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81779D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CEFB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CA558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4290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0BFD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C2190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F4D10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5C866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69F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D5C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6384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F7D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C77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6BC9A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AD3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DEB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1B9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5D2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939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1149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577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613D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1,128.71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34D7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F2F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D31C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0FBC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7DAA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82F0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E56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9D2B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2EB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5C9B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543C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DD1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6C00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01F8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2829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9702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C6B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196C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82F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3173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1293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0E2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1E4E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9848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282B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8567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7AF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B22C6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7C5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9F4F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E98C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D20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67B4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9FEB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4F36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6EF3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4EF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17B4B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E08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8006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F41B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F70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B369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D796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6B7D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030E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021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0A147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197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6F77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B276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E4C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629B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E172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1F0E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CB6E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54F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5D3D2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19D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4055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B601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EF4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2974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5722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8878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0739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969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72CD1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025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FB2B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EA66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552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6AB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342E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809B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AD29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0DAB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D5FFB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102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C596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0333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78A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3C71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2319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256A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289A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00C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C7DED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E9C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BDC7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673C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A67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BAF2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7FD7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0F93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83B4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219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AAF90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7BB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E7DE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F078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217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0B9A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D68E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A0F9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C0B1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A226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AC28D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570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C05A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A4AF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34C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FC4C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2AC5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6527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D792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BEE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FAB22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329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50E7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EAEC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7B2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F91C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029C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96F2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4A7E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52D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16E26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27E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58CA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0B25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106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83D7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CFEB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8800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A186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EC9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22E55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3C9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6EA2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B3A4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23E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B066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74E2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894A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1DBC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1084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AD30C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034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AAFE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35A7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401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EC3C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1434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2EBA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73D3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A03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C7871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9E3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FF59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E52D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15E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49FA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0D72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E9A9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4CC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B3F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61E45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22A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C785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FD06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0A4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936E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78D7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2ECC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5200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485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37CF8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BA3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FD3F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675C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A41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A28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2573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6ADC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C89F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2F2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8A4FE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A41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CA9D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16E4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495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C087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808B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67C8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CFD2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9D7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85A40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594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0945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F891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337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0A5F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AFDC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AFCA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8DDE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D04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2785D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EFD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8D28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D1A5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990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D53D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2C94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7E8C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DD4F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9D5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8156F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962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2433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EAAE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B28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3E3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13A4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B171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B8F9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887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C3B9F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E23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694C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B251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1EF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5BF0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A460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9EF7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48B5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445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05E6A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8D4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E5DB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0EEB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97C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8E95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918D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270C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9E4A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0B9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7CDAA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4A1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A70A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0748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9FA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14C3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CC5D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0FAD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6340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64C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F6E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330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C5C0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1,128.71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2D9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3D2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ECF0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2F85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4126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04E5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D58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5A2E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2CC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4840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52E0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D0C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94B7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6ACC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8D22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2309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725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CDF3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D71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9C6A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BA7E0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48F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4C87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1767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276D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5B53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68B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4060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F53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8614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B083C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915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D2D3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A1CA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E2D2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27E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EAF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EEB4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DBB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BFD3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0704D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E8A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F5DA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980C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CF0C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A1CA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F9B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BC1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463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2888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1,128.71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841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1AE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2A3B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3C97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B20E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CEDD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681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gridSpan w:val="8"/>
            <w:tcBorders>
              <w:top w:val="single" w:color="000000" w:sz="4" w:space="0"/>
              <w:left w:val="nil"/>
              <w:bottom w:val="nil"/>
              <w:right w:val="nil"/>
            </w:tcBorders>
            <w:shd w:val="clear" w:color="auto" w:fill="FFFFFF"/>
            <w:noWrap/>
            <w:vAlign w:val="center"/>
          </w:tcPr>
          <w:p w14:paraId="6631D8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14:paraId="4DD787C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14:paraId="5354950B">
      <w:pPr>
        <w:rPr>
          <w:rFonts w:ascii="仿宋" w:hAnsi="仿宋" w:eastAsia="仿宋" w:cs="仿宋"/>
          <w:sz w:val="24"/>
          <w:highlight w:val="none"/>
        </w:rPr>
      </w:pPr>
    </w:p>
    <w:p w14:paraId="6681C3D3">
      <w:pPr>
        <w:jc w:val="left"/>
        <w:rPr>
          <w:rFonts w:ascii="仿宋" w:hAnsi="仿宋" w:eastAsia="仿宋" w:cs="仿宋"/>
          <w:sz w:val="24"/>
          <w:highlight w:val="none"/>
        </w:rPr>
      </w:pPr>
    </w:p>
    <w:p w14:paraId="5EEB0282">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1E480764">
      <w:pPr>
        <w:jc w:val="left"/>
        <w:rPr>
          <w:rFonts w:hint="eastAsia" w:ascii="仿宋" w:hAnsi="仿宋" w:eastAsia="仿宋" w:cs="仿宋"/>
          <w:sz w:val="24"/>
          <w:highlight w:val="none"/>
        </w:rPr>
      </w:pPr>
    </w:p>
    <w:tbl>
      <w:tblPr>
        <w:tblStyle w:val="7"/>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854"/>
        <w:gridCol w:w="2951"/>
        <w:gridCol w:w="2833"/>
        <w:gridCol w:w="3896"/>
      </w:tblGrid>
      <w:tr w14:paraId="317D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84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164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68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F2E3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7BDE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9B7B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A05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95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4A07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83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F80F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89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75D4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733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983A1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45B3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6D596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3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D7C4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048CE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00F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17509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B297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BD6E7B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3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F2790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01E87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4A2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E29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D37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6A8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662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12D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DE0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F827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1,128.71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500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640.59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8C1A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488.13</w:t>
            </w:r>
          </w:p>
        </w:tc>
      </w:tr>
      <w:tr w14:paraId="5930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B8A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542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305F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3297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E6AF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921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CBF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8CB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2268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153A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CB98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3C8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AFC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693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127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722A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1143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0B1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1C9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B97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5B19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63D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D9EB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43.56</w:t>
            </w:r>
          </w:p>
        </w:tc>
      </w:tr>
      <w:tr w14:paraId="39AC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0F9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A10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7D0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5A62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4B75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79.97</w:t>
            </w:r>
          </w:p>
        </w:tc>
      </w:tr>
      <w:tr w14:paraId="13A0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893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BDF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CC07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85BE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5236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253.41</w:t>
            </w:r>
          </w:p>
        </w:tc>
      </w:tr>
      <w:tr w14:paraId="1CC0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5AF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419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6C28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A608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913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r>
      <w:tr w14:paraId="02BC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A3D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CC5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C65A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4F66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1C83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48.83</w:t>
            </w:r>
          </w:p>
        </w:tc>
      </w:tr>
      <w:tr w14:paraId="69ED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520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3AD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D145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6051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1CDD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r>
      <w:tr w14:paraId="6FD2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B81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E60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30D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AEEE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6F97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9CE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116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DDE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DDB8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89D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125F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r>
      <w:tr w14:paraId="34CD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5"/>
            <w:tcBorders>
              <w:top w:val="single" w:color="000000" w:sz="4" w:space="0"/>
              <w:left w:val="nil"/>
              <w:bottom w:val="nil"/>
              <w:right w:val="nil"/>
            </w:tcBorders>
            <w:shd w:val="clear" w:color="auto" w:fill="FFFFFF"/>
            <w:noWrap/>
            <w:vAlign w:val="center"/>
          </w:tcPr>
          <w:p w14:paraId="294B7C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1D29B516">
      <w:pPr>
        <w:rPr>
          <w:rFonts w:ascii="仿宋" w:hAnsi="仿宋" w:eastAsia="仿宋" w:cs="仿宋"/>
          <w:sz w:val="24"/>
          <w:highlight w:val="none"/>
        </w:rPr>
      </w:pPr>
    </w:p>
    <w:p w14:paraId="2493C1F6">
      <w:pPr>
        <w:pStyle w:val="3"/>
        <w:rPr>
          <w:rFonts w:ascii="仿宋" w:hAnsi="仿宋" w:eastAsia="仿宋" w:cs="仿宋"/>
          <w:sz w:val="24"/>
          <w:highlight w:val="none"/>
        </w:rPr>
      </w:pPr>
    </w:p>
    <w:p w14:paraId="6605B4EC">
      <w:pPr>
        <w:pStyle w:val="3"/>
        <w:rPr>
          <w:rFonts w:ascii="仿宋" w:hAnsi="仿宋" w:eastAsia="仿宋" w:cs="仿宋"/>
          <w:sz w:val="24"/>
          <w:highlight w:val="none"/>
        </w:rPr>
      </w:pPr>
    </w:p>
    <w:p w14:paraId="01C8297C">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23EFE6FA">
      <w:pPr>
        <w:jc w:val="left"/>
        <w:rPr>
          <w:rFonts w:hint="eastAsia" w:ascii="仿宋" w:hAnsi="仿宋" w:eastAsia="仿宋" w:cs="仿宋"/>
          <w:sz w:val="24"/>
          <w:highlight w:val="none"/>
        </w:rPr>
      </w:pPr>
    </w:p>
    <w:tbl>
      <w:tblPr>
        <w:tblStyle w:val="7"/>
        <w:tblW w:w="147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16"/>
        <w:gridCol w:w="876"/>
        <w:gridCol w:w="766"/>
        <w:gridCol w:w="2416"/>
        <w:gridCol w:w="766"/>
        <w:gridCol w:w="766"/>
        <w:gridCol w:w="4396"/>
        <w:gridCol w:w="766"/>
      </w:tblGrid>
      <w:tr w14:paraId="32D1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79"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F0A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780"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260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231B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A06B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39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50B4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1CD7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701B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3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EF10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B2B6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426C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24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338A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01B8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0981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DFA14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9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DF896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753A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24CE9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3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138A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B0F45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06AD7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4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BF74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002C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F2D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16F4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3BCF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591D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531D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D3AB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CFFB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290B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6AF2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9BC8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554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95D6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2072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FE14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2262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3C03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F266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A953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49A7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26C0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A42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DC14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A89C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1718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21B8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E621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6CBA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CD61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8C9A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54DD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3F9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7E86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FB51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AC7E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8A31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B88F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45DD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04B5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65DE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63D0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4F3D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FDAF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8DC0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45E2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FAA4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D74A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943F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7487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21A0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9512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75D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1364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B4E8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8EFF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163.91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49FF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56B2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8D53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2739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E157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95E4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1A6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0904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517C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BD20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5EA7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81D5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FC7B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E4BC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579F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0A1A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9AB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0391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805B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443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95F8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4BE8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164A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7A1E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8AC5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8354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1143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0CC8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2A13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9FBA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C4D5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2CDA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28CB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7FCC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C042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3B96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316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AFE6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1A84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A8CD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F6DE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1CA5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C0E3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4FC8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A770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6B0B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175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E56E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4197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E975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A0D0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09B3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97F6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643C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A2BB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DD39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67C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7DD3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DDA2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9D82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2BF7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6723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6BB2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A19F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D9BD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527D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573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BDB4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1FBE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D59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9257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D941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BCD8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BFA4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73DA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4A55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BE4A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A5C7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E7CA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31EA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BFBF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84F2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E6D0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F8C5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F08B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8B22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F3C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1CBB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D3F0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92C3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54A5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75DA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29F4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7A87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CF30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C4A6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919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E488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9275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25F0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6515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5F12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94CC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3949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CBEC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BEAD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2AE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F5DF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2350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9654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AFF4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6373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12B6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CEB5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8509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08D1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8E2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1BC7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DB3A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3195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3390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7846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3A16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37BF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4175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EFB5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BDA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9B0A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A0F8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795B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ACE0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1589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FA9E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0A19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EC93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420D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7EE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77FF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636D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FFF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10C2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7147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483F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76A4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2956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28F6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533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DB9A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EE4F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AF03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E3FC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126B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B05C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F287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BDF0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875A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65E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EE72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DFD5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DD06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B37A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447F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C0DE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D124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2F82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CE34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15F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3ECD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380E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1AE0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34A0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4B5D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9328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F683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993D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AB04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450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C5CC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755B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0356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338C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CAB4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2580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174C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8F94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3C43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480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8CAE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4BB9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3507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8C87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1D42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A7B4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8F12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A792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1172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654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A68E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C05C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48F1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57AC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7455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256C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CB74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DD45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619B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4FA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2D65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A517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FEEF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C606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257F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2CCD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68DF8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19284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015C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72D6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4EA36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11F56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5F46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3838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EF2B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A995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6248E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16CC2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7A1A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BE1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B5F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6ADC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581.93</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7AF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BEA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58.65</w:t>
            </w:r>
          </w:p>
        </w:tc>
      </w:tr>
      <w:tr w14:paraId="215B4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gridSpan w:val="9"/>
            <w:tcBorders>
              <w:top w:val="single" w:color="000000" w:sz="4" w:space="0"/>
              <w:left w:val="nil"/>
              <w:bottom w:val="nil"/>
              <w:right w:val="nil"/>
            </w:tcBorders>
            <w:shd w:val="clear" w:color="auto" w:fill="FFFFFF"/>
            <w:noWrap/>
            <w:vAlign w:val="center"/>
          </w:tcPr>
          <w:p w14:paraId="7C0395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1EF4B946">
      <w:pPr>
        <w:jc w:val="left"/>
        <w:rPr>
          <w:rFonts w:ascii="仿宋" w:hAnsi="仿宋" w:eastAsia="仿宋" w:cs="仿宋"/>
          <w:sz w:val="24"/>
          <w:highlight w:val="none"/>
        </w:rPr>
      </w:pPr>
    </w:p>
    <w:p w14:paraId="1B2496A0">
      <w:pPr>
        <w:rPr>
          <w:rFonts w:hint="eastAsia" w:ascii="仿宋" w:hAnsi="仿宋" w:eastAsia="仿宋" w:cs="仿宋"/>
          <w:sz w:val="24"/>
          <w:highlight w:val="none"/>
          <w:lang w:val="en-US" w:eastAsia="zh-CN"/>
        </w:rPr>
      </w:pPr>
    </w:p>
    <w:p w14:paraId="76C2B99E">
      <w:pPr>
        <w:rPr>
          <w:rFonts w:hint="eastAsia" w:ascii="仿宋" w:hAnsi="仿宋" w:eastAsia="仿宋" w:cs="仿宋"/>
          <w:sz w:val="24"/>
          <w:highlight w:val="none"/>
          <w:lang w:val="en-US" w:eastAsia="zh-CN"/>
        </w:rPr>
      </w:pPr>
    </w:p>
    <w:p w14:paraId="477CF2E9">
      <w:pPr>
        <w:rPr>
          <w:rFonts w:hint="eastAsia" w:ascii="仿宋" w:hAnsi="仿宋" w:eastAsia="仿宋" w:cs="仿宋"/>
          <w:sz w:val="24"/>
          <w:highlight w:val="none"/>
        </w:rPr>
      </w:pP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0AC0A64C">
      <w:pPr>
        <w:jc w:val="left"/>
        <w:rPr>
          <w:rFonts w:hint="eastAsia" w:ascii="仿宋" w:hAnsi="仿宋" w:eastAsia="仿宋" w:cs="仿宋"/>
          <w:sz w:val="24"/>
          <w:highlight w:val="none"/>
        </w:rPr>
      </w:pPr>
    </w:p>
    <w:tbl>
      <w:tblPr>
        <w:tblStyle w:val="7"/>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680"/>
        <w:gridCol w:w="1680"/>
        <w:gridCol w:w="1680"/>
        <w:gridCol w:w="1680"/>
        <w:gridCol w:w="1680"/>
        <w:gridCol w:w="1680"/>
      </w:tblGrid>
      <w:tr w14:paraId="766C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CFA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1D7E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4296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D85A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E81A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1DCC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58A6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BD8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88BCB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BDC85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9581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121D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1CD0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C370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2BE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660D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F394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7A395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A5E12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61090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0AF7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1A439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11F80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E7E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FBB2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3AE7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54DD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63AC5C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3C880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AC15A5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18AC6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5DBC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341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073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40F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9A3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F165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EAA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6F6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DED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B22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F68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AB044">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36E6A">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9BB09">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5D8BB">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24414">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59047">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582E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8B1F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77A8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A265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8B42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C795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93AF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37F7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9730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3A97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14:paraId="4659EE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2881898C">
      <w:pPr>
        <w:rPr>
          <w:rFonts w:ascii="仿宋" w:hAnsi="仿宋" w:eastAsia="仿宋" w:cs="仿宋"/>
          <w:sz w:val="24"/>
          <w:highlight w:val="none"/>
        </w:rPr>
      </w:pPr>
    </w:p>
    <w:p w14:paraId="37F54B01">
      <w:pPr>
        <w:jc w:val="left"/>
        <w:rPr>
          <w:rFonts w:ascii="仿宋" w:hAnsi="仿宋" w:eastAsia="仿宋" w:cs="仿宋"/>
          <w:sz w:val="24"/>
          <w:highlight w:val="none"/>
        </w:rPr>
      </w:pPr>
    </w:p>
    <w:p w14:paraId="7E2D3EF8">
      <w:pPr>
        <w:jc w:val="left"/>
        <w:rPr>
          <w:rFonts w:hint="eastAsia" w:ascii="仿宋" w:hAnsi="仿宋" w:eastAsia="仿宋" w:cs="仿宋"/>
          <w:sz w:val="24"/>
          <w:highlight w:val="none"/>
        </w:rPr>
      </w:pPr>
    </w:p>
    <w:p w14:paraId="72C61BAA">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lang w:val="en-US" w:eastAsia="zh-CN"/>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w:t>
      </w:r>
      <w:r>
        <w:rPr>
          <w:rFonts w:hint="eastAsia" w:ascii="宋体" w:hAnsi="宋体" w:eastAsia="宋体" w:cs="宋体"/>
          <w:i w:val="0"/>
          <w:iCs w:val="0"/>
          <w:color w:val="000000"/>
          <w:kern w:val="0"/>
          <w:sz w:val="22"/>
          <w:szCs w:val="22"/>
          <w:u w:val="none"/>
          <w:lang w:val="en-US" w:eastAsia="zh-CN" w:bidi="ar"/>
        </w:rPr>
        <w:t>政府性基金</w:t>
      </w:r>
      <w:r>
        <w:rPr>
          <w:rFonts w:hint="eastAsia" w:ascii="宋体" w:hAnsi="宋体" w:eastAsia="宋体" w:cs="宋体"/>
          <w:color w:val="auto"/>
          <w:kern w:val="2"/>
          <w:sz w:val="21"/>
          <w:szCs w:val="21"/>
          <w:lang w:val="en-US" w:eastAsia="zh-CN" w:bidi="ar"/>
        </w:rPr>
        <w:t>预算财政拨款收入，也没有</w:t>
      </w:r>
      <w:r>
        <w:rPr>
          <w:rFonts w:hint="eastAsia" w:ascii="宋体" w:hAnsi="宋体" w:eastAsia="宋体" w:cs="宋体"/>
          <w:i w:val="0"/>
          <w:iCs w:val="0"/>
          <w:color w:val="000000"/>
          <w:kern w:val="0"/>
          <w:sz w:val="22"/>
          <w:szCs w:val="22"/>
          <w:u w:val="none"/>
          <w:lang w:val="en-US" w:eastAsia="zh-CN" w:bidi="ar"/>
        </w:rPr>
        <w:t>政府性基金</w:t>
      </w:r>
      <w:r>
        <w:rPr>
          <w:rFonts w:hint="eastAsia" w:ascii="宋体" w:hAnsi="宋体" w:eastAsia="宋体" w:cs="宋体"/>
          <w:color w:val="auto"/>
          <w:kern w:val="2"/>
          <w:sz w:val="21"/>
          <w:szCs w:val="21"/>
          <w:lang w:val="en-US" w:eastAsia="zh-CN" w:bidi="ar"/>
        </w:rPr>
        <w:t>预算财政拨款安排的支出，故本表无数据.</w:t>
      </w:r>
    </w:p>
    <w:p w14:paraId="1D8E6AE1">
      <w:pPr>
        <w:pStyle w:val="3"/>
        <w:rPr>
          <w:rFonts w:hint="eastAsia" w:ascii="仿宋" w:hAnsi="仿宋" w:eastAsia="仿宋" w:cs="仿宋"/>
          <w:sz w:val="24"/>
          <w:highlight w:val="none"/>
          <w:lang w:val="en-US" w:eastAsia="zh-CN"/>
        </w:rPr>
      </w:pPr>
    </w:p>
    <w:p w14:paraId="219791DB">
      <w:pPr>
        <w:pStyle w:val="3"/>
        <w:rPr>
          <w:rFonts w:hint="eastAsia" w:ascii="仿宋" w:hAnsi="仿宋" w:eastAsia="仿宋" w:cs="仿宋"/>
          <w:sz w:val="24"/>
          <w:highlight w:val="none"/>
        </w:rPr>
      </w:pPr>
    </w:p>
    <w:p w14:paraId="28D28A50">
      <w:pPr>
        <w:pStyle w:val="3"/>
        <w:rPr>
          <w:rFonts w:hint="eastAsia" w:ascii="仿宋" w:hAnsi="仿宋" w:eastAsia="仿宋" w:cs="仿宋"/>
          <w:sz w:val="24"/>
          <w:highlight w:val="none"/>
        </w:rPr>
      </w:pPr>
    </w:p>
    <w:p w14:paraId="1AB5D41E">
      <w:pPr>
        <w:pStyle w:val="3"/>
        <w:rPr>
          <w:rFonts w:hint="eastAsia" w:ascii="仿宋" w:hAnsi="仿宋" w:eastAsia="仿宋" w:cs="仿宋"/>
          <w:sz w:val="24"/>
          <w:highlight w:val="none"/>
        </w:rPr>
      </w:pPr>
    </w:p>
    <w:p w14:paraId="01C33F1F">
      <w:pPr>
        <w:jc w:val="left"/>
        <w:rPr>
          <w:rFonts w:hint="eastAsia" w:ascii="仿宋" w:hAnsi="仿宋" w:eastAsia="仿宋" w:cs="仿宋"/>
          <w:sz w:val="24"/>
          <w:highlight w:val="none"/>
        </w:rPr>
      </w:pPr>
    </w:p>
    <w:p w14:paraId="367DCF4E">
      <w:pPr>
        <w:jc w:val="left"/>
        <w:rPr>
          <w:rFonts w:hint="eastAsia" w:ascii="仿宋" w:hAnsi="仿宋" w:eastAsia="仿宋" w:cs="仿宋"/>
          <w:sz w:val="24"/>
          <w:highlight w:val="none"/>
        </w:rPr>
      </w:pPr>
    </w:p>
    <w:p w14:paraId="6BECAD2A">
      <w:pPr>
        <w:jc w:val="left"/>
        <w:rPr>
          <w:rFonts w:hint="eastAsia" w:ascii="仿宋" w:hAnsi="仿宋" w:eastAsia="仿宋" w:cs="仿宋"/>
          <w:sz w:val="24"/>
          <w:highlight w:val="none"/>
        </w:rPr>
      </w:pPr>
    </w:p>
    <w:p w14:paraId="0F5759B0">
      <w:pPr>
        <w:jc w:val="left"/>
        <w:rPr>
          <w:rFonts w:hint="eastAsia" w:ascii="仿宋" w:hAnsi="仿宋" w:eastAsia="仿宋" w:cs="仿宋"/>
          <w:sz w:val="24"/>
          <w:highlight w:val="none"/>
        </w:rPr>
      </w:pPr>
    </w:p>
    <w:p w14:paraId="74F9575D">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42553010">
      <w:pPr>
        <w:jc w:val="left"/>
        <w:rPr>
          <w:rFonts w:hint="eastAsia" w:ascii="仿宋" w:hAnsi="仿宋" w:eastAsia="仿宋" w:cs="仿宋"/>
          <w:sz w:val="24"/>
          <w:highlight w:val="none"/>
        </w:rPr>
      </w:pPr>
    </w:p>
    <w:tbl>
      <w:tblPr>
        <w:tblStyle w:val="7"/>
        <w:tblW w:w="14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5"/>
        <w:gridCol w:w="4549"/>
        <w:gridCol w:w="2638"/>
        <w:gridCol w:w="2638"/>
        <w:gridCol w:w="3109"/>
      </w:tblGrid>
      <w:tr w14:paraId="0865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56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128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38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8F4F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8D0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207C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5B5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3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6DF6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3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2BA1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10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CD2F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64C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2B228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7B85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A7E39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B0883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10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E3078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2C4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1CF3DF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5A03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1CB4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5F6C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10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289B2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3FC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82A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9EB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59C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705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505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ABC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84B93">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7032C">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C4052">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67C9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5CB5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30CA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11DB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0203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3DFB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ADBA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0" w:type="auto"/>
            <w:gridSpan w:val="5"/>
            <w:tcBorders>
              <w:top w:val="single" w:color="000000" w:sz="4" w:space="0"/>
              <w:left w:val="nil"/>
              <w:bottom w:val="nil"/>
              <w:right w:val="nil"/>
            </w:tcBorders>
            <w:shd w:val="clear" w:color="auto" w:fill="FFFFFF"/>
            <w:noWrap/>
            <w:vAlign w:val="center"/>
          </w:tcPr>
          <w:p w14:paraId="717200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12319057">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14:paraId="1287AF9A">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14:paraId="737F743A">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lang w:val="en-US" w:eastAsia="zh-CN"/>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14:paraId="60901B16">
      <w:pPr>
        <w:pStyle w:val="3"/>
        <w:rPr>
          <w:rFonts w:hint="eastAsia" w:ascii="仿宋" w:hAnsi="仿宋" w:eastAsia="仿宋" w:cs="仿宋"/>
          <w:sz w:val="24"/>
          <w:highlight w:val="none"/>
          <w:lang w:val="en-US" w:eastAsia="zh-CN"/>
        </w:rPr>
      </w:pPr>
    </w:p>
    <w:p w14:paraId="591ECF05">
      <w:pPr>
        <w:pStyle w:val="3"/>
        <w:rPr>
          <w:rFonts w:hint="eastAsia" w:ascii="仿宋" w:hAnsi="仿宋" w:eastAsia="仿宋" w:cs="仿宋"/>
          <w:sz w:val="24"/>
          <w:highlight w:val="none"/>
          <w:lang w:val="en-US" w:eastAsia="zh-CN"/>
        </w:rPr>
      </w:pPr>
    </w:p>
    <w:p w14:paraId="71717FAC">
      <w:pPr>
        <w:pStyle w:val="3"/>
        <w:rPr>
          <w:rFonts w:hint="eastAsia" w:ascii="仿宋" w:hAnsi="仿宋" w:eastAsia="仿宋" w:cs="仿宋"/>
          <w:sz w:val="24"/>
          <w:highlight w:val="none"/>
          <w:lang w:val="en-US" w:eastAsia="zh-CN"/>
        </w:rPr>
      </w:pPr>
    </w:p>
    <w:p w14:paraId="5C2A56C7">
      <w:pPr>
        <w:pStyle w:val="3"/>
        <w:rPr>
          <w:rFonts w:hint="eastAsia" w:ascii="仿宋" w:hAnsi="仿宋" w:eastAsia="仿宋" w:cs="仿宋"/>
          <w:sz w:val="24"/>
          <w:highlight w:val="none"/>
          <w:lang w:val="en-US" w:eastAsia="zh-CN"/>
        </w:rPr>
      </w:pPr>
    </w:p>
    <w:p w14:paraId="53D9316E">
      <w:pPr>
        <w:pStyle w:val="3"/>
        <w:rPr>
          <w:rFonts w:hint="eastAsia" w:ascii="仿宋" w:hAnsi="仿宋" w:eastAsia="仿宋" w:cs="仿宋"/>
          <w:sz w:val="24"/>
          <w:highlight w:val="none"/>
          <w:lang w:val="en-US" w:eastAsia="zh-CN"/>
        </w:rPr>
      </w:pPr>
    </w:p>
    <w:p w14:paraId="3BF6773B">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14:paraId="4F0ADA7A">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188422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bl>
      <w:tblPr>
        <w:tblStyle w:val="7"/>
        <w:tblW w:w="14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3"/>
        <w:gridCol w:w="1243"/>
        <w:gridCol w:w="1243"/>
        <w:gridCol w:w="1243"/>
        <w:gridCol w:w="1244"/>
        <w:gridCol w:w="1244"/>
        <w:gridCol w:w="1243"/>
        <w:gridCol w:w="1243"/>
        <w:gridCol w:w="1243"/>
        <w:gridCol w:w="1243"/>
        <w:gridCol w:w="1244"/>
        <w:gridCol w:w="1244"/>
      </w:tblGrid>
      <w:tr w14:paraId="62C2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460"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1D4AF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460"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02ACD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5033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24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A4C4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5CCA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3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644A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0D07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EF5E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77AF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3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CF12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838A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2366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A0BCF7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B6FBD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2AC6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4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5984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4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2FA3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27E2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5312F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7F528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1AF3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4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E895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4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3CB9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3695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934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24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3004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C3D7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BAAE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C35F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6203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6D81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32B0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263A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E0AC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707A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178C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F2C4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4C4E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D6AD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CDE9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F8E8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B44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7D6F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87BD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B89F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388C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42EC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3883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B71F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BB0D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7672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4920" w:type="dxa"/>
            <w:gridSpan w:val="12"/>
            <w:vMerge w:val="restart"/>
            <w:tcBorders>
              <w:top w:val="single" w:color="000000" w:sz="4" w:space="0"/>
              <w:left w:val="nil"/>
              <w:bottom w:val="nil"/>
              <w:right w:val="nil"/>
            </w:tcBorders>
            <w:shd w:val="clear" w:color="auto" w:fill="FFFFFF"/>
            <w:vAlign w:val="center"/>
          </w:tcPr>
          <w:p w14:paraId="780D77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6727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4920" w:type="dxa"/>
            <w:gridSpan w:val="12"/>
            <w:vMerge w:val="continue"/>
            <w:tcBorders>
              <w:top w:val="single" w:color="000000" w:sz="4" w:space="0"/>
              <w:left w:val="nil"/>
              <w:bottom w:val="nil"/>
              <w:right w:val="nil"/>
            </w:tcBorders>
            <w:shd w:val="clear" w:color="auto" w:fill="FFFFFF"/>
            <w:vAlign w:val="center"/>
          </w:tcPr>
          <w:p w14:paraId="5A4ABA9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bl>
    <w:p w14:paraId="487A55A9">
      <w:pPr>
        <w:ind w:firstLine="420" w:firstLineChars="0"/>
        <w:jc w:val="left"/>
        <w:rPr>
          <w:rFonts w:ascii="仿宋" w:hAnsi="仿宋" w:eastAsia="仿宋" w:cs="仿宋"/>
          <w:sz w:val="24"/>
          <w:highlight w:val="none"/>
        </w:rPr>
      </w:pPr>
    </w:p>
    <w:p w14:paraId="7425E45A">
      <w:pPr>
        <w:pStyle w:val="3"/>
      </w:pPr>
    </w:p>
    <w:p w14:paraId="66DEE9C7">
      <w:pPr>
        <w:pStyle w:val="3"/>
        <w:rPr>
          <w:rFonts w:hint="default"/>
          <w:color w:val="auto"/>
          <w:sz w:val="21"/>
          <w:szCs w:val="21"/>
          <w:lang w:val="en-US"/>
        </w:rPr>
        <w:sectPr>
          <w:pgSz w:w="16838" w:h="11906" w:orient="landscape"/>
          <w:pgMar w:top="1123" w:right="1440" w:bottom="1123" w:left="1440"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w:t>
      </w:r>
      <w:r>
        <w:rPr>
          <w:rFonts w:hint="eastAsia" w:ascii="宋体" w:hAnsi="宋体" w:eastAsia="宋体" w:cs="宋体"/>
          <w:i w:val="0"/>
          <w:iCs w:val="0"/>
          <w:color w:val="auto"/>
          <w:kern w:val="0"/>
          <w:sz w:val="21"/>
          <w:szCs w:val="21"/>
          <w:u w:val="none"/>
          <w:lang w:val="en-US" w:eastAsia="zh-CN" w:bidi="ar"/>
        </w:rPr>
        <w:t>财政拨款“三公”经费</w:t>
      </w:r>
      <w:r>
        <w:rPr>
          <w:rFonts w:hint="eastAsia" w:ascii="宋体" w:hAnsi="宋体" w:eastAsia="宋体" w:cs="宋体"/>
          <w:color w:val="auto"/>
          <w:kern w:val="2"/>
          <w:sz w:val="21"/>
          <w:szCs w:val="21"/>
          <w:lang w:val="en-US" w:eastAsia="zh-CN" w:bidi="ar"/>
        </w:rPr>
        <w:t>收入，也没有</w:t>
      </w:r>
      <w:r>
        <w:rPr>
          <w:rFonts w:hint="eastAsia" w:ascii="宋体" w:hAnsi="宋体" w:eastAsia="宋体" w:cs="宋体"/>
          <w:i w:val="0"/>
          <w:iCs w:val="0"/>
          <w:color w:val="auto"/>
          <w:kern w:val="0"/>
          <w:sz w:val="21"/>
          <w:szCs w:val="21"/>
          <w:u w:val="none"/>
          <w:lang w:val="en-US" w:eastAsia="zh-CN" w:bidi="ar"/>
        </w:rPr>
        <w:t>财政拨款“三公”经费</w:t>
      </w:r>
      <w:r>
        <w:rPr>
          <w:rFonts w:hint="eastAsia" w:ascii="宋体" w:hAnsi="宋体" w:eastAsia="宋体" w:cs="宋体"/>
          <w:color w:val="auto"/>
          <w:kern w:val="2"/>
          <w:sz w:val="21"/>
          <w:szCs w:val="21"/>
          <w:lang w:val="en-US" w:eastAsia="zh-CN" w:bidi="ar"/>
        </w:rPr>
        <w:t>预算财政拨款安排的支出，故本表无数据</w:t>
      </w:r>
      <w:r>
        <w:rPr>
          <w:rFonts w:hint="eastAsia" w:hAnsi="宋体" w:eastAsia="宋体" w:cs="宋体"/>
          <w:color w:val="auto"/>
          <w:kern w:val="2"/>
          <w:sz w:val="21"/>
          <w:szCs w:val="21"/>
          <w:lang w:val="en-US" w:eastAsia="zh-CN" w:bidi="ar"/>
        </w:rPr>
        <w:t>.</w:t>
      </w:r>
    </w:p>
    <w:p w14:paraId="4BBEB3BA">
      <w:pPr>
        <w:jc w:val="left"/>
        <w:rPr>
          <w:rFonts w:ascii="仿宋" w:hAnsi="仿宋" w:eastAsia="仿宋" w:cs="仿宋"/>
          <w:sz w:val="24"/>
          <w:highlight w:val="none"/>
        </w:rPr>
      </w:pPr>
    </w:p>
    <w:p w14:paraId="08FFB280">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川山镇中心卫生院</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20BB7088">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14:paraId="003CA07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2595.76</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72.40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2.87</w:t>
      </w:r>
      <w:r>
        <w:rPr>
          <w:rFonts w:ascii="仿宋" w:hAnsi="仿宋" w:eastAsia="仿宋" w:cs="仿宋"/>
          <w:sz w:val="32"/>
          <w:u w:color="auto"/>
        </w:rPr>
        <w:t>%</w:t>
      </w:r>
      <w:r>
        <w:rPr>
          <w:rFonts w:hint="eastAsia" w:ascii="仿宋" w:hAnsi="仿宋" w:eastAsia="仿宋" w:cs="仿宋"/>
          <w:sz w:val="32"/>
          <w:szCs w:val="32"/>
          <w:highlight w:val="none"/>
        </w:rPr>
        <w:t>，其中本年收入具体情况如下。</w:t>
      </w:r>
    </w:p>
    <w:p w14:paraId="785C2C65">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1128.71</w:t>
      </w:r>
      <w:r>
        <w:rPr>
          <w:rFonts w:hint="eastAsia" w:ascii="仿宋" w:hAnsi="仿宋" w:eastAsia="仿宋" w:cs="仿宋"/>
          <w:kern w:val="2"/>
          <w:sz w:val="32"/>
          <w:szCs w:val="32"/>
          <w:highlight w:val="none"/>
          <w:lang w:val="en-US" w:eastAsia="zh-CN" w:bidi="ar"/>
        </w:rPr>
        <w:t>万元，为本级财政当年拨付的资金。较2022年度决算数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48.77</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4.52</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主要原因：较上年</w:t>
      </w:r>
      <w:r>
        <w:rPr>
          <w:rFonts w:hint="eastAsia" w:ascii="仿宋" w:hAnsi="仿宋" w:eastAsia="仿宋" w:cs="仿宋"/>
          <w:color w:val="auto"/>
          <w:kern w:val="2"/>
          <w:sz w:val="32"/>
          <w:szCs w:val="32"/>
          <w:highlight w:val="none"/>
          <w:lang w:val="en-US" w:eastAsia="zh-CN" w:bidi="ar"/>
        </w:rPr>
        <w:t>新增了2100410突发公共卫生事件应急处理48.83万元。</w:t>
      </w:r>
    </w:p>
    <w:p w14:paraId="3219B1A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本单位年度内没有</w:t>
      </w:r>
      <w:r>
        <w:rPr>
          <w:rFonts w:hint="eastAsia" w:ascii="仿宋" w:hAnsi="仿宋" w:eastAsia="仿宋" w:cs="仿宋"/>
          <w:kern w:val="2"/>
          <w:sz w:val="32"/>
          <w:szCs w:val="32"/>
          <w:highlight w:val="none"/>
          <w:lang w:val="en-US" w:eastAsia="zh-CN" w:bidi="ar"/>
        </w:rPr>
        <w:t>政府性基金预算财政拨款收入</w:t>
      </w:r>
      <w:r>
        <w:rPr>
          <w:rFonts w:hint="eastAsia" w:ascii="仿宋" w:hAnsi="仿宋" w:eastAsia="仿宋" w:cs="仿宋"/>
          <w:color w:val="auto"/>
          <w:kern w:val="2"/>
          <w:sz w:val="32"/>
          <w:szCs w:val="32"/>
          <w:highlight w:val="none"/>
          <w:lang w:val="en-US" w:eastAsia="zh-CN" w:bidi="ar"/>
        </w:rPr>
        <w:t>。</w:t>
      </w:r>
    </w:p>
    <w:p w14:paraId="0606209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本单位年度内没有</w:t>
      </w:r>
      <w:r>
        <w:rPr>
          <w:rFonts w:hint="eastAsia" w:ascii="仿宋" w:hAnsi="仿宋" w:eastAsia="仿宋" w:cs="仿宋"/>
          <w:kern w:val="2"/>
          <w:sz w:val="32"/>
          <w:szCs w:val="32"/>
          <w:highlight w:val="none"/>
          <w:lang w:val="en-US" w:eastAsia="zh-CN" w:bidi="ar"/>
        </w:rPr>
        <w:t>国有资本经营预算财政拨款收入</w:t>
      </w:r>
      <w:r>
        <w:rPr>
          <w:rFonts w:hint="eastAsia" w:ascii="仿宋" w:hAnsi="仿宋" w:eastAsia="仿宋" w:cs="仿宋"/>
          <w:color w:val="auto"/>
          <w:kern w:val="2"/>
          <w:sz w:val="32"/>
          <w:szCs w:val="32"/>
          <w:highlight w:val="none"/>
          <w:lang w:val="en-US" w:eastAsia="zh-CN" w:bidi="ar"/>
        </w:rPr>
        <w:t>。</w:t>
      </w:r>
    </w:p>
    <w:p w14:paraId="3E3E5B2B">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本单位年度内没有上级补助收入。</w:t>
      </w:r>
    </w:p>
    <w:p w14:paraId="43B6BE8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hint="eastAsia" w:ascii="仿宋" w:hAnsi="仿宋" w:eastAsia="仿宋" w:cs="仿宋"/>
          <w:sz w:val="32"/>
          <w:u w:color="auto"/>
          <w:lang w:val="en-US" w:eastAsia="zh-CN"/>
        </w:rPr>
        <w:t>1462.91</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23.15</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1.61</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单位业务正常发展。</w:t>
      </w:r>
    </w:p>
    <w:p w14:paraId="6E4AE24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本单位年度内没有经营性收入。</w:t>
      </w:r>
    </w:p>
    <w:p w14:paraId="0D505FB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14:paraId="6620D584">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3.67</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0.47</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12.81</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主要原因是：年度内单位银行存款账户平均存款额比上年较多。</w:t>
      </w:r>
    </w:p>
    <w:p w14:paraId="30F7F4A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本单位年度内没有非财政拨款结余。</w:t>
      </w:r>
    </w:p>
    <w:p w14:paraId="415346B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14:paraId="3E196A63">
      <w:pPr>
        <w:jc w:val="center"/>
        <w:rPr>
          <w:rFonts w:ascii="仿宋" w:hAnsi="仿宋" w:eastAsia="仿宋" w:cs="仿宋"/>
          <w:sz w:val="32"/>
          <w:szCs w:val="32"/>
          <w:highlight w:val="none"/>
        </w:rPr>
      </w:pPr>
    </w:p>
    <w:p w14:paraId="622582AB">
      <w:pPr>
        <w:ind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2494.01</w:t>
      </w:r>
      <w:r>
        <w:rPr>
          <w:rFonts w:hint="eastAsia" w:ascii="仿宋" w:hAnsi="仿宋" w:eastAsia="仿宋" w:cs="仿宋"/>
          <w:sz w:val="32"/>
          <w:szCs w:val="32"/>
          <w:highlight w:val="none"/>
        </w:rPr>
        <w:t>万元，其中本年基本支出</w:t>
      </w:r>
      <w:r>
        <w:rPr>
          <w:rFonts w:hint="eastAsia" w:ascii="仿宋" w:hAnsi="仿宋" w:eastAsia="仿宋" w:cs="仿宋"/>
          <w:sz w:val="32"/>
          <w:u w:color="auto"/>
          <w:lang w:val="en-US" w:eastAsia="zh-CN"/>
        </w:rPr>
        <w:t>2005.88</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488.13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w:t>
      </w:r>
      <w:r>
        <w:rPr>
          <w:rFonts w:hint="eastAsia" w:ascii="仿宋" w:hAnsi="仿宋" w:eastAsia="仿宋" w:cs="仿宋"/>
          <w:sz w:val="32"/>
          <w:szCs w:val="32"/>
          <w:highlight w:val="none"/>
          <w:lang w:eastAsia="zh-CN"/>
        </w:rPr>
        <w:t>总支出</w:t>
      </w:r>
      <w:r>
        <w:rPr>
          <w:rFonts w:hint="eastAsia" w:ascii="仿宋" w:hAnsi="仿宋" w:eastAsia="仿宋" w:cs="仿宋"/>
          <w:sz w:val="32"/>
          <w:u w:color="auto"/>
          <w:lang w:eastAsia="zh-CN"/>
        </w:rPr>
        <w:t>减少</w:t>
      </w:r>
      <w:r>
        <w:rPr>
          <w:rFonts w:hint="eastAsia" w:ascii="仿宋" w:hAnsi="仿宋" w:eastAsia="仿宋" w:cs="仿宋"/>
          <w:sz w:val="32"/>
          <w:u w:color="auto"/>
          <w:lang w:val="en-US" w:eastAsia="zh-CN"/>
        </w:rPr>
        <w:t>22.23</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下降</w:t>
      </w:r>
      <w:r>
        <w:rPr>
          <w:rFonts w:hint="eastAsia" w:ascii="仿宋" w:hAnsi="仿宋" w:eastAsia="仿宋" w:cs="仿宋"/>
          <w:sz w:val="32"/>
          <w:u w:color="auto"/>
          <w:lang w:val="en-US" w:eastAsia="zh-CN"/>
        </w:rPr>
        <w:t>0.88</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14:paraId="2D04171F">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lang w:val="en-US" w:eastAsia="zh-CN"/>
        </w:rPr>
        <w:t>1</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100.13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职工的养老保险及职业年金经费缴纳</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szCs w:val="32"/>
          <w:highlight w:val="none"/>
          <w:lang w:val="en-US" w:eastAsia="zh-CN" w:bidi="ar"/>
        </w:rPr>
        <w:t>39.07</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szCs w:val="32"/>
          <w:highlight w:val="none"/>
          <w:lang w:val="en-US" w:eastAsia="zh-CN" w:bidi="ar"/>
        </w:rPr>
        <w:t>63.99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主要原因是：基层医疗单位职业年金缴费</w:t>
      </w:r>
      <w:r>
        <w:rPr>
          <w:rFonts w:hint="eastAsia" w:ascii="仿宋" w:hAnsi="仿宋" w:eastAsia="仿宋" w:cs="仿宋"/>
          <w:color w:val="auto"/>
          <w:kern w:val="2"/>
          <w:sz w:val="32"/>
          <w:szCs w:val="32"/>
          <w:highlight w:val="none"/>
          <w:lang w:val="en-US" w:eastAsia="zh-CN" w:bidi="ar"/>
        </w:rPr>
        <w:t>纳入财政保障范畴。</w:t>
      </w:r>
    </w:p>
    <w:p w14:paraId="1AA7A254">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2</w:t>
      </w:r>
      <w:r>
        <w:rPr>
          <w:rFonts w:ascii="仿宋" w:hAnsi="仿宋" w:eastAsia="仿宋" w:cs="仿宋"/>
          <w:sz w:val="32"/>
          <w:u w:color="auto"/>
        </w:rPr>
        <w:t>.</w:t>
      </w:r>
      <w:r>
        <w:rPr>
          <w:rFonts w:hint="eastAsia" w:ascii="仿宋" w:hAnsi="仿宋" w:eastAsia="仿宋" w:cs="仿宋"/>
          <w:sz w:val="32"/>
          <w:szCs w:val="32"/>
          <w:highlight w:val="none"/>
          <w:lang w:bidi="ar"/>
        </w:rPr>
        <w:t>卫生健康支出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210</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2296.46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开展日常医疗卫生服务和公共卫生服务相关业务的人员经费及商品和服务支出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减少</w:t>
      </w:r>
      <w:r>
        <w:rPr>
          <w:rFonts w:hint="eastAsia" w:ascii="仿宋" w:hAnsi="仿宋" w:eastAsia="仿宋" w:cs="仿宋"/>
          <w:sz w:val="32"/>
          <w:szCs w:val="32"/>
          <w:highlight w:val="none"/>
          <w:lang w:val="en-US" w:eastAsia="zh-CN" w:bidi="ar"/>
        </w:rPr>
        <w:t>55.01</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下降了</w:t>
      </w:r>
      <w:r>
        <w:rPr>
          <w:rFonts w:hint="eastAsia" w:ascii="仿宋" w:hAnsi="仿宋" w:eastAsia="仿宋" w:cs="仿宋"/>
          <w:sz w:val="32"/>
          <w:szCs w:val="32"/>
          <w:highlight w:val="none"/>
          <w:lang w:val="en-US" w:eastAsia="zh-CN" w:bidi="ar"/>
        </w:rPr>
        <w:t>2.34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主要原因是：年度进行药占比管控，节约了成本支出。</w:t>
      </w:r>
    </w:p>
    <w:p w14:paraId="127D3F59">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52.35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职工住房公积金征缴支出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szCs w:val="32"/>
          <w:highlight w:val="none"/>
          <w:lang w:val="en-US" w:eastAsia="zh-CN" w:bidi="ar"/>
        </w:rPr>
        <w:t>6.46</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szCs w:val="32"/>
          <w:highlight w:val="none"/>
          <w:lang w:val="en-US" w:eastAsia="zh-CN" w:bidi="ar"/>
        </w:rPr>
        <w:t>14.08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政府绩效考评的绩效增量计入公积金基数工资。</w:t>
      </w:r>
    </w:p>
    <w:p w14:paraId="4D21C837">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val="en-US" w:eastAsia="zh-CN" w:bidi="ar"/>
        </w:rPr>
        <w:t>其他</w:t>
      </w:r>
      <w:r>
        <w:rPr>
          <w:rFonts w:hint="eastAsia" w:ascii="仿宋" w:hAnsi="仿宋" w:eastAsia="仿宋" w:cs="仿宋"/>
          <w:sz w:val="32"/>
          <w:szCs w:val="32"/>
          <w:highlight w:val="none"/>
          <w:lang w:bidi="ar"/>
        </w:rPr>
        <w:t>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w:t>
      </w:r>
      <w:r>
        <w:rPr>
          <w:rFonts w:hint="eastAsia" w:ascii="仿宋" w:hAnsi="仿宋" w:eastAsia="仿宋" w:cs="仿宋"/>
          <w:sz w:val="32"/>
          <w:szCs w:val="32"/>
          <w:highlight w:val="none"/>
          <w:lang w:val="en-US" w:eastAsia="zh-CN" w:bidi="ar"/>
        </w:rPr>
        <w:t>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36.84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职工的绩效考评奖金支出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20.99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36.30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绩效考评奖金发放方式与上年度存在差异。</w:t>
      </w:r>
    </w:p>
    <w:p w14:paraId="757E35A9">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lang w:val="en-US" w:eastAsia="zh-CN"/>
        </w:rPr>
        <w:t>101.75</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及事业积累</w:t>
      </w:r>
      <w:r>
        <w:rPr>
          <w:rFonts w:hint="default" w:ascii="仿宋_GB2312" w:hAnsi="微软雅黑" w:eastAsia="仿宋_GB2312" w:cs="仿宋_GB2312"/>
          <w:i w:val="0"/>
          <w:iCs w:val="0"/>
          <w:caps w:val="0"/>
          <w:color w:val="000000"/>
          <w:spacing w:val="0"/>
          <w:sz w:val="31"/>
          <w:szCs w:val="31"/>
          <w:highlight w:val="none"/>
          <w:shd w:val="clear" w:color="auto" w:fill="FFFFFF"/>
        </w:rPr>
        <w:t>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 w:hAnsi="仿宋" w:eastAsia="仿宋" w:cs="仿宋"/>
          <w:sz w:val="32"/>
          <w:szCs w:val="32"/>
          <w:highlight w:val="none"/>
          <w:lang w:eastAsia="zh-CN" w:bidi="ar"/>
        </w:rPr>
        <w:t>增加</w:t>
      </w:r>
      <w:r>
        <w:rPr>
          <w:rFonts w:hint="eastAsia" w:ascii="仿宋_GB2312" w:hAnsi="微软雅黑" w:eastAsia="仿宋_GB2312" w:cs="仿宋_GB2312"/>
          <w:color w:val="000000"/>
          <w:sz w:val="31"/>
          <w:szCs w:val="31"/>
          <w:highlight w:val="none"/>
          <w:shd w:val="clear" w:color="auto" w:fill="FFFFFF"/>
          <w:lang w:val="en-US" w:eastAsia="zh-CN"/>
        </w:rPr>
        <w:t>94.63</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lang w:eastAsia="zh-CN" w:bidi="ar"/>
        </w:rPr>
        <w:t>增长</w:t>
      </w:r>
      <w:r>
        <w:rPr>
          <w:rFonts w:hint="eastAsia" w:ascii="仿宋_GB2312" w:hAnsi="微软雅黑" w:eastAsia="仿宋_GB2312" w:cs="仿宋_GB2312"/>
          <w:color w:val="000000"/>
          <w:sz w:val="31"/>
          <w:szCs w:val="31"/>
          <w:highlight w:val="none"/>
          <w:shd w:val="clear" w:color="auto" w:fill="FFFFFF"/>
          <w:lang w:val="en-US" w:eastAsia="zh-CN"/>
        </w:rPr>
        <w:t>幅度较大</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：本年度单位自主分配事业增量绩效所预留事业积累较多。</w:t>
      </w:r>
    </w:p>
    <w:p w14:paraId="4ADAA68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0.00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0.00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主要原因是：上年</w:t>
      </w:r>
      <w:r>
        <w:rPr>
          <w:rFonts w:hint="eastAsia" w:ascii="仿宋" w:hAnsi="仿宋" w:eastAsia="仿宋" w:cs="仿宋"/>
          <w:sz w:val="32"/>
          <w:szCs w:val="32"/>
          <w:highlight w:val="none"/>
        </w:rPr>
        <w:t>年末</w:t>
      </w:r>
      <w:r>
        <w:rPr>
          <w:rFonts w:hint="eastAsia" w:ascii="仿宋" w:hAnsi="仿宋" w:eastAsia="仿宋" w:cs="仿宋"/>
          <w:sz w:val="32"/>
          <w:szCs w:val="32"/>
          <w:highlight w:val="none"/>
          <w:lang w:eastAsia="zh-CN"/>
        </w:rPr>
        <w:t>单位</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无</w:t>
      </w:r>
      <w:r>
        <w:rPr>
          <w:rFonts w:hint="eastAsia" w:ascii="仿宋" w:hAnsi="仿宋" w:eastAsia="仿宋" w:cs="仿宋"/>
          <w:sz w:val="32"/>
          <w:szCs w:val="32"/>
          <w:highlight w:val="none"/>
        </w:rPr>
        <w:t>结转和结余</w:t>
      </w:r>
      <w:r>
        <w:rPr>
          <w:rFonts w:hint="eastAsia" w:ascii="仿宋" w:hAnsi="仿宋" w:eastAsia="仿宋" w:cs="仿宋"/>
          <w:sz w:val="32"/>
          <w:szCs w:val="32"/>
          <w:highlight w:val="none"/>
          <w:lang w:val="en-US" w:eastAsia="zh-CN"/>
        </w:rPr>
        <w:t>.</w:t>
      </w:r>
    </w:p>
    <w:p w14:paraId="5B370423">
      <w:pPr>
        <w:ind w:firstLine="640" w:firstLineChars="200"/>
        <w:jc w:val="center"/>
        <w:rPr>
          <w:rFonts w:ascii="仿宋" w:hAnsi="仿宋" w:eastAsia="仿宋" w:cs="仿宋"/>
          <w:sz w:val="32"/>
          <w:szCs w:val="32"/>
          <w:highlight w:val="none"/>
        </w:rPr>
      </w:pPr>
    </w:p>
    <w:p w14:paraId="65828625">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0" w:name="OLE_LINK1"/>
      <w:r>
        <w:rPr>
          <w:rFonts w:hint="eastAsia" w:ascii="黑体" w:hAnsi="黑体" w:eastAsia="黑体" w:cs="黑体"/>
          <w:sz w:val="32"/>
          <w:szCs w:val="32"/>
          <w:highlight w:val="none"/>
        </w:rPr>
        <w:t>一般公共预算财政拨款支出决算情况</w:t>
      </w:r>
      <w:bookmarkEnd w:id="0"/>
    </w:p>
    <w:p w14:paraId="47FBAAB9">
      <w:pPr>
        <w:ind w:firstLine="640" w:firstLineChars="200"/>
        <w:jc w:val="left"/>
        <w:rPr>
          <w:rFonts w:ascii="仿宋" w:hAnsi="仿宋" w:eastAsia="仿宋" w:cs="仿宋"/>
          <w:sz w:val="32"/>
          <w:szCs w:val="32"/>
          <w:highlight w:val="none"/>
        </w:rPr>
      </w:pPr>
      <w:r>
        <w:rPr>
          <w:rFonts w:hint="eastAsia" w:ascii="宋体" w:hAnsi="宋体" w:eastAsia="宋体" w:cs="宋体"/>
          <w:sz w:val="32"/>
          <w:u w:color="auto"/>
          <w:lang w:val="en-US" w:eastAsia="zh-CN"/>
        </w:rPr>
        <w:t>川山镇中心卫生院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1128.71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48.77</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4.52</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640.59</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488.13</w:t>
      </w:r>
      <w:r>
        <w:rPr>
          <w:rFonts w:hint="eastAsia" w:ascii="仿宋" w:hAnsi="仿宋" w:eastAsia="仿宋" w:cs="仿宋"/>
          <w:sz w:val="32"/>
          <w:szCs w:val="32"/>
          <w:highlight w:val="none"/>
        </w:rPr>
        <w:t>万元。</w:t>
      </w:r>
    </w:p>
    <w:p w14:paraId="53E22FD6">
      <w:pPr>
        <w:ind w:firstLine="640" w:firstLineChars="200"/>
        <w:jc w:val="left"/>
        <w:rPr>
          <w:rFonts w:ascii="仿宋" w:hAnsi="仿宋" w:eastAsia="仿宋" w:cs="仿宋"/>
          <w:sz w:val="32"/>
          <w:szCs w:val="32"/>
          <w:highlight w:val="none"/>
        </w:rPr>
      </w:pPr>
      <w:r>
        <w:rPr>
          <w:rFonts w:hint="eastAsia" w:ascii="宋体" w:hAnsi="宋体" w:eastAsia="宋体" w:cs="宋体"/>
          <w:sz w:val="32"/>
          <w:u w:color="auto"/>
          <w:lang w:val="en-US" w:eastAsia="zh-CN"/>
        </w:rPr>
        <w:t>川山镇中心卫生院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653.90</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1128.71</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172.61</w:t>
      </w:r>
      <w:r>
        <w:rPr>
          <w:rFonts w:ascii="仿宋" w:hAnsi="仿宋" w:eastAsia="仿宋" w:cs="仿宋"/>
          <w:sz w:val="32"/>
          <w:u w:color="auto"/>
        </w:rPr>
        <w:t>%</w:t>
      </w:r>
      <w:r>
        <w:rPr>
          <w:rFonts w:hint="eastAsia" w:ascii="仿宋" w:hAnsi="仿宋" w:eastAsia="仿宋" w:cs="仿宋"/>
          <w:sz w:val="32"/>
          <w:szCs w:val="32"/>
          <w:highlight w:val="none"/>
        </w:rPr>
        <w:t>。</w:t>
      </w:r>
    </w:p>
    <w:p w14:paraId="05F36BC3">
      <w:pPr>
        <w:jc w:val="center"/>
        <w:rPr>
          <w:rFonts w:ascii="仿宋" w:hAnsi="仿宋" w:eastAsia="仿宋"/>
          <w:sz w:val="32"/>
          <w:szCs w:val="32"/>
          <w:highlight w:val="none"/>
        </w:rPr>
      </w:pPr>
      <w:bookmarkStart w:id="1" w:name="OLE_LINK2"/>
      <w:bookmarkEnd w:id="1"/>
    </w:p>
    <w:p w14:paraId="35BF403F">
      <w:pPr>
        <w:keepNext w:val="0"/>
        <w:keepLines w:val="0"/>
        <w:widowControl w:val="0"/>
        <w:numPr>
          <w:ilvl w:val="0"/>
          <w:numId w:val="1"/>
        </w:numPr>
        <w:suppressLineNumbers w:val="0"/>
        <w:spacing w:before="0" w:beforeAutospacing="0" w:after="0" w:afterAutospacing="0"/>
        <w:ind w:left="210" w:leftChars="0" w:right="0" w:rightChars="0" w:firstLine="420" w:firstLineChars="0"/>
        <w:jc w:val="left"/>
        <w:rPr>
          <w:rFonts w:hint="eastAsia" w:ascii="仿宋" w:hAnsi="仿宋" w:eastAsia="仿宋"/>
          <w:sz w:val="32"/>
          <w:szCs w:val="32"/>
          <w:highlight w:val="none"/>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100.13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100.13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14:paraId="0C81D3CE">
      <w:pPr>
        <w:pStyle w:val="3"/>
        <w:rPr>
          <w:rFonts w:hint="eastAsia"/>
        </w:rPr>
      </w:pPr>
    </w:p>
    <w:p w14:paraId="61755A94">
      <w:pPr>
        <w:jc w:val="center"/>
        <w:rPr>
          <w:rFonts w:ascii="仿宋" w:hAnsi="仿宋" w:eastAsia="仿宋"/>
          <w:sz w:val="32"/>
          <w:szCs w:val="32"/>
          <w:highlight w:val="none"/>
        </w:rPr>
      </w:pPr>
    </w:p>
    <w:p w14:paraId="2E6A6245">
      <w:pPr>
        <w:keepNext w:val="0"/>
        <w:keepLines w:val="0"/>
        <w:widowControl w:val="0"/>
        <w:numPr>
          <w:ilvl w:val="0"/>
          <w:numId w:val="1"/>
        </w:numPr>
        <w:suppressLineNumbers w:val="0"/>
        <w:spacing w:before="0" w:beforeAutospacing="0" w:after="0" w:afterAutospacing="0"/>
        <w:ind w:left="21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493.19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931.16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188.80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项目支出预算由归口管理部门统一做部门预算，通过资金分解到各预算单位，形成单位支出决算数。</w:t>
      </w:r>
    </w:p>
    <w:p w14:paraId="411A010B">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06"/>
        <w:gridCol w:w="912"/>
        <w:gridCol w:w="871"/>
        <w:gridCol w:w="1075"/>
        <w:gridCol w:w="1492"/>
        <w:gridCol w:w="1825"/>
      </w:tblGrid>
      <w:tr w14:paraId="445A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99ED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4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3B8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55E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7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13F9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7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E634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49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E5B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820C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18A7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09ED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2100302</w:t>
            </w:r>
          </w:p>
        </w:tc>
        <w:tc>
          <w:tcPr>
            <w:tcW w:w="14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3526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乡镇卫生院</w:t>
            </w: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99D76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438.15</w:t>
            </w:r>
          </w:p>
        </w:tc>
        <w:tc>
          <w:tcPr>
            <w:tcW w:w="87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A191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458.03</w:t>
            </w:r>
          </w:p>
        </w:tc>
        <w:tc>
          <w:tcPr>
            <w:tcW w:w="107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4F84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104.54%</w:t>
            </w:r>
          </w:p>
        </w:tc>
        <w:tc>
          <w:tcPr>
            <w:tcW w:w="149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FAA6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工资福利支出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CAA1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正常变动</w:t>
            </w:r>
          </w:p>
        </w:tc>
      </w:tr>
      <w:tr w14:paraId="33EB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2A34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2100399</w:t>
            </w:r>
          </w:p>
        </w:tc>
        <w:tc>
          <w:tcPr>
            <w:tcW w:w="14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D13A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其他基层医疗卫生机构支出</w:t>
            </w: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B01D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51.24</w:t>
            </w:r>
          </w:p>
        </w:tc>
        <w:tc>
          <w:tcPr>
            <w:tcW w:w="87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B0888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130.39</w:t>
            </w:r>
          </w:p>
        </w:tc>
        <w:tc>
          <w:tcPr>
            <w:tcW w:w="107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7027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254.47%</w:t>
            </w:r>
          </w:p>
        </w:tc>
        <w:tc>
          <w:tcPr>
            <w:tcW w:w="149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8D9B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日常商品及服务支出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BE59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部份资金收入由管理部门统一做资金预算</w:t>
            </w:r>
          </w:p>
        </w:tc>
      </w:tr>
      <w:tr w14:paraId="0969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1D64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2100408</w:t>
            </w:r>
          </w:p>
        </w:tc>
        <w:tc>
          <w:tcPr>
            <w:tcW w:w="14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CCDD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基本公共卫生服务</w:t>
            </w: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DA67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7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235C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253.41</w:t>
            </w:r>
          </w:p>
        </w:tc>
        <w:tc>
          <w:tcPr>
            <w:tcW w:w="107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07D42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49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69C2E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开展基本公共卫生服务支出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5E25A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由管理部门统一做资金预算</w:t>
            </w:r>
          </w:p>
        </w:tc>
      </w:tr>
      <w:tr w14:paraId="2D3A5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F050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2100409</w:t>
            </w:r>
          </w:p>
        </w:tc>
        <w:tc>
          <w:tcPr>
            <w:tcW w:w="14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8CB1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重大公共卫生服务</w:t>
            </w: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CEC7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7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253EE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18.5</w:t>
            </w:r>
          </w:p>
        </w:tc>
        <w:tc>
          <w:tcPr>
            <w:tcW w:w="107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BF71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49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6597A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开展重大公共卫生服务支出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16E3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由管理部门统一做资金预算</w:t>
            </w:r>
          </w:p>
        </w:tc>
      </w:tr>
      <w:tr w14:paraId="5A8B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8AB62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2100410</w:t>
            </w:r>
          </w:p>
        </w:tc>
        <w:tc>
          <w:tcPr>
            <w:tcW w:w="14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2ACA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突发公共卫生事件应急处理</w:t>
            </w: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1173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7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71BA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48.83</w:t>
            </w:r>
          </w:p>
        </w:tc>
        <w:tc>
          <w:tcPr>
            <w:tcW w:w="107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2B3B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49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14421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开展重大公共卫生服务支出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78F5B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由管理部门统一做资金预算</w:t>
            </w:r>
          </w:p>
        </w:tc>
      </w:tr>
      <w:tr w14:paraId="70E4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5AD2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2100999</w:t>
            </w:r>
          </w:p>
        </w:tc>
        <w:tc>
          <w:tcPr>
            <w:tcW w:w="14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06C4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其他卫生健康支出</w:t>
            </w: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1C01A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7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0D62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w:t>
            </w:r>
          </w:p>
        </w:tc>
        <w:tc>
          <w:tcPr>
            <w:tcW w:w="107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BACA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49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9C3E3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日常商品及服务及设备采购</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F1E0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由管理部门统一做资金预算</w:t>
            </w:r>
          </w:p>
        </w:tc>
      </w:tr>
      <w:tr w14:paraId="6FB6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548A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4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25AA9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FD0E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7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16B28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107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6A95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49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DA0D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0F8B2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14:paraId="4EEB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9724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4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F1B49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6C2C0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493.19</w:t>
            </w:r>
          </w:p>
        </w:tc>
        <w:tc>
          <w:tcPr>
            <w:tcW w:w="87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F9962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931.16</w:t>
            </w:r>
          </w:p>
        </w:tc>
        <w:tc>
          <w:tcPr>
            <w:tcW w:w="107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E6242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49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7DB69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1181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2E49CC93">
      <w:pPr>
        <w:jc w:val="center"/>
        <w:rPr>
          <w:rFonts w:ascii="仿宋" w:hAnsi="仿宋" w:eastAsia="仿宋"/>
          <w:sz w:val="32"/>
          <w:szCs w:val="32"/>
          <w:highlight w:val="none"/>
        </w:rPr>
      </w:pPr>
    </w:p>
    <w:p w14:paraId="287285D6">
      <w:pPr>
        <w:keepNext w:val="0"/>
        <w:keepLines w:val="0"/>
        <w:widowControl w:val="0"/>
        <w:numPr>
          <w:ilvl w:val="0"/>
          <w:numId w:val="1"/>
        </w:numPr>
        <w:suppressLineNumbers w:val="0"/>
        <w:spacing w:before="0" w:beforeAutospacing="0" w:after="0" w:afterAutospacing="0"/>
        <w:ind w:left="21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52.35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52.35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14:paraId="20A898E0">
      <w:pPr>
        <w:jc w:val="left"/>
        <w:rPr>
          <w:rFonts w:hint="eastAsia" w:ascii="仿宋" w:hAnsi="仿宋" w:eastAsia="仿宋"/>
          <w:sz w:val="32"/>
          <w:szCs w:val="32"/>
          <w:highlight w:val="none"/>
        </w:rPr>
      </w:pPr>
    </w:p>
    <w:p w14:paraId="49AD61E7">
      <w:pPr>
        <w:jc w:val="center"/>
        <w:rPr>
          <w:rFonts w:ascii="仿宋" w:hAnsi="仿宋" w:eastAsia="仿宋"/>
          <w:sz w:val="32"/>
          <w:szCs w:val="32"/>
          <w:highlight w:val="none"/>
        </w:rPr>
      </w:pPr>
    </w:p>
    <w:p w14:paraId="426EADD3">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14:paraId="682DA614">
      <w:pPr>
        <w:ind w:firstLine="640" w:firstLineChars="200"/>
        <w:jc w:val="left"/>
        <w:rPr>
          <w:rFonts w:ascii="仿宋" w:hAnsi="仿宋" w:eastAsia="仿宋" w:cs="仿宋"/>
          <w:sz w:val="32"/>
          <w:szCs w:val="32"/>
          <w:highlight w:val="none"/>
        </w:rPr>
      </w:pPr>
      <w:r>
        <w:rPr>
          <w:rFonts w:hint="eastAsia" w:ascii="宋体" w:hAnsi="宋体" w:eastAsia="宋体" w:cs="宋体"/>
          <w:sz w:val="32"/>
          <w:u w:color="auto"/>
          <w:lang w:val="en-US" w:eastAsia="zh-CN"/>
        </w:rPr>
        <w:t>川山镇中心卫生院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640.59</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581.93</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58.65</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395715ED">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564.16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96.55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主要原因是：人员变动（退休）</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30101基本工资182.21万元，30102津贴补贴65.56万元，30107绩效工资163.91万元，30108机关事业单位基本养老保险缴费65.88万元30109职业年金缴费34.25万元，30110职工基本医疗保险缴费0.00万元，30113住房公积金52.35万元。</w:t>
      </w:r>
    </w:p>
    <w:p w14:paraId="5CE3E9EF">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58.65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712.64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一般的</w:t>
      </w:r>
      <w:r>
        <w:rPr>
          <w:rFonts w:hint="eastAsia" w:ascii="仿宋" w:hAnsi="仿宋" w:eastAsia="仿宋" w:cs="仿宋"/>
          <w:sz w:val="32"/>
          <w:szCs w:val="32"/>
          <w:highlight w:val="none"/>
        </w:rPr>
        <w:t>商品和服务</w:t>
      </w:r>
      <w:r>
        <w:rPr>
          <w:rFonts w:hint="eastAsia" w:ascii="仿宋" w:hAnsi="仿宋" w:eastAsia="仿宋" w:cs="仿宋"/>
          <w:sz w:val="32"/>
          <w:szCs w:val="32"/>
          <w:highlight w:val="none"/>
          <w:lang w:eastAsia="zh-CN"/>
        </w:rPr>
        <w:t>支出（劳务费）没有做预算安排</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30201办公费0.00万元，30207邮电费0.00万元，30211差旅费0.00万元，30215会议费0.00万元，30216培训费0.00万元，30226劳务费50.42万元，30228工会经费8.23万元，30299其他商品和服务支出0.00万元。</w:t>
      </w:r>
    </w:p>
    <w:p w14:paraId="100399C9">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17.77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30.89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资金核算归口管理(村医基本报酬）差异。</w:t>
      </w:r>
    </w:p>
    <w:p w14:paraId="400593CE">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30301离休费0.00万元，30302退休费0.00万元，30304 抚恤金4.75万元，30305生活补助12.77万元，其他对个人和家庭的补助0.25万元。</w:t>
      </w:r>
    </w:p>
    <w:p w14:paraId="0DC9BB5B">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本单位无债务资金。</w:t>
      </w:r>
    </w:p>
    <w:p w14:paraId="30F0629F">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资本性支出</w:t>
      </w:r>
      <w:r>
        <w:rPr>
          <w:rFonts w:hint="eastAsia" w:ascii="仿宋" w:hAnsi="仿宋" w:eastAsia="仿宋" w:cs="仿宋"/>
          <w:sz w:val="32"/>
          <w:u w:color="auto"/>
          <w:lang w:val="en-US" w:eastAsia="zh-CN"/>
        </w:rPr>
        <w:t>0.00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本单位无一般公共预算财政拨款资本性支出预算。</w:t>
      </w:r>
    </w:p>
    <w:p w14:paraId="7459BB33">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其他支出</w:t>
      </w:r>
      <w:r>
        <w:rPr>
          <w:rFonts w:hint="eastAsia" w:ascii="仿宋" w:hAnsi="仿宋" w:eastAsia="仿宋" w:cs="仿宋"/>
          <w:sz w:val="32"/>
          <w:u w:color="auto"/>
          <w:lang w:val="en-US" w:eastAsia="zh-CN"/>
        </w:rPr>
        <w:t>0.00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主要原因是：由绩效考评奖管理部门统一预算安排。</w:t>
      </w:r>
    </w:p>
    <w:p w14:paraId="64C50755">
      <w:pPr>
        <w:jc w:val="center"/>
        <w:rPr>
          <w:rFonts w:hint="eastAsia" w:ascii="仿宋" w:hAnsi="仿宋" w:eastAsia="仿宋" w:cs="仿宋"/>
          <w:sz w:val="32"/>
          <w:szCs w:val="32"/>
          <w:highlight w:val="none"/>
        </w:rPr>
      </w:pPr>
    </w:p>
    <w:p w14:paraId="7ECEEB35">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14:paraId="725600D4">
      <w:pPr>
        <w:ind w:firstLine="640" w:firstLineChars="200"/>
        <w:jc w:val="left"/>
        <w:rPr>
          <w:rFonts w:ascii="仿宋" w:hAnsi="仿宋" w:eastAsia="仿宋" w:cs="仿宋"/>
          <w:sz w:val="32"/>
          <w:szCs w:val="32"/>
          <w:highlight w:val="none"/>
        </w:rPr>
      </w:pPr>
      <w:r>
        <w:rPr>
          <w:rFonts w:hint="eastAsia" w:ascii="宋体" w:hAnsi="宋体" w:eastAsia="宋体" w:cs="宋体"/>
          <w:sz w:val="32"/>
          <w:u w:color="auto"/>
          <w:lang w:val="en-US" w:eastAsia="zh-CN"/>
        </w:rPr>
        <w:t>川山镇中心卫生院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72F690C4">
      <w:pPr>
        <w:ind w:firstLine="640" w:firstLineChars="200"/>
        <w:jc w:val="left"/>
        <w:rPr>
          <w:rFonts w:hint="eastAsia" w:ascii="仿宋" w:hAnsi="仿宋" w:eastAsia="仿宋" w:cs="仿宋"/>
          <w:sz w:val="32"/>
          <w:szCs w:val="32"/>
          <w:highlight w:val="none"/>
        </w:rPr>
      </w:pPr>
      <w:r>
        <w:rPr>
          <w:rFonts w:hint="eastAsia" w:ascii="宋体" w:hAnsi="宋体" w:eastAsia="宋体" w:cs="宋体"/>
          <w:sz w:val="32"/>
          <w:u w:color="auto"/>
          <w:lang w:val="en-US" w:eastAsia="zh-CN"/>
        </w:rPr>
        <w:t>川山镇中心卫生院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131341EA">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auto"/>
          <w:sz w:val="32"/>
          <w:szCs w:val="32"/>
          <w:u w:color="auto"/>
          <w:lang w:val="en-US" w:eastAsia="zh-CN"/>
        </w:rPr>
        <w:t>川山镇中心卫生院</w:t>
      </w:r>
      <w:r>
        <w:rPr>
          <w:rFonts w:hint="eastAsia" w:ascii="仿宋" w:hAnsi="仿宋" w:eastAsia="仿宋" w:cs="仿宋"/>
          <w:color w:val="auto"/>
          <w:sz w:val="32"/>
          <w:szCs w:val="32"/>
          <w:u w:color="auto"/>
        </w:rPr>
        <w:t>没有政府性基金收入，也没有政府性基金收入安排的支出</w:t>
      </w:r>
      <w:r>
        <w:rPr>
          <w:rFonts w:hint="eastAsia" w:ascii="仿宋" w:hAnsi="仿宋" w:eastAsia="仿宋" w:cs="仿宋"/>
          <w:color w:val="auto"/>
          <w:sz w:val="32"/>
          <w:szCs w:val="32"/>
          <w:lang w:eastAsia="zh-CN"/>
        </w:rPr>
        <w:t>。</w:t>
      </w:r>
    </w:p>
    <w:p w14:paraId="35E12EB9">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14:paraId="59F02E5E">
      <w:pPr>
        <w:ind w:firstLine="560" w:firstLineChars="200"/>
        <w:jc w:val="left"/>
        <w:rPr>
          <w:rFonts w:ascii="仿宋" w:hAnsi="仿宋" w:eastAsia="仿宋" w:cs="仿宋"/>
          <w:sz w:val="32"/>
          <w:szCs w:val="32"/>
          <w:highlight w:val="none"/>
        </w:rPr>
      </w:pPr>
      <w:r>
        <w:rPr>
          <w:rFonts w:hint="eastAsia" w:ascii="宋体" w:hAnsi="宋体" w:eastAsia="宋体" w:cs="宋体"/>
          <w:b w:val="0"/>
          <w:bCs w:val="0"/>
          <w:sz w:val="28"/>
          <w:szCs w:val="28"/>
          <w:u w:color="auto"/>
          <w:lang w:val="en-US" w:eastAsia="zh-CN"/>
        </w:rPr>
        <w:t>川山镇中心卫生院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7CC917B7">
      <w:pPr>
        <w:ind w:firstLine="560" w:firstLineChars="200"/>
        <w:jc w:val="left"/>
        <w:rPr>
          <w:rFonts w:hint="eastAsia" w:ascii="仿宋" w:hAnsi="仿宋" w:eastAsia="仿宋" w:cs="仿宋"/>
          <w:sz w:val="32"/>
          <w:szCs w:val="32"/>
          <w:highlight w:val="none"/>
        </w:rPr>
      </w:pPr>
      <w:r>
        <w:rPr>
          <w:rFonts w:hint="eastAsia" w:ascii="宋体" w:hAnsi="宋体" w:eastAsia="宋体" w:cs="宋体"/>
          <w:b w:val="0"/>
          <w:bCs w:val="0"/>
          <w:sz w:val="28"/>
          <w:szCs w:val="28"/>
          <w:u w:color="auto"/>
          <w:lang w:val="en-US" w:eastAsia="zh-CN"/>
        </w:rPr>
        <w:t>川山镇中心卫生院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47A39BF5">
      <w:pPr>
        <w:ind w:firstLine="640" w:firstLineChars="200"/>
        <w:jc w:val="left"/>
        <w:rPr>
          <w:rFonts w:hint="eastAsia" w:ascii="仿宋" w:hAnsi="仿宋" w:eastAsia="仿宋" w:cs="仿宋"/>
          <w:sz w:val="32"/>
          <w:szCs w:val="32"/>
          <w:highlight w:val="none"/>
        </w:rPr>
      </w:pPr>
      <w:bookmarkStart w:id="2" w:name="PO_part3A5B1C1DiffReason1"/>
      <w:r>
        <w:rPr>
          <w:rFonts w:hint="eastAsia" w:ascii="仿宋" w:hAnsi="仿宋" w:eastAsia="仿宋" w:cs="仿宋"/>
          <w:color w:val="auto"/>
          <w:sz w:val="32"/>
          <w:szCs w:val="32"/>
          <w:u w:color="auto"/>
          <w:lang w:val="en-US" w:eastAsia="zh-CN"/>
        </w:rPr>
        <w:t>川山镇中心卫生院</w:t>
      </w:r>
      <w:r>
        <w:rPr>
          <w:rFonts w:hint="eastAsia" w:ascii="仿宋" w:hAnsi="仿宋" w:eastAsia="仿宋" w:cs="仿宋"/>
          <w:color w:val="auto"/>
          <w:sz w:val="32"/>
          <w:szCs w:val="32"/>
          <w:u w:color="auto"/>
        </w:rPr>
        <w:t>没有国有资本经营预算收入</w:t>
      </w:r>
      <w:r>
        <w:rPr>
          <w:rFonts w:hint="eastAsia" w:ascii="仿宋" w:hAnsi="仿宋" w:eastAsia="仿宋" w:cs="仿宋"/>
          <w:color w:val="auto"/>
          <w:sz w:val="32"/>
          <w:szCs w:val="32"/>
          <w:u w:color="auto"/>
          <w:lang w:val="en-US" w:eastAsia="zh-CN"/>
        </w:rPr>
        <w:t>;</w:t>
      </w:r>
      <w:r>
        <w:rPr>
          <w:rFonts w:hint="eastAsia" w:ascii="仿宋" w:hAnsi="仿宋" w:eastAsia="仿宋" w:cs="仿宋"/>
          <w:color w:val="auto"/>
          <w:sz w:val="32"/>
          <w:szCs w:val="32"/>
          <w:u w:color="auto"/>
        </w:rPr>
        <w:t>也没有国有资本经营预算收入</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安排的支出</w:t>
      </w:r>
      <w:bookmarkEnd w:id="2"/>
      <w:r>
        <w:rPr>
          <w:rFonts w:hint="eastAsia" w:ascii="仿宋" w:hAnsi="仿宋" w:eastAsia="仿宋" w:cs="仿宋"/>
          <w:color w:val="auto"/>
          <w:sz w:val="32"/>
          <w:szCs w:val="32"/>
          <w:lang w:eastAsia="zh-CN"/>
        </w:rPr>
        <w:t>。</w:t>
      </w:r>
    </w:p>
    <w:p w14:paraId="50F571F0">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14:paraId="4DA51D95">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主要原因是：本单位不符合</w:t>
      </w:r>
      <w:r>
        <w:rPr>
          <w:rFonts w:hint="eastAsia" w:ascii="仿宋" w:hAnsi="仿宋" w:eastAsia="仿宋" w:cs="仿宋"/>
          <w:color w:val="auto"/>
          <w:kern w:val="2"/>
          <w:sz w:val="32"/>
          <w:szCs w:val="32"/>
          <w:highlight w:val="none"/>
          <w:lang w:val="en-US" w:eastAsia="zh-CN" w:bidi="ar"/>
        </w:rPr>
        <w:t>安排“三公经费”公共预算。</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p>
    <w:p w14:paraId="46E95C3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5CFDB3AF">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原因是：本部门无因公出国预算安排.</w:t>
      </w:r>
    </w:p>
    <w:p w14:paraId="419C97BE">
      <w:pPr>
        <w:numPr>
          <w:ilvl w:val="0"/>
          <w:numId w:val="3"/>
        </w:numPr>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highlight w:val="none"/>
        </w:rPr>
        <w:t>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3"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本部门无公务用车购置</w:t>
      </w:r>
      <w:r>
        <w:rPr>
          <w:rFonts w:hint="eastAsia" w:ascii="仿宋" w:hAnsi="仿宋" w:eastAsia="仿宋" w:cs="仿宋"/>
          <w:color w:val="auto"/>
          <w:sz w:val="32"/>
          <w:szCs w:val="32"/>
          <w:lang w:val="en-US" w:eastAsia="zh-CN"/>
        </w:rPr>
        <w:t>费</w:t>
      </w:r>
      <w:bookmarkEnd w:id="3"/>
      <w:r>
        <w:rPr>
          <w:rFonts w:hint="eastAsia" w:ascii="仿宋" w:hAnsi="仿宋" w:eastAsia="仿宋" w:cs="仿宋"/>
          <w:color w:val="auto"/>
          <w:sz w:val="32"/>
          <w:szCs w:val="32"/>
          <w:lang w:val="en-US" w:eastAsia="zh-CN"/>
        </w:rPr>
        <w:t>预算安排</w:t>
      </w:r>
      <w:r>
        <w:rPr>
          <w:rFonts w:hint="eastAsia" w:ascii="仿宋" w:hAnsi="仿宋" w:eastAsia="仿宋" w:cs="仿宋"/>
          <w:color w:val="auto"/>
          <w:sz w:val="32"/>
          <w:szCs w:val="32"/>
        </w:rPr>
        <w:t>。</w:t>
      </w:r>
    </w:p>
    <w:p w14:paraId="12568436">
      <w:pPr>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rPr>
        <w:t>本部门无公务用车</w:t>
      </w:r>
      <w:r>
        <w:rPr>
          <w:rFonts w:hint="eastAsia" w:ascii="仿宋" w:hAnsi="仿宋" w:eastAsia="仿宋" w:cs="仿宋"/>
          <w:color w:val="auto"/>
          <w:sz w:val="32"/>
          <w:szCs w:val="32"/>
          <w:lang w:val="en-US" w:eastAsia="zh-CN"/>
        </w:rPr>
        <w:t>运行维护费预算安排</w:t>
      </w:r>
      <w:r>
        <w:rPr>
          <w:rFonts w:hint="eastAsia" w:ascii="仿宋" w:hAnsi="仿宋" w:eastAsia="仿宋" w:cs="仿宋"/>
          <w:color w:val="auto"/>
          <w:sz w:val="32"/>
          <w:szCs w:val="32"/>
        </w:rPr>
        <w:t>。</w:t>
      </w:r>
    </w:p>
    <w:p w14:paraId="0CFBDF14">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宋体" w:hAnsi="宋体" w:eastAsia="宋体" w:cs="宋体"/>
          <w:b w:val="0"/>
          <w:bCs w:val="0"/>
          <w:sz w:val="28"/>
          <w:szCs w:val="28"/>
          <w:u w:color="auto"/>
          <w:lang w:val="en-US" w:eastAsia="zh-CN"/>
        </w:rPr>
        <w:t>川山镇中心卫生院</w:t>
      </w:r>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w:t>
      </w:r>
    </w:p>
    <w:p w14:paraId="2D73DBC9">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0.00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主要原因是：本单位无一般公共预算安排公务接待费。</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57B7B5AE">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45A7C53D">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0CE82F19">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8.23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完成年初预算支出</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8.23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原因是：</w:t>
      </w:r>
      <w:r>
        <w:rPr>
          <w:rFonts w:hint="eastAsia" w:ascii="Times New Roman" w:hAnsi="Times New Roman" w:eastAsia="仿宋_GB2312" w:cs="Times New Roman"/>
          <w:b w:val="0"/>
          <w:bCs w:val="0"/>
          <w:color w:val="auto"/>
          <w:kern w:val="0"/>
          <w:sz w:val="32"/>
          <w:szCs w:val="32"/>
          <w:highlight w:val="none"/>
          <w:lang w:val="en-US" w:eastAsia="zh-CN"/>
        </w:rPr>
        <w:t>核算归口管理不一致</w:t>
      </w:r>
      <w:r>
        <w:rPr>
          <w:rFonts w:hint="eastAsia" w:ascii="Times New Roman" w:hAnsi="Times New Roman" w:eastAsia="仿宋_GB2312" w:cs="Times New Roman"/>
          <w:b w:val="0"/>
          <w:bCs w:val="0"/>
          <w:color w:val="auto"/>
          <w:kern w:val="0"/>
          <w:sz w:val="32"/>
          <w:szCs w:val="32"/>
          <w:highlight w:val="none"/>
          <w:lang w:eastAsia="zh-CN"/>
        </w:rPr>
        <w:t>。</w:t>
      </w:r>
    </w:p>
    <w:p w14:paraId="7399F723">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20C973F2">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25.88</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25.88</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0.84</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3.25</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25.04</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96.75</w:t>
      </w:r>
      <w:r>
        <w:rPr>
          <w:rFonts w:ascii="仿宋" w:hAnsi="仿宋" w:eastAsia="仿宋" w:cs="仿宋"/>
          <w:sz w:val="32"/>
          <w:szCs w:val="32"/>
          <w:highlight w:val="none"/>
        </w:rPr>
        <w:t>%</w:t>
      </w:r>
      <w:r>
        <w:rPr>
          <w:rFonts w:hint="eastAsia" w:ascii="仿宋" w:hAnsi="仿宋" w:eastAsia="仿宋" w:cs="仿宋"/>
          <w:sz w:val="32"/>
          <w:szCs w:val="32"/>
          <w:highlight w:val="none"/>
        </w:rPr>
        <w:t>。</w:t>
      </w:r>
    </w:p>
    <w:p w14:paraId="6202B1E8">
      <w:pPr>
        <w:ind w:firstLine="640" w:firstLineChars="200"/>
        <w:jc w:val="left"/>
        <w:rPr>
          <w:rFonts w:ascii="仿宋" w:hAnsi="仿宋" w:eastAsia="仿宋" w:cs="仿宋"/>
          <w:sz w:val="32"/>
          <w:szCs w:val="32"/>
          <w:highlight w:val="none"/>
        </w:rPr>
      </w:pPr>
    </w:p>
    <w:p w14:paraId="4DC5DCDE">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242D2FD9">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w:t>
      </w:r>
      <w:r>
        <w:rPr>
          <w:rFonts w:hint="eastAsia" w:ascii="仿宋_GB2312" w:hAnsi="仿宋_GB2312" w:eastAsia="仿宋_GB2312" w:cs="仿宋_GB2312"/>
          <w:kern w:val="0"/>
          <w:sz w:val="32"/>
          <w:szCs w:val="32"/>
        </w:rPr>
        <w:t>单位价值50</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万元以上</w:t>
      </w:r>
      <w:r>
        <w:rPr>
          <w:rFonts w:hint="eastAsia" w:ascii="仿宋_GB2312" w:hAnsi="仿宋_GB2312" w:eastAsia="仿宋_GB2312" w:cs="仿宋_GB2312"/>
          <w:kern w:val="0"/>
          <w:sz w:val="32"/>
          <w:szCs w:val="32"/>
          <w:lang w:val="en-US" w:eastAsia="zh-CN"/>
        </w:rPr>
        <w:t>专用</w:t>
      </w:r>
      <w:r>
        <w:rPr>
          <w:rFonts w:hint="eastAsia" w:ascii="仿宋_GB2312" w:hAnsi="仿宋_GB2312" w:eastAsia="仿宋_GB2312" w:cs="仿宋_GB2312"/>
          <w:kern w:val="0"/>
          <w:sz w:val="32"/>
          <w:szCs w:val="32"/>
        </w:rPr>
        <w:t>设备</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台</w:t>
      </w:r>
      <w:r>
        <w:rPr>
          <w:rFonts w:hint="eastAsia" w:ascii="仿宋" w:hAnsi="仿宋" w:eastAsia="仿宋" w:cs="仿宋"/>
          <w:sz w:val="32"/>
          <w:szCs w:val="32"/>
          <w:highlight w:val="none"/>
        </w:rPr>
        <w:t>（套）；</w:t>
      </w:r>
      <w:r>
        <w:rPr>
          <w:rFonts w:hint="eastAsia" w:ascii="仿宋_GB2312" w:hAnsi="仿宋_GB2312" w:eastAsia="仿宋_GB2312" w:cs="仿宋_GB2312"/>
          <w:kern w:val="0"/>
          <w:sz w:val="32"/>
          <w:szCs w:val="32"/>
        </w:rPr>
        <w:t>单位价值</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00万元以上专用设备</w:t>
      </w:r>
      <w:r>
        <w:rPr>
          <w:rFonts w:hint="eastAsia" w:ascii="仿宋_GB2312" w:hAnsi="仿宋_GB2312" w:eastAsia="仿宋_GB2312" w:cs="仿宋_GB2312"/>
          <w:kern w:val="0"/>
          <w:sz w:val="32"/>
          <w:szCs w:val="32"/>
          <w:lang w:val="en-US" w:eastAsia="zh-CN"/>
        </w:rPr>
        <w:t>1台</w:t>
      </w:r>
      <w:r>
        <w:rPr>
          <w:rFonts w:hint="eastAsia" w:ascii="仿宋" w:hAnsi="仿宋" w:eastAsia="仿宋" w:cs="仿宋"/>
          <w:sz w:val="32"/>
          <w:szCs w:val="32"/>
          <w:highlight w:val="none"/>
        </w:rPr>
        <w:t>（套）。</w:t>
      </w:r>
    </w:p>
    <w:p w14:paraId="274BE44B">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14:paraId="6E631A3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4EA06ABA">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497.30</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44.06</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本部门无涉及</w:t>
      </w:r>
      <w:r>
        <w:rPr>
          <w:rFonts w:hint="eastAsia" w:ascii="仿宋" w:hAnsi="仿宋" w:eastAsia="仿宋" w:cs="仿宋"/>
          <w:color w:val="000000" w:themeColor="text1"/>
          <w:sz w:val="32"/>
          <w:szCs w:val="32"/>
          <w14:textFill>
            <w14:solidFill>
              <w14:schemeClr w14:val="tx1"/>
            </w14:solidFill>
          </w14:textFill>
        </w:rPr>
        <w:t>政府性基金预算项目</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国有资本经营预算项目</w:t>
      </w:r>
      <w:r>
        <w:rPr>
          <w:rFonts w:hint="eastAsia" w:ascii="仿宋" w:hAnsi="仿宋" w:eastAsia="仿宋" w:cs="仿宋"/>
          <w:color w:val="000000" w:themeColor="text1"/>
          <w:sz w:val="32"/>
          <w:szCs w:val="32"/>
          <w:lang w:eastAsia="zh-CN"/>
          <w14:textFill>
            <w14:solidFill>
              <w14:schemeClr w14:val="tx1"/>
            </w14:solidFill>
          </w14:textFill>
        </w:rPr>
        <w:t>经费支出</w:t>
      </w:r>
      <w:r>
        <w:rPr>
          <w:rFonts w:hint="eastAsia" w:ascii="仿宋" w:hAnsi="仿宋" w:eastAsia="仿宋" w:cs="仿宋"/>
          <w:color w:val="000000" w:themeColor="text1"/>
          <w:sz w:val="32"/>
          <w:szCs w:val="32"/>
          <w:lang w:val="en-US" w:eastAsia="zh-CN"/>
          <w14:textFill>
            <w14:solidFill>
              <w14:schemeClr w14:val="tx1"/>
            </w14:solidFill>
          </w14:textFill>
        </w:rPr>
        <w:t>.</w:t>
      </w:r>
    </w:p>
    <w:p w14:paraId="2BE3FB8B">
      <w:pPr>
        <w:ind w:firstLine="640" w:firstLineChars="200"/>
        <w:jc w:val="left"/>
        <w:rPr>
          <w:rFonts w:hint="default" w:ascii="仿宋" w:hAnsi="仿宋" w:eastAsia="仿宋" w:cs="仿宋"/>
          <w:color w:val="FF0000"/>
          <w:sz w:val="32"/>
          <w:szCs w:val="32"/>
          <w:lang w:val="en-US"/>
        </w:rPr>
      </w:pPr>
      <w:r>
        <w:rPr>
          <w:rFonts w:hint="eastAsia" w:ascii="仿宋" w:hAnsi="仿宋" w:eastAsia="仿宋" w:cs="仿宋"/>
          <w:color w:val="000000" w:themeColor="text1"/>
          <w:sz w:val="32"/>
          <w:szCs w:val="32"/>
          <w14:textFill>
            <w14:solidFill>
              <w14:schemeClr w14:val="tx1"/>
            </w14:solidFill>
          </w14:textFill>
        </w:rPr>
        <w:t>组织对“中央财政基本药物制度补助资”等</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497.30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各项目的开展实施都能按绩效指标落实到位，完成绩效预期指标设定，整体项目绩效实施优秀。</w:t>
      </w:r>
    </w:p>
    <w:p w14:paraId="242164D0">
      <w:pPr>
        <w:ind w:firstLine="640" w:firstLineChars="200"/>
        <w:jc w:val="left"/>
        <w:rPr>
          <w:rFonts w:hint="eastAsia" w:ascii="仿宋" w:hAnsi="仿宋" w:eastAsia="仿宋" w:cs="仿宋"/>
          <w:color w:val="FF0000"/>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2.项目支出绩效自评结果。</w:t>
      </w:r>
    </w:p>
    <w:p w14:paraId="223C6FC1">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逐一</w:t>
      </w:r>
      <w:r>
        <w:rPr>
          <w:rFonts w:hint="eastAsia" w:ascii="仿宋" w:hAnsi="仿宋" w:eastAsia="仿宋" w:cs="仿宋"/>
          <w:color w:val="000000" w:themeColor="text1"/>
          <w:sz w:val="32"/>
          <w:szCs w:val="32"/>
          <w14:textFill>
            <w14:solidFill>
              <w14:schemeClr w14:val="tx1"/>
            </w14:solidFill>
          </w14:textFill>
        </w:rPr>
        <w:t>对“中央财政基本药物制度补助资”等</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个项目进行了</w:t>
      </w:r>
      <w:r>
        <w:rPr>
          <w:rFonts w:hint="eastAsia" w:ascii="仿宋" w:hAnsi="仿宋" w:eastAsia="仿宋" w:cs="仿宋"/>
          <w:color w:val="000000" w:themeColor="text1"/>
          <w:sz w:val="32"/>
          <w:szCs w:val="32"/>
          <w:lang w:val="en-US" w:eastAsia="zh-CN"/>
          <w14:textFill>
            <w14:solidFill>
              <w14:schemeClr w14:val="tx1"/>
            </w14:solidFill>
          </w14:textFill>
        </w:rPr>
        <w:t>绩效目标自评，结果如下：1.</w:t>
      </w:r>
      <w:r>
        <w:rPr>
          <w:rFonts w:hint="eastAsia" w:ascii="仿宋" w:hAnsi="仿宋" w:eastAsia="仿宋" w:cs="仿宋"/>
          <w:color w:val="000000" w:themeColor="text1"/>
          <w:sz w:val="32"/>
          <w:szCs w:val="32"/>
          <w14:textFill>
            <w14:solidFill>
              <w14:schemeClr w14:val="tx1"/>
            </w14:solidFill>
          </w14:textFill>
        </w:rPr>
        <w:t>中央财政基本药物制度补助资经费项目自评得分为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中央财政重大传染病防控项目自评得分为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补助市县基本药物制度零差率销售补偿经费项目自评得分为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医务人员疫情防控临时性工作补助项目自评得分为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5.中央财政医疗服务与保障能力提升(医疗卫生机构能力建设)</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基本公卫服务项目县级配套资金项目项目自评得分为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7.自治县财政基本药物补助资金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val="en-US" w:eastAsia="zh-CN"/>
          <w14:textFill>
            <w14:solidFill>
              <w14:schemeClr w14:val="tx1"/>
            </w14:solidFill>
          </w14:textFill>
        </w:rPr>
        <w:t>;8.中央财政基本公共卫生服务项目资金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val="en-US" w:eastAsia="zh-CN"/>
          <w14:textFill>
            <w14:solidFill>
              <w14:schemeClr w14:val="tx1"/>
            </w14:solidFill>
          </w14:textFill>
        </w:rPr>
        <w:t>;9.党支部组织活动经费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主要是当年经费未按时拨付到位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10.中央财政基本药物制度补助资金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90.70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偏离原因是部份村卫生室不按规定实施基本药物制度，因其用药量较少及认为集采药品较高，措施是加大政策引导;11.奖励性补贴</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val="en-US" w:eastAsia="zh-CN"/>
          <w14:textFill>
            <w14:solidFill>
              <w14:schemeClr w14:val="tx1"/>
            </w14:solidFill>
          </w14:textFill>
        </w:rPr>
        <w:t>;12.补助市县乡镇卫生院人员工资补助经费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val="en-US" w:eastAsia="zh-CN"/>
          <w14:textFill>
            <w14:solidFill>
              <w14:schemeClr w14:val="tx1"/>
            </w14:solidFill>
          </w14:textFill>
        </w:rPr>
        <w:t>;13.奖励性补贴(非三保)</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val="en-US" w:eastAsia="zh-CN"/>
          <w14:textFill>
            <w14:solidFill>
              <w14:schemeClr w14:val="tx1"/>
            </w14:solidFill>
          </w14:textFill>
        </w:rPr>
        <w:t>;14.中央医疗服务与保障能力提升卫生健康人才培养</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主要是当年经费未按时拨付到位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15.乡村医生养老生活补助县级配套资金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val="en-US" w:eastAsia="zh-CN"/>
          <w14:textFill>
            <w14:solidFill>
              <w14:schemeClr w14:val="tx1"/>
            </w14:solidFill>
          </w14:textFill>
        </w:rPr>
        <w:t>;16.补助市县医药卫生人才队伍建设专项资金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val="en-US" w:eastAsia="zh-CN"/>
          <w14:textFill>
            <w14:solidFill>
              <w14:schemeClr w14:val="tx1"/>
            </w14:solidFill>
          </w14:textFill>
        </w:rPr>
        <w:t>;17.新冠病毒感染救治能力提升补助资金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val="en-US" w:eastAsia="zh-CN"/>
          <w14:textFill>
            <w14:solidFill>
              <w14:schemeClr w14:val="tx1"/>
            </w14:solidFill>
          </w14:textFill>
        </w:rPr>
        <w:t>;18.补助市县乡村医生生活补助经费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98.19</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主要是当年经费未按时全额拨付到位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19.村级妇幼保健员家庭接生员养老生活补助</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val="en-US" w:eastAsia="zh-CN"/>
          <w14:textFill>
            <w14:solidFill>
              <w14:schemeClr w14:val="tx1"/>
            </w14:solidFill>
          </w14:textFill>
        </w:rPr>
        <w:t>;20.补助市县基本公共卫生项目经费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val="en-US" w:eastAsia="zh-CN"/>
          <w14:textFill>
            <w14:solidFill>
              <w14:schemeClr w14:val="tx1"/>
            </w14:solidFill>
          </w14:textFill>
        </w:rPr>
        <w:t>;21.春节前慰问医务人员活动经费项目自评得分为100分，未发现问题;22.医疗卫生机构核增一次性绩效工资总量</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发现问题</w:t>
      </w:r>
      <w:r>
        <w:rPr>
          <w:rFonts w:hint="eastAsia" w:ascii="仿宋" w:hAnsi="仿宋" w:eastAsia="仿宋" w:cs="仿宋"/>
          <w:color w:val="000000" w:themeColor="text1"/>
          <w:sz w:val="32"/>
          <w:szCs w:val="32"/>
          <w:lang w:val="en-US" w:eastAsia="zh-CN"/>
          <w14:textFill>
            <w14:solidFill>
              <w14:schemeClr w14:val="tx1"/>
            </w14:solidFill>
          </w14:textFill>
        </w:rPr>
        <w:t>;23.中央财政基本公共卫生服务项目补助</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95</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偏离原因是</w:t>
      </w:r>
      <w:r>
        <w:rPr>
          <w:rFonts w:hint="default" w:ascii="Calibri" w:hAnsi="Calibri" w:eastAsia="宋体" w:cs="Calibri"/>
          <w:color w:val="000000" w:themeColor="text1"/>
          <w:sz w:val="24"/>
          <w:szCs w:val="24"/>
          <w:lang w:val="en-US" w:eastAsia="zh-CN"/>
          <w14:textFill>
            <w14:solidFill>
              <w14:schemeClr w14:val="tx1"/>
            </w14:solidFill>
          </w14:textFill>
        </w:rPr>
        <w:t>①</w:t>
      </w:r>
      <w:r>
        <w:rPr>
          <w:rFonts w:hint="eastAsia" w:ascii="Calibri" w:hAnsi="Calibri" w:eastAsia="仿宋" w:cs="Calibri"/>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部份指标设定与实际偏离较大，</w:t>
      </w:r>
      <w:r>
        <w:rPr>
          <w:rFonts w:hint="default" w:ascii="Calibri" w:hAnsi="Calibri" w:eastAsia="仿宋" w:cs="Calibri"/>
          <w:color w:val="000000" w:themeColor="text1"/>
          <w:sz w:val="24"/>
          <w:szCs w:val="24"/>
          <w:lang w:val="en-US"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乡村两级责任范围界定模糊，不利于工作开展；建议和措施是</w:t>
      </w:r>
      <w:r>
        <w:rPr>
          <w:rFonts w:hint="default" w:ascii="Calibri" w:hAnsi="Calibri" w:eastAsia="宋体" w:cs="Calibri"/>
          <w:color w:val="000000" w:themeColor="text1"/>
          <w:sz w:val="24"/>
          <w:szCs w:val="24"/>
          <w:lang w:val="en-US" w:eastAsia="zh-CN"/>
          <w14:textFill>
            <w14:solidFill>
              <w14:schemeClr w14:val="tx1"/>
            </w14:solidFill>
          </w14:textFill>
        </w:rPr>
        <w:t>①</w:t>
      </w:r>
      <w:r>
        <w:rPr>
          <w:rFonts w:hint="eastAsia" w:ascii="Calibri" w:hAnsi="Calibri" w:eastAsia="仿宋" w:cs="Calibri"/>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明确乡、村两级业务范畴；</w:t>
      </w:r>
      <w:r>
        <w:rPr>
          <w:rFonts w:hint="default" w:ascii="Calibri" w:hAnsi="Calibri" w:eastAsia="仿宋" w:cs="Calibri"/>
          <w:color w:val="000000" w:themeColor="text1"/>
          <w:sz w:val="24"/>
          <w:szCs w:val="24"/>
          <w:lang w:val="en-US"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加强村医培养。总之项目绩效自评较为优秀，详见自评表（附后）：</w:t>
      </w:r>
    </w:p>
    <w:p w14:paraId="5C0F033F">
      <w:pPr>
        <w:keepNext w:val="0"/>
        <w:keepLines w:val="0"/>
        <w:pageBreakBefore w:val="0"/>
        <w:widowControl w:val="0"/>
        <w:numPr>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630" w:leftChars="0" w:right="0" w:rightChars="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w:t>
      </w:r>
      <w:bookmarkStart w:id="4" w:name="_GoBack"/>
      <w:bookmarkEnd w:id="4"/>
      <w:r>
        <w:rPr>
          <w:rFonts w:hint="eastAsia" w:ascii="仿宋_GB2312" w:hAnsi="Times New Roman" w:eastAsia="仿宋_GB2312" w:cs="仿宋_GB2312"/>
          <w:b w:val="0"/>
          <w:bCs w:val="0"/>
          <w:caps w:val="0"/>
          <w:color w:val="auto"/>
          <w:kern w:val="0"/>
          <w:sz w:val="32"/>
          <w:szCs w:val="32"/>
          <w:vertAlign w:val="baseline"/>
          <w:lang w:val="en-US" w:eastAsia="zh-CN" w:bidi="ar"/>
        </w:rPr>
        <w:t>部门绩效评价结果。</w:t>
      </w:r>
    </w:p>
    <w:p w14:paraId="3241A857">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630" w:leftChars="0" w:right="0" w:rightChars="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我单位为环江毛南族自治县卫生健康局二层单位，无需开展整体支出绩效评价。</w:t>
      </w:r>
    </w:p>
    <w:p w14:paraId="76AD25F0">
      <w:pPr>
        <w:pStyle w:val="3"/>
        <w:rPr>
          <w:rFonts w:hint="eastAsia" w:ascii="仿宋" w:hAnsi="仿宋" w:eastAsia="仿宋" w:cs="仿宋"/>
          <w:color w:val="000000" w:themeColor="text1"/>
          <w:sz w:val="32"/>
          <w:szCs w:val="32"/>
          <w:lang w:val="en-US" w:eastAsia="zh-CN"/>
          <w14:textFill>
            <w14:solidFill>
              <w14:schemeClr w14:val="tx1"/>
            </w14:solidFill>
          </w14:textFill>
        </w:rPr>
      </w:pPr>
    </w:p>
    <w:p w14:paraId="5306FA8C">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37816C20">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14:paraId="5855890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4F3D37A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70C0C09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12E34AA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114832B7">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6C95549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16299F8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71226942">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29106675">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3401D97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174782F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793168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D2242"/>
    <w:multiLevelType w:val="singleLevel"/>
    <w:tmpl w:val="861D2242"/>
    <w:lvl w:ilvl="0" w:tentative="0">
      <w:start w:val="1"/>
      <w:numFmt w:val="chineseCounting"/>
      <w:suff w:val="nothing"/>
      <w:lvlText w:val="（%1）"/>
      <w:lvlJc w:val="left"/>
      <w:rPr>
        <w:rFonts w:hint="eastAsia"/>
      </w:rPr>
    </w:lvl>
  </w:abstractNum>
  <w:abstractNum w:abstractNumId="1">
    <w:nsid w:val="9BF86D39"/>
    <w:multiLevelType w:val="singleLevel"/>
    <w:tmpl w:val="9BF86D39"/>
    <w:lvl w:ilvl="0" w:tentative="0">
      <w:start w:val="1"/>
      <w:numFmt w:val="chineseCounting"/>
      <w:suff w:val="nothing"/>
      <w:lvlText w:val="（%1）"/>
      <w:lvlJc w:val="left"/>
      <w:pPr>
        <w:ind w:left="210" w:firstLine="420"/>
      </w:pPr>
      <w:rPr>
        <w:rFonts w:hint="eastAsia"/>
        <w:color w:val="auto"/>
        <w:sz w:val="32"/>
        <w:szCs w:val="32"/>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1YTNhZmIzNDg4NjdmMjZhYTczYzU2ODUwOGM1YmY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1D2CE7"/>
    <w:rsid w:val="01234E98"/>
    <w:rsid w:val="015F1951"/>
    <w:rsid w:val="01A52F74"/>
    <w:rsid w:val="020C171D"/>
    <w:rsid w:val="02111B48"/>
    <w:rsid w:val="0216715F"/>
    <w:rsid w:val="02E0291A"/>
    <w:rsid w:val="038B2919"/>
    <w:rsid w:val="03D56A09"/>
    <w:rsid w:val="048760F2"/>
    <w:rsid w:val="04E54546"/>
    <w:rsid w:val="057B5C57"/>
    <w:rsid w:val="05992762"/>
    <w:rsid w:val="06FB3EE8"/>
    <w:rsid w:val="07B0770E"/>
    <w:rsid w:val="08A04AE6"/>
    <w:rsid w:val="09361964"/>
    <w:rsid w:val="0942143F"/>
    <w:rsid w:val="0D100297"/>
    <w:rsid w:val="0D202B45"/>
    <w:rsid w:val="0D374B59"/>
    <w:rsid w:val="0D4B59D5"/>
    <w:rsid w:val="0F8D4C87"/>
    <w:rsid w:val="10505FAA"/>
    <w:rsid w:val="105F7E7E"/>
    <w:rsid w:val="11E56B5B"/>
    <w:rsid w:val="125C77AB"/>
    <w:rsid w:val="12E771BB"/>
    <w:rsid w:val="12E87CB4"/>
    <w:rsid w:val="14CB726E"/>
    <w:rsid w:val="15350BFC"/>
    <w:rsid w:val="170E4165"/>
    <w:rsid w:val="17E92249"/>
    <w:rsid w:val="18D304F1"/>
    <w:rsid w:val="19F32577"/>
    <w:rsid w:val="19F45B80"/>
    <w:rsid w:val="1B0C078D"/>
    <w:rsid w:val="1B2B31E2"/>
    <w:rsid w:val="1B4C295A"/>
    <w:rsid w:val="1B973C63"/>
    <w:rsid w:val="1BA1001E"/>
    <w:rsid w:val="1CB25D9E"/>
    <w:rsid w:val="1CB304A3"/>
    <w:rsid w:val="1CDE5948"/>
    <w:rsid w:val="1CF12E26"/>
    <w:rsid w:val="1D317259"/>
    <w:rsid w:val="1D6334B4"/>
    <w:rsid w:val="1D672095"/>
    <w:rsid w:val="1E3F4E76"/>
    <w:rsid w:val="1E664F5B"/>
    <w:rsid w:val="1EB34BE1"/>
    <w:rsid w:val="1F345854"/>
    <w:rsid w:val="215E639F"/>
    <w:rsid w:val="21EC3183"/>
    <w:rsid w:val="225E72CD"/>
    <w:rsid w:val="246E2F77"/>
    <w:rsid w:val="254B4E2B"/>
    <w:rsid w:val="25EC63AB"/>
    <w:rsid w:val="2817653D"/>
    <w:rsid w:val="283D7C94"/>
    <w:rsid w:val="291E1A73"/>
    <w:rsid w:val="29480E03"/>
    <w:rsid w:val="2983634D"/>
    <w:rsid w:val="2AF25803"/>
    <w:rsid w:val="2BB02055"/>
    <w:rsid w:val="2BE4216C"/>
    <w:rsid w:val="2C185514"/>
    <w:rsid w:val="2C575A56"/>
    <w:rsid w:val="2D3D2B16"/>
    <w:rsid w:val="2F257714"/>
    <w:rsid w:val="2F3275E5"/>
    <w:rsid w:val="2F5B06CC"/>
    <w:rsid w:val="30150B6E"/>
    <w:rsid w:val="305A62E5"/>
    <w:rsid w:val="30AA08EF"/>
    <w:rsid w:val="30D23D1C"/>
    <w:rsid w:val="31221CF5"/>
    <w:rsid w:val="31400178"/>
    <w:rsid w:val="318B0720"/>
    <w:rsid w:val="321E3342"/>
    <w:rsid w:val="327759C8"/>
    <w:rsid w:val="33185FE3"/>
    <w:rsid w:val="3399369C"/>
    <w:rsid w:val="34EE2E36"/>
    <w:rsid w:val="36777241"/>
    <w:rsid w:val="369B76E0"/>
    <w:rsid w:val="38A951DB"/>
    <w:rsid w:val="38B31605"/>
    <w:rsid w:val="39003F4F"/>
    <w:rsid w:val="399A1185"/>
    <w:rsid w:val="3BC32B3C"/>
    <w:rsid w:val="3C07002B"/>
    <w:rsid w:val="3C5E7C91"/>
    <w:rsid w:val="3D0D152A"/>
    <w:rsid w:val="3D613F77"/>
    <w:rsid w:val="3DF62756"/>
    <w:rsid w:val="3EE24C70"/>
    <w:rsid w:val="3F045562"/>
    <w:rsid w:val="3F1B7587"/>
    <w:rsid w:val="3F650535"/>
    <w:rsid w:val="3F6727CC"/>
    <w:rsid w:val="41E57B4F"/>
    <w:rsid w:val="42FA72B4"/>
    <w:rsid w:val="432F26F6"/>
    <w:rsid w:val="43650365"/>
    <w:rsid w:val="43880F63"/>
    <w:rsid w:val="441C5A6F"/>
    <w:rsid w:val="449C56DA"/>
    <w:rsid w:val="44C44FCC"/>
    <w:rsid w:val="44CC7369"/>
    <w:rsid w:val="457F5108"/>
    <w:rsid w:val="46951B6B"/>
    <w:rsid w:val="46A673EF"/>
    <w:rsid w:val="46BB3CA7"/>
    <w:rsid w:val="46FD2260"/>
    <w:rsid w:val="49A34401"/>
    <w:rsid w:val="4A3E30AB"/>
    <w:rsid w:val="4AC14DAC"/>
    <w:rsid w:val="4C260A4D"/>
    <w:rsid w:val="4D154C85"/>
    <w:rsid w:val="4E006B7F"/>
    <w:rsid w:val="4EC8553A"/>
    <w:rsid w:val="508F4E24"/>
    <w:rsid w:val="51461E90"/>
    <w:rsid w:val="51463753"/>
    <w:rsid w:val="52553A93"/>
    <w:rsid w:val="53521F8B"/>
    <w:rsid w:val="53BE6A84"/>
    <w:rsid w:val="53E22F47"/>
    <w:rsid w:val="541C51BE"/>
    <w:rsid w:val="54315365"/>
    <w:rsid w:val="54522FF8"/>
    <w:rsid w:val="548F76E2"/>
    <w:rsid w:val="55450629"/>
    <w:rsid w:val="554B6DA2"/>
    <w:rsid w:val="56692963"/>
    <w:rsid w:val="568B0F48"/>
    <w:rsid w:val="56B23F89"/>
    <w:rsid w:val="5786217B"/>
    <w:rsid w:val="58491409"/>
    <w:rsid w:val="59337A15"/>
    <w:rsid w:val="59810274"/>
    <w:rsid w:val="59CC1752"/>
    <w:rsid w:val="59DA52D2"/>
    <w:rsid w:val="5A35552D"/>
    <w:rsid w:val="5A36148E"/>
    <w:rsid w:val="5A6279C1"/>
    <w:rsid w:val="5AD536D4"/>
    <w:rsid w:val="5BB810A7"/>
    <w:rsid w:val="5C6310D4"/>
    <w:rsid w:val="5CA96A00"/>
    <w:rsid w:val="5CF730BC"/>
    <w:rsid w:val="5E4A0E97"/>
    <w:rsid w:val="5E5F0DCE"/>
    <w:rsid w:val="5FA40A7B"/>
    <w:rsid w:val="5FD52F37"/>
    <w:rsid w:val="5FD56D29"/>
    <w:rsid w:val="5FEC7F3F"/>
    <w:rsid w:val="6054424F"/>
    <w:rsid w:val="607921FE"/>
    <w:rsid w:val="60F74BC3"/>
    <w:rsid w:val="61021EFD"/>
    <w:rsid w:val="617D3BF8"/>
    <w:rsid w:val="61841F6A"/>
    <w:rsid w:val="61F35C6C"/>
    <w:rsid w:val="623007A9"/>
    <w:rsid w:val="62737D97"/>
    <w:rsid w:val="637D7558"/>
    <w:rsid w:val="644F19AC"/>
    <w:rsid w:val="65622F6B"/>
    <w:rsid w:val="657C7487"/>
    <w:rsid w:val="65AA4920"/>
    <w:rsid w:val="67694F1E"/>
    <w:rsid w:val="69597934"/>
    <w:rsid w:val="6AF24D91"/>
    <w:rsid w:val="6B1B6BF7"/>
    <w:rsid w:val="6B840EB3"/>
    <w:rsid w:val="6B964DDC"/>
    <w:rsid w:val="6BCB60D7"/>
    <w:rsid w:val="6C783074"/>
    <w:rsid w:val="6CFE1E69"/>
    <w:rsid w:val="6D365276"/>
    <w:rsid w:val="6D9E65C6"/>
    <w:rsid w:val="6DA81947"/>
    <w:rsid w:val="6EB66DE2"/>
    <w:rsid w:val="6ED3075F"/>
    <w:rsid w:val="6F2A2D4B"/>
    <w:rsid w:val="6F8A0C1E"/>
    <w:rsid w:val="703F45D4"/>
    <w:rsid w:val="707C177E"/>
    <w:rsid w:val="70E1769A"/>
    <w:rsid w:val="70F4398A"/>
    <w:rsid w:val="713E692D"/>
    <w:rsid w:val="715D6546"/>
    <w:rsid w:val="71BE069E"/>
    <w:rsid w:val="72460A5E"/>
    <w:rsid w:val="73953409"/>
    <w:rsid w:val="73D24F8C"/>
    <w:rsid w:val="73E069A3"/>
    <w:rsid w:val="74E43E3D"/>
    <w:rsid w:val="751E1C4C"/>
    <w:rsid w:val="77073972"/>
    <w:rsid w:val="77963F70"/>
    <w:rsid w:val="78104AA8"/>
    <w:rsid w:val="78E257C5"/>
    <w:rsid w:val="794B35BE"/>
    <w:rsid w:val="7A1E06E8"/>
    <w:rsid w:val="7B0A3A31"/>
    <w:rsid w:val="7B3360ED"/>
    <w:rsid w:val="7B5319F3"/>
    <w:rsid w:val="7BBB1262"/>
    <w:rsid w:val="7BDF037E"/>
    <w:rsid w:val="7BF50948"/>
    <w:rsid w:val="7C6C3AAA"/>
    <w:rsid w:val="7CE220C1"/>
    <w:rsid w:val="7CE66A78"/>
    <w:rsid w:val="7D046CFB"/>
    <w:rsid w:val="7D23564C"/>
    <w:rsid w:val="7D5E062D"/>
    <w:rsid w:val="7D8A7434"/>
    <w:rsid w:val="7DE5310B"/>
    <w:rsid w:val="7DF76CD8"/>
    <w:rsid w:val="7EA57210"/>
    <w:rsid w:val="7F56086E"/>
    <w:rsid w:val="7F695C26"/>
    <w:rsid w:val="7FCF62D3"/>
    <w:rsid w:val="7FEB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952</Words>
  <Characters>994</Characters>
  <Lines>90</Lines>
  <Paragraphs>25</Paragraphs>
  <TotalTime>20</TotalTime>
  <ScaleCrop>false</ScaleCrop>
  <LinksUpToDate>false</LinksUpToDate>
  <CharactersWithSpaces>1012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鱼丸</cp:lastModifiedBy>
  <dcterms:modified xsi:type="dcterms:W3CDTF">2024-12-31T08:05:58Z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16A5E58A4C184A0F8AAD5879DBB8AF73</vt:lpwstr>
  </property>
  <property fmtid="{D5CDD505-2E9C-101B-9397-08002B2CF9AE}" pid="4" name="KSOTemplateDocerSaveRecord">
    <vt:lpwstr>eyJoZGlkIjoiNzk2NGE3NzdiZTk2N2U1ZDdjMTdjOGJiY2I5OTExZWUiLCJ1c2VySWQiOiIyNTQ5NjU4MjAifQ==</vt:lpwstr>
  </property>
</Properties>
</file>