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rFonts w:hint="eastAsia" w:ascii="仿宋" w:hAnsi="仿宋" w:eastAsia="仿宋" w:cs="仿宋"/>
          <w:color w:val="auto"/>
          <w:sz w:val="32"/>
          <w:szCs w:val="32"/>
          <w:highlight w:val="none"/>
          <w:lang w:eastAsia="zh-CN"/>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黑体" w:hAnsi="黑体" w:eastAsia="黑体" w:cs="黑体"/>
          <w:b/>
          <w:bCs/>
          <w:color w:val="auto"/>
          <w:sz w:val="52"/>
          <w:szCs w:val="52"/>
          <w:highlight w:val="none"/>
          <w:lang w:val="en-US" w:eastAsia="zh-CN"/>
        </w:rPr>
      </w:pPr>
      <w:r>
        <w:rPr>
          <w:rFonts w:hint="eastAsia" w:ascii="黑体" w:hAnsi="黑体" w:eastAsia="黑体" w:cs="黑体"/>
          <w:b/>
          <w:bCs/>
          <w:color w:val="auto"/>
          <w:sz w:val="52"/>
          <w:szCs w:val="52"/>
          <w:highlight w:val="none"/>
          <w:lang w:val="en-US" w:eastAsia="zh-CN"/>
        </w:rPr>
        <w:t>环江毛南族自治县乡村振兴局</w:t>
      </w: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p>
    <w:p>
      <w:pPr>
        <w:jc w:val="center"/>
        <w:rPr>
          <w:rFonts w:hint="eastAsia" w:ascii="黑体" w:hAnsi="黑体" w:eastAsia="黑体" w:cs="黑体"/>
          <w:b/>
          <w:bCs/>
          <w:color w:val="auto"/>
          <w:sz w:val="36"/>
          <w:szCs w:val="36"/>
          <w:highlight w:val="none"/>
        </w:rPr>
        <w:sectPr>
          <w:head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highlight w:val="none"/>
          <w:u w:color="auto"/>
          <w:lang w:eastAsia="zh-CN"/>
        </w:rPr>
        <w:t>环江毛南族自治县乡村振兴局</w:t>
      </w:r>
      <w:r>
        <w:rPr>
          <w:rFonts w:hint="eastAsia" w:ascii="黑体" w:hAnsi="黑体" w:eastAsia="黑体" w:cs="黑体"/>
          <w:color w:val="auto"/>
          <w:sz w:val="32"/>
          <w:szCs w:val="32"/>
          <w:highlight w:val="none"/>
        </w:rPr>
        <w:t>概况</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一、主要职能</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highlight w:val="none"/>
          <w:u w:color="auto"/>
          <w:lang w:eastAsia="zh-CN"/>
        </w:rPr>
        <w:t>环江毛南族自治县乡村振兴局</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表九：一般公共预算财政拨款安排的“三公”经费支出决算表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highlight w:val="none"/>
          <w:u w:color="auto"/>
          <w:lang w:eastAsia="zh-CN"/>
        </w:rPr>
        <w:t>环江毛南族自治县乡村振兴局</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center"/>
        <w:rPr>
          <w:rFonts w:hint="eastAsia" w:ascii="黑体" w:hAnsi="黑体" w:eastAsia="黑体" w:cs="黑体"/>
          <w:b/>
          <w:bCs/>
          <w:color w:val="auto"/>
          <w:sz w:val="32"/>
          <w:szCs w:val="32"/>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highlight w:val="none"/>
          <w:u w:color="auto"/>
          <w:lang w:eastAsia="zh-CN"/>
        </w:rPr>
        <w:t>环江毛南族自治县乡村振兴局</w:t>
      </w:r>
      <w:r>
        <w:rPr>
          <w:rFonts w:hint="eastAsia" w:ascii="黑体" w:hAnsi="黑体" w:eastAsia="黑体" w:cs="黑体"/>
          <w:b/>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贯彻落实国家、自治区、市和县有关</w:t>
      </w:r>
      <w:r>
        <w:rPr>
          <w:rFonts w:hint="eastAsia" w:ascii="仿宋_GB2312" w:hAnsi="仿宋_GB2312" w:eastAsia="仿宋_GB2312" w:cs="仿宋_GB2312"/>
          <w:color w:val="auto"/>
          <w:sz w:val="32"/>
          <w:szCs w:val="32"/>
          <w:highlight w:val="none"/>
          <w:u w:val="none"/>
          <w:lang w:val="en-US" w:eastAsia="zh-CN"/>
        </w:rPr>
        <w:t>乡村振兴</w:t>
      </w:r>
      <w:r>
        <w:rPr>
          <w:rFonts w:hint="eastAsia" w:ascii="仿宋_GB2312" w:hAnsi="仿宋_GB2312" w:eastAsia="仿宋_GB2312" w:cs="仿宋_GB2312"/>
          <w:color w:val="auto"/>
          <w:sz w:val="32"/>
          <w:szCs w:val="32"/>
          <w:highlight w:val="none"/>
          <w:u w:val="none"/>
        </w:rPr>
        <w:t>工作的方针、政策；组织实施全县</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工作计划。</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根据市委、市人民政府和自治县党委、自治县人民政府提出的</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目标、任务、拟订全县</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总体规划和年度实施方案。</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根据自治区年度下拨的财政衔接推进乡村振兴补助资金指标（不含以工代赈、民族发展资金，下同）负责和组织有关部门研究资金的投向和分配计划。</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负责乡村振兴补助资金项目的实施，效益追踪和各项措施的落实；乡村振兴补助资金、物资的投放和使用；组织全县贫困状况的监测与统计。</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协助自治县党委、自治县人民政府组织、动员社会各界支持、参与</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,检查、督促落实县直单位挂钩扶贫责任制,负责全县内外对口帮扶协作，组织开展扶贫对外交流与合作。</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组织实施贫困地区基础设施建设，组织开展扶贫搬迁工作，负责全县扶贫信贷计划、协调和组织实施工作。</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承担全县贫困地区干部</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培训、农村实用技术培训工作，参与实施贫困地区劳动力转移就业培训工作，协调组织实施教育扶贫和科技扶贫，指导、协调贫困地区劳务经济发展和人才资源开发，会同相关部门组织贫困地区劳务输出。</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负责指导外资扶贫项目的实施。</w:t>
      </w:r>
    </w:p>
    <w:p>
      <w:pPr>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9、</w:t>
      </w:r>
      <w:r>
        <w:rPr>
          <w:rFonts w:hint="eastAsia" w:ascii="仿宋_GB2312" w:hAnsi="仿宋_GB2312" w:eastAsia="仿宋_GB2312" w:cs="仿宋_GB2312"/>
          <w:color w:val="auto"/>
          <w:sz w:val="32"/>
          <w:szCs w:val="32"/>
          <w:highlight w:val="none"/>
          <w:u w:val="none"/>
        </w:rPr>
        <w:t>承办自治县党委、自治县人民政府交办的其他事项。</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jc w:val="left"/>
        <w:outlineLvl w:val="9"/>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机构设置情况</w:t>
      </w:r>
    </w:p>
    <w:p>
      <w:pPr>
        <w:spacing w:line="560" w:lineRule="exact"/>
        <w:ind w:firstLine="643" w:firstLineChars="200"/>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1、</w:t>
      </w:r>
      <w:r>
        <w:rPr>
          <w:rFonts w:hint="eastAsia" w:ascii="楷体_GB2312" w:hAnsi="楷体_GB2312" w:eastAsia="楷体_GB2312" w:cs="楷体_GB2312"/>
          <w:b/>
          <w:bCs/>
          <w:color w:val="auto"/>
          <w:sz w:val="32"/>
          <w:szCs w:val="32"/>
          <w:highlight w:val="none"/>
          <w:u w:val="none"/>
        </w:rPr>
        <w:t>综合股</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负责起草全县</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总体规划，协助</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综合管理全县</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各项事务工作，协调</w:t>
      </w:r>
      <w:r>
        <w:rPr>
          <w:rFonts w:hint="eastAsia" w:ascii="仿宋_GB2312" w:hAnsi="仿宋_GB2312" w:eastAsia="仿宋_GB2312" w:cs="仿宋_GB2312"/>
          <w:color w:val="auto"/>
          <w:sz w:val="32"/>
          <w:szCs w:val="32"/>
          <w:highlight w:val="none"/>
          <w:u w:val="none"/>
          <w:lang w:eastAsia="zh-CN"/>
        </w:rPr>
        <w:t>局</w:t>
      </w:r>
      <w:r>
        <w:rPr>
          <w:rFonts w:hint="eastAsia" w:ascii="仿宋_GB2312" w:hAnsi="仿宋_GB2312" w:eastAsia="仿宋_GB2312" w:cs="仿宋_GB2312"/>
          <w:color w:val="auto"/>
          <w:sz w:val="32"/>
          <w:szCs w:val="32"/>
          <w:highlight w:val="none"/>
          <w:u w:val="none"/>
        </w:rPr>
        <w:t>二层机构的日常工作，起草综合性文件和材料，制定机关工作制度。扶贫产业开发项目规划、两项制度有效衔接试点工作、扶贫统计、扶贫统计监测、相关会议记录和各项活动的组织、日常文电处理、办公自动化、秘书事务、上报材料、编写简报、综合调研、文书档案、处理群众来信来访、机要、保密、党史等工作；负责</w:t>
      </w:r>
      <w:r>
        <w:rPr>
          <w:rFonts w:hint="eastAsia" w:ascii="仿宋_GB2312" w:hAnsi="仿宋_GB2312" w:eastAsia="仿宋_GB2312" w:cs="仿宋_GB2312"/>
          <w:color w:val="auto"/>
          <w:sz w:val="32"/>
          <w:szCs w:val="32"/>
          <w:highlight w:val="none"/>
          <w:u w:val="none"/>
          <w:lang w:eastAsia="zh-CN"/>
        </w:rPr>
        <w:t>本局</w:t>
      </w:r>
      <w:r>
        <w:rPr>
          <w:rFonts w:hint="eastAsia" w:ascii="仿宋_GB2312" w:hAnsi="仿宋_GB2312" w:eastAsia="仿宋_GB2312" w:cs="仿宋_GB2312"/>
          <w:color w:val="auto"/>
          <w:sz w:val="32"/>
          <w:szCs w:val="32"/>
          <w:highlight w:val="none"/>
          <w:u w:val="none"/>
        </w:rPr>
        <w:t>年度总结考核、政务公开、保卫、环卫和固定资产使用、公务用车的使用管理、后勤接待和报刊杂志的征订、分发、离退休人员管理、革命老区促进会等工作。督促检查实行有关规章制度落实情况。做好科技养牛场、九万山公司、养猪场服务管理工作。完成本股年度总结及</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交办的其他工作。</w:t>
      </w:r>
    </w:p>
    <w:p>
      <w:pPr>
        <w:spacing w:line="560" w:lineRule="exact"/>
        <w:ind w:firstLine="643" w:firstLineChars="200"/>
        <w:rPr>
          <w:rFonts w:hint="eastAsia" w:ascii="仿宋_GB2312" w:hAnsi="仿宋_GB2312" w:eastAsia="仿宋_GB2312" w:cs="仿宋_GB2312"/>
          <w:b/>
          <w:bCs/>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2、</w:t>
      </w:r>
      <w:r>
        <w:rPr>
          <w:rFonts w:hint="eastAsia" w:ascii="楷体_GB2312" w:hAnsi="楷体_GB2312" w:eastAsia="楷体_GB2312" w:cs="楷体_GB2312"/>
          <w:b/>
          <w:bCs/>
          <w:color w:val="auto"/>
          <w:sz w:val="32"/>
          <w:szCs w:val="32"/>
          <w:highlight w:val="none"/>
          <w:u w:val="none"/>
        </w:rPr>
        <w:t>项目管理股</w:t>
      </w:r>
    </w:p>
    <w:p>
      <w:pPr>
        <w:spacing w:line="560" w:lineRule="exact"/>
        <w:ind w:firstLine="640" w:firstLineChars="200"/>
        <w:rPr>
          <w:rFonts w:hint="eastAsia" w:ascii="仿宋_GB2312" w:hAnsi="仿宋_GB2312" w:eastAsia="仿宋_GB2312" w:cs="仿宋_GB2312"/>
          <w:color w:val="auto"/>
          <w:sz w:val="32"/>
          <w:szCs w:val="32"/>
          <w:highlight w:val="none"/>
          <w:u w:val="none"/>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highlight w:val="none"/>
          <w:u w:val="none"/>
        </w:rPr>
        <w:t>负责扶贫项目的规划，建立扶贫项目储备库。年度上报项目的编制和实施项目的监督检查；负责扶贫基础设施建设项目、全县“整村推进”项目、重点扶持村建设项目、整乡推进综合</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试点及其他扶贫项目的测设和施工管理、检查验收及材料总结等工作。起草本股文件、材料。对应联</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系开展综治维稳、安全生产工作。完成本股年度总结及</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交办的其他工作。</w:t>
      </w:r>
    </w:p>
    <w:p>
      <w:pPr>
        <w:spacing w:line="560" w:lineRule="exact"/>
        <w:ind w:firstLine="643" w:firstLineChars="200"/>
        <w:rPr>
          <w:rFonts w:hint="eastAsia" w:ascii="黑体" w:hAnsi="黑体" w:eastAsia="黑体" w:cs="黑体"/>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3、</w:t>
      </w:r>
      <w:r>
        <w:rPr>
          <w:rFonts w:hint="eastAsia" w:ascii="楷体_GB2312" w:hAnsi="楷体_GB2312" w:eastAsia="楷体_GB2312" w:cs="楷体_GB2312"/>
          <w:b/>
          <w:bCs/>
          <w:color w:val="auto"/>
          <w:sz w:val="32"/>
          <w:szCs w:val="32"/>
          <w:highlight w:val="none"/>
          <w:u w:val="none"/>
        </w:rPr>
        <w:t>资金管理股</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负责配合有关部门草拟全县各项扶贫资金投向规划和年度分配计划建议；草拟扶贫资金使用管理办法：督促检查扶贫资金到位和使用管理情况；负责</w:t>
      </w:r>
      <w:r>
        <w:rPr>
          <w:rFonts w:hint="eastAsia" w:ascii="仿宋_GB2312" w:hAnsi="仿宋_GB2312" w:eastAsia="仿宋_GB2312" w:cs="仿宋_GB2312"/>
          <w:color w:val="auto"/>
          <w:sz w:val="32"/>
          <w:szCs w:val="32"/>
          <w:highlight w:val="none"/>
          <w:u w:val="none"/>
          <w:lang w:eastAsia="zh-CN"/>
        </w:rPr>
        <w:t>本局</w:t>
      </w:r>
      <w:r>
        <w:rPr>
          <w:rFonts w:hint="eastAsia" w:ascii="仿宋_GB2312" w:hAnsi="仿宋_GB2312" w:eastAsia="仿宋_GB2312" w:cs="仿宋_GB2312"/>
          <w:color w:val="auto"/>
          <w:sz w:val="32"/>
          <w:szCs w:val="32"/>
          <w:highlight w:val="none"/>
          <w:u w:val="none"/>
        </w:rPr>
        <w:t>财务、编制、医疗保险、公共节能、固定资产的统计上报、</w:t>
      </w:r>
      <w:r>
        <w:rPr>
          <w:rFonts w:hint="eastAsia" w:ascii="仿宋_GB2312" w:hAnsi="仿宋_GB2312" w:eastAsia="仿宋_GB2312" w:cs="仿宋_GB2312"/>
          <w:color w:val="auto"/>
          <w:sz w:val="32"/>
          <w:szCs w:val="32"/>
          <w:highlight w:val="none"/>
          <w:u w:val="none"/>
          <w:lang w:eastAsia="zh-CN"/>
        </w:rPr>
        <w:t>本局</w:t>
      </w:r>
      <w:r>
        <w:rPr>
          <w:rFonts w:hint="eastAsia" w:ascii="仿宋_GB2312" w:hAnsi="仿宋_GB2312" w:eastAsia="仿宋_GB2312" w:cs="仿宋_GB2312"/>
          <w:color w:val="auto"/>
          <w:sz w:val="32"/>
          <w:szCs w:val="32"/>
          <w:highlight w:val="none"/>
          <w:u w:val="none"/>
        </w:rPr>
        <w:t>人员的考核晋级、工资福利等管理工作；协助综合股完成年度各级各部门报刊杂志的征订工作。对应联系县财政、人社、编制等部门开展的各项工作。承担外资扶贫项目管理中心的各项工作。完成本股年度总结及</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交办的其他工作。</w:t>
      </w:r>
    </w:p>
    <w:p>
      <w:pPr>
        <w:spacing w:line="560" w:lineRule="exact"/>
        <w:ind w:firstLine="643" w:firstLineChars="200"/>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4、</w:t>
      </w:r>
      <w:r>
        <w:rPr>
          <w:rFonts w:hint="eastAsia" w:ascii="楷体_GB2312" w:hAnsi="楷体_GB2312" w:eastAsia="楷体_GB2312" w:cs="楷体_GB2312"/>
          <w:b/>
          <w:bCs/>
          <w:color w:val="auto"/>
          <w:sz w:val="32"/>
          <w:szCs w:val="32"/>
          <w:highlight w:val="none"/>
          <w:u w:val="none"/>
        </w:rPr>
        <w:t>社会扶贫股</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负责</w:t>
      </w:r>
      <w:r>
        <w:rPr>
          <w:rFonts w:hint="eastAsia" w:ascii="仿宋_GB2312" w:hAnsi="仿宋_GB2312" w:eastAsia="仿宋_GB2312" w:cs="仿宋_GB2312"/>
          <w:color w:val="auto"/>
          <w:sz w:val="32"/>
          <w:szCs w:val="32"/>
          <w:highlight w:val="none"/>
          <w:u w:val="none"/>
        </w:rPr>
        <w:t>贫困农村实用技术培训、贫困农村劳动力转移就业培训、“雨露计划”培训等扶贫培训等工作；负责上述项目立项审核和项目实施检查、评价和验收材料总结；做好贫困农村劳务输出管理；扶贫物资的保管、发放；负责</w:t>
      </w:r>
      <w:r>
        <w:rPr>
          <w:rFonts w:hint="eastAsia" w:ascii="仿宋_GB2312" w:hAnsi="仿宋_GB2312" w:eastAsia="仿宋_GB2312" w:cs="仿宋_GB2312"/>
          <w:color w:val="auto"/>
          <w:sz w:val="32"/>
          <w:szCs w:val="32"/>
          <w:highlight w:val="none"/>
          <w:u w:val="none"/>
          <w:lang w:eastAsia="zh-CN"/>
        </w:rPr>
        <w:t>本局</w:t>
      </w:r>
      <w:r>
        <w:rPr>
          <w:rFonts w:hint="eastAsia" w:ascii="仿宋_GB2312" w:hAnsi="仿宋_GB2312" w:eastAsia="仿宋_GB2312" w:cs="仿宋_GB2312"/>
          <w:color w:val="auto"/>
          <w:sz w:val="32"/>
          <w:szCs w:val="32"/>
          <w:highlight w:val="none"/>
          <w:u w:val="none"/>
        </w:rPr>
        <w:t>扶贫点的联络工作；完成本股年度总结及</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交办的其他工作。</w:t>
      </w:r>
    </w:p>
    <w:p>
      <w:pPr>
        <w:spacing w:line="560" w:lineRule="exact"/>
        <w:ind w:firstLine="643"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5、</w:t>
      </w:r>
      <w:r>
        <w:rPr>
          <w:rFonts w:hint="eastAsia" w:ascii="楷体_GB2312" w:hAnsi="楷体_GB2312" w:eastAsia="楷体_GB2312" w:cs="楷体_GB2312"/>
          <w:b/>
          <w:bCs/>
          <w:color w:val="auto"/>
          <w:sz w:val="32"/>
          <w:szCs w:val="32"/>
          <w:highlight w:val="none"/>
          <w:u w:val="none"/>
        </w:rPr>
        <w:t>政研督查股</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负责组织</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的调查研究；起草</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管理的地方性法规、规章、规范性文件；督促检查</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政策措施的落实和扶贫资金管理使用、扶贫项目规划和实施情况；组织对开发扶贫项目监督检查；收集开发扶贫资料，发布开发扶贫信息；对应联系组织部、宣传部、县直工委开展的组织建设、思想建设、机关党建工作、行政效能、绩效考评等工作。完成本股年度总结及</w:t>
      </w:r>
      <w:r>
        <w:rPr>
          <w:rFonts w:hint="eastAsia" w:ascii="仿宋_GB2312" w:hAnsi="仿宋_GB2312" w:eastAsia="仿宋_GB2312" w:cs="仿宋_GB2312"/>
          <w:color w:val="auto"/>
          <w:sz w:val="32"/>
          <w:szCs w:val="32"/>
          <w:highlight w:val="none"/>
          <w:u w:val="none"/>
          <w:lang w:eastAsia="zh-CN"/>
        </w:rPr>
        <w:t>局领导</w:t>
      </w:r>
      <w:r>
        <w:rPr>
          <w:rFonts w:hint="eastAsia" w:ascii="仿宋_GB2312" w:hAnsi="仿宋_GB2312" w:eastAsia="仿宋_GB2312" w:cs="仿宋_GB2312"/>
          <w:color w:val="auto"/>
          <w:sz w:val="32"/>
          <w:szCs w:val="32"/>
          <w:highlight w:val="none"/>
          <w:u w:val="none"/>
        </w:rPr>
        <w:t>交办的其他工作。</w:t>
      </w:r>
    </w:p>
    <w:p>
      <w:pPr>
        <w:spacing w:line="560" w:lineRule="exact"/>
        <w:ind w:firstLine="643" w:firstLineChars="200"/>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6、</w:t>
      </w:r>
      <w:r>
        <w:rPr>
          <w:rFonts w:hint="eastAsia" w:ascii="楷体_GB2312" w:hAnsi="楷体_GB2312" w:eastAsia="楷体_GB2312" w:cs="楷体_GB2312"/>
          <w:b/>
          <w:bCs/>
          <w:color w:val="auto"/>
          <w:sz w:val="32"/>
          <w:szCs w:val="32"/>
          <w:highlight w:val="none"/>
          <w:u w:val="none"/>
        </w:rPr>
        <w:t>外资扶贫项目管理及信息中心</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负责开展调查研究，参与制定外资扶贫的中长期规划；承担外资扶贫项目引进、论证和申报等方面的具体工作；承担外资扶贫项目的组织、实施与管理工作；开展外资扶贫项目的宣传及项目人员培训工作；负责开展与国内外社会、经济组织在扶贫领域的合作交流，积极争取外资用于扶贫；协助做好河池外资扶贫项目管理中心和广西壮族自治区外资扶贫项目管理中心安排的相关项目；完成本中心年度总结和自治县</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办公室交办的工作。</w:t>
      </w:r>
    </w:p>
    <w:p>
      <w:pPr>
        <w:numPr>
          <w:ilvl w:val="0"/>
          <w:numId w:val="0"/>
        </w:numPr>
        <w:spacing w:line="560" w:lineRule="exact"/>
        <w:ind w:firstLine="643" w:firstLineChars="20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7、帮扶协作股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负责对外联络和社会扶贫的管理工作，广东对口帮扶项目；组织、协调、指导信贷贴息扶贫项目；贫困村互助资金协会项目的调查、立项申报、组织实施、监督管理、检查验收和材料汇报；区内外对口帮扶、政府中心工作、年度计划</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　（二）</w:t>
      </w:r>
      <w:r>
        <w:rPr>
          <w:rFonts w:hint="eastAsia" w:ascii="黑体" w:hAnsi="黑体" w:eastAsia="黑体" w:cs="黑体"/>
          <w:color w:val="auto"/>
          <w:sz w:val="32"/>
          <w:szCs w:val="32"/>
          <w:highlight w:val="none"/>
          <w:u w:val="none"/>
        </w:rPr>
        <w:t>人员构成情况</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人员编制总数为</w:t>
      </w:r>
      <w:r>
        <w:rPr>
          <w:rFonts w:hint="eastAsia" w:ascii="仿宋_GB2312" w:hAnsi="仿宋_GB2312" w:eastAsia="仿宋_GB2312" w:cs="仿宋_GB2312"/>
          <w:color w:val="auto"/>
          <w:sz w:val="32"/>
          <w:szCs w:val="32"/>
          <w:highlight w:val="none"/>
          <w:u w:val="none"/>
          <w:lang w:val="en-US" w:eastAsia="zh-CN"/>
        </w:rPr>
        <w:t>32</w:t>
      </w:r>
      <w:r>
        <w:rPr>
          <w:rFonts w:hint="eastAsia" w:ascii="仿宋_GB2312" w:hAnsi="仿宋_GB2312" w:eastAsia="仿宋_GB2312" w:cs="仿宋_GB2312"/>
          <w:color w:val="auto"/>
          <w:sz w:val="32"/>
          <w:szCs w:val="32"/>
          <w:highlight w:val="none"/>
          <w:u w:val="none"/>
        </w:rPr>
        <w:t>人，其中行政编制</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人，事业编制</w:t>
      </w:r>
      <w:r>
        <w:rPr>
          <w:rFonts w:hint="eastAsia" w:ascii="仿宋_GB2312" w:hAnsi="仿宋_GB2312" w:eastAsia="仿宋_GB2312" w:cs="仿宋_GB2312"/>
          <w:color w:val="auto"/>
          <w:sz w:val="32"/>
          <w:szCs w:val="32"/>
          <w:highlight w:val="none"/>
          <w:u w:val="none"/>
          <w:lang w:val="en-US" w:eastAsia="zh-CN"/>
        </w:rPr>
        <w:t>21</w:t>
      </w:r>
      <w:r>
        <w:rPr>
          <w:rFonts w:hint="eastAsia" w:ascii="仿宋_GB2312" w:hAnsi="仿宋_GB2312" w:eastAsia="仿宋_GB2312" w:cs="仿宋_GB2312"/>
          <w:color w:val="auto"/>
          <w:sz w:val="32"/>
          <w:szCs w:val="32"/>
          <w:highlight w:val="none"/>
          <w:u w:val="none"/>
        </w:rPr>
        <w:t>人，机关后勤服务中心聘用人员控制数</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人。实有财政供养人数</w:t>
      </w:r>
      <w:r>
        <w:rPr>
          <w:rFonts w:hint="eastAsia" w:ascii="仿宋_GB2312" w:hAnsi="仿宋_GB2312" w:eastAsia="仿宋_GB2312" w:cs="仿宋_GB2312"/>
          <w:color w:val="auto"/>
          <w:sz w:val="32"/>
          <w:szCs w:val="32"/>
          <w:highlight w:val="none"/>
          <w:u w:val="none"/>
          <w:lang w:val="en-US" w:eastAsia="zh-CN"/>
        </w:rPr>
        <w:t>41</w:t>
      </w:r>
      <w:r>
        <w:rPr>
          <w:rFonts w:hint="eastAsia" w:ascii="仿宋_GB2312" w:hAnsi="仿宋_GB2312" w:eastAsia="仿宋_GB2312" w:cs="仿宋_GB2312"/>
          <w:color w:val="auto"/>
          <w:sz w:val="32"/>
          <w:szCs w:val="32"/>
          <w:highlight w:val="none"/>
          <w:u w:val="none"/>
        </w:rPr>
        <w:t>人，其中行政在职</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人，事业在职</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人，机关后勤服务中心聘用人员控制数</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退休人员</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人。编外在职实有人数</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人。</w:t>
      </w:r>
    </w:p>
    <w:p>
      <w:pPr>
        <w:jc w:val="both"/>
        <w:rPr>
          <w:rFonts w:hint="eastAsia" w:ascii="仿宋" w:hAnsi="仿宋" w:eastAsia="仿宋" w:cs="仿宋"/>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sectPr>
          <w:headerReference r:id="rId8" w:type="default"/>
          <w:pgSz w:w="11906" w:h="16838"/>
          <w:pgMar w:top="1440" w:right="1800" w:bottom="1440" w:left="1800" w:header="851" w:footer="992" w:gutter="0"/>
          <w:pgNumType w:fmt="decimal"/>
          <w:cols w:space="425" w:num="1"/>
          <w:docGrid w:type="lines" w:linePitch="312" w:charSpace="0"/>
        </w:sectPr>
      </w:pPr>
    </w:p>
    <w:p>
      <w:pPr>
        <w:jc w:val="both"/>
        <w:rPr>
          <w:rFonts w:hint="eastAsia" w:ascii="黑体" w:hAnsi="黑体" w:eastAsia="黑体" w:cs="黑体"/>
          <w:color w:val="auto"/>
          <w:sz w:val="32"/>
          <w:szCs w:val="32"/>
          <w:highlight w:val="none"/>
          <w:lang w:val="en-US" w:eastAsia="zh-CN"/>
        </w:rPr>
      </w:pPr>
    </w:p>
    <w:p>
      <w:pPr>
        <w:jc w:val="both"/>
        <w:rPr>
          <w:rFonts w:hint="default" w:ascii="黑体" w:hAnsi="黑体" w:eastAsia="黑体" w:cs="黑体"/>
          <w:color w:val="auto"/>
          <w:sz w:val="32"/>
          <w:szCs w:val="32"/>
          <w:highlight w:val="none"/>
          <w:lang w:val="en-US" w:eastAsia="zh-CN"/>
        </w:r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highlight w:val="none"/>
          <w:u w:color="auto"/>
          <w:lang w:eastAsia="zh-CN"/>
        </w:rPr>
        <w:t>环江毛南族自治县乡村振兴局</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3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266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7567.89</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bidi="ar"/>
              </w:rPr>
              <w:t>5.</w:t>
            </w:r>
            <w:r>
              <w:rPr>
                <w:rFonts w:hint="eastAsia" w:ascii="宋体" w:hAnsi="宋体" w:eastAsia="宋体" w:cs="宋体"/>
                <w:color w:val="auto"/>
                <w:kern w:val="0"/>
                <w:sz w:val="22"/>
                <w:szCs w:val="22"/>
                <w:highlight w:val="none"/>
                <w:lang w:val="en-US" w:eastAsia="zh-CN" w:bidi="ar"/>
              </w:rPr>
              <w:t>96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0.22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0.0</w:t>
            </w:r>
            <w:r>
              <w:rPr>
                <w:rFonts w:hint="default" w:ascii="宋体" w:hAnsi="宋体" w:eastAsia="宋体" w:cs="宋体"/>
                <w:color w:val="auto"/>
                <w:kern w:val="0"/>
                <w:sz w:val="22"/>
                <w:szCs w:val="22"/>
                <w:highlight w:val="none"/>
                <w:lang w:bidi="ar"/>
              </w:rPr>
              <w:t>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47.86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7410.66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eastAsia="宋体"/>
                <w:color w:val="auto"/>
                <w:highlight w:val="none"/>
                <w:lang w:val="en-US" w:eastAsia="zh-CN"/>
              </w:rPr>
              <w:t>36.27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66.92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7567.89</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7567.89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7567.89</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7567.89</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1307"/>
        <w:gridCol w:w="1613"/>
        <w:gridCol w:w="1484"/>
        <w:gridCol w:w="1110"/>
        <w:gridCol w:w="1189"/>
        <w:gridCol w:w="1114"/>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1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8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838"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11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8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4"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7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1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11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57"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57"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57"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47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47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7567.89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7567.89</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20129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群众团体事务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2012999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其他群众团体事务支出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文化旅游体育与传媒支出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20805</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2080505</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机关事业单位基本养老保险缴费支出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2130501</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行政运行</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765.98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765.98</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2130504</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农村基础设施建设</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3333.94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3333.94</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2130507</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贷款奖补和贴息</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1567.99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1567.99</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2130550</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事业运行</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2130599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其他巩固脱贫衔接乡村振兴支出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1704.53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1704.53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22102</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2210201</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住房公积金</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22999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2299999</w:t>
            </w:r>
          </w:p>
        </w:tc>
        <w:tc>
          <w:tcPr>
            <w:tcW w:w="3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3138"/>
        <w:gridCol w:w="1636"/>
        <w:gridCol w:w="1364"/>
        <w:gridCol w:w="1285"/>
        <w:gridCol w:w="1656"/>
        <w:gridCol w:w="1517"/>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9105" w:type="dxa"/>
            <w:gridSpan w:val="8"/>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656"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17"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4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2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15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2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2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2" w:hRule="atLeast"/>
        </w:trPr>
        <w:tc>
          <w:tcPr>
            <w:tcW w:w="4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4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7567.89</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537.46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7030.43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20129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群众团体事务</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2012999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其他群众团体事务支出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文化旅游体育与传媒支出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20805</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2080505</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机关事业单位基本养老保险缴费支出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90"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380.45</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7030.21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380.45</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7030.21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2130501</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行政运行</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765.98</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339.87</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426.11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2130504</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农村基础设施建设</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3333.94</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3333.94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2130507</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贷款奖补和贴息</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1567.99</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1567.99</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2130550</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事业运行</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2130599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其他巩固脱贫衔接乡村振兴支出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1704.53</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2.36</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1702.17</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22102</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2210201</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住房公积金</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22999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2299999</w:t>
            </w:r>
          </w:p>
        </w:tc>
        <w:tc>
          <w:tcPr>
            <w:tcW w:w="3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6"/>
        <w:tblW w:w="14077" w:type="dxa"/>
        <w:tblInd w:w="0" w:type="dxa"/>
        <w:tblLayout w:type="fixed"/>
        <w:tblCellMar>
          <w:top w:w="0" w:type="dxa"/>
          <w:left w:w="108" w:type="dxa"/>
          <w:bottom w:w="0" w:type="dxa"/>
          <w:right w:w="108" w:type="dxa"/>
        </w:tblCellMar>
      </w:tblPr>
      <w:tblGrid>
        <w:gridCol w:w="2214"/>
        <w:gridCol w:w="785"/>
        <w:gridCol w:w="1307"/>
        <w:gridCol w:w="2360"/>
        <w:gridCol w:w="853"/>
        <w:gridCol w:w="1428"/>
        <w:gridCol w:w="1433"/>
        <w:gridCol w:w="1859"/>
        <w:gridCol w:w="1838"/>
      </w:tblGrid>
      <w:tr>
        <w:tblPrEx>
          <w:tblCellMar>
            <w:top w:w="0" w:type="dxa"/>
            <w:left w:w="108" w:type="dxa"/>
            <w:bottom w:w="0" w:type="dxa"/>
            <w:right w:w="108" w:type="dxa"/>
          </w:tblCellMar>
        </w:tblPrEx>
        <w:trPr>
          <w:trHeight w:val="520" w:hRule="atLeast"/>
        </w:trPr>
        <w:tc>
          <w:tcPr>
            <w:tcW w:w="14077"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221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7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38"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8947"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43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5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38"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4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97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2" w:hRule="atLeast"/>
        </w:trPr>
        <w:tc>
          <w:tcPr>
            <w:tcW w:w="2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1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2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7567.89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5.96</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47.86</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7410.66</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66.92</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本年收入合计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7567.89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本年支出合计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7567.89</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7567.89</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7567.89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总计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7567.89</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7567.89</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2239"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1838"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310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7567.89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537.46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7030.43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47.86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17,476.54</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397.00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17,079.54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17,451.56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372.02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17,079.54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765.98</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339.87</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426.11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农村基础设施建设</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3333.94</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3333.94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贷款奖补和贴息</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1567.99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1567.99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2130550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38.21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2130599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其他巩固脱贫衔接乡村振兴支出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1704.53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2.36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1702.17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36.27</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66.92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6"/>
        <w:tblW w:w="14000" w:type="dxa"/>
        <w:tblInd w:w="96" w:type="dxa"/>
        <w:tblLayout w:type="fixed"/>
        <w:tblCellMar>
          <w:top w:w="0" w:type="dxa"/>
          <w:left w:w="108" w:type="dxa"/>
          <w:bottom w:w="0" w:type="dxa"/>
          <w:right w:w="108" w:type="dxa"/>
        </w:tblCellMar>
      </w:tblPr>
      <w:tblGrid>
        <w:gridCol w:w="1625"/>
        <w:gridCol w:w="1853"/>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6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16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bookmarkStart w:id="0" w:name="OLE_LINK3"/>
            <w:bookmarkStart w:id="1" w:name="OLE_LINK4"/>
            <w:r>
              <w:rPr>
                <w:rFonts w:hint="eastAsia" w:ascii="宋体" w:hAnsi="宋体" w:eastAsia="宋体" w:cs="宋体"/>
                <w:i w:val="0"/>
                <w:iCs w:val="0"/>
                <w:color w:val="auto"/>
                <w:kern w:val="0"/>
                <w:sz w:val="22"/>
                <w:szCs w:val="22"/>
                <w:highlight w:val="none"/>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494.72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26.96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30101</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134.35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办公费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0.49</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30102</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33.99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印刷费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30103</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奖金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137.38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咨询费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2.58</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30106</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30107</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43.63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0.24</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2.58</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30108</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47.86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30109</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邮电费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2.53</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30110</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19.34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取暖费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30111</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30112</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差旅费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30113</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36.27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30114</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医疗费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30199</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40.49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租赁费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15.78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会议费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30301</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离休费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培训费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30302</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退休费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30303</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30304</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抚恤金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30305</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13.41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30306</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救济费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劳务费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0.40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30307</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30308</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助学金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5.96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30309</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奖励金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福利费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30310</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30311</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9.45</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30399</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0.19</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0"/>
          <w:bookmarkEnd w:id="1"/>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510.50</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26.96</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hint="eastAsia" w:ascii="仿宋" w:hAnsi="仿宋" w:eastAsia="仿宋" w:cs="仿宋"/>
          <w:color w:val="auto"/>
          <w:sz w:val="24"/>
          <w:highlight w:val="none"/>
          <w:lang w:eastAsia="zh-CN"/>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6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color w:val="auto"/>
                <w:sz w:val="22"/>
                <w:szCs w:val="22"/>
                <w:highlight w:val="none"/>
                <w:lang w:eastAsia="zh-CN"/>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我单位2023年度没有政府性基金预算财政拨款收入，也没有政府性基金预算财政拨款安排的支出，故本表无数据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jc w:val="left"/>
        <w:rPr>
          <w:rFonts w:ascii="仿宋" w:hAnsi="仿宋" w:eastAsia="仿宋" w:cs="仿宋"/>
          <w:color w:val="auto"/>
          <w:sz w:val="24"/>
          <w:highlight w:val="none"/>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32"/>
          <w:szCs w:val="3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32"/>
          <w:szCs w:val="32"/>
          <w:highlight w:val="none"/>
          <w:lang w:bidi="ar"/>
        </w:rPr>
      </w:pPr>
      <w:r>
        <w:rPr>
          <w:rFonts w:hint="eastAsia" w:ascii="仿宋_GB2312" w:hAnsi="仿宋_GB2312" w:eastAsia="仿宋_GB2312" w:cs="仿宋_GB2312"/>
          <w:color w:val="auto"/>
          <w:kern w:val="2"/>
          <w:sz w:val="32"/>
          <w:szCs w:val="32"/>
          <w:highlight w:val="none"/>
          <w:lang w:val="en-US" w:eastAsia="zh-CN" w:bidi="ar"/>
        </w:rPr>
        <w:t>我单位2023年度没有国有资本经营预算财政拨款收入，也没有国有资本经营预算财政拨款安排的支出，故本表无数据</w:t>
      </w:r>
      <w:r>
        <w:rPr>
          <w:rFonts w:hint="eastAsia" w:ascii="宋体" w:hAnsi="宋体" w:eastAsia="宋体" w:cs="宋体"/>
          <w:color w:val="auto"/>
          <w:kern w:val="0"/>
          <w:sz w:val="32"/>
          <w:szCs w:val="3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highlight w:val="none"/>
                <w:u w:color="auto"/>
                <w:lang w:eastAsia="zh-CN"/>
              </w:rPr>
              <w:t>环江毛南族自治县乡村振兴局</w:t>
            </w: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95.23</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93.07</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95.23</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color w:val="auto"/>
                <w:highlight w:val="none"/>
              </w:rPr>
            </w:pPr>
            <w:r>
              <w:rPr>
                <w:rFonts w:hint="eastAsia" w:ascii="宋体" w:hAnsi="宋体" w:eastAsia="宋体" w:cs="宋体"/>
                <w:i w:val="0"/>
                <w:iCs w:val="0"/>
                <w:color w:val="auto"/>
                <w:kern w:val="0"/>
                <w:sz w:val="22"/>
                <w:szCs w:val="22"/>
                <w:highlight w:val="none"/>
                <w:u w:val="none"/>
                <w:lang w:val="en-US" w:eastAsia="zh-CN" w:bidi="ar"/>
              </w:rPr>
              <w:t>93.07</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420" w:firstLineChars="0"/>
        <w:jc w:val="left"/>
        <w:rPr>
          <w:rFonts w:ascii="仿宋" w:hAnsi="仿宋" w:eastAsia="仿宋" w:cs="仿宋"/>
          <w:color w:val="auto"/>
          <w:sz w:val="24"/>
          <w:highlight w:val="none"/>
        </w:rPr>
        <w:sectPr>
          <w:headerReference r:id="rId9" w:type="default"/>
          <w:pgSz w:w="16838" w:h="11906" w:orient="landscape"/>
          <w:pgMar w:top="1800" w:right="1440" w:bottom="1800" w:left="1440" w:header="851" w:footer="992" w:gutter="0"/>
          <w:pgNumType w:fmt="decimal"/>
          <w:cols w:space="425" w:num="1"/>
          <w:docGrid w:type="lines" w:linePitch="312" w:charSpace="0"/>
        </w:sectPr>
      </w:pPr>
    </w:p>
    <w:p>
      <w:pPr>
        <w:jc w:val="left"/>
        <w:rPr>
          <w:rFonts w:ascii="仿宋" w:hAnsi="仿宋" w:eastAsia="仿宋" w:cs="仿宋"/>
          <w:color w:val="auto"/>
          <w:sz w:val="24"/>
          <w:highlight w:val="none"/>
        </w:rPr>
      </w:pPr>
    </w:p>
    <w:p>
      <w:pPr>
        <w:jc w:val="center"/>
        <w:rPr>
          <w:rFonts w:hint="eastAsia" w:ascii="黑体" w:hAnsi="黑体" w:eastAsia="黑体" w:cs="黑体"/>
          <w:color w:val="auto"/>
          <w:sz w:val="32"/>
          <w:highlight w:val="none"/>
          <w:u w:color="auto"/>
          <w:lang w:eastAsia="zh-CN"/>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highlight w:val="none"/>
          <w:u w:color="auto"/>
          <w:lang w:eastAsia="zh-CN"/>
        </w:rPr>
        <w:t>环江毛南族自治县乡村振兴局</w:t>
      </w: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年度总收入</w:t>
      </w:r>
      <w:r>
        <w:rPr>
          <w:rFonts w:hint="eastAsia" w:ascii="仿宋_GB2312" w:hAnsi="仿宋_GB2312" w:eastAsia="仿宋_GB2312" w:cs="仿宋_GB2312"/>
          <w:color w:val="auto"/>
          <w:kern w:val="0"/>
          <w:sz w:val="32"/>
          <w:szCs w:val="32"/>
          <w:highlight w:val="none"/>
          <w:u w:val="none"/>
          <w:lang w:val="en-US" w:eastAsia="zh-CN"/>
        </w:rPr>
        <w:t>7567.89</w:t>
      </w:r>
      <w:r>
        <w:rPr>
          <w:rFonts w:hint="eastAsia" w:ascii="仿宋_GB2312" w:hAnsi="仿宋_GB2312" w:eastAsia="仿宋_GB2312" w:cs="仿宋_GB2312"/>
          <w:color w:val="auto"/>
          <w:sz w:val="32"/>
          <w:szCs w:val="32"/>
          <w:highlight w:val="none"/>
        </w:rPr>
        <w:t>万元，较202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kern w:val="0"/>
          <w:sz w:val="32"/>
          <w:szCs w:val="32"/>
          <w:highlight w:val="none"/>
          <w:u w:val="none"/>
          <w:lang w:val="en-US" w:eastAsia="zh-CN"/>
        </w:rPr>
        <w:t>10066.78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u w:val="none"/>
          <w:lang w:eastAsia="zh-CN"/>
        </w:rPr>
        <w:t>下降</w:t>
      </w:r>
      <w:r>
        <w:rPr>
          <w:rFonts w:hint="eastAsia" w:ascii="仿宋_GB2312" w:hAnsi="仿宋_GB2312" w:eastAsia="仿宋_GB2312" w:cs="仿宋_GB2312"/>
          <w:color w:val="auto"/>
          <w:kern w:val="0"/>
          <w:sz w:val="32"/>
          <w:szCs w:val="32"/>
          <w:highlight w:val="none"/>
          <w:u w:val="none"/>
          <w:lang w:val="en-US" w:eastAsia="zh-CN"/>
        </w:rPr>
        <w:t>57.09</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2"/>
          <w:sz w:val="32"/>
          <w:szCs w:val="32"/>
          <w:highlight w:val="none"/>
          <w:lang w:val="en-US" w:eastAsia="zh-CN" w:bidi="ar"/>
        </w:rPr>
        <w:t>1.一般公共预算财政拨款收入</w:t>
      </w:r>
      <w:r>
        <w:rPr>
          <w:rFonts w:hint="eastAsia" w:ascii="仿宋_GB2312" w:hAnsi="仿宋_GB2312" w:eastAsia="仿宋_GB2312" w:cs="仿宋_GB2312"/>
          <w:color w:val="auto"/>
          <w:kern w:val="0"/>
          <w:sz w:val="32"/>
          <w:szCs w:val="32"/>
          <w:highlight w:val="none"/>
          <w:u w:val="none"/>
          <w:lang w:val="en-US" w:eastAsia="zh-CN"/>
        </w:rPr>
        <w:t>7567.89</w:t>
      </w:r>
      <w:r>
        <w:rPr>
          <w:rFonts w:hint="eastAsia" w:ascii="仿宋_GB2312" w:hAnsi="仿宋_GB2312" w:eastAsia="仿宋_GB2312" w:cs="仿宋_GB2312"/>
          <w:color w:val="auto"/>
          <w:kern w:val="2"/>
          <w:sz w:val="32"/>
          <w:szCs w:val="32"/>
          <w:highlight w:val="none"/>
          <w:lang w:val="en-US" w:eastAsia="zh-CN" w:bidi="ar"/>
        </w:rPr>
        <w:t>万元，为</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kern w:val="2"/>
          <w:sz w:val="32"/>
          <w:szCs w:val="32"/>
          <w:highlight w:val="none"/>
          <w:lang w:val="en-US" w:eastAsia="zh-CN" w:bidi="ar"/>
        </w:rPr>
        <w:t>本级财政当年拨付的资金。较2022年度决算数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kern w:val="0"/>
          <w:sz w:val="32"/>
          <w:szCs w:val="32"/>
          <w:highlight w:val="none"/>
          <w:u w:val="none"/>
          <w:lang w:val="en-US" w:eastAsia="zh-CN"/>
        </w:rPr>
        <w:t>10066.78</w:t>
      </w:r>
      <w:r>
        <w:rPr>
          <w:rFonts w:hint="eastAsia" w:ascii="仿宋_GB2312" w:hAnsi="仿宋_GB2312" w:eastAsia="仿宋_GB2312" w:cs="仿宋_GB2312"/>
          <w:color w:val="auto"/>
          <w:kern w:val="2"/>
          <w:sz w:val="32"/>
          <w:szCs w:val="32"/>
          <w:highlight w:val="none"/>
          <w:lang w:val="en-US" w:eastAsia="zh-CN" w:bidi="ar"/>
        </w:rPr>
        <w:t>万元，下</w:t>
      </w:r>
      <w:r>
        <w:rPr>
          <w:rFonts w:hint="eastAsia" w:ascii="仿宋_GB2312" w:hAnsi="仿宋_GB2312" w:eastAsia="仿宋_GB2312" w:cs="仿宋_GB2312"/>
          <w:color w:val="auto"/>
          <w:kern w:val="0"/>
          <w:sz w:val="32"/>
          <w:szCs w:val="32"/>
          <w:highlight w:val="none"/>
          <w:u w:val="none"/>
          <w:lang w:eastAsia="zh-CN"/>
        </w:rPr>
        <w:t>降</w:t>
      </w:r>
      <w:r>
        <w:rPr>
          <w:rFonts w:hint="eastAsia" w:ascii="仿宋_GB2312" w:hAnsi="仿宋_GB2312" w:eastAsia="仿宋_GB2312" w:cs="仿宋_GB2312"/>
          <w:color w:val="auto"/>
          <w:kern w:val="0"/>
          <w:sz w:val="32"/>
          <w:szCs w:val="32"/>
          <w:highlight w:val="none"/>
          <w:u w:val="none"/>
          <w:lang w:val="en-US" w:eastAsia="zh-CN"/>
        </w:rPr>
        <w:t>57.09</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lang w:val="en-US" w:eastAsia="zh-CN"/>
        </w:rPr>
        <w:t>2023年我单位承担的上级财政专项资金任务较2022年度有所</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kern w:val="0"/>
          <w:sz w:val="32"/>
          <w:szCs w:val="32"/>
          <w:highlight w:val="none"/>
          <w:u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2.政府性基金预算财政拨款收入</w:t>
      </w:r>
      <w:r>
        <w:rPr>
          <w:rFonts w:hint="eastAsia" w:ascii="仿宋_GB2312" w:hAnsi="仿宋_GB2312" w:eastAsia="仿宋_GB2312" w:cs="仿宋_GB2312"/>
          <w:color w:val="auto"/>
          <w:sz w:val="32"/>
          <w:szCs w:val="32"/>
          <w:highlight w:val="none"/>
          <w:u w:color="auto"/>
        </w:rPr>
        <w:t>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kern w:val="2"/>
          <w:sz w:val="32"/>
          <w:szCs w:val="32"/>
          <w:highlight w:val="none"/>
          <w:lang w:val="en-US" w:eastAsia="zh-CN" w:bidi="ar"/>
        </w:rPr>
        <w:t>本级财政当年拨付的资金。较2022年度决算数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3.国有资本经营预算财政拨款收入</w:t>
      </w:r>
      <w:r>
        <w:rPr>
          <w:rFonts w:hint="eastAsia" w:ascii="仿宋_GB2312" w:hAnsi="仿宋_GB2312" w:eastAsia="仿宋_GB2312" w:cs="仿宋_GB2312"/>
          <w:color w:val="auto"/>
          <w:sz w:val="32"/>
          <w:szCs w:val="32"/>
          <w:highlight w:val="none"/>
          <w:u w:color="auto"/>
        </w:rPr>
        <w:t>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kern w:val="2"/>
          <w:sz w:val="32"/>
          <w:szCs w:val="32"/>
          <w:highlight w:val="none"/>
          <w:lang w:val="en-US" w:eastAsia="zh-CN" w:bidi="ar"/>
        </w:rPr>
        <w:t>本级财政当年拨付的资金。较2022年度决算数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4.上级补助收入</w:t>
      </w:r>
      <w:r>
        <w:rPr>
          <w:rFonts w:hint="eastAsia" w:ascii="仿宋_GB2312" w:hAnsi="仿宋_GB2312" w:eastAsia="仿宋_GB2312" w:cs="仿宋_GB2312"/>
          <w:color w:val="auto"/>
          <w:sz w:val="32"/>
          <w:szCs w:val="32"/>
          <w:highlight w:val="none"/>
          <w:u w:color="auto"/>
          <w:lang w:val="en-US" w:eastAsia="zh-CN"/>
        </w:rPr>
        <w:t>0.00</w:t>
      </w:r>
      <w:r>
        <w:rPr>
          <w:rFonts w:hint="eastAsia" w:ascii="仿宋_GB2312" w:hAnsi="仿宋_GB2312" w:eastAsia="仿宋_GB2312" w:cs="仿宋_GB2312"/>
          <w:color w:val="auto"/>
          <w:kern w:val="2"/>
          <w:sz w:val="32"/>
          <w:szCs w:val="32"/>
          <w:highlight w:val="none"/>
          <w:lang w:val="en-US" w:eastAsia="zh-CN" w:bidi="ar"/>
        </w:rPr>
        <w:t>万元，为上级部门当年拨付的资金。较2022年度决算数</w:t>
      </w:r>
      <w:r>
        <w:rPr>
          <w:rFonts w:hint="eastAsia" w:ascii="仿宋_GB2312" w:hAnsi="仿宋_GB2312" w:eastAsia="仿宋_GB2312" w:cs="仿宋_GB2312"/>
          <w:color w:val="auto"/>
          <w:sz w:val="32"/>
          <w:szCs w:val="32"/>
          <w:highlight w:val="none"/>
          <w:u w:color="auto"/>
        </w:rPr>
        <w:t>增加</w:t>
      </w:r>
      <w:r>
        <w:rPr>
          <w:rFonts w:hint="eastAsia" w:ascii="仿宋_GB2312" w:hAnsi="仿宋_GB2312" w:eastAsia="仿宋_GB2312" w:cs="仿宋_GB2312"/>
          <w:color w:val="auto"/>
          <w:sz w:val="32"/>
          <w:szCs w:val="32"/>
          <w:highlight w:val="none"/>
          <w:u w:color="auto"/>
          <w:lang w:val="en-US" w:eastAsia="zh-CN"/>
        </w:rPr>
        <w:t>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w:t>
      </w:r>
      <w:r>
        <w:rPr>
          <w:rFonts w:hint="eastAsia" w:ascii="仿宋_GB2312" w:hAnsi="仿宋_GB2312" w:eastAsia="仿宋_GB2312" w:cs="仿宋_GB2312"/>
          <w:color w:val="auto"/>
          <w:sz w:val="32"/>
          <w:szCs w:val="32"/>
          <w:highlight w:val="none"/>
          <w:u w:color="auto"/>
          <w:lang w:val="en-US" w:eastAsia="zh-CN"/>
        </w:rPr>
        <w:t>0.00</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5.事业收入</w:t>
      </w:r>
      <w:r>
        <w:rPr>
          <w:rFonts w:hint="eastAsia" w:ascii="仿宋_GB2312" w:hAnsi="仿宋_GB2312" w:eastAsia="仿宋_GB2312" w:cs="仿宋_GB2312"/>
          <w:color w:val="auto"/>
          <w:sz w:val="32"/>
          <w:szCs w:val="32"/>
          <w:highlight w:val="none"/>
          <w:u w:color="auto"/>
        </w:rPr>
        <w:t>0.00</w:t>
      </w:r>
      <w:r>
        <w:rPr>
          <w:rFonts w:hint="eastAsia" w:ascii="仿宋_GB2312" w:hAnsi="仿宋_GB2312" w:eastAsia="仿宋_GB2312" w:cs="仿宋_GB2312"/>
          <w:color w:val="auto"/>
          <w:kern w:val="2"/>
          <w:sz w:val="32"/>
          <w:szCs w:val="32"/>
          <w:highlight w:val="none"/>
          <w:lang w:val="en-US" w:eastAsia="zh-CN" w:bidi="ar"/>
        </w:rPr>
        <w:t>万元，为事业单位开展业务活动取得的收入。较2022年度决算数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事业收入。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6.经营收入0.00万,为事业单位在业务活动之外开展非独立核算经营活动取得的收入。较2022年度决算数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经营收入。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7.附属单位上缴收入</w:t>
      </w:r>
      <w:r>
        <w:rPr>
          <w:rFonts w:hint="eastAsia" w:ascii="仿宋_GB2312" w:hAnsi="仿宋_GB2312" w:eastAsia="仿宋_GB2312" w:cs="仿宋_GB2312"/>
          <w:color w:val="auto"/>
          <w:sz w:val="32"/>
          <w:szCs w:val="32"/>
          <w:highlight w:val="none"/>
          <w:u w:color="auto"/>
        </w:rPr>
        <w:t>0.00</w:t>
      </w:r>
      <w:r>
        <w:rPr>
          <w:rFonts w:hint="eastAsia" w:ascii="仿宋_GB2312" w:hAnsi="仿宋_GB2312" w:eastAsia="仿宋_GB2312" w:cs="仿宋_GB2312"/>
          <w:color w:val="auto"/>
          <w:kern w:val="2"/>
          <w:sz w:val="32"/>
          <w:szCs w:val="32"/>
          <w:highlight w:val="none"/>
          <w:lang w:val="en-US" w:eastAsia="zh-CN" w:bidi="ar"/>
        </w:rPr>
        <w:t>万元。较2022年度决算数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8.其他收入</w:t>
      </w:r>
      <w:r>
        <w:rPr>
          <w:rFonts w:hint="eastAsia" w:ascii="仿宋_GB2312" w:hAnsi="仿宋_GB2312" w:eastAsia="仿宋_GB2312" w:cs="仿宋_GB2312"/>
          <w:color w:val="auto"/>
          <w:sz w:val="32"/>
          <w:szCs w:val="32"/>
          <w:highlight w:val="none"/>
          <w:u w:color="auto"/>
          <w:lang w:val="en-US" w:eastAsia="zh-CN"/>
        </w:rPr>
        <w:t>0.00</w:t>
      </w:r>
      <w:r>
        <w:rPr>
          <w:rFonts w:hint="eastAsia" w:ascii="仿宋_GB2312" w:hAnsi="仿宋_GB2312" w:eastAsia="仿宋_GB2312" w:cs="仿宋_GB2312"/>
          <w:color w:val="auto"/>
          <w:kern w:val="2"/>
          <w:sz w:val="32"/>
          <w:szCs w:val="32"/>
          <w:highlight w:val="none"/>
          <w:lang w:val="en-US" w:eastAsia="zh-CN" w:bidi="ar"/>
        </w:rPr>
        <w:t>万元,预算单位在“财政拨款收入”“事业收入”“经营收入”之外取得的收入。较2022年度决算数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其他收入。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9.使用非财政拨款结余</w:t>
      </w:r>
      <w:r>
        <w:rPr>
          <w:rFonts w:hint="eastAsia" w:ascii="仿宋_GB2312" w:hAnsi="仿宋_GB2312" w:eastAsia="仿宋_GB2312" w:cs="仿宋_GB2312"/>
          <w:color w:val="auto"/>
          <w:sz w:val="32"/>
          <w:szCs w:val="32"/>
          <w:highlight w:val="none"/>
          <w:u w:color="auto"/>
        </w:rPr>
        <w:t>0.00</w:t>
      </w:r>
      <w:r>
        <w:rPr>
          <w:rFonts w:hint="eastAsia" w:ascii="仿宋_GB2312" w:hAnsi="仿宋_GB2312" w:eastAsia="仿宋_GB2312" w:cs="仿宋_GB2312"/>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使用非财政拨款结余。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10.上年结转和结余</w:t>
      </w:r>
      <w:r>
        <w:rPr>
          <w:rFonts w:hint="eastAsia" w:ascii="仿宋_GB2312" w:hAnsi="仿宋_GB2312" w:eastAsia="仿宋_GB2312" w:cs="仿宋_GB2312"/>
          <w:color w:val="auto"/>
          <w:sz w:val="32"/>
          <w:szCs w:val="32"/>
          <w:highlight w:val="none"/>
          <w:u w:color="auto"/>
          <w:lang w:val="en-US" w:eastAsia="zh-CN"/>
        </w:rPr>
        <w:t>0.00</w:t>
      </w:r>
      <w:r>
        <w:rPr>
          <w:rFonts w:hint="eastAsia" w:ascii="仿宋_GB2312" w:hAnsi="仿宋_GB2312" w:eastAsia="仿宋_GB2312" w:cs="仿宋_GB2312"/>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_GB2312" w:hAnsi="仿宋_GB2312" w:eastAsia="仿宋_GB2312" w:cs="仿宋_GB2312"/>
          <w:color w:val="auto"/>
          <w:sz w:val="32"/>
          <w:szCs w:val="32"/>
          <w:highlight w:val="none"/>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u w:color="auto"/>
        </w:rPr>
        <w:t>增长0%</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单位</w:t>
      </w:r>
      <w:r>
        <w:rPr>
          <w:rFonts w:hint="eastAsia" w:ascii="仿宋_GB2312" w:hAnsi="仿宋_GB2312" w:eastAsia="仿宋_GB2312" w:cs="仿宋_GB2312"/>
          <w:color w:val="auto"/>
          <w:kern w:val="0"/>
          <w:sz w:val="32"/>
          <w:szCs w:val="32"/>
          <w:highlight w:val="none"/>
          <w:u w:val="none"/>
        </w:rPr>
        <w:t>无</w:t>
      </w:r>
      <w:r>
        <w:rPr>
          <w:rFonts w:hint="eastAsia" w:ascii="仿宋_GB2312" w:hAnsi="仿宋_GB2312" w:eastAsia="仿宋_GB2312" w:cs="仿宋_GB2312"/>
          <w:color w:val="auto"/>
          <w:kern w:val="2"/>
          <w:sz w:val="32"/>
          <w:szCs w:val="32"/>
          <w:highlight w:val="none"/>
          <w:lang w:val="en-US" w:eastAsia="zh-CN" w:bidi="ar"/>
        </w:rPr>
        <w:t>上年结转和结余。</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年度总支出</w:t>
      </w:r>
      <w:r>
        <w:rPr>
          <w:rFonts w:hint="eastAsia" w:ascii="仿宋_GB2312" w:hAnsi="仿宋_GB2312" w:eastAsia="仿宋_GB2312" w:cs="仿宋_GB2312"/>
          <w:i w:val="0"/>
          <w:iCs w:val="0"/>
          <w:color w:val="auto"/>
          <w:kern w:val="0"/>
          <w:sz w:val="32"/>
          <w:szCs w:val="32"/>
          <w:highlight w:val="none"/>
          <w:u w:val="none"/>
          <w:lang w:val="en-US" w:eastAsia="zh-CN" w:bidi="ar"/>
        </w:rPr>
        <w:t>7567.89</w:t>
      </w:r>
      <w:r>
        <w:rPr>
          <w:rFonts w:hint="eastAsia" w:ascii="仿宋_GB2312" w:hAnsi="仿宋_GB2312" w:eastAsia="仿宋_GB2312" w:cs="仿宋_GB2312"/>
          <w:color w:val="auto"/>
          <w:sz w:val="32"/>
          <w:szCs w:val="32"/>
          <w:highlight w:val="none"/>
        </w:rPr>
        <w:t>万元，其中本年支出</w:t>
      </w:r>
      <w:r>
        <w:rPr>
          <w:rFonts w:hint="eastAsia" w:ascii="仿宋_GB2312" w:hAnsi="仿宋_GB2312" w:eastAsia="仿宋_GB2312" w:cs="仿宋_GB2312"/>
          <w:i w:val="0"/>
          <w:iCs w:val="0"/>
          <w:color w:val="auto"/>
          <w:kern w:val="0"/>
          <w:sz w:val="32"/>
          <w:szCs w:val="32"/>
          <w:highlight w:val="none"/>
          <w:u w:val="none"/>
          <w:lang w:val="en-US" w:eastAsia="zh-CN" w:bidi="ar"/>
        </w:rPr>
        <w:t>7567.89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u w:val="none"/>
        </w:rPr>
        <w:t>较</w:t>
      </w:r>
      <w:r>
        <w:rPr>
          <w:rFonts w:hint="eastAsia" w:ascii="仿宋_GB2312" w:hAnsi="仿宋_GB2312" w:eastAsia="仿宋_GB2312" w:cs="仿宋_GB2312"/>
          <w:color w:val="auto"/>
          <w:kern w:val="0"/>
          <w:sz w:val="32"/>
          <w:szCs w:val="32"/>
          <w:highlight w:val="none"/>
          <w:u w:val="none"/>
          <w:lang w:eastAsia="zh-CN"/>
        </w:rPr>
        <w:t>202</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年度决算数</w:t>
      </w:r>
      <w:r>
        <w:rPr>
          <w:rFonts w:hint="eastAsia" w:ascii="仿宋_GB2312" w:hAnsi="仿宋_GB2312" w:eastAsia="仿宋_GB2312" w:cs="仿宋_GB2312"/>
          <w:color w:val="auto"/>
          <w:kern w:val="0"/>
          <w:sz w:val="32"/>
          <w:szCs w:val="32"/>
          <w:highlight w:val="none"/>
          <w:u w:val="none"/>
          <w:lang w:eastAsia="zh-CN"/>
        </w:rPr>
        <w:t>减少</w:t>
      </w:r>
      <w:r>
        <w:rPr>
          <w:rFonts w:hint="eastAsia" w:ascii="仿宋_GB2312" w:hAnsi="仿宋_GB2312" w:eastAsia="仿宋_GB2312" w:cs="仿宋_GB2312"/>
          <w:color w:val="auto"/>
          <w:kern w:val="0"/>
          <w:sz w:val="32"/>
          <w:szCs w:val="32"/>
          <w:highlight w:val="none"/>
          <w:u w:val="none"/>
          <w:lang w:val="en-US" w:eastAsia="zh-CN"/>
        </w:rPr>
        <w:t>10066.78</w:t>
      </w:r>
      <w:r>
        <w:rPr>
          <w:rFonts w:hint="eastAsia" w:ascii="仿宋_GB2312" w:hAnsi="仿宋_GB2312" w:eastAsia="仿宋_GB2312" w:cs="仿宋_GB2312"/>
          <w:color w:val="auto"/>
          <w:kern w:val="0"/>
          <w:sz w:val="32"/>
          <w:szCs w:val="32"/>
          <w:highlight w:val="none"/>
          <w:u w:val="none"/>
        </w:rPr>
        <w:t>万元，</w:t>
      </w:r>
      <w:r>
        <w:rPr>
          <w:rFonts w:hint="eastAsia" w:ascii="仿宋_GB2312" w:hAnsi="仿宋_GB2312" w:eastAsia="仿宋_GB2312" w:cs="仿宋_GB2312"/>
          <w:color w:val="auto"/>
          <w:kern w:val="0"/>
          <w:sz w:val="32"/>
          <w:szCs w:val="32"/>
          <w:highlight w:val="none"/>
          <w:u w:val="none"/>
          <w:lang w:eastAsia="zh-CN"/>
        </w:rPr>
        <w:t>下降</w:t>
      </w:r>
      <w:r>
        <w:rPr>
          <w:rFonts w:hint="eastAsia" w:ascii="仿宋_GB2312" w:hAnsi="仿宋_GB2312" w:eastAsia="仿宋_GB2312" w:cs="仿宋_GB2312"/>
          <w:color w:val="auto"/>
          <w:kern w:val="0"/>
          <w:sz w:val="32"/>
          <w:szCs w:val="32"/>
          <w:highlight w:val="none"/>
          <w:u w:val="none"/>
          <w:lang w:val="en-US" w:eastAsia="zh-CN"/>
        </w:rPr>
        <w:t>57.09</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kern w:val="0"/>
          <w:sz w:val="32"/>
          <w:szCs w:val="32"/>
          <w:highlight w:val="none"/>
          <w:u w:val="none"/>
        </w:rPr>
        <w:t>一般公共服务支出</w:t>
      </w:r>
      <w:r>
        <w:rPr>
          <w:rFonts w:hint="eastAsia" w:ascii="仿宋_GB2312" w:hAnsi="仿宋_GB2312" w:eastAsia="仿宋_GB2312" w:cs="仿宋_GB2312"/>
          <w:color w:val="auto"/>
          <w:sz w:val="32"/>
          <w:szCs w:val="32"/>
          <w:highlight w:val="none"/>
          <w:lang w:val="en-US" w:eastAsia="zh-CN" w:bidi="ar"/>
        </w:rPr>
        <w:t>（201类）5.96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工会经费支出</w:t>
      </w:r>
      <w:r>
        <w:rPr>
          <w:rFonts w:hint="eastAsia" w:ascii="仿宋_GB2312" w:hAnsi="仿宋_GB2312" w:eastAsia="仿宋_GB2312" w:cs="仿宋_GB2312"/>
          <w:color w:val="auto"/>
          <w:sz w:val="32"/>
          <w:szCs w:val="32"/>
          <w:highlight w:val="none"/>
        </w:rPr>
        <w:t>。较202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eastAsia="zh-CN" w:bidi="ar"/>
        </w:rPr>
        <w:t>增加</w:t>
      </w:r>
      <w:r>
        <w:rPr>
          <w:rFonts w:hint="eastAsia" w:ascii="仿宋_GB2312" w:hAnsi="仿宋_GB2312" w:eastAsia="仿宋_GB2312" w:cs="仿宋_GB2312"/>
          <w:color w:val="auto"/>
          <w:sz w:val="32"/>
          <w:szCs w:val="32"/>
          <w:highlight w:val="none"/>
          <w:lang w:val="en-US" w:eastAsia="zh-CN" w:bidi="ar"/>
        </w:rPr>
        <w:t>0.26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bidi="ar"/>
        </w:rPr>
        <w:t>增长</w:t>
      </w:r>
      <w:r>
        <w:rPr>
          <w:rFonts w:hint="eastAsia" w:ascii="仿宋_GB2312" w:hAnsi="仿宋_GB2312" w:eastAsia="仿宋_GB2312" w:cs="仿宋_GB2312"/>
          <w:color w:val="auto"/>
          <w:sz w:val="32"/>
          <w:szCs w:val="32"/>
          <w:highlight w:val="none"/>
          <w:lang w:val="en-US" w:eastAsia="zh-CN" w:bidi="ar"/>
        </w:rPr>
        <w:t>4.56</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w:t>
      </w:r>
      <w:r>
        <w:rPr>
          <w:rFonts w:hint="eastAsia" w:ascii="仿宋_GB2312" w:hAnsi="仿宋_GB2312" w:eastAsia="仿宋_GB2312" w:cs="仿宋_GB2312"/>
          <w:color w:val="auto"/>
          <w:sz w:val="32"/>
          <w:szCs w:val="32"/>
          <w:highlight w:val="none"/>
          <w:lang w:val="en-US" w:eastAsia="zh-CN" w:bidi="ar"/>
        </w:rPr>
        <w:t>要原因是：</w:t>
      </w:r>
      <w:r>
        <w:rPr>
          <w:rFonts w:hint="eastAsia" w:ascii="仿宋_GB2312" w:hAnsi="仿宋_GB2312" w:eastAsia="仿宋_GB2312" w:cs="仿宋_GB2312"/>
          <w:color w:val="auto"/>
          <w:sz w:val="32"/>
          <w:szCs w:val="32"/>
          <w:highlight w:val="none"/>
          <w:lang w:val="en-US" w:eastAsia="zh-CN"/>
        </w:rPr>
        <w:t>工会经费</w:t>
      </w:r>
      <w:r>
        <w:rPr>
          <w:rFonts w:hint="eastAsia" w:ascii="仿宋_GB2312" w:hAnsi="仿宋_GB2312" w:eastAsia="仿宋_GB2312" w:cs="仿宋_GB2312"/>
          <w:color w:val="auto"/>
          <w:sz w:val="32"/>
          <w:szCs w:val="32"/>
          <w:highlight w:val="none"/>
          <w:lang w:val="en-US" w:eastAsia="zh-CN" w:bidi="ar"/>
        </w:rPr>
        <w:t>基数增加。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2.其他文化旅游体育与传媒支出（207类）0.22</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eastAsia="zh-CN" w:bidi="ar"/>
        </w:rPr>
        <w:t>增加</w:t>
      </w:r>
      <w:r>
        <w:rPr>
          <w:rFonts w:hint="eastAsia" w:ascii="仿宋_GB2312" w:hAnsi="仿宋_GB2312" w:eastAsia="仿宋_GB2312" w:cs="仿宋_GB2312"/>
          <w:color w:val="auto"/>
          <w:sz w:val="32"/>
          <w:szCs w:val="32"/>
          <w:highlight w:val="none"/>
          <w:lang w:val="en-US" w:eastAsia="zh-CN" w:bidi="ar"/>
        </w:rPr>
        <w:t>0.22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bidi="ar"/>
        </w:rPr>
        <w:t>增长</w:t>
      </w:r>
      <w:r>
        <w:rPr>
          <w:rFonts w:hint="eastAsia" w:ascii="仿宋_GB2312" w:hAnsi="仿宋_GB2312" w:eastAsia="仿宋_GB2312" w:cs="仿宋_GB2312"/>
          <w:color w:val="auto"/>
          <w:sz w:val="32"/>
          <w:szCs w:val="32"/>
          <w:highlight w:val="none"/>
          <w:lang w:val="en-US" w:eastAsia="zh-CN" w:bidi="ar"/>
        </w:rPr>
        <w:t>100</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w:t>
      </w:r>
      <w:r>
        <w:rPr>
          <w:rFonts w:hint="eastAsia" w:ascii="仿宋_GB2312" w:hAnsi="仿宋_GB2312" w:eastAsia="仿宋_GB2312" w:cs="仿宋_GB2312"/>
          <w:color w:val="auto"/>
          <w:sz w:val="32"/>
          <w:szCs w:val="32"/>
          <w:highlight w:val="none"/>
          <w:lang w:val="en-US" w:eastAsia="zh-CN" w:bidi="ar"/>
        </w:rPr>
        <w:t>要原因是：2023年度新增新时代文明实践中心建设项目。</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sz w:val="32"/>
          <w:szCs w:val="32"/>
          <w:highlight w:val="none"/>
          <w:lang w:bidi="ar"/>
        </w:rPr>
        <w:t>社会保障和就业支出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bidi="ar"/>
        </w:rPr>
        <w:t>208</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bidi="ar"/>
        </w:rPr>
        <w:t>47.86</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lang w:val="en-US" w:eastAsia="zh-CN"/>
        </w:rPr>
        <w:t>职工养老保险缴费支出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lang w:val="en-US" w:eastAsia="zh-CN"/>
        </w:rPr>
        <w:t>较2022年度决算数增加6.05万元，</w:t>
      </w:r>
      <w:r>
        <w:rPr>
          <w:rFonts w:hint="eastAsia" w:ascii="仿宋_GB2312" w:hAnsi="仿宋_GB2312" w:eastAsia="仿宋_GB2312" w:cs="仿宋_GB2312"/>
          <w:color w:val="auto"/>
          <w:sz w:val="32"/>
          <w:szCs w:val="32"/>
          <w:highlight w:val="none"/>
          <w:lang w:eastAsia="zh-CN" w:bidi="ar"/>
        </w:rPr>
        <w:t>增长</w:t>
      </w:r>
      <w:r>
        <w:rPr>
          <w:rFonts w:hint="eastAsia" w:ascii="仿宋_GB2312" w:hAnsi="仿宋_GB2312" w:eastAsia="仿宋_GB2312" w:cs="仿宋_GB2312"/>
          <w:color w:val="auto"/>
          <w:kern w:val="0"/>
          <w:sz w:val="32"/>
          <w:szCs w:val="32"/>
          <w:highlight w:val="none"/>
          <w:u w:val="none"/>
          <w:lang w:val="en-US" w:eastAsia="zh-CN"/>
        </w:rPr>
        <w:t>14.47%，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主要原因是：</w:t>
      </w:r>
      <w:r>
        <w:rPr>
          <w:rFonts w:hint="eastAsia" w:ascii="仿宋_GB2312" w:hAnsi="仿宋_GB2312" w:eastAsia="仿宋_GB2312" w:cs="仿宋_GB2312"/>
          <w:color w:val="auto"/>
          <w:kern w:val="0"/>
          <w:sz w:val="32"/>
          <w:szCs w:val="32"/>
          <w:highlight w:val="none"/>
          <w:u w:val="none"/>
          <w:lang w:val="en-US" w:eastAsia="zh-CN"/>
        </w:rPr>
        <w:t>2023年度部门在职人员数量增加</w:t>
      </w:r>
      <w:r>
        <w:rPr>
          <w:rFonts w:hint="eastAsia" w:ascii="仿宋_GB2312" w:hAnsi="仿宋_GB2312" w:eastAsia="仿宋_GB2312" w:cs="仿宋_GB2312"/>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sz w:val="32"/>
          <w:szCs w:val="32"/>
          <w:highlight w:val="none"/>
          <w:lang w:bidi="ar"/>
        </w:rPr>
        <w:t>农林水支出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bidi="ar"/>
        </w:rPr>
        <w:t>213</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7410.66</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lang w:val="en-US" w:eastAsia="zh-CN"/>
        </w:rPr>
        <w:t>农村基础设施建设、扶贫小额信贷贴息补助、雨露计划补助等支出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rPr>
        <w:t>较</w:t>
      </w:r>
      <w:r>
        <w:rPr>
          <w:rFonts w:hint="eastAsia" w:ascii="仿宋_GB2312" w:hAnsi="仿宋_GB2312" w:eastAsia="仿宋_GB2312" w:cs="仿宋_GB2312"/>
          <w:color w:val="auto"/>
          <w:kern w:val="0"/>
          <w:sz w:val="32"/>
          <w:szCs w:val="32"/>
          <w:highlight w:val="none"/>
          <w:u w:val="none"/>
          <w:lang w:eastAsia="zh-CN"/>
        </w:rPr>
        <w:t>202</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年度决算数</w:t>
      </w:r>
      <w:r>
        <w:rPr>
          <w:rFonts w:hint="eastAsia" w:ascii="仿宋_GB2312" w:hAnsi="仿宋_GB2312" w:eastAsia="仿宋_GB2312" w:cs="仿宋_GB2312"/>
          <w:color w:val="auto"/>
          <w:kern w:val="0"/>
          <w:sz w:val="32"/>
          <w:szCs w:val="32"/>
          <w:highlight w:val="none"/>
          <w:u w:val="none"/>
          <w:lang w:eastAsia="zh-CN"/>
        </w:rPr>
        <w:t>减少</w:t>
      </w:r>
      <w:r>
        <w:rPr>
          <w:rFonts w:hint="eastAsia" w:ascii="仿宋_GB2312" w:hAnsi="仿宋_GB2312" w:eastAsia="仿宋_GB2312" w:cs="仿宋_GB2312"/>
          <w:color w:val="auto"/>
          <w:kern w:val="0"/>
          <w:sz w:val="32"/>
          <w:szCs w:val="32"/>
          <w:highlight w:val="none"/>
          <w:u w:val="none"/>
          <w:lang w:val="en-US" w:eastAsia="zh-CN"/>
        </w:rPr>
        <w:t>10065.88</w:t>
      </w:r>
      <w:r>
        <w:rPr>
          <w:rFonts w:hint="eastAsia" w:ascii="仿宋_GB2312" w:hAnsi="仿宋_GB2312" w:eastAsia="仿宋_GB2312" w:cs="仿宋_GB2312"/>
          <w:color w:val="auto"/>
          <w:kern w:val="0"/>
          <w:sz w:val="32"/>
          <w:szCs w:val="32"/>
          <w:highlight w:val="none"/>
          <w:u w:val="none"/>
        </w:rPr>
        <w:t>万元，</w:t>
      </w:r>
      <w:r>
        <w:rPr>
          <w:rFonts w:hint="eastAsia" w:ascii="仿宋_GB2312" w:hAnsi="仿宋_GB2312" w:eastAsia="仿宋_GB2312" w:cs="仿宋_GB2312"/>
          <w:color w:val="auto"/>
          <w:kern w:val="0"/>
          <w:sz w:val="32"/>
          <w:szCs w:val="32"/>
          <w:highlight w:val="none"/>
          <w:u w:val="none"/>
          <w:lang w:eastAsia="zh-CN"/>
        </w:rPr>
        <w:t>下降</w:t>
      </w:r>
      <w:r>
        <w:rPr>
          <w:rFonts w:hint="eastAsia" w:ascii="仿宋_GB2312" w:hAnsi="仿宋_GB2312" w:eastAsia="仿宋_GB2312" w:cs="仿宋_GB2312"/>
          <w:color w:val="auto"/>
          <w:kern w:val="0"/>
          <w:sz w:val="32"/>
          <w:szCs w:val="32"/>
          <w:highlight w:val="none"/>
          <w:u w:val="none"/>
          <w:lang w:val="en-US" w:eastAsia="zh-CN"/>
        </w:rPr>
        <w:t>57.60</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2"/>
          <w:sz w:val="32"/>
          <w:szCs w:val="32"/>
          <w:highlight w:val="none"/>
          <w:lang w:val="en-US" w:eastAsia="zh-CN" w:bidi="ar"/>
        </w:rPr>
        <w:t>主要原因是：</w:t>
      </w:r>
      <w:r>
        <w:rPr>
          <w:rFonts w:hint="eastAsia" w:ascii="仿宋_GB2312" w:hAnsi="仿宋_GB2312" w:eastAsia="仿宋_GB2312" w:cs="仿宋_GB2312"/>
          <w:color w:val="auto"/>
          <w:kern w:val="0"/>
          <w:sz w:val="32"/>
          <w:szCs w:val="32"/>
          <w:highlight w:val="none"/>
          <w:u w:val="none"/>
          <w:lang w:val="en-US" w:eastAsia="zh-CN"/>
        </w:rPr>
        <w:t>2023年度本单位承担的上级财政衔接资金项目任务较2022年有所</w:t>
      </w:r>
      <w:r>
        <w:rPr>
          <w:rFonts w:hint="eastAsia" w:ascii="仿宋_GB2312" w:hAnsi="仿宋_GB2312" w:eastAsia="仿宋_GB2312" w:cs="仿宋_GB2312"/>
          <w:color w:val="auto"/>
          <w:kern w:val="0"/>
          <w:sz w:val="32"/>
          <w:szCs w:val="32"/>
          <w:highlight w:val="none"/>
          <w:u w:val="none"/>
          <w:lang w:eastAsia="zh-CN"/>
        </w:rPr>
        <w:t>减少</w:t>
      </w:r>
      <w:r>
        <w:rPr>
          <w:rFonts w:hint="eastAsia" w:ascii="仿宋_GB2312" w:hAnsi="仿宋_GB2312" w:eastAsia="仿宋_GB2312" w:cs="仿宋_GB2312"/>
          <w:color w:val="auto"/>
          <w:kern w:val="0"/>
          <w:sz w:val="32"/>
          <w:szCs w:val="32"/>
          <w:highlight w:val="none"/>
          <w:u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highlight w:val="none"/>
          <w:u w:color="auto"/>
          <w:lang w:val="en-US" w:eastAsia="zh-CN"/>
        </w:rPr>
        <w:t>5</w:t>
      </w:r>
      <w:r>
        <w:rPr>
          <w:rFonts w:hint="eastAsia" w:ascii="仿宋_GB2312" w:hAnsi="仿宋_GB2312" w:eastAsia="仿宋_GB2312" w:cs="仿宋_GB2312"/>
          <w:color w:val="auto"/>
          <w:sz w:val="32"/>
          <w:szCs w:val="32"/>
          <w:highlight w:val="none"/>
          <w:u w:color="auto"/>
        </w:rPr>
        <w:t>.</w:t>
      </w:r>
      <w:r>
        <w:rPr>
          <w:rFonts w:hint="eastAsia" w:ascii="仿宋_GB2312" w:hAnsi="仿宋_GB2312" w:eastAsia="仿宋_GB2312" w:cs="仿宋_GB2312"/>
          <w:color w:val="auto"/>
          <w:sz w:val="32"/>
          <w:szCs w:val="32"/>
          <w:highlight w:val="none"/>
          <w:lang w:bidi="ar"/>
        </w:rPr>
        <w:t>住房保障支出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bidi="ar"/>
        </w:rPr>
        <w:t>221</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36.27</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lang w:val="en-US" w:eastAsia="zh-CN"/>
        </w:rPr>
        <w:t>职工住房公积金补贴支出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lang w:val="en-US" w:eastAsia="zh-CN"/>
        </w:rPr>
        <w:t>较2022年度决算数减少4.15万元，</w:t>
      </w:r>
      <w:r>
        <w:rPr>
          <w:rFonts w:hint="eastAsia" w:ascii="仿宋_GB2312" w:hAnsi="仿宋_GB2312" w:eastAsia="仿宋_GB2312" w:cs="仿宋_GB2312"/>
          <w:color w:val="auto"/>
          <w:sz w:val="32"/>
          <w:szCs w:val="32"/>
          <w:highlight w:val="none"/>
          <w:lang w:bidi="ar"/>
        </w:rPr>
        <w:t>下降</w:t>
      </w:r>
      <w:r>
        <w:rPr>
          <w:rFonts w:hint="eastAsia" w:ascii="仿宋_GB2312" w:hAnsi="仿宋_GB2312" w:eastAsia="仿宋_GB2312" w:cs="仿宋_GB2312"/>
          <w:color w:val="auto"/>
          <w:kern w:val="0"/>
          <w:sz w:val="32"/>
          <w:szCs w:val="32"/>
          <w:highlight w:val="none"/>
          <w:u w:val="none"/>
          <w:lang w:val="en-US" w:eastAsia="zh-CN"/>
        </w:rPr>
        <w:t>12.92%，主要原因是：住房公积金基数整体减少</w:t>
      </w:r>
      <w:r>
        <w:rPr>
          <w:rFonts w:hint="eastAsia" w:ascii="仿宋_GB2312" w:hAnsi="仿宋_GB2312" w:eastAsia="仿宋_GB2312" w:cs="仿宋_GB2312"/>
          <w:color w:val="auto"/>
          <w:kern w:val="2"/>
          <w:sz w:val="32"/>
          <w:szCs w:val="32"/>
          <w:highlight w:val="none"/>
          <w:lang w:val="en-US" w:eastAsia="zh-CN" w:bidi="ar"/>
        </w:rPr>
        <w:t>。</w:t>
      </w:r>
    </w:p>
    <w:p>
      <w:pPr>
        <w:autoSpaceDE w:val="0"/>
        <w:autoSpaceDN w:val="0"/>
        <w:adjustRightInd w:val="0"/>
        <w:spacing w:line="560" w:lineRule="exact"/>
        <w:ind w:firstLine="627" w:firstLineChars="196"/>
        <w:jc w:val="left"/>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6.其他支出（229类）66.92万元，主要用于巩固拓展脱贫攻坚成果和乡村振兴任务中产生的其他费用支出。较2022年度决算数减少11.56万元，</w:t>
      </w:r>
      <w:r>
        <w:rPr>
          <w:rFonts w:hint="eastAsia" w:ascii="仿宋_GB2312" w:hAnsi="仿宋_GB2312" w:eastAsia="仿宋_GB2312" w:cs="仿宋_GB2312"/>
          <w:color w:val="auto"/>
          <w:sz w:val="32"/>
          <w:szCs w:val="32"/>
          <w:highlight w:val="none"/>
          <w:lang w:bidi="ar"/>
        </w:rPr>
        <w:t>下降</w:t>
      </w:r>
      <w:r>
        <w:rPr>
          <w:rFonts w:hint="eastAsia" w:ascii="仿宋_GB2312" w:hAnsi="仿宋_GB2312" w:eastAsia="仿宋_GB2312" w:cs="仿宋_GB2312"/>
          <w:color w:val="auto"/>
          <w:kern w:val="0"/>
          <w:sz w:val="32"/>
          <w:szCs w:val="32"/>
          <w:highlight w:val="none"/>
          <w:u w:val="none"/>
          <w:lang w:val="en-US" w:eastAsia="zh-CN"/>
        </w:rPr>
        <w:t>14.73%，主要原因是：乡村振兴公务活动减少。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2" w:name="OLE_LINK1"/>
      <w:r>
        <w:rPr>
          <w:rFonts w:hint="eastAsia" w:ascii="黑体" w:hAnsi="黑体" w:eastAsia="黑体" w:cs="黑体"/>
          <w:color w:val="auto"/>
          <w:sz w:val="32"/>
          <w:szCs w:val="32"/>
          <w:highlight w:val="none"/>
        </w:rPr>
        <w:t>一般公共预算财政拨款支出决算情况</w:t>
      </w:r>
      <w:bookmarkEnd w:id="2"/>
    </w:p>
    <w:p>
      <w:pPr>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 w:hAnsi="仿宋" w:eastAsia="仿宋" w:cs="仿宋"/>
          <w:color w:val="auto"/>
          <w:sz w:val="32"/>
          <w:szCs w:val="32"/>
          <w:highlight w:val="none"/>
          <w:lang w:eastAsia="zh-CN"/>
        </w:rPr>
        <w:t>我单位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_GB2312" w:hAnsi="仿宋_GB2312" w:eastAsia="仿宋_GB2312" w:cs="仿宋_GB2312"/>
          <w:i w:val="0"/>
          <w:iCs w:val="0"/>
          <w:color w:val="auto"/>
          <w:kern w:val="0"/>
          <w:sz w:val="32"/>
          <w:szCs w:val="32"/>
          <w:highlight w:val="none"/>
          <w:u w:val="none"/>
          <w:lang w:val="en-US" w:eastAsia="zh-CN" w:bidi="ar"/>
        </w:rPr>
        <w:t>7567.89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u w:val="none"/>
        </w:rPr>
        <w:t>较</w:t>
      </w:r>
      <w:r>
        <w:rPr>
          <w:rFonts w:hint="eastAsia" w:ascii="仿宋_GB2312" w:hAnsi="仿宋_GB2312" w:eastAsia="仿宋_GB2312" w:cs="仿宋_GB2312"/>
          <w:color w:val="auto"/>
          <w:kern w:val="0"/>
          <w:sz w:val="32"/>
          <w:szCs w:val="32"/>
          <w:highlight w:val="none"/>
          <w:u w:val="none"/>
          <w:lang w:eastAsia="zh-CN"/>
        </w:rPr>
        <w:t>202</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年度决算数</w:t>
      </w:r>
      <w:r>
        <w:rPr>
          <w:rFonts w:hint="eastAsia" w:ascii="仿宋_GB2312" w:hAnsi="仿宋_GB2312" w:eastAsia="仿宋_GB2312" w:cs="仿宋_GB2312"/>
          <w:color w:val="auto"/>
          <w:kern w:val="0"/>
          <w:sz w:val="32"/>
          <w:szCs w:val="32"/>
          <w:highlight w:val="none"/>
          <w:u w:val="none"/>
          <w:lang w:eastAsia="zh-CN"/>
        </w:rPr>
        <w:t>减少</w:t>
      </w:r>
      <w:r>
        <w:rPr>
          <w:rFonts w:hint="eastAsia" w:ascii="仿宋_GB2312" w:hAnsi="仿宋_GB2312" w:eastAsia="仿宋_GB2312" w:cs="仿宋_GB2312"/>
          <w:color w:val="auto"/>
          <w:kern w:val="0"/>
          <w:sz w:val="32"/>
          <w:szCs w:val="32"/>
          <w:highlight w:val="none"/>
          <w:u w:val="none"/>
          <w:lang w:val="en-US" w:eastAsia="zh-CN"/>
        </w:rPr>
        <w:t>10066.78</w:t>
      </w:r>
      <w:r>
        <w:rPr>
          <w:rFonts w:hint="eastAsia" w:ascii="仿宋_GB2312" w:hAnsi="仿宋_GB2312" w:eastAsia="仿宋_GB2312" w:cs="仿宋_GB2312"/>
          <w:color w:val="auto"/>
          <w:kern w:val="0"/>
          <w:sz w:val="32"/>
          <w:szCs w:val="32"/>
          <w:highlight w:val="none"/>
          <w:u w:val="none"/>
        </w:rPr>
        <w:t>万元，</w:t>
      </w:r>
      <w:r>
        <w:rPr>
          <w:rFonts w:hint="eastAsia" w:ascii="仿宋_GB2312" w:hAnsi="仿宋_GB2312" w:eastAsia="仿宋_GB2312" w:cs="仿宋_GB2312"/>
          <w:color w:val="auto"/>
          <w:kern w:val="0"/>
          <w:sz w:val="32"/>
          <w:szCs w:val="32"/>
          <w:highlight w:val="none"/>
          <w:u w:val="none"/>
          <w:lang w:eastAsia="zh-CN"/>
        </w:rPr>
        <w:t>减少了</w:t>
      </w:r>
      <w:r>
        <w:rPr>
          <w:rFonts w:hint="eastAsia" w:ascii="仿宋_GB2312" w:hAnsi="仿宋_GB2312" w:eastAsia="仿宋_GB2312" w:cs="仿宋_GB2312"/>
          <w:color w:val="auto"/>
          <w:kern w:val="0"/>
          <w:sz w:val="32"/>
          <w:szCs w:val="32"/>
          <w:highlight w:val="none"/>
          <w:u w:val="none"/>
          <w:lang w:val="en-US" w:eastAsia="zh-CN"/>
        </w:rPr>
        <w:t>57.09</w:t>
      </w:r>
      <w:r>
        <w:rPr>
          <w:rFonts w:hint="eastAsia" w:ascii="仿宋_GB2312" w:hAnsi="仿宋_GB2312" w:eastAsia="仿宋_GB2312" w:cs="仿宋_GB2312"/>
          <w:color w:val="auto"/>
          <w:kern w:val="0"/>
          <w:sz w:val="32"/>
          <w:szCs w:val="32"/>
          <w:highlight w:val="none"/>
          <w:u w:val="none"/>
        </w:rPr>
        <w:t>%。其中：基本支出</w:t>
      </w:r>
      <w:r>
        <w:rPr>
          <w:rFonts w:hint="eastAsia" w:ascii="仿宋_GB2312" w:hAnsi="仿宋_GB2312" w:eastAsia="仿宋_GB2312" w:cs="仿宋_GB2312"/>
          <w:color w:val="auto"/>
          <w:kern w:val="0"/>
          <w:sz w:val="32"/>
          <w:szCs w:val="32"/>
          <w:highlight w:val="none"/>
          <w:u w:val="none"/>
          <w:lang w:val="en-US" w:eastAsia="zh-CN"/>
        </w:rPr>
        <w:t>537.46</w:t>
      </w:r>
      <w:r>
        <w:rPr>
          <w:rFonts w:hint="eastAsia" w:ascii="仿宋_GB2312" w:hAnsi="仿宋_GB2312" w:eastAsia="仿宋_GB2312" w:cs="仿宋_GB2312"/>
          <w:color w:val="auto"/>
          <w:kern w:val="0"/>
          <w:sz w:val="32"/>
          <w:szCs w:val="32"/>
          <w:highlight w:val="none"/>
          <w:u w:val="none"/>
        </w:rPr>
        <w:t>万元，项目支出</w:t>
      </w:r>
      <w:r>
        <w:rPr>
          <w:rFonts w:hint="eastAsia" w:ascii="仿宋_GB2312" w:hAnsi="仿宋_GB2312" w:eastAsia="仿宋_GB2312" w:cs="仿宋_GB2312"/>
          <w:color w:val="auto"/>
          <w:kern w:val="0"/>
          <w:sz w:val="32"/>
          <w:szCs w:val="32"/>
          <w:highlight w:val="none"/>
          <w:u w:val="none"/>
          <w:lang w:val="en-US" w:eastAsia="zh-CN"/>
        </w:rPr>
        <w:t>7030.43</w:t>
      </w:r>
      <w:r>
        <w:rPr>
          <w:rFonts w:hint="eastAsia" w:ascii="仿宋_GB2312" w:hAnsi="仿宋_GB2312" w:eastAsia="仿宋_GB2312" w:cs="仿宋_GB2312"/>
          <w:color w:val="auto"/>
          <w:kern w:val="0"/>
          <w:sz w:val="32"/>
          <w:szCs w:val="32"/>
          <w:highlight w:val="none"/>
          <w:u w:val="none"/>
        </w:rPr>
        <w:t>万元。</w:t>
      </w:r>
    </w:p>
    <w:p>
      <w:pPr>
        <w:autoSpaceDE w:val="0"/>
        <w:autoSpaceDN w:val="0"/>
        <w:adjustRightInd w:val="0"/>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kern w:val="0"/>
          <w:sz w:val="32"/>
          <w:szCs w:val="32"/>
          <w:highlight w:val="none"/>
          <w:u w:val="none"/>
          <w:lang w:eastAsia="zh-CN"/>
        </w:rPr>
        <w:t>202</w:t>
      </w:r>
      <w:r>
        <w:rPr>
          <w:rFonts w:hint="eastAsia" w:ascii="仿宋_GB2312" w:hAnsi="仿宋_GB2312" w:eastAsia="仿宋_GB2312" w:cs="仿宋_GB2312"/>
          <w:color w:val="auto"/>
          <w:kern w:val="0"/>
          <w:sz w:val="32"/>
          <w:szCs w:val="32"/>
          <w:highlight w:val="none"/>
          <w:u w:val="none"/>
          <w:lang w:val="en-US" w:eastAsia="zh-CN"/>
        </w:rPr>
        <w:t>3</w:t>
      </w:r>
      <w:r>
        <w:rPr>
          <w:rFonts w:hint="eastAsia" w:ascii="仿宋_GB2312" w:hAnsi="仿宋_GB2312" w:eastAsia="仿宋_GB2312" w:cs="仿宋_GB2312"/>
          <w:color w:val="auto"/>
          <w:kern w:val="0"/>
          <w:sz w:val="32"/>
          <w:szCs w:val="32"/>
          <w:highlight w:val="none"/>
          <w:u w:val="none"/>
        </w:rPr>
        <w:t>年度</w:t>
      </w:r>
      <w:r>
        <w:rPr>
          <w:rFonts w:hint="eastAsia" w:ascii="仿宋_GB2312" w:hAnsi="仿宋_GB2312" w:eastAsia="仿宋_GB2312" w:cs="仿宋_GB2312"/>
          <w:color w:val="auto"/>
          <w:sz w:val="32"/>
          <w:szCs w:val="32"/>
          <w:highlight w:val="none"/>
          <w:u w:val="none"/>
        </w:rPr>
        <w:t>一般</w:t>
      </w:r>
      <w:r>
        <w:rPr>
          <w:rFonts w:hint="eastAsia" w:ascii="仿宋_GB2312" w:hAnsi="仿宋_GB2312" w:eastAsia="仿宋_GB2312" w:cs="仿宋_GB2312"/>
          <w:color w:val="auto"/>
          <w:kern w:val="0"/>
          <w:sz w:val="32"/>
          <w:szCs w:val="32"/>
          <w:highlight w:val="none"/>
          <w:u w:val="none"/>
        </w:rPr>
        <w:t>公共预算财政拨款支出年初预算为</w:t>
      </w:r>
      <w:r>
        <w:rPr>
          <w:rFonts w:hint="eastAsia" w:ascii="仿宋_GB2312" w:hAnsi="仿宋_GB2312" w:eastAsia="仿宋_GB2312" w:cs="仿宋_GB2312"/>
          <w:i w:val="0"/>
          <w:iCs w:val="0"/>
          <w:color w:val="auto"/>
          <w:kern w:val="0"/>
          <w:sz w:val="32"/>
          <w:szCs w:val="32"/>
          <w:highlight w:val="none"/>
          <w:u w:val="none"/>
          <w:lang w:val="en-US" w:eastAsia="zh-CN" w:bidi="ar"/>
        </w:rPr>
        <w:t>7567.89</w:t>
      </w:r>
      <w:r>
        <w:rPr>
          <w:rFonts w:hint="eastAsia" w:ascii="仿宋_GB2312" w:hAnsi="仿宋_GB2312" w:eastAsia="仿宋_GB2312" w:cs="仿宋_GB2312"/>
          <w:color w:val="auto"/>
          <w:kern w:val="0"/>
          <w:sz w:val="32"/>
          <w:szCs w:val="32"/>
          <w:highlight w:val="none"/>
          <w:u w:val="none"/>
        </w:rPr>
        <w:t>万元，支出决算为</w:t>
      </w:r>
      <w:r>
        <w:rPr>
          <w:rFonts w:hint="eastAsia" w:ascii="仿宋_GB2312" w:hAnsi="仿宋_GB2312" w:eastAsia="仿宋_GB2312" w:cs="仿宋_GB2312"/>
          <w:i w:val="0"/>
          <w:iCs w:val="0"/>
          <w:color w:val="auto"/>
          <w:kern w:val="0"/>
          <w:sz w:val="32"/>
          <w:szCs w:val="32"/>
          <w:highlight w:val="none"/>
          <w:u w:val="none"/>
          <w:lang w:val="en-US" w:eastAsia="zh-CN" w:bidi="ar"/>
        </w:rPr>
        <w:t>7567.89</w:t>
      </w:r>
      <w:r>
        <w:rPr>
          <w:rFonts w:hint="eastAsia" w:ascii="仿宋_GB2312" w:hAnsi="仿宋_GB2312" w:eastAsia="仿宋_GB2312" w:cs="仿宋_GB2312"/>
          <w:color w:val="auto"/>
          <w:kern w:val="0"/>
          <w:sz w:val="32"/>
          <w:szCs w:val="32"/>
          <w:highlight w:val="none"/>
          <w:u w:val="none"/>
        </w:rPr>
        <w:t>万元，完成年初预算的</w:t>
      </w:r>
      <w:r>
        <w:rPr>
          <w:rFonts w:hint="eastAsia" w:ascii="仿宋_GB2312" w:hAnsi="仿宋_GB2312" w:eastAsia="仿宋_GB2312" w:cs="仿宋_GB2312"/>
          <w:color w:val="auto"/>
          <w:kern w:val="0"/>
          <w:sz w:val="32"/>
          <w:szCs w:val="32"/>
          <w:highlight w:val="none"/>
          <w:u w:val="none"/>
          <w:lang w:val="en-US" w:eastAsia="zh-CN"/>
        </w:rPr>
        <w:t>100</w:t>
      </w:r>
      <w:r>
        <w:rPr>
          <w:rFonts w:hint="eastAsia" w:ascii="仿宋_GB2312" w:hAnsi="仿宋_GB2312" w:eastAsia="仿宋_GB2312" w:cs="仿宋_GB2312"/>
          <w:color w:val="auto"/>
          <w:kern w:val="0"/>
          <w:sz w:val="32"/>
          <w:szCs w:val="32"/>
          <w:highlight w:val="none"/>
          <w:u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rPr>
        <w:t>一般公共服务支出</w:t>
      </w:r>
      <w:r>
        <w:rPr>
          <w:rFonts w:hint="eastAsia" w:ascii="仿宋_GB2312" w:hAnsi="仿宋_GB2312" w:eastAsia="仿宋_GB2312" w:cs="仿宋_GB2312"/>
          <w:color w:val="auto"/>
          <w:sz w:val="32"/>
          <w:szCs w:val="32"/>
          <w:highlight w:val="none"/>
          <w:lang w:val="en-US" w:eastAsia="zh-CN" w:bidi="ar"/>
        </w:rPr>
        <w:t>（201类）5.96</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5.96</w:t>
      </w:r>
      <w:r>
        <w:rPr>
          <w:rFonts w:hint="eastAsia" w:ascii="仿宋_GB2312" w:hAnsi="仿宋_GB2312" w:eastAsia="仿宋_GB2312" w:cs="仿宋_GB2312"/>
          <w:color w:val="auto"/>
          <w:sz w:val="32"/>
          <w:szCs w:val="32"/>
          <w:highlight w:val="none"/>
        </w:rPr>
        <w:t>万元，完成年初预算的10</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5.96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5.96</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5.96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5.96</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u w:color="auto"/>
        </w:rPr>
        <w:t>（208</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bidi="ar"/>
        </w:rPr>
        <w:t>47.86</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bidi="ar"/>
        </w:rPr>
        <w:t>47.86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47.86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47.86</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kern w:val="0"/>
                <w:sz w:val="20"/>
                <w:szCs w:val="20"/>
                <w:highlight w:val="none"/>
                <w:u w:val="none"/>
                <w:lang w:val="en-US" w:eastAsia="zh-CN"/>
              </w:rPr>
              <w:t>职工养老保险缴费支出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47.86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47.86</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rPr>
        <w:t>农林水支出</w:t>
      </w:r>
      <w:r>
        <w:rPr>
          <w:rFonts w:hint="eastAsia" w:ascii="仿宋_GB2312" w:hAnsi="仿宋_GB2312" w:eastAsia="仿宋_GB2312" w:cs="仿宋_GB2312"/>
          <w:color w:val="auto"/>
          <w:sz w:val="32"/>
          <w:highlight w:val="none"/>
          <w:u w:color="auto"/>
        </w:rPr>
        <w:t>（213</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7410.66</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7410.66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840"/>
        <w:gridCol w:w="994"/>
        <w:gridCol w:w="976"/>
        <w:gridCol w:w="1276"/>
        <w:gridCol w:w="1434"/>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完成预算</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百分比</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2130501</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765.98</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765.98</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工资福利、商品和服务支出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2130504</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3333.94</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3333.94</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衔接资金</w:t>
            </w:r>
            <w:r>
              <w:rPr>
                <w:rFonts w:hint="eastAsia" w:asciiTheme="minorEastAsia" w:hAnsiTheme="minorEastAsia" w:eastAsiaTheme="minorEastAsia" w:cstheme="minorEastAsia"/>
                <w:color w:val="auto"/>
                <w:kern w:val="0"/>
                <w:sz w:val="20"/>
                <w:szCs w:val="20"/>
                <w:highlight w:val="none"/>
                <w:u w:val="none"/>
                <w:lang w:val="en-US" w:eastAsia="zh-CN"/>
              </w:rPr>
              <w:t>农村基础设施建设项目支出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2130507</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贷款奖补和贴息</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1567.99</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1567.99</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cstheme="minorEastAsia"/>
                <w:color w:val="auto"/>
                <w:sz w:val="20"/>
                <w:szCs w:val="20"/>
                <w:highlight w:val="none"/>
                <w:lang w:val="en-US" w:eastAsia="zh-CN"/>
              </w:rPr>
              <w:t>小额信贷贴息支出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2130550</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38.21</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38.21</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绩效工资</w:t>
            </w:r>
            <w:r>
              <w:rPr>
                <w:rFonts w:hint="eastAsia" w:asciiTheme="minorEastAsia" w:hAnsiTheme="minorEastAsia" w:cstheme="minorEastAsia"/>
                <w:color w:val="auto"/>
                <w:sz w:val="20"/>
                <w:szCs w:val="20"/>
                <w:highlight w:val="none"/>
                <w:lang w:val="en-US" w:eastAsia="zh-CN"/>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2130599</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1704.53</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1704.53</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cstheme="minorEastAsia"/>
                <w:i w:val="0"/>
                <w:iCs w:val="0"/>
                <w:color w:val="auto"/>
                <w:kern w:val="2"/>
                <w:sz w:val="20"/>
                <w:szCs w:val="20"/>
                <w:highlight w:val="none"/>
                <w:u w:val="none"/>
                <w:lang w:val="en-US" w:eastAsia="zh-CN" w:bidi="ar-SA"/>
              </w:rPr>
              <w:t>乡村振兴指挥部日常支出、雨露计划等其它</w:t>
            </w:r>
            <w:r>
              <w:rPr>
                <w:rFonts w:hint="eastAsia" w:asciiTheme="minorEastAsia" w:hAnsiTheme="minorEastAsia" w:eastAsiaTheme="minorEastAsia" w:cstheme="minorEastAsia"/>
                <w:color w:val="auto"/>
                <w:sz w:val="20"/>
                <w:szCs w:val="20"/>
                <w:highlight w:val="none"/>
                <w:lang w:val="en-US" w:eastAsia="zh-CN"/>
              </w:rPr>
              <w:t>衔接资金</w:t>
            </w:r>
            <w:r>
              <w:rPr>
                <w:rFonts w:hint="eastAsia" w:asciiTheme="minorEastAsia" w:hAnsiTheme="minorEastAsia" w:cstheme="minorEastAsia"/>
                <w:color w:val="auto"/>
                <w:kern w:val="0"/>
                <w:sz w:val="20"/>
                <w:szCs w:val="20"/>
                <w:highlight w:val="none"/>
                <w:u w:val="none"/>
                <w:lang w:val="en-US" w:eastAsia="zh-CN"/>
              </w:rPr>
              <w:t>建设</w:t>
            </w:r>
            <w:r>
              <w:rPr>
                <w:rFonts w:hint="eastAsia" w:asciiTheme="minorEastAsia" w:hAnsiTheme="minorEastAsia" w:eastAsiaTheme="minorEastAsia" w:cstheme="minorEastAsia"/>
                <w:color w:val="auto"/>
                <w:kern w:val="0"/>
                <w:sz w:val="20"/>
                <w:szCs w:val="20"/>
                <w:highlight w:val="none"/>
                <w:u w:val="none"/>
                <w:lang w:val="en-US" w:eastAsia="zh-CN"/>
              </w:rPr>
              <w:t>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9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84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7410.66</w:t>
            </w:r>
          </w:p>
        </w:tc>
        <w:tc>
          <w:tcPr>
            <w:tcW w:w="9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7410.66</w:t>
            </w:r>
          </w:p>
        </w:tc>
        <w:tc>
          <w:tcPr>
            <w:tcW w:w="12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43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highlight w:val="none"/>
          <w:u w:color="auto"/>
        </w:rPr>
        <w:t>（221</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36.27</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36.27</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36.27</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36.27</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kern w:val="0"/>
                <w:sz w:val="20"/>
                <w:szCs w:val="20"/>
                <w:highlight w:val="none"/>
                <w:u w:val="none"/>
                <w:lang w:val="en-US" w:eastAsia="zh-CN"/>
              </w:rPr>
              <w:t>职工住房公积金补贴支出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36.27</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36.27</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年度一般公共预算财政拨款基本支出</w:t>
      </w:r>
      <w:r>
        <w:rPr>
          <w:rFonts w:hint="eastAsia" w:ascii="仿宋_GB2312" w:hAnsi="仿宋_GB2312" w:eastAsia="仿宋_GB2312" w:cs="仿宋_GB2312"/>
          <w:color w:val="auto"/>
          <w:sz w:val="32"/>
          <w:highlight w:val="none"/>
          <w:u w:color="auto"/>
          <w:lang w:val="en-US" w:eastAsia="zh-CN"/>
        </w:rPr>
        <w:t>537.46万元，其中：人员经费支出510.50万元，公用经费支出26.96万元，</w:t>
      </w:r>
      <w:r>
        <w:rPr>
          <w:rFonts w:hint="eastAsia" w:ascii="仿宋_GB2312" w:hAnsi="仿宋_GB2312" w:eastAsia="仿宋_GB2312" w:cs="仿宋_GB2312"/>
          <w:color w:val="auto"/>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highlight w:val="none"/>
          <w:u w:color="auto"/>
          <w:lang w:val="en-US" w:eastAsia="zh-CN"/>
        </w:rPr>
        <w:t>494.72</w:t>
      </w:r>
      <w:r>
        <w:rPr>
          <w:rFonts w:hint="eastAsia" w:ascii="仿宋_GB2312" w:hAnsi="仿宋_GB2312" w:eastAsia="仿宋_GB2312" w:cs="仿宋_GB2312"/>
          <w:color w:val="auto"/>
          <w:sz w:val="32"/>
          <w:highlight w:val="none"/>
          <w:u w:color="auto"/>
        </w:rPr>
        <w:t>万</w:t>
      </w:r>
      <w:r>
        <w:rPr>
          <w:rFonts w:hint="eastAsia" w:ascii="仿宋_GB2312" w:hAnsi="仿宋_GB2312" w:eastAsia="仿宋_GB2312" w:cs="仿宋_GB2312"/>
          <w:color w:val="auto"/>
          <w:sz w:val="32"/>
          <w:szCs w:val="32"/>
          <w:highlight w:val="none"/>
        </w:rPr>
        <w:t>元，完成年初预算</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30101基本工资134.35万元，30102津贴补贴33.99万元，30103奖金137.38万元，30107绩效工资43.63万元，30108机关事业单位基本养老保险缴费47.86万元，30110职工基本医疗保险缴费19.34万元，30112其他社会保障缴费1.40万元，30113住房公积金36.27万元，30199其他工资福利支出40.49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商品和服务支出</w:t>
      </w:r>
      <w:r>
        <w:rPr>
          <w:rFonts w:hint="eastAsia" w:ascii="仿宋_GB2312" w:hAnsi="仿宋_GB2312" w:eastAsia="仿宋_GB2312" w:cs="仿宋_GB2312"/>
          <w:color w:val="auto"/>
          <w:sz w:val="32"/>
          <w:highlight w:val="none"/>
          <w:u w:color="auto"/>
          <w:lang w:val="en-US" w:eastAsia="zh-CN"/>
        </w:rPr>
        <w:t>26.96</w:t>
      </w:r>
      <w:r>
        <w:rPr>
          <w:rFonts w:hint="eastAsia" w:ascii="仿宋_GB2312" w:hAnsi="仿宋_GB2312" w:eastAsia="仿宋_GB2312" w:cs="仿宋_GB2312"/>
          <w:color w:val="auto"/>
          <w:sz w:val="32"/>
          <w:highlight w:val="none"/>
          <w:u w:color="auto"/>
        </w:rPr>
        <w:t>万元，</w:t>
      </w:r>
      <w:r>
        <w:rPr>
          <w:rFonts w:hint="eastAsia" w:ascii="仿宋_GB2312" w:hAnsi="仿宋_GB2312" w:eastAsia="仿宋_GB2312" w:cs="仿宋_GB2312"/>
          <w:color w:val="auto"/>
          <w:sz w:val="32"/>
          <w:szCs w:val="32"/>
          <w:highlight w:val="none"/>
        </w:rPr>
        <w:t>完成年初预算</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w:t>
      </w:r>
    </w:p>
    <w:p>
      <w:pPr>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30201办公费0.49万元，30205水费0.24万元，30206电费3.03万元，30207邮电费2.53万元，30211差旅费2.5万元，30226劳务费0.4万元，30228工会经费5.96万元，30231公务用车运行维护费2.16万元，30239其他交通费用9.45万元，30299其他商品和服务支出0.19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对个人和家庭的补助</w:t>
      </w:r>
      <w:r>
        <w:rPr>
          <w:rFonts w:hint="eastAsia" w:ascii="仿宋_GB2312" w:hAnsi="仿宋_GB2312" w:eastAsia="仿宋_GB2312" w:cs="仿宋_GB2312"/>
          <w:color w:val="auto"/>
          <w:sz w:val="32"/>
          <w:highlight w:val="none"/>
          <w:u w:color="auto"/>
          <w:lang w:val="en-US" w:eastAsia="zh-CN"/>
        </w:rPr>
        <w:t>15.78</w:t>
      </w:r>
      <w:r>
        <w:rPr>
          <w:rFonts w:hint="eastAsia" w:ascii="仿宋_GB2312" w:hAnsi="仿宋_GB2312" w:eastAsia="仿宋_GB2312" w:cs="仿宋_GB2312"/>
          <w:color w:val="auto"/>
          <w:sz w:val="32"/>
          <w:highlight w:val="none"/>
          <w:u w:color="auto"/>
        </w:rPr>
        <w:t>万元，</w:t>
      </w:r>
      <w:r>
        <w:rPr>
          <w:rFonts w:hint="eastAsia" w:ascii="仿宋_GB2312" w:hAnsi="仿宋_GB2312" w:eastAsia="仿宋_GB2312" w:cs="仿宋_GB2312"/>
          <w:color w:val="auto"/>
          <w:sz w:val="32"/>
          <w:highlight w:val="none"/>
          <w:u w:color="auto"/>
          <w:lang w:val="en-US" w:eastAsia="zh-CN"/>
        </w:rPr>
        <w:t>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w:t>
      </w:r>
    </w:p>
    <w:p>
      <w:pPr>
        <w:keepNext w:val="0"/>
        <w:keepLines w:val="0"/>
        <w:widowControl w:val="0"/>
        <w:numPr>
          <w:numId w:val="0"/>
        </w:numPr>
        <w:suppressLineNumbers w:val="0"/>
        <w:spacing w:before="0" w:beforeAutospacing="0" w:after="0" w:afterAutospacing="0"/>
        <w:ind w:right="0" w:right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30305生活补助13.41万元，30309奖励金0.01万元，30399其他对个人和家庭的补助2.36万元。</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环江县</w:t>
      </w:r>
      <w:r>
        <w:rPr>
          <w:rFonts w:hint="eastAsia" w:ascii="仿宋_GB2312" w:hAnsi="仿宋_GB2312" w:eastAsia="仿宋_GB2312" w:cs="仿宋_GB2312"/>
          <w:color w:val="auto"/>
          <w:sz w:val="32"/>
          <w:highlight w:val="none"/>
          <w:u w:color="auto"/>
          <w:lang w:eastAsia="zh-CN"/>
        </w:rPr>
        <w:t>乡村振兴局</w:t>
      </w:r>
      <w:r>
        <w:rPr>
          <w:rFonts w:ascii="仿宋_GB2312" w:hAnsi="仿宋_GB2312" w:eastAsia="仿宋_GB2312" w:cs="仿宋_GB2312"/>
          <w:color w:val="auto"/>
          <w:sz w:val="32"/>
          <w:highlight w:val="none"/>
          <w:u w:color="auto"/>
        </w:rPr>
        <w:t>没有政府性基金收入，也没有政府性基金收入安排的支出</w:t>
      </w:r>
      <w:r>
        <w:rPr>
          <w:rFonts w:hint="eastAsia" w:ascii="仿宋_GB2312" w:hAnsi="Times New Roman" w:eastAsia="仿宋_GB2312" w:cs="Times New Roman"/>
          <w:color w:val="auto"/>
          <w:sz w:val="32"/>
          <w:szCs w:val="32"/>
          <w:highlight w:val="none"/>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 w:hAnsi="仿宋" w:eastAsia="仿宋" w:cs="仿宋"/>
          <w:sz w:val="32"/>
          <w:szCs w:val="32"/>
          <w:highlight w:val="none"/>
          <w:lang w:eastAsia="zh-CN"/>
        </w:rPr>
        <w:t>环江县</w:t>
      </w:r>
      <w:r>
        <w:rPr>
          <w:rFonts w:hint="eastAsia" w:ascii="仿宋_GB2312" w:hAnsi="仿宋_GB2312" w:eastAsia="仿宋_GB2312" w:cs="仿宋_GB2312"/>
          <w:color w:val="auto"/>
          <w:sz w:val="32"/>
          <w:highlight w:val="none"/>
          <w:u w:color="auto"/>
          <w:lang w:eastAsia="zh-CN"/>
        </w:rPr>
        <w:t>乡村振兴局</w:t>
      </w:r>
      <w:r>
        <w:rPr>
          <w:rFonts w:ascii="仿宋_GB2312" w:hAnsi="仿宋_GB2312" w:eastAsia="仿宋_GB2312" w:cs="仿宋_GB2312"/>
          <w:color w:val="auto"/>
          <w:sz w:val="32"/>
          <w:highlight w:val="none"/>
          <w:u w:color="auto"/>
        </w:rPr>
        <w:t>没有国有资本经营预算收入，也没有国有资本经营预算收入</w:t>
      </w:r>
      <w:r>
        <w:rPr>
          <w:rFonts w:hint="eastAsia" w:ascii="仿宋_GB2312" w:hAnsi="Times New Roman" w:eastAsia="仿宋_GB2312" w:cs="Times New Roman"/>
          <w:color w:val="auto"/>
          <w:sz w:val="32"/>
          <w:szCs w:val="32"/>
          <w:highlight w:val="none"/>
        </w:rPr>
        <w:t>安排的支出。</w:t>
      </w:r>
      <w:bookmarkEnd w:id="4"/>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年度一般公共预算财政拨款安排的“三公”经费支出</w:t>
      </w:r>
      <w:r>
        <w:rPr>
          <w:rFonts w:hint="eastAsia" w:ascii="仿宋_GB2312" w:hAnsi="仿宋_GB2312" w:eastAsia="仿宋_GB2312" w:cs="仿宋_GB2312"/>
          <w:color w:val="auto"/>
          <w:sz w:val="32"/>
          <w:szCs w:val="32"/>
          <w:highlight w:val="none"/>
          <w:lang w:val="en-US" w:eastAsia="zh-CN"/>
        </w:rPr>
        <w:t>95.23</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%，比上年增加</w:t>
      </w:r>
      <w:r>
        <w:rPr>
          <w:rFonts w:hint="eastAsia" w:ascii="仿宋_GB2312" w:hAnsi="仿宋_GB2312" w:eastAsia="仿宋_GB2312" w:cs="仿宋_GB2312"/>
          <w:color w:val="auto"/>
          <w:sz w:val="32"/>
          <w:szCs w:val="32"/>
          <w:highlight w:val="none"/>
          <w:lang w:val="en-US" w:eastAsia="zh-CN"/>
        </w:rPr>
        <w:t>73.02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
          <w:sz w:val="32"/>
          <w:szCs w:val="32"/>
          <w:highlight w:val="none"/>
          <w:lang w:val="en-US" w:eastAsia="zh-CN" w:bidi="ar"/>
        </w:rPr>
        <w:t>主要原因是：乡村振兴指挥部以前年度公务活动增多，年初预算有限，未能及时报账，导致跨年度报账。</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rPr>
      </w:pPr>
      <w:bookmarkStart w:id="5" w:name="_GoBack"/>
      <w:bookmarkEnd w:id="5"/>
      <w:r>
        <w:rPr>
          <w:rFonts w:hint="eastAsia" w:ascii="仿宋_GB2312" w:hAnsi="仿宋_GB2312" w:eastAsia="仿宋_GB2312" w:cs="仿宋_GB2312"/>
          <w:color w:val="auto"/>
          <w:sz w:val="32"/>
          <w:szCs w:val="32"/>
          <w:highlight w:val="none"/>
        </w:rPr>
        <w:t>其中：因公出国（境）费支出决算0.00万元，公务用车购置及运行费支出决算</w:t>
      </w:r>
      <w:r>
        <w:rPr>
          <w:rFonts w:hint="eastAsia" w:ascii="仿宋_GB2312" w:hAnsi="仿宋_GB2312" w:eastAsia="仿宋_GB2312" w:cs="仿宋_GB2312"/>
          <w:color w:val="auto"/>
          <w:sz w:val="32"/>
          <w:szCs w:val="32"/>
          <w:highlight w:val="none"/>
          <w:lang w:val="en-US" w:eastAsia="zh-CN"/>
        </w:rPr>
        <w:t>2.16</w:t>
      </w:r>
      <w:r>
        <w:rPr>
          <w:rFonts w:hint="eastAsia" w:ascii="仿宋_GB2312" w:hAnsi="仿宋_GB2312" w:eastAsia="仿宋_GB2312" w:cs="仿宋_GB2312"/>
          <w:color w:val="auto"/>
          <w:sz w:val="32"/>
          <w:szCs w:val="32"/>
          <w:highlight w:val="none"/>
        </w:rPr>
        <w:t>万元，公务接待费支出决算</w:t>
      </w:r>
      <w:r>
        <w:rPr>
          <w:rFonts w:hint="eastAsia" w:ascii="仿宋_GB2312" w:hAnsi="仿宋_GB2312" w:eastAsia="仿宋_GB2312" w:cs="仿宋_GB2312"/>
          <w:color w:val="auto"/>
          <w:sz w:val="32"/>
          <w:szCs w:val="32"/>
          <w:highlight w:val="none"/>
          <w:lang w:val="en-US" w:eastAsia="zh-CN"/>
        </w:rPr>
        <w:t>93.07</w:t>
      </w:r>
      <w:r>
        <w:rPr>
          <w:rFonts w:hint="eastAsia" w:ascii="仿宋_GB2312" w:hAnsi="仿宋_GB2312" w:eastAsia="仿宋_GB2312" w:cs="仿宋_GB2312"/>
          <w:color w:val="auto"/>
          <w:sz w:val="32"/>
          <w:szCs w:val="32"/>
          <w:highlight w:val="none"/>
        </w:rPr>
        <w:t>万元。</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具体情况如下：</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（一）因公出国（境）费支出0.00万元，完成年初预算的0%，比上年增加0.00万元。全年因公出国（境）团组共计0个，累计0人次。</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（二）公务用车购置及运行维护费</w:t>
      </w:r>
      <w:r>
        <w:rPr>
          <w:rFonts w:hint="eastAsia" w:ascii="仿宋_GB2312" w:hAnsi="仿宋_GB2312" w:eastAsia="仿宋_GB2312" w:cs="仿宋_GB2312"/>
          <w:color w:val="auto"/>
          <w:sz w:val="32"/>
          <w:highlight w:val="none"/>
          <w:u w:color="auto"/>
          <w:lang w:val="en-US" w:eastAsia="zh-CN"/>
        </w:rPr>
        <w:t>2.16</w:t>
      </w:r>
      <w:r>
        <w:rPr>
          <w:rFonts w:hint="eastAsia" w:ascii="仿宋_GB2312" w:hAnsi="仿宋_GB2312" w:eastAsia="仿宋_GB2312" w:cs="仿宋_GB2312"/>
          <w:color w:val="auto"/>
          <w:sz w:val="32"/>
          <w:szCs w:val="32"/>
          <w:highlight w:val="none"/>
        </w:rPr>
        <w:t>万元。其中：公务用车购置支出</w:t>
      </w:r>
      <w:r>
        <w:rPr>
          <w:rFonts w:hint="eastAsia" w:ascii="仿宋_GB2312" w:hAnsi="仿宋_GB2312" w:eastAsia="仿宋_GB2312" w:cs="仿宋_GB2312"/>
          <w:color w:val="auto"/>
          <w:sz w:val="32"/>
          <w:highlight w:val="none"/>
          <w:u w:color="auto"/>
        </w:rPr>
        <w:t>0.00</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highlight w:val="none"/>
          <w:u w:color="auto"/>
          <w:lang w:val="en-US" w:eastAsia="zh-CN"/>
        </w:rPr>
        <w:t>100</w:t>
      </w:r>
      <w:r>
        <w:rPr>
          <w:rFonts w:hint="eastAsia" w:ascii="仿宋_GB2312" w:hAnsi="仿宋_GB2312" w:eastAsia="仿宋_GB2312" w:cs="仿宋_GB2312"/>
          <w:color w:val="auto"/>
          <w:sz w:val="32"/>
          <w:highlight w:val="none"/>
          <w:u w:color="auto"/>
        </w:rPr>
        <w:t>%</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kern w:val="0"/>
          <w:sz w:val="32"/>
          <w:szCs w:val="32"/>
          <w:highlight w:val="none"/>
          <w:u w:val="none"/>
          <w:lang w:eastAsia="zh-CN"/>
        </w:rPr>
        <w:t>下降</w:t>
      </w:r>
      <w:r>
        <w:rPr>
          <w:rFonts w:hint="eastAsia" w:ascii="仿宋_GB2312" w:hAnsi="仿宋_GB2312" w:eastAsia="仿宋_GB2312" w:cs="仿宋_GB2312"/>
          <w:color w:val="auto"/>
          <w:kern w:val="0"/>
          <w:sz w:val="32"/>
          <w:szCs w:val="32"/>
          <w:highlight w:val="none"/>
          <w:u w:val="none"/>
          <w:lang w:val="en-US" w:eastAsia="zh-CN"/>
        </w:rPr>
        <w:t>0.69</w:t>
      </w:r>
      <w:r>
        <w:rPr>
          <w:rFonts w:hint="eastAsia" w:ascii="仿宋_GB2312" w:hAnsi="仿宋_GB2312" w:eastAsia="仿宋_GB2312" w:cs="仿宋_GB2312"/>
          <w:color w:val="auto"/>
          <w:kern w:val="0"/>
          <w:sz w:val="32"/>
          <w:szCs w:val="32"/>
          <w:highlight w:val="none"/>
          <w:u w:val="none"/>
        </w:rPr>
        <w:t>万元</w:t>
      </w:r>
      <w:r>
        <w:rPr>
          <w:rFonts w:hint="eastAsia" w:ascii="仿宋_GB2312" w:hAnsi="仿宋_GB2312" w:eastAsia="仿宋_GB2312" w:cs="仿宋_GB2312"/>
          <w:color w:val="auto"/>
          <w:sz w:val="32"/>
          <w:szCs w:val="32"/>
          <w:highlight w:val="none"/>
        </w:rPr>
        <w:t>。</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公务用车运行维护支出</w:t>
      </w:r>
      <w:r>
        <w:rPr>
          <w:rFonts w:hint="eastAsia" w:ascii="仿宋_GB2312" w:hAnsi="仿宋_GB2312" w:eastAsia="仿宋_GB2312" w:cs="仿宋_GB2312"/>
          <w:color w:val="auto"/>
          <w:sz w:val="32"/>
          <w:highlight w:val="none"/>
          <w:u w:color="auto"/>
          <w:lang w:val="en-US" w:eastAsia="zh-CN"/>
        </w:rPr>
        <w:t>2.16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highlight w:val="none"/>
          <w:u w:color="auto"/>
          <w:lang w:val="en-US" w:eastAsia="zh-CN"/>
        </w:rPr>
        <w:t>100</w:t>
      </w:r>
      <w:r>
        <w:rPr>
          <w:rFonts w:hint="eastAsia" w:ascii="仿宋_GB2312" w:hAnsi="仿宋_GB2312" w:eastAsia="仿宋_GB2312" w:cs="仿宋_GB2312"/>
          <w:color w:val="auto"/>
          <w:sz w:val="32"/>
          <w:highlight w:val="none"/>
          <w:u w:color="auto"/>
        </w:rPr>
        <w:t>%</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kern w:val="0"/>
          <w:sz w:val="32"/>
          <w:szCs w:val="32"/>
          <w:highlight w:val="none"/>
          <w:u w:val="none"/>
          <w:lang w:eastAsia="zh-CN"/>
        </w:rPr>
        <w:t>下降</w:t>
      </w:r>
      <w:r>
        <w:rPr>
          <w:rFonts w:hint="eastAsia" w:ascii="仿宋_GB2312" w:hAnsi="仿宋_GB2312" w:eastAsia="仿宋_GB2312" w:cs="仿宋_GB2312"/>
          <w:color w:val="auto"/>
          <w:sz w:val="32"/>
          <w:highlight w:val="none"/>
          <w:u w:color="auto"/>
          <w:lang w:val="en-US" w:eastAsia="zh-CN"/>
        </w:rPr>
        <w:t>0.69</w:t>
      </w:r>
      <w:r>
        <w:rPr>
          <w:rFonts w:hint="eastAsia" w:ascii="仿宋_GB2312" w:hAnsi="仿宋_GB2312" w:eastAsia="仿宋_GB2312" w:cs="仿宋_GB2312"/>
          <w:color w:val="auto"/>
          <w:sz w:val="32"/>
          <w:szCs w:val="32"/>
          <w:highlight w:val="none"/>
        </w:rPr>
        <w:t>万元。202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highlight w:val="none"/>
          <w:u w:color="auto"/>
          <w:lang w:eastAsia="zh-CN"/>
        </w:rPr>
        <w:t>我单位</w:t>
      </w:r>
      <w:r>
        <w:rPr>
          <w:rFonts w:hint="eastAsia" w:ascii="仿宋_GB2312" w:hAnsi="仿宋_GB2312" w:eastAsia="仿宋_GB2312" w:cs="仿宋_GB2312"/>
          <w:color w:val="auto"/>
          <w:sz w:val="32"/>
          <w:szCs w:val="32"/>
          <w:highlight w:val="none"/>
        </w:rPr>
        <w:t>开支财政拨款的公务用车保有量为</w:t>
      </w:r>
      <w:r>
        <w:rPr>
          <w:rFonts w:hint="eastAsia" w:ascii="仿宋_GB2312" w:hAnsi="仿宋_GB2312" w:eastAsia="仿宋_GB2312" w:cs="仿宋_GB2312"/>
          <w:color w:val="auto"/>
          <w:sz w:val="32"/>
          <w:highlight w:val="none"/>
          <w:u w:color="auto"/>
          <w:lang w:val="en-US" w:eastAsia="zh-CN"/>
        </w:rPr>
        <w:t>1</w:t>
      </w:r>
      <w:r>
        <w:rPr>
          <w:rFonts w:hint="eastAsia" w:ascii="仿宋_GB2312" w:hAnsi="仿宋_GB2312" w:eastAsia="仿宋_GB2312" w:cs="仿宋_GB2312"/>
          <w:color w:val="auto"/>
          <w:sz w:val="32"/>
          <w:szCs w:val="32"/>
          <w:highlight w:val="none"/>
        </w:rPr>
        <w:t>辆，全年运行费支出</w:t>
      </w:r>
      <w:r>
        <w:rPr>
          <w:rFonts w:hint="eastAsia" w:ascii="仿宋_GB2312" w:hAnsi="仿宋_GB2312" w:eastAsia="仿宋_GB2312" w:cs="仿宋_GB2312"/>
          <w:color w:val="auto"/>
          <w:sz w:val="32"/>
          <w:highlight w:val="none"/>
          <w:u w:color="auto"/>
          <w:lang w:val="en-US" w:eastAsia="zh-CN"/>
        </w:rPr>
        <w:t>2.16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平均每辆</w:t>
      </w:r>
      <w:r>
        <w:rPr>
          <w:rFonts w:hint="eastAsia" w:ascii="仿宋_GB2312" w:hAnsi="仿宋_GB2312" w:eastAsia="仿宋_GB2312" w:cs="仿宋_GB2312"/>
          <w:color w:val="auto"/>
          <w:sz w:val="32"/>
          <w:szCs w:val="32"/>
          <w:highlight w:val="none"/>
          <w:lang w:val="en-US" w:eastAsia="zh-CN"/>
        </w:rPr>
        <w:t>2.16</w:t>
      </w:r>
      <w:r>
        <w:rPr>
          <w:rFonts w:hint="eastAsia" w:ascii="仿宋_GB2312" w:hAnsi="仿宋_GB2312" w:eastAsia="仿宋_GB2312" w:cs="仿宋_GB2312"/>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（三）公务接待费支出</w:t>
      </w:r>
      <w:r>
        <w:rPr>
          <w:rFonts w:hint="eastAsia" w:ascii="仿宋_GB2312" w:hAnsi="仿宋_GB2312" w:eastAsia="仿宋_GB2312" w:cs="仿宋_GB2312"/>
          <w:color w:val="auto"/>
          <w:sz w:val="32"/>
          <w:szCs w:val="32"/>
          <w:highlight w:val="none"/>
          <w:lang w:val="en-US" w:eastAsia="zh-CN"/>
        </w:rPr>
        <w:t>93.07</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%，比上年增加</w:t>
      </w:r>
      <w:r>
        <w:rPr>
          <w:rFonts w:hint="eastAsia" w:ascii="仿宋_GB2312" w:hAnsi="仿宋_GB2312" w:eastAsia="仿宋_GB2312" w:cs="仿宋_GB2312"/>
          <w:color w:val="auto"/>
          <w:sz w:val="32"/>
          <w:szCs w:val="32"/>
          <w:highlight w:val="none"/>
          <w:lang w:val="en-US" w:eastAsia="zh-CN"/>
        </w:rPr>
        <w:t>73.70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
          <w:sz w:val="32"/>
          <w:szCs w:val="32"/>
          <w:highlight w:val="none"/>
          <w:lang w:val="en-US" w:eastAsia="zh-CN" w:bidi="ar"/>
        </w:rPr>
        <w:t>主要原因是：跨年度报账。</w:t>
      </w:r>
      <w:r>
        <w:rPr>
          <w:rFonts w:hint="eastAsia" w:ascii="仿宋_GB2312" w:hAnsi="仿宋_GB2312" w:eastAsia="仿宋_GB2312" w:cs="仿宋_GB2312"/>
          <w:color w:val="auto"/>
          <w:sz w:val="32"/>
          <w:szCs w:val="32"/>
          <w:highlight w:val="none"/>
        </w:rPr>
        <w:t>国内公务接待批次</w:t>
      </w:r>
      <w:r>
        <w:rPr>
          <w:rFonts w:hint="eastAsia" w:ascii="仿宋_GB2312" w:hAnsi="仿宋_GB2312" w:eastAsia="仿宋_GB2312" w:cs="仿宋_GB2312"/>
          <w:color w:val="auto"/>
          <w:sz w:val="32"/>
          <w:szCs w:val="32"/>
          <w:highlight w:val="none"/>
          <w:lang w:val="en-US" w:eastAsia="zh-CN"/>
        </w:rPr>
        <w:t>312</w:t>
      </w:r>
      <w:r>
        <w:rPr>
          <w:rFonts w:hint="eastAsia" w:ascii="仿宋_GB2312" w:hAnsi="仿宋_GB2312" w:eastAsia="仿宋_GB2312" w:cs="仿宋_GB2312"/>
          <w:color w:val="auto"/>
          <w:sz w:val="32"/>
          <w:szCs w:val="32"/>
          <w:highlight w:val="none"/>
        </w:rPr>
        <w:t>次，人次</w:t>
      </w:r>
      <w:r>
        <w:rPr>
          <w:rFonts w:hint="eastAsia" w:ascii="仿宋_GB2312" w:hAnsi="仿宋_GB2312" w:eastAsia="仿宋_GB2312" w:cs="仿宋_GB2312"/>
          <w:color w:val="auto"/>
          <w:sz w:val="32"/>
          <w:szCs w:val="32"/>
          <w:highlight w:val="none"/>
          <w:lang w:val="en-US" w:eastAsia="zh-CN"/>
        </w:rPr>
        <w:t>7800</w:t>
      </w:r>
      <w:r>
        <w:rPr>
          <w:rFonts w:hint="eastAsia" w:ascii="仿宋_GB2312" w:hAnsi="仿宋_GB2312" w:eastAsia="仿宋_GB2312" w:cs="仿宋_GB2312"/>
          <w:color w:val="auto"/>
          <w:sz w:val="32"/>
          <w:szCs w:val="32"/>
          <w:highlight w:val="none"/>
        </w:rPr>
        <w:t>次，国（境）外公务接待批次0次，人次0次。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（一）机关运行经费支出情况说明</w:t>
      </w:r>
    </w:p>
    <w:p>
      <w:pPr>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年度机关运行经费支出</w:t>
      </w:r>
      <w:r>
        <w:rPr>
          <w:rFonts w:hint="eastAsia" w:ascii="仿宋_GB2312" w:hAnsi="仿宋_GB2312" w:eastAsia="仿宋_GB2312" w:cs="仿宋_GB2312"/>
          <w:color w:val="auto"/>
          <w:sz w:val="32"/>
          <w:szCs w:val="32"/>
          <w:highlight w:val="none"/>
          <w:lang w:val="en-US" w:eastAsia="zh-CN"/>
        </w:rPr>
        <w:t>26.96</w:t>
      </w:r>
      <w:r>
        <w:rPr>
          <w:rFonts w:hint="eastAsia" w:ascii="仿宋_GB2312" w:hAnsi="仿宋_GB2312" w:eastAsia="仿宋_GB2312" w:cs="仿宋_GB2312"/>
          <w:color w:val="auto"/>
          <w:sz w:val="32"/>
          <w:szCs w:val="32"/>
          <w:highlight w:val="none"/>
        </w:rPr>
        <w:t>万元，</w:t>
      </w:r>
      <w:r>
        <w:rPr>
          <w:rFonts w:hint="eastAsia" w:ascii="仿宋" w:hAnsi="仿宋" w:eastAsia="仿宋" w:cs="仿宋"/>
          <w:sz w:val="32"/>
          <w:szCs w:val="32"/>
          <w:highlight w:val="none"/>
          <w:lang w:eastAsia="zh-CN"/>
        </w:rPr>
        <w:t>完成</w:t>
      </w:r>
      <w:r>
        <w:rPr>
          <w:rFonts w:ascii="仿宋" w:hAnsi="仿宋" w:eastAsia="仿宋" w:cs="仿宋"/>
          <w:sz w:val="32"/>
          <w:szCs w:val="32"/>
          <w:highlight w:val="none"/>
        </w:rPr>
        <w:t>100%</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106.31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79.77</w:t>
      </w:r>
      <w:r>
        <w:rPr>
          <w:rFonts w:ascii="仿宋" w:hAnsi="仿宋" w:eastAsia="仿宋" w:cs="仿宋"/>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rPr>
        <w:t>原因是：</w:t>
      </w:r>
      <w:r>
        <w:rPr>
          <w:rFonts w:hint="eastAsia" w:ascii="仿宋_GB2312" w:hAnsi="仿宋_GB2312" w:eastAsia="仿宋_GB2312" w:cs="仿宋_GB2312"/>
          <w:color w:val="auto"/>
          <w:sz w:val="32"/>
          <w:szCs w:val="32"/>
          <w:highlight w:val="none"/>
          <w:lang w:eastAsia="zh-CN"/>
        </w:rPr>
        <w:t>跨年度费用报销情况大幅度减少</w:t>
      </w:r>
      <w:r>
        <w:rPr>
          <w:rFonts w:hint="eastAsia" w:ascii="仿宋_GB2312" w:hAnsi="仿宋_GB2312" w:eastAsia="仿宋_GB2312" w:cs="仿宋_GB2312"/>
          <w:color w:val="auto"/>
          <w:sz w:val="32"/>
          <w:szCs w:val="32"/>
          <w:highlight w:val="none"/>
        </w:rPr>
        <w:t>。</w:t>
      </w:r>
    </w:p>
    <w:p>
      <w:pPr>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30201办公费0.49万元，30205水费0.24万元，30206电费3.03万元，30207邮电费2.53万元，30211差旅费2.5万元，30226劳务费0.4万元，30228工会经费5.96万元，30231公务用车运行维护费2.16万元，30239其他交通费用9.45万元，30299其他商品和服务支出0.19万元。</w:t>
      </w:r>
    </w:p>
    <w:p>
      <w:pPr>
        <w:ind w:firstLine="64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年度政府采购支出总额</w:t>
      </w:r>
      <w:r>
        <w:rPr>
          <w:rFonts w:hint="eastAsia" w:ascii="仿宋_GB2312" w:hAnsi="仿宋_GB2312" w:eastAsia="仿宋_GB2312" w:cs="仿宋_GB2312"/>
          <w:color w:val="auto"/>
          <w:sz w:val="32"/>
          <w:szCs w:val="32"/>
          <w:highlight w:val="none"/>
          <w:lang w:val="en-US" w:eastAsia="zh-CN"/>
        </w:rPr>
        <w:t>3404.01</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eastAsia="仿宋_GB2312" w:cs="仿宋_GB2312"/>
          <w:color w:val="auto"/>
          <w:sz w:val="32"/>
          <w:szCs w:val="32"/>
          <w:highlight w:val="none"/>
          <w:lang w:val="en-US" w:eastAsia="zh-CN"/>
        </w:rPr>
        <w:t>6.55</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eastAsia="仿宋_GB2312" w:cs="仿宋_GB2312"/>
          <w:color w:val="auto"/>
          <w:sz w:val="32"/>
          <w:szCs w:val="32"/>
          <w:highlight w:val="none"/>
          <w:lang w:val="en-US" w:eastAsia="zh-CN"/>
        </w:rPr>
        <w:t>3397.45</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万元。授予中小企业合同金额</w:t>
      </w:r>
      <w:r>
        <w:rPr>
          <w:rFonts w:hint="eastAsia" w:ascii="仿宋_GB2312" w:hAnsi="仿宋_GB2312" w:eastAsia="仿宋_GB2312" w:cs="仿宋_GB2312"/>
          <w:color w:val="auto"/>
          <w:sz w:val="32"/>
          <w:szCs w:val="32"/>
          <w:highlight w:val="none"/>
          <w:lang w:val="en-US" w:eastAsia="zh-CN"/>
        </w:rPr>
        <w:t>3404.01</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eastAsia="仿宋_GB2312" w:cs="仿宋_GB2312"/>
          <w:color w:val="auto"/>
          <w:sz w:val="32"/>
          <w:szCs w:val="32"/>
          <w:highlight w:val="none"/>
          <w:lang w:val="en-US" w:eastAsia="zh-CN"/>
        </w:rPr>
        <w:t>3065.96</w:t>
      </w:r>
      <w:r>
        <w:rPr>
          <w:rFonts w:hint="eastAsia" w:ascii="仿宋_GB2312" w:hAnsi="仿宋_GB2312" w:eastAsia="仿宋_GB2312" w:cs="仿宋_GB2312"/>
          <w:color w:val="auto"/>
          <w:sz w:val="32"/>
          <w:szCs w:val="32"/>
          <w:highlight w:val="none"/>
        </w:rPr>
        <w:t>万元，占授予中小企业合同金额的</w:t>
      </w:r>
      <w:r>
        <w:rPr>
          <w:rFonts w:hint="eastAsia" w:ascii="仿宋_GB2312" w:hAnsi="仿宋_GB2312" w:eastAsia="仿宋_GB2312" w:cs="仿宋_GB2312"/>
          <w:color w:val="auto"/>
          <w:sz w:val="32"/>
          <w:szCs w:val="32"/>
          <w:highlight w:val="none"/>
          <w:lang w:val="en-US" w:eastAsia="zh-CN"/>
        </w:rPr>
        <w:t>90.07</w:t>
      </w:r>
      <w:r>
        <w:rPr>
          <w:rFonts w:hint="eastAsia" w:ascii="仿宋_GB2312" w:hAnsi="仿宋_GB2312" w:eastAsia="仿宋_GB2312" w:cs="仿宋_GB2312"/>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我单位</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辆，其中：副部（省）级领导干部用车0辆、机要通信用车0辆、应急保障用车0辆、执法执勤用车0辆、特种专业技术用车0辆、其他用车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辆；单位价值50万元以上通用设备0台（套）；单位价值</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元以上专用设备0台（套）。</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整体支出绩效自评结果。</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我部门2023年度部门预算数</w:t>
      </w:r>
      <w:r>
        <w:rPr>
          <w:rFonts w:hint="eastAsia" w:ascii="仿宋_GB2312" w:hAnsi="仿宋_GB2312" w:eastAsia="仿宋_GB2312" w:cs="仿宋_GB2312"/>
          <w:color w:val="auto"/>
          <w:sz w:val="32"/>
          <w:szCs w:val="32"/>
          <w:highlight w:val="none"/>
          <w:lang w:val="en-US" w:eastAsia="zh-CN"/>
        </w:rPr>
        <w:t>7659.43万元，执行数</w:t>
      </w:r>
      <w:r>
        <w:rPr>
          <w:rFonts w:hint="eastAsia" w:ascii="仿宋_GB2312" w:hAnsi="仿宋_GB2312" w:eastAsia="仿宋_GB2312" w:cs="仿宋_GB2312"/>
          <w:color w:val="auto"/>
          <w:sz w:val="32"/>
          <w:szCs w:val="32"/>
          <w:highlight w:val="none"/>
          <w:lang w:val="en-US" w:eastAsia="zh-CN"/>
        </w:rPr>
        <w:t>7621.80万元，整体支出绩效自评结果为</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等。从自评情况来看，全年成功实施一系列乡村振兴项目。其中：乡村建设行动项目40个、农业产业发展项目7个、巩固三保障成果项目2个等项目。通过改善农村基础设施和公共服务等方面，促进了农村经济发展、提高农民收入，实现我县乡村振兴战略的全面落地和深入实施。</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2.项目支出绩效自评结果。</w:t>
      </w:r>
    </w:p>
    <w:p>
      <w:p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项目绩效自评总体情况：我部门2023年度项目65个，项目支出总额7153.62万元。其中，本级项目65个，本级项目支出7153.62万元；对下转移支付项目0个，对下转移支付0万元。项目中，敏感涉密项目0个，涉及资金0万元。</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所有项目均开展了绩效自评，其中非敏感涉密项目绩效自评结果为：64个项目评为一等，涉及资金7138.34万元，占项目总数比例98.46%，占项目支出总额比例99.79%；1个项目评为二等，涉及资金15.28万元，占项目总数比例1.54 %，占项目支出总额比例0.21 %。自评发现的主要问题及原因：一是缺乏科学的绩效评价体系：考核标准不明晰，效益等指标未设置清晰的指标值，导致绩效评价的可考核性不高；二是绩效指标设置不合理：部分绩效指标过于笼统，缺乏细化和量化，不利于准确评估项目的实际效果。下一步改进措施：应采取积极措施加以改进和完善，建立科学的绩效评价体系、加强绩效管理执行力度、规范预算与财务管理、加强内部控制管理以及提高人员素质和业务能力等。</w:t>
      </w:r>
    </w:p>
    <w:p>
      <w:p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3.部门绩效评价结果。</w:t>
      </w:r>
    </w:p>
    <w:p>
      <w:p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组织对“雨露计划项目、小额信贷贴息、洛阳镇永权村百华屯通组道路提升工程”等23个重点项目进行了部门评价，评价结果为一等，涉及资金5227.69万元。</w:t>
      </w:r>
      <w:r>
        <w:rPr>
          <w:rFonts w:hint="eastAsia" w:ascii="仿宋_GB2312" w:hAnsi="仿宋_GB2312" w:eastAsia="仿宋_GB2312" w:cs="仿宋_GB2312"/>
          <w:color w:val="auto"/>
          <w:sz w:val="32"/>
          <w:szCs w:val="32"/>
          <w:highlight w:val="none"/>
        </w:rPr>
        <w:t>从评价情况来看，</w:t>
      </w:r>
      <w:r>
        <w:rPr>
          <w:rFonts w:hint="eastAsia" w:ascii="仿宋_GB2312" w:hAnsi="仿宋_GB2312" w:eastAsia="仿宋_GB2312" w:cs="仿宋_GB2312"/>
          <w:color w:val="auto"/>
          <w:sz w:val="32"/>
          <w:szCs w:val="32"/>
          <w:highlight w:val="none"/>
          <w:lang w:eastAsia="zh-CN"/>
        </w:rPr>
        <w:t>一年来，我单位制定了明确的工作目标，并且这些目标得到有效实施和完成。在资金使用方面的效率和合规性方面上，做到合理编制预算，不存在挪用或浪费现象等。在项目管理方面上，做到科学立项、规范执行项目、按计划推进项目、项目质量达标等。做好部门绩效评价，不仅有助于我单位更好地履行职责、提高工作效率和资金使用效益，也为推进乡村振兴工作提供有力保障，进一步</w:t>
      </w:r>
      <w:r>
        <w:rPr>
          <w:rFonts w:hint="eastAsia" w:ascii="仿宋_GB2312" w:hAnsi="仿宋_GB2312" w:eastAsia="仿宋_GB2312" w:cs="仿宋_GB2312"/>
          <w:color w:val="auto"/>
          <w:sz w:val="32"/>
          <w:szCs w:val="32"/>
          <w:highlight w:val="none"/>
        </w:rPr>
        <w:t>巩固了</w:t>
      </w:r>
      <w:r>
        <w:rPr>
          <w:rFonts w:hint="eastAsia" w:ascii="仿宋_GB2312" w:hAnsi="仿宋_GB2312" w:eastAsia="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脱贫攻坚成果</w:t>
      </w:r>
      <w:r>
        <w:rPr>
          <w:rFonts w:hint="eastAsia" w:ascii="仿宋_GB2312" w:hAnsi="仿宋_GB2312" w:eastAsia="仿宋_GB2312" w:cs="仿宋_GB2312"/>
          <w:color w:val="auto"/>
          <w:sz w:val="32"/>
          <w:szCs w:val="32"/>
          <w:highlight w:val="none"/>
          <w:lang w:eastAsia="zh-CN"/>
        </w:rPr>
        <w:t>。</w:t>
      </w:r>
    </w:p>
    <w:p>
      <w:pPr>
        <w:jc w:val="left"/>
        <w:rPr>
          <w:rFonts w:hint="eastAsia" w:ascii="仿宋_GB2312" w:hAnsi="仿宋_GB2312" w:eastAsia="仿宋_GB2312" w:cs="仿宋_GB2312"/>
          <w:color w:val="auto"/>
          <w:sz w:val="32"/>
          <w:szCs w:val="32"/>
          <w:highlight w:val="none"/>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cs="仿宋"/>
          <w:color w:val="auto"/>
          <w:sz w:val="32"/>
          <w:szCs w:val="32"/>
          <w:highlight w:val="none"/>
        </w:rPr>
      </w:pPr>
    </w:p>
    <w:sectPr>
      <w:pgSz w:w="11906" w:h="16838"/>
      <w:pgMar w:top="1440" w:right="1800" w:bottom="1440"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b w:val="0"/>
                              <w:bCs w:val="0"/>
                              <w:sz w:val="32"/>
                              <w:szCs w:val="32"/>
                            </w:rPr>
                            <w:t>—</w:t>
                          </w:r>
                          <w:r>
                            <w:rPr>
                              <w:b w:val="0"/>
                              <w:bCs w:val="0"/>
                              <w:sz w:val="32"/>
                              <w:szCs w:val="32"/>
                            </w:rPr>
                            <w:fldChar w:fldCharType="begin"/>
                          </w:r>
                          <w:r>
                            <w:rPr>
                              <w:b w:val="0"/>
                              <w:bCs w:val="0"/>
                              <w:sz w:val="32"/>
                              <w:szCs w:val="32"/>
                            </w:rPr>
                            <w:instrText xml:space="preserve"> PAGE  \* MERGEFORMAT </w:instrText>
                          </w:r>
                          <w:r>
                            <w:rPr>
                              <w:b w:val="0"/>
                              <w:bCs w:val="0"/>
                              <w:sz w:val="32"/>
                              <w:szCs w:val="32"/>
                            </w:rPr>
                            <w:fldChar w:fldCharType="separate"/>
                          </w:r>
                          <w:r>
                            <w:rPr>
                              <w:b w:val="0"/>
                              <w:bCs w:val="0"/>
                              <w:sz w:val="32"/>
                              <w:szCs w:val="32"/>
                            </w:rPr>
                            <w:t>1</w:t>
                          </w:r>
                          <w:r>
                            <w:rPr>
                              <w:b w:val="0"/>
                              <w:bCs w:val="0"/>
                              <w:sz w:val="32"/>
                              <w:szCs w:val="32"/>
                            </w:rPr>
                            <w:fldChar w:fldCharType="end"/>
                          </w:r>
                          <w:r>
                            <w:rPr>
                              <w:b w:val="0"/>
                              <w:bCs w:val="0"/>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rPr>
                        <w:b w:val="0"/>
                        <w:bCs w:val="0"/>
                        <w:sz w:val="32"/>
                        <w:szCs w:val="32"/>
                      </w:rPr>
                      <w:t>—</w:t>
                    </w:r>
                    <w:r>
                      <w:rPr>
                        <w:b w:val="0"/>
                        <w:bCs w:val="0"/>
                        <w:sz w:val="32"/>
                        <w:szCs w:val="32"/>
                      </w:rPr>
                      <w:fldChar w:fldCharType="begin"/>
                    </w:r>
                    <w:r>
                      <w:rPr>
                        <w:b w:val="0"/>
                        <w:bCs w:val="0"/>
                        <w:sz w:val="32"/>
                        <w:szCs w:val="32"/>
                      </w:rPr>
                      <w:instrText xml:space="preserve"> PAGE  \* MERGEFORMAT </w:instrText>
                    </w:r>
                    <w:r>
                      <w:rPr>
                        <w:b w:val="0"/>
                        <w:bCs w:val="0"/>
                        <w:sz w:val="32"/>
                        <w:szCs w:val="32"/>
                      </w:rPr>
                      <w:fldChar w:fldCharType="separate"/>
                    </w:r>
                    <w:r>
                      <w:rPr>
                        <w:b w:val="0"/>
                        <w:bCs w:val="0"/>
                        <w:sz w:val="32"/>
                        <w:szCs w:val="32"/>
                      </w:rPr>
                      <w:t>1</w:t>
                    </w:r>
                    <w:r>
                      <w:rPr>
                        <w:b w:val="0"/>
                        <w:bCs w:val="0"/>
                        <w:sz w:val="32"/>
                        <w:szCs w:val="32"/>
                      </w:rPr>
                      <w:fldChar w:fldCharType="end"/>
                    </w:r>
                    <w:r>
                      <w:rPr>
                        <w:b w:val="0"/>
                        <w:bCs w:val="0"/>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06036"/>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87A1B"/>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66268C"/>
    <w:rsid w:val="02E0291A"/>
    <w:rsid w:val="04225469"/>
    <w:rsid w:val="04E54546"/>
    <w:rsid w:val="058C06A6"/>
    <w:rsid w:val="05992762"/>
    <w:rsid w:val="076A5016"/>
    <w:rsid w:val="077F3ABC"/>
    <w:rsid w:val="07B0770E"/>
    <w:rsid w:val="0942143F"/>
    <w:rsid w:val="099561FE"/>
    <w:rsid w:val="0A61390E"/>
    <w:rsid w:val="0A685658"/>
    <w:rsid w:val="0A8D0153"/>
    <w:rsid w:val="0AC27E84"/>
    <w:rsid w:val="0BF6332B"/>
    <w:rsid w:val="0D010EE5"/>
    <w:rsid w:val="0D100297"/>
    <w:rsid w:val="0D202B45"/>
    <w:rsid w:val="0EDE5518"/>
    <w:rsid w:val="0F611949"/>
    <w:rsid w:val="0F8D4C87"/>
    <w:rsid w:val="10505FAA"/>
    <w:rsid w:val="105F7E7E"/>
    <w:rsid w:val="11E56B5B"/>
    <w:rsid w:val="12591626"/>
    <w:rsid w:val="125C77AB"/>
    <w:rsid w:val="13082DEE"/>
    <w:rsid w:val="140F70C1"/>
    <w:rsid w:val="14CB726E"/>
    <w:rsid w:val="15863D5C"/>
    <w:rsid w:val="15CB3726"/>
    <w:rsid w:val="15E51B78"/>
    <w:rsid w:val="17E92249"/>
    <w:rsid w:val="18D304F1"/>
    <w:rsid w:val="19F32577"/>
    <w:rsid w:val="19F45B80"/>
    <w:rsid w:val="1A13022B"/>
    <w:rsid w:val="1A5756B2"/>
    <w:rsid w:val="1AA650CC"/>
    <w:rsid w:val="1B0C078D"/>
    <w:rsid w:val="1B2B31E2"/>
    <w:rsid w:val="1B4C295A"/>
    <w:rsid w:val="1B973C63"/>
    <w:rsid w:val="1BA1001E"/>
    <w:rsid w:val="1CD23133"/>
    <w:rsid w:val="1D317259"/>
    <w:rsid w:val="1D3A7F00"/>
    <w:rsid w:val="1D602F62"/>
    <w:rsid w:val="1E664F5B"/>
    <w:rsid w:val="1E795906"/>
    <w:rsid w:val="1EB34BE1"/>
    <w:rsid w:val="20A00AB5"/>
    <w:rsid w:val="20A91107"/>
    <w:rsid w:val="215E639F"/>
    <w:rsid w:val="21EC3183"/>
    <w:rsid w:val="225E72CD"/>
    <w:rsid w:val="246E2F77"/>
    <w:rsid w:val="24D334FA"/>
    <w:rsid w:val="254B4E2B"/>
    <w:rsid w:val="25587F81"/>
    <w:rsid w:val="25781204"/>
    <w:rsid w:val="27A22014"/>
    <w:rsid w:val="283D7C94"/>
    <w:rsid w:val="292144CC"/>
    <w:rsid w:val="29480E03"/>
    <w:rsid w:val="2983634D"/>
    <w:rsid w:val="2B161BD2"/>
    <w:rsid w:val="2BB02055"/>
    <w:rsid w:val="2C575A56"/>
    <w:rsid w:val="2DB3638D"/>
    <w:rsid w:val="2EDD2A58"/>
    <w:rsid w:val="2F257714"/>
    <w:rsid w:val="2F3275E5"/>
    <w:rsid w:val="308A2D31"/>
    <w:rsid w:val="30AA08EF"/>
    <w:rsid w:val="30D23D1C"/>
    <w:rsid w:val="31221CF5"/>
    <w:rsid w:val="31400178"/>
    <w:rsid w:val="321E3342"/>
    <w:rsid w:val="327759C8"/>
    <w:rsid w:val="33185FE3"/>
    <w:rsid w:val="34EE2E36"/>
    <w:rsid w:val="35030B5A"/>
    <w:rsid w:val="36777241"/>
    <w:rsid w:val="37FD7DBA"/>
    <w:rsid w:val="382F312B"/>
    <w:rsid w:val="38666A14"/>
    <w:rsid w:val="38A951DB"/>
    <w:rsid w:val="38B31605"/>
    <w:rsid w:val="38EF3F0A"/>
    <w:rsid w:val="39003F4F"/>
    <w:rsid w:val="39850DD4"/>
    <w:rsid w:val="3A5C3405"/>
    <w:rsid w:val="3C07002B"/>
    <w:rsid w:val="3C345307"/>
    <w:rsid w:val="3C5D1E98"/>
    <w:rsid w:val="3D0D152A"/>
    <w:rsid w:val="3D436353"/>
    <w:rsid w:val="3DF62756"/>
    <w:rsid w:val="3E952BDE"/>
    <w:rsid w:val="3F1B7587"/>
    <w:rsid w:val="41E57B4F"/>
    <w:rsid w:val="42F3509C"/>
    <w:rsid w:val="43100A68"/>
    <w:rsid w:val="432F26F6"/>
    <w:rsid w:val="43880F63"/>
    <w:rsid w:val="43B45922"/>
    <w:rsid w:val="441C5A6F"/>
    <w:rsid w:val="44563B89"/>
    <w:rsid w:val="44C44FCC"/>
    <w:rsid w:val="44CC7369"/>
    <w:rsid w:val="457F5108"/>
    <w:rsid w:val="46951B6B"/>
    <w:rsid w:val="47631957"/>
    <w:rsid w:val="48AA1299"/>
    <w:rsid w:val="48DC3316"/>
    <w:rsid w:val="495D0879"/>
    <w:rsid w:val="49A34401"/>
    <w:rsid w:val="49CF40FD"/>
    <w:rsid w:val="4A3E30AB"/>
    <w:rsid w:val="4A583E90"/>
    <w:rsid w:val="4AC14DAC"/>
    <w:rsid w:val="4BA4499E"/>
    <w:rsid w:val="4C03595D"/>
    <w:rsid w:val="4C9322AA"/>
    <w:rsid w:val="4D154C85"/>
    <w:rsid w:val="4D3B063E"/>
    <w:rsid w:val="4EC8553A"/>
    <w:rsid w:val="508F4E24"/>
    <w:rsid w:val="51461E90"/>
    <w:rsid w:val="51463753"/>
    <w:rsid w:val="51DA2591"/>
    <w:rsid w:val="52553A93"/>
    <w:rsid w:val="53521F8B"/>
    <w:rsid w:val="53E22F47"/>
    <w:rsid w:val="542D2CDC"/>
    <w:rsid w:val="54522FF8"/>
    <w:rsid w:val="54E838DC"/>
    <w:rsid w:val="54FB2816"/>
    <w:rsid w:val="55450629"/>
    <w:rsid w:val="56692963"/>
    <w:rsid w:val="568B0F48"/>
    <w:rsid w:val="5786217B"/>
    <w:rsid w:val="58D330CE"/>
    <w:rsid w:val="59337A15"/>
    <w:rsid w:val="59405DED"/>
    <w:rsid w:val="59810274"/>
    <w:rsid w:val="5C0B0513"/>
    <w:rsid w:val="5CA96A00"/>
    <w:rsid w:val="5CF730BC"/>
    <w:rsid w:val="5D3C0503"/>
    <w:rsid w:val="5DCD5499"/>
    <w:rsid w:val="5E59187D"/>
    <w:rsid w:val="5E5F0DCE"/>
    <w:rsid w:val="5EA55F6C"/>
    <w:rsid w:val="5F186471"/>
    <w:rsid w:val="5FA40A7B"/>
    <w:rsid w:val="5FD56D29"/>
    <w:rsid w:val="5FEC7F3F"/>
    <w:rsid w:val="60F74BC3"/>
    <w:rsid w:val="617D3BF8"/>
    <w:rsid w:val="61841F6A"/>
    <w:rsid w:val="623007A9"/>
    <w:rsid w:val="628A4897"/>
    <w:rsid w:val="637D7558"/>
    <w:rsid w:val="63AE3BBA"/>
    <w:rsid w:val="63FB6298"/>
    <w:rsid w:val="644F19AC"/>
    <w:rsid w:val="64A1507C"/>
    <w:rsid w:val="65AA4920"/>
    <w:rsid w:val="66B82DB7"/>
    <w:rsid w:val="67221143"/>
    <w:rsid w:val="67694F1E"/>
    <w:rsid w:val="676E395A"/>
    <w:rsid w:val="6771794B"/>
    <w:rsid w:val="68AF4C55"/>
    <w:rsid w:val="69597934"/>
    <w:rsid w:val="69CD24B8"/>
    <w:rsid w:val="6A8753FD"/>
    <w:rsid w:val="6B964DDC"/>
    <w:rsid w:val="6BDB45CA"/>
    <w:rsid w:val="6C0F7FD7"/>
    <w:rsid w:val="6C292713"/>
    <w:rsid w:val="6C783074"/>
    <w:rsid w:val="6D9E65C6"/>
    <w:rsid w:val="6DA81947"/>
    <w:rsid w:val="6E03170B"/>
    <w:rsid w:val="6E2177E0"/>
    <w:rsid w:val="6EB66DE2"/>
    <w:rsid w:val="6ED3075F"/>
    <w:rsid w:val="6F0D0AAF"/>
    <w:rsid w:val="6F2A2D4B"/>
    <w:rsid w:val="6F3F6C60"/>
    <w:rsid w:val="6F633766"/>
    <w:rsid w:val="6F8A0C1E"/>
    <w:rsid w:val="6FE33922"/>
    <w:rsid w:val="703F45D4"/>
    <w:rsid w:val="715D6546"/>
    <w:rsid w:val="71BE069E"/>
    <w:rsid w:val="73193962"/>
    <w:rsid w:val="73953409"/>
    <w:rsid w:val="73E069A3"/>
    <w:rsid w:val="740B0213"/>
    <w:rsid w:val="74A8596E"/>
    <w:rsid w:val="75425644"/>
    <w:rsid w:val="770318E6"/>
    <w:rsid w:val="78104AA8"/>
    <w:rsid w:val="78E257C5"/>
    <w:rsid w:val="794B35BE"/>
    <w:rsid w:val="797056FB"/>
    <w:rsid w:val="7AC241D0"/>
    <w:rsid w:val="7B0A3A31"/>
    <w:rsid w:val="7B3360ED"/>
    <w:rsid w:val="7B41340B"/>
    <w:rsid w:val="7B5319F3"/>
    <w:rsid w:val="7BDF037E"/>
    <w:rsid w:val="7BF50948"/>
    <w:rsid w:val="7C016E52"/>
    <w:rsid w:val="7CE66A78"/>
    <w:rsid w:val="7D0066A0"/>
    <w:rsid w:val="7D23564C"/>
    <w:rsid w:val="7D5E062D"/>
    <w:rsid w:val="7DD8051E"/>
    <w:rsid w:val="7DF76CD8"/>
    <w:rsid w:val="7E9B5C77"/>
    <w:rsid w:val="7F025695"/>
    <w:rsid w:val="7F2563B0"/>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xd</cp:lastModifiedBy>
  <cp:lastPrinted>2023-11-17T01:30:00Z</cp:lastPrinted>
  <dcterms:modified xsi:type="dcterms:W3CDTF">2024-12-26T09:38:56Z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6C8723D96A0345F38FE1E0934F3DDD14</vt:lpwstr>
  </property>
</Properties>
</file>