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8A608">
      <w:pPr>
        <w:jc w:val="center"/>
        <w:rPr>
          <w:rFonts w:hint="eastAsia" w:ascii="方正小标宋简体" w:eastAsia="方正小标宋简体" w:cs="ArialUnicodeMS"/>
          <w:kern w:val="0"/>
          <w:sz w:val="52"/>
          <w:szCs w:val="52"/>
        </w:rPr>
      </w:pPr>
    </w:p>
    <w:p w14:paraId="209E0B8A">
      <w:pPr>
        <w:jc w:val="center"/>
        <w:rPr>
          <w:rFonts w:hint="eastAsia" w:ascii="方正小标宋简体" w:eastAsia="方正小标宋简体" w:cs="ArialUnicodeMS"/>
          <w:kern w:val="0"/>
          <w:sz w:val="52"/>
          <w:szCs w:val="52"/>
        </w:rPr>
      </w:pPr>
    </w:p>
    <w:p w14:paraId="0F6AD09E">
      <w:pPr>
        <w:jc w:val="center"/>
        <w:rPr>
          <w:rFonts w:hint="eastAsia" w:ascii="方正小标宋简体" w:hAnsi="黑体" w:eastAsia="方正小标宋简体"/>
          <w:bCs/>
          <w:color w:val="000000"/>
          <w:sz w:val="52"/>
          <w:szCs w:val="52"/>
          <w:u w:val="none"/>
        </w:rPr>
      </w:pPr>
      <w:r>
        <w:rPr>
          <w:rFonts w:hint="eastAsia" w:ascii="方正小标宋简体" w:eastAsia="方正小标宋简体" w:cs="ArialUnicodeMS"/>
          <w:kern w:val="0"/>
          <w:sz w:val="52"/>
          <w:szCs w:val="52"/>
          <w:lang w:val="en-US" w:eastAsia="zh-CN"/>
        </w:rPr>
        <w:t>环江毛南族自治县</w:t>
      </w:r>
      <w:r>
        <w:rPr>
          <w:rFonts w:hint="eastAsia" w:ascii="方正小标宋简体" w:hAnsi="黑体" w:eastAsia="方正小标宋简体"/>
          <w:bCs/>
          <w:color w:val="000000"/>
          <w:sz w:val="52"/>
          <w:szCs w:val="52"/>
          <w:u w:val="none"/>
          <w:lang w:val="en-US" w:eastAsia="zh-CN"/>
        </w:rPr>
        <w:t>糖业发展中心</w:t>
      </w:r>
      <w:r>
        <w:rPr>
          <w:rFonts w:hint="eastAsia" w:ascii="方正小标宋简体" w:hAnsi="黑体" w:eastAsia="方正小标宋简体"/>
          <w:bCs/>
          <w:color w:val="000000"/>
          <w:sz w:val="52"/>
          <w:szCs w:val="52"/>
          <w:u w:val="none"/>
        </w:rPr>
        <w:t xml:space="preserve"> </w:t>
      </w:r>
    </w:p>
    <w:p w14:paraId="33EDBCB3">
      <w:pPr>
        <w:jc w:val="center"/>
        <w:rPr>
          <w:rFonts w:hint="eastAsia" w:ascii="方正小标宋简体" w:eastAsia="方正小标宋简体" w:cs="ArialUnicodeMS"/>
          <w:kern w:val="0"/>
          <w:sz w:val="52"/>
          <w:szCs w:val="52"/>
        </w:rPr>
      </w:pPr>
      <w:r>
        <w:rPr>
          <w:rFonts w:hint="eastAsia" w:ascii="方正小标宋简体" w:eastAsia="方正小标宋简体"/>
          <w:kern w:val="0"/>
          <w:sz w:val="52"/>
          <w:szCs w:val="52"/>
        </w:rPr>
        <w:t>202</w:t>
      </w:r>
      <w:r>
        <w:rPr>
          <w:rFonts w:hint="eastAsia" w:ascii="方正小标宋简体" w:eastAsia="方正小标宋简体"/>
          <w:kern w:val="0"/>
          <w:sz w:val="52"/>
          <w:szCs w:val="52"/>
          <w:lang w:val="en-US" w:eastAsia="zh-CN"/>
        </w:rPr>
        <w:t>3</w:t>
      </w:r>
      <w:r>
        <w:rPr>
          <w:rFonts w:hint="eastAsia" w:ascii="方正小标宋简体" w:eastAsia="方正小标宋简体" w:cs="ArialUnicodeMS"/>
          <w:kern w:val="0"/>
          <w:sz w:val="52"/>
          <w:szCs w:val="52"/>
        </w:rPr>
        <w:t>年度部门决算</w:t>
      </w:r>
    </w:p>
    <w:p w14:paraId="4FFB0632">
      <w:pPr>
        <w:jc w:val="center"/>
        <w:rPr>
          <w:rFonts w:hint="eastAsia" w:ascii="方正小标宋简体" w:eastAsia="方正小标宋简体" w:cs="ArialUnicodeMS"/>
          <w:kern w:val="0"/>
          <w:sz w:val="52"/>
          <w:szCs w:val="52"/>
        </w:rPr>
      </w:pPr>
    </w:p>
    <w:p w14:paraId="3518D338">
      <w:pPr>
        <w:rPr>
          <w:rFonts w:hint="eastAsia" w:ascii="方正小标宋简体" w:eastAsia="方正小标宋简体" w:cs="ArialUnicodeMS"/>
          <w:kern w:val="0"/>
          <w:sz w:val="84"/>
          <w:szCs w:val="84"/>
        </w:rPr>
      </w:pPr>
    </w:p>
    <w:p w14:paraId="297CFD90">
      <w:pPr>
        <w:rPr>
          <w:rFonts w:hint="eastAsia" w:ascii="ArialUnicodeMS" w:eastAsia="ArialUnicodeMS" w:cs="ArialUnicodeMS"/>
          <w:kern w:val="0"/>
          <w:sz w:val="84"/>
          <w:szCs w:val="84"/>
        </w:rPr>
      </w:pPr>
    </w:p>
    <w:p w14:paraId="06309D97">
      <w:pPr>
        <w:rPr>
          <w:rFonts w:hint="eastAsia" w:ascii="ArialUnicodeMS" w:eastAsia="ArialUnicodeMS" w:cs="ArialUnicodeMS"/>
          <w:kern w:val="0"/>
          <w:sz w:val="84"/>
          <w:szCs w:val="84"/>
        </w:rPr>
      </w:pPr>
    </w:p>
    <w:p w14:paraId="2E179CB0">
      <w:pPr>
        <w:rPr>
          <w:rFonts w:hint="eastAsia" w:ascii="ArialUnicodeMS" w:eastAsia="ArialUnicodeMS" w:cs="ArialUnicodeMS"/>
          <w:kern w:val="0"/>
          <w:sz w:val="84"/>
          <w:szCs w:val="84"/>
        </w:rPr>
      </w:pPr>
    </w:p>
    <w:p w14:paraId="6A128225">
      <w:pPr>
        <w:rPr>
          <w:rFonts w:hint="eastAsia" w:ascii="ArialUnicodeMS" w:eastAsia="ArialUnicodeMS" w:cs="ArialUnicodeMS"/>
          <w:kern w:val="0"/>
          <w:sz w:val="84"/>
          <w:szCs w:val="84"/>
        </w:rPr>
      </w:pPr>
    </w:p>
    <w:p w14:paraId="749BFD12">
      <w:pPr>
        <w:jc w:val="center"/>
        <w:rPr>
          <w:rFonts w:hint="eastAsia" w:ascii="黑体" w:eastAsia="黑体" w:cs="黑体"/>
          <w:kern w:val="0"/>
          <w:sz w:val="44"/>
          <w:szCs w:val="44"/>
        </w:rPr>
      </w:pPr>
    </w:p>
    <w:p w14:paraId="4D740AB7">
      <w:pPr>
        <w:jc w:val="center"/>
        <w:rPr>
          <w:rFonts w:hint="default" w:ascii="黑体" w:eastAsia="黑体" w:cs="黑体"/>
          <w:kern w:val="0"/>
          <w:sz w:val="36"/>
          <w:szCs w:val="36"/>
          <w:lang w:val="en-US" w:eastAsia="zh-CN"/>
        </w:rPr>
      </w:pPr>
      <w:r>
        <w:rPr>
          <w:rFonts w:hint="eastAsia" w:ascii="黑体" w:eastAsia="黑体" w:cs="黑体"/>
          <w:kern w:val="0"/>
          <w:sz w:val="36"/>
          <w:szCs w:val="36"/>
          <w:lang w:val="en-US" w:eastAsia="zh-CN"/>
        </w:rPr>
        <w:t>2024年12月</w:t>
      </w:r>
    </w:p>
    <w:p w14:paraId="24580C58">
      <w:pPr>
        <w:spacing w:line="560" w:lineRule="exact"/>
        <w:ind w:firstLine="646"/>
        <w:jc w:val="center"/>
        <w:rPr>
          <w:rFonts w:hint="eastAsia" w:ascii="方正小标宋简体" w:eastAsia="方正小标宋简体"/>
          <w:b/>
          <w:sz w:val="44"/>
          <w:szCs w:val="44"/>
        </w:rPr>
      </w:pPr>
      <w:r>
        <w:rPr>
          <w:rFonts w:hint="eastAsia" w:ascii="方正小标宋简体" w:eastAsia="方正小标宋简体"/>
          <w:b/>
          <w:sz w:val="44"/>
          <w:szCs w:val="44"/>
        </w:rPr>
        <w:t>目    录</w:t>
      </w:r>
    </w:p>
    <w:p w14:paraId="490A8742">
      <w:pPr>
        <w:spacing w:line="560" w:lineRule="exact"/>
        <w:ind w:firstLine="645"/>
        <w:rPr>
          <w:rFonts w:hint="eastAsia" w:ascii="仿宋_GB2312" w:eastAsia="仿宋_GB2312"/>
          <w:b/>
          <w:sz w:val="32"/>
          <w:szCs w:val="32"/>
        </w:rPr>
      </w:pPr>
    </w:p>
    <w:p w14:paraId="69ABF2A8">
      <w:pPr>
        <w:spacing w:line="240" w:lineRule="auto"/>
        <w:ind w:firstLine="0"/>
        <w:jc w:val="center"/>
        <w:rPr>
          <w:rFonts w:hint="eastAsia" w:ascii="黑体" w:hAnsi="黑体" w:eastAsia="黑体"/>
          <w:sz w:val="32"/>
          <w:szCs w:val="32"/>
        </w:rPr>
      </w:pPr>
      <w:r>
        <w:rPr>
          <w:rFonts w:hint="eastAsia" w:ascii="黑体" w:hAnsi="黑体" w:eastAsia="黑体"/>
          <w:sz w:val="32"/>
          <w:szCs w:val="32"/>
        </w:rPr>
        <w:t>第一部分：</w:t>
      </w:r>
      <w:r>
        <w:rPr>
          <w:rFonts w:hint="eastAsia" w:ascii="方正小标宋简体" w:eastAsia="方正小标宋简体" w:cs="ArialUnicodeMS"/>
          <w:kern w:val="0"/>
          <w:sz w:val="32"/>
          <w:szCs w:val="32"/>
          <w:lang w:val="en-US" w:eastAsia="zh-CN"/>
        </w:rPr>
        <w:t>环江毛南族自治县</w:t>
      </w:r>
      <w:r>
        <w:rPr>
          <w:rFonts w:hint="eastAsia" w:ascii="方正小标宋简体" w:hAnsi="黑体" w:eastAsia="方正小标宋简体"/>
          <w:bCs/>
          <w:color w:val="000000"/>
          <w:sz w:val="32"/>
          <w:szCs w:val="32"/>
          <w:u w:val="single"/>
          <w:lang w:val="en-US" w:eastAsia="zh-CN"/>
        </w:rPr>
        <w:t>糖业发展中心</w:t>
      </w:r>
      <w:r>
        <w:rPr>
          <w:rFonts w:hint="eastAsia" w:ascii="方正小标宋简体" w:hAnsi="黑体" w:eastAsia="方正小标宋简体"/>
          <w:bCs/>
          <w:color w:val="000000"/>
          <w:sz w:val="32"/>
          <w:szCs w:val="32"/>
          <w:u w:val="single"/>
        </w:rPr>
        <w:t xml:space="preserve"> </w:t>
      </w:r>
      <w:r>
        <w:rPr>
          <w:rFonts w:hint="eastAsia" w:ascii="黑体" w:hAnsi="黑体" w:eastAsia="黑体"/>
          <w:sz w:val="32"/>
          <w:szCs w:val="32"/>
        </w:rPr>
        <w:t>概况</w:t>
      </w:r>
    </w:p>
    <w:p w14:paraId="4AE44DAB">
      <w:pPr>
        <w:numPr>
          <w:ilvl w:val="0"/>
          <w:numId w:val="1"/>
        </w:numPr>
        <w:spacing w:line="560" w:lineRule="exact"/>
        <w:ind w:firstLine="645"/>
        <w:rPr>
          <w:rFonts w:hint="eastAsia" w:ascii="仿宋_GB2312" w:eastAsia="仿宋_GB2312"/>
          <w:sz w:val="32"/>
          <w:szCs w:val="32"/>
          <w:lang w:eastAsia="zh-CN"/>
        </w:rPr>
      </w:pPr>
      <w:r>
        <w:rPr>
          <w:rFonts w:hint="eastAsia" w:ascii="仿宋_GB2312" w:eastAsia="仿宋_GB2312"/>
          <w:sz w:val="32"/>
          <w:szCs w:val="32"/>
          <w:lang w:eastAsia="zh-CN"/>
        </w:rPr>
        <w:t>本部门职责</w:t>
      </w:r>
    </w:p>
    <w:p w14:paraId="5DC6C14E">
      <w:pPr>
        <w:spacing w:line="560" w:lineRule="exact"/>
        <w:ind w:firstLine="645"/>
        <w:rPr>
          <w:rFonts w:hint="eastAsia" w:ascii="仿宋_GB2312" w:eastAsia="仿宋_GB2312"/>
          <w:sz w:val="32"/>
          <w:szCs w:val="32"/>
          <w:lang w:eastAsia="zh-CN"/>
        </w:rPr>
      </w:pPr>
      <w:r>
        <w:rPr>
          <w:rFonts w:hint="eastAsia" w:ascii="仿宋_GB2312" w:eastAsia="仿宋_GB2312"/>
          <w:sz w:val="32"/>
          <w:szCs w:val="32"/>
        </w:rPr>
        <w:t>二、</w:t>
      </w:r>
      <w:r>
        <w:rPr>
          <w:rFonts w:hint="eastAsia" w:ascii="仿宋_GB2312" w:eastAsia="仿宋_GB2312"/>
          <w:sz w:val="32"/>
          <w:szCs w:val="32"/>
          <w:lang w:eastAsia="zh-CN"/>
        </w:rPr>
        <w:t>机构设置情况</w:t>
      </w:r>
    </w:p>
    <w:p w14:paraId="610CA438">
      <w:pPr>
        <w:spacing w:line="560" w:lineRule="exact"/>
        <w:ind w:firstLine="645"/>
        <w:rPr>
          <w:rFonts w:hint="eastAsia" w:ascii="黑体" w:hAnsi="黑体" w:eastAsia="黑体"/>
          <w:sz w:val="32"/>
          <w:szCs w:val="32"/>
        </w:rPr>
      </w:pPr>
      <w:r>
        <w:rPr>
          <w:rFonts w:hint="eastAsia" w:ascii="黑体" w:hAnsi="黑体" w:eastAsia="黑体"/>
          <w:sz w:val="32"/>
          <w:szCs w:val="32"/>
        </w:rPr>
        <w:t>第二部分：</w:t>
      </w:r>
      <w:r>
        <w:rPr>
          <w:rFonts w:hint="eastAsia" w:ascii="方正小标宋简体" w:eastAsia="方正小标宋简体" w:cs="ArialUnicodeMS"/>
          <w:kern w:val="0"/>
          <w:sz w:val="32"/>
          <w:szCs w:val="32"/>
          <w:lang w:val="en-US" w:eastAsia="zh-CN"/>
        </w:rPr>
        <w:t>环江毛南族自治县</w:t>
      </w:r>
      <w:r>
        <w:rPr>
          <w:rFonts w:hint="eastAsia" w:ascii="方正小标宋简体" w:hAnsi="黑体" w:eastAsia="方正小标宋简体"/>
          <w:bCs/>
          <w:color w:val="000000"/>
          <w:sz w:val="32"/>
          <w:szCs w:val="32"/>
          <w:u w:val="single"/>
          <w:lang w:val="en-US" w:eastAsia="zh-CN"/>
        </w:rPr>
        <w:t>糖业发展中心</w:t>
      </w:r>
      <w:r>
        <w:rPr>
          <w:rFonts w:hint="eastAsia" w:ascii="方正小标宋简体" w:hAnsi="黑体" w:eastAsia="方正小标宋简体"/>
          <w:bCs/>
          <w:color w:val="000000"/>
          <w:sz w:val="32"/>
          <w:szCs w:val="32"/>
          <w:u w:val="single"/>
        </w:rPr>
        <w:t xml:space="preserve"> </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年度部门决算报表</w:t>
      </w:r>
    </w:p>
    <w:p w14:paraId="3A470F20">
      <w:pPr>
        <w:spacing w:line="560" w:lineRule="exact"/>
        <w:ind w:left="645"/>
        <w:rPr>
          <w:rFonts w:hint="eastAsia" w:ascii="仿宋_GB2312" w:eastAsia="仿宋_GB2312"/>
          <w:sz w:val="32"/>
          <w:szCs w:val="32"/>
        </w:rPr>
      </w:pPr>
      <w:r>
        <w:rPr>
          <w:rFonts w:hint="eastAsia" w:ascii="仿宋_GB2312" w:eastAsia="仿宋_GB2312"/>
          <w:sz w:val="32"/>
          <w:szCs w:val="32"/>
        </w:rPr>
        <w:t>表一：收入支出决算总表</w:t>
      </w:r>
    </w:p>
    <w:p w14:paraId="753BA94D">
      <w:pPr>
        <w:spacing w:line="560" w:lineRule="exact"/>
        <w:ind w:left="645"/>
        <w:rPr>
          <w:rFonts w:hint="eastAsia" w:ascii="仿宋_GB2312" w:eastAsia="仿宋_GB2312"/>
          <w:sz w:val="32"/>
          <w:szCs w:val="32"/>
        </w:rPr>
      </w:pPr>
      <w:r>
        <w:rPr>
          <w:rFonts w:hint="eastAsia" w:ascii="仿宋_GB2312" w:eastAsia="仿宋_GB2312"/>
          <w:sz w:val="32"/>
          <w:szCs w:val="32"/>
        </w:rPr>
        <w:t>表二：收入决算表</w:t>
      </w:r>
    </w:p>
    <w:p w14:paraId="59AE6DE4">
      <w:pPr>
        <w:spacing w:line="560" w:lineRule="exact"/>
        <w:ind w:left="645"/>
        <w:rPr>
          <w:rFonts w:hint="eastAsia" w:ascii="仿宋_GB2312" w:eastAsia="仿宋_GB2312"/>
          <w:sz w:val="32"/>
          <w:szCs w:val="32"/>
        </w:rPr>
      </w:pPr>
      <w:r>
        <w:rPr>
          <w:rFonts w:hint="eastAsia" w:ascii="仿宋_GB2312" w:eastAsia="仿宋_GB2312"/>
          <w:sz w:val="32"/>
          <w:szCs w:val="32"/>
        </w:rPr>
        <w:t>表三：支出决算表</w:t>
      </w:r>
    </w:p>
    <w:p w14:paraId="5B6D17A3">
      <w:pPr>
        <w:spacing w:line="560" w:lineRule="exact"/>
        <w:ind w:left="645"/>
        <w:rPr>
          <w:rFonts w:hint="eastAsia" w:ascii="仿宋_GB2312" w:eastAsia="仿宋_GB2312"/>
          <w:sz w:val="32"/>
          <w:szCs w:val="32"/>
        </w:rPr>
      </w:pPr>
      <w:r>
        <w:rPr>
          <w:rFonts w:hint="eastAsia" w:ascii="仿宋_GB2312" w:eastAsia="仿宋_GB2312"/>
          <w:sz w:val="32"/>
          <w:szCs w:val="32"/>
        </w:rPr>
        <w:t>表四：财政拨款收入支出决算总表</w:t>
      </w:r>
    </w:p>
    <w:p w14:paraId="3D818B73">
      <w:pPr>
        <w:spacing w:line="560" w:lineRule="exact"/>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14:paraId="4FCB0A66">
      <w:pPr>
        <w:spacing w:line="560" w:lineRule="exact"/>
        <w:ind w:left="645"/>
        <w:rPr>
          <w:rFonts w:hint="eastAsia" w:ascii="仿宋_GB2312" w:eastAsia="仿宋_GB2312"/>
          <w:sz w:val="32"/>
          <w:szCs w:val="32"/>
        </w:rPr>
      </w:pPr>
      <w:r>
        <w:rPr>
          <w:rFonts w:hint="eastAsia" w:ascii="仿宋_GB2312" w:eastAsia="仿宋_GB2312"/>
          <w:sz w:val="32"/>
          <w:szCs w:val="32"/>
        </w:rPr>
        <w:t>表六：一般公共预算财政拨款基本支出决算明细表</w:t>
      </w:r>
    </w:p>
    <w:p w14:paraId="13A56777">
      <w:pPr>
        <w:spacing w:line="560" w:lineRule="exact"/>
        <w:ind w:left="645"/>
        <w:rPr>
          <w:rFonts w:hint="eastAsia"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14:paraId="1259471B">
      <w:pPr>
        <w:spacing w:line="560" w:lineRule="exact"/>
        <w:ind w:left="645"/>
        <w:rPr>
          <w:rFonts w:hint="eastAsia"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14:paraId="76BD85EE">
      <w:pPr>
        <w:spacing w:line="560" w:lineRule="exact"/>
        <w:ind w:left="645"/>
        <w:rPr>
          <w:rFonts w:hint="eastAsia" w:ascii="仿宋_GB2312" w:eastAsia="仿宋_GB2312"/>
          <w:sz w:val="32"/>
          <w:szCs w:val="32"/>
        </w:rPr>
      </w:pPr>
      <w:r>
        <w:rPr>
          <w:rFonts w:hint="eastAsia" w:ascii="仿宋_GB2312" w:eastAsia="仿宋_GB2312"/>
          <w:sz w:val="32"/>
          <w:szCs w:val="32"/>
        </w:rPr>
        <w:t>表九：财政拨款安排的“三公”经费支出决算表</w:t>
      </w:r>
    </w:p>
    <w:p w14:paraId="03262458">
      <w:pPr>
        <w:spacing w:line="560" w:lineRule="exact"/>
        <w:ind w:firstLine="645"/>
        <w:rPr>
          <w:rFonts w:hint="eastAsia" w:ascii="黑体" w:hAnsi="黑体" w:eastAsia="黑体"/>
          <w:sz w:val="32"/>
          <w:szCs w:val="32"/>
        </w:rPr>
      </w:pPr>
      <w:r>
        <w:rPr>
          <w:rFonts w:hint="eastAsia" w:ascii="黑体" w:hAnsi="黑体" w:eastAsia="黑体"/>
          <w:sz w:val="32"/>
          <w:szCs w:val="32"/>
        </w:rPr>
        <w:t>第三部分：</w:t>
      </w:r>
      <w:r>
        <w:rPr>
          <w:rFonts w:hint="eastAsia" w:ascii="方正小标宋简体" w:eastAsia="方正小标宋简体" w:cs="ArialUnicodeMS"/>
          <w:kern w:val="0"/>
          <w:sz w:val="32"/>
          <w:szCs w:val="32"/>
          <w:lang w:val="en-US" w:eastAsia="zh-CN"/>
        </w:rPr>
        <w:t>环江毛南族自治县</w:t>
      </w:r>
      <w:r>
        <w:rPr>
          <w:rFonts w:hint="eastAsia" w:ascii="方正小标宋简体" w:hAnsi="黑体" w:eastAsia="方正小标宋简体"/>
          <w:bCs/>
          <w:color w:val="000000"/>
          <w:sz w:val="32"/>
          <w:szCs w:val="32"/>
          <w:u w:val="single"/>
          <w:lang w:val="en-US" w:eastAsia="zh-CN"/>
        </w:rPr>
        <w:t>糖业发展中心</w:t>
      </w:r>
      <w:r>
        <w:rPr>
          <w:rFonts w:hint="eastAsia" w:ascii="方正小标宋简体" w:hAnsi="黑体" w:eastAsia="方正小标宋简体"/>
          <w:bCs/>
          <w:color w:val="000000"/>
          <w:sz w:val="32"/>
          <w:szCs w:val="32"/>
          <w:u w:val="single"/>
        </w:rPr>
        <w:t xml:space="preserve"> </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年度部门决算情况说明</w:t>
      </w:r>
    </w:p>
    <w:p w14:paraId="059DDA4C">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14:paraId="4DFF0556">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14:paraId="575028EC">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年度一般公共预算财政拨款基本支出决算情况说明。</w:t>
      </w:r>
    </w:p>
    <w:p w14:paraId="73E2174D">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14:paraId="6391460A">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年度国有资本经营预算支出决算情况</w:t>
      </w:r>
    </w:p>
    <w:p w14:paraId="00BCB325">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六、财政拨款安排的“三公”经费支出决算情况说明。</w:t>
      </w:r>
    </w:p>
    <w:p w14:paraId="0145996F">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14:paraId="02EFAB56">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八、</w:t>
      </w:r>
      <w:r>
        <w:rPr>
          <w:rFonts w:hint="eastAsia" w:ascii="仿宋_GB2312" w:eastAsia="仿宋_GB2312" w:cs="仿宋_GB2312"/>
          <w:kern w:val="0"/>
          <w:sz w:val="32"/>
          <w:szCs w:val="32"/>
        </w:rPr>
        <w:t>预算绩效管理工作开展情况。</w:t>
      </w:r>
    </w:p>
    <w:p w14:paraId="0B7ABFE3">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第四部分：名词解释</w:t>
      </w:r>
    </w:p>
    <w:p w14:paraId="464D1149">
      <w:pPr>
        <w:spacing w:line="560" w:lineRule="exact"/>
        <w:jc w:val="center"/>
        <w:rPr>
          <w:rFonts w:hint="eastAsia" w:ascii="仿宋_GB2312" w:eastAsia="仿宋_GB2312"/>
        </w:rPr>
      </w:pPr>
    </w:p>
    <w:p w14:paraId="26B25E77">
      <w:pPr>
        <w:rPr>
          <w:rFonts w:hint="eastAsia" w:ascii="仿宋_GB2312" w:eastAsia="仿宋_GB2312"/>
          <w:b/>
          <w:sz w:val="32"/>
          <w:szCs w:val="32"/>
        </w:rPr>
      </w:pPr>
    </w:p>
    <w:p w14:paraId="315CA544">
      <w:pPr>
        <w:rPr>
          <w:rFonts w:hint="eastAsia" w:ascii="仿宋_GB2312" w:eastAsia="仿宋_GB2312"/>
          <w:b/>
          <w:sz w:val="32"/>
          <w:szCs w:val="32"/>
        </w:rPr>
      </w:pPr>
    </w:p>
    <w:p w14:paraId="3F342604">
      <w:pPr>
        <w:rPr>
          <w:rFonts w:hint="eastAsia" w:ascii="仿宋_GB2312" w:eastAsia="仿宋_GB2312"/>
          <w:b/>
          <w:sz w:val="32"/>
          <w:szCs w:val="32"/>
        </w:rPr>
      </w:pPr>
    </w:p>
    <w:p w14:paraId="47B0CD1C">
      <w:pPr>
        <w:rPr>
          <w:rFonts w:hint="eastAsia" w:ascii="仿宋_GB2312" w:eastAsia="仿宋_GB2312"/>
          <w:b/>
          <w:sz w:val="32"/>
          <w:szCs w:val="32"/>
        </w:rPr>
      </w:pPr>
    </w:p>
    <w:p w14:paraId="7D9A661B">
      <w:pPr>
        <w:rPr>
          <w:rFonts w:hint="eastAsia" w:ascii="仿宋_GB2312" w:eastAsia="仿宋_GB2312"/>
          <w:b/>
          <w:sz w:val="32"/>
          <w:szCs w:val="32"/>
        </w:rPr>
      </w:pPr>
    </w:p>
    <w:p w14:paraId="3842CC6F">
      <w:pPr>
        <w:rPr>
          <w:rFonts w:hint="eastAsia" w:ascii="仿宋_GB2312" w:eastAsia="仿宋_GB2312"/>
          <w:b/>
          <w:sz w:val="32"/>
          <w:szCs w:val="32"/>
        </w:rPr>
      </w:pPr>
    </w:p>
    <w:p w14:paraId="1A6EF150">
      <w:pPr>
        <w:rPr>
          <w:rFonts w:hint="eastAsia" w:ascii="仿宋_GB2312" w:eastAsia="仿宋_GB2312"/>
          <w:b/>
          <w:sz w:val="32"/>
          <w:szCs w:val="32"/>
        </w:rPr>
      </w:pPr>
    </w:p>
    <w:p w14:paraId="734BEC9B">
      <w:pPr>
        <w:rPr>
          <w:rFonts w:hint="eastAsia" w:ascii="仿宋_GB2312" w:eastAsia="仿宋_GB2312"/>
          <w:b/>
          <w:sz w:val="32"/>
          <w:szCs w:val="32"/>
        </w:rPr>
      </w:pPr>
    </w:p>
    <w:p w14:paraId="1B8C2F95">
      <w:pPr>
        <w:rPr>
          <w:rFonts w:hint="eastAsia" w:ascii="仿宋_GB2312" w:eastAsia="仿宋_GB2312"/>
          <w:b/>
          <w:sz w:val="32"/>
          <w:szCs w:val="32"/>
        </w:rPr>
      </w:pPr>
    </w:p>
    <w:p w14:paraId="5DC356A9">
      <w:pPr>
        <w:rPr>
          <w:rFonts w:hint="eastAsia" w:ascii="仿宋_GB2312" w:eastAsia="仿宋_GB2312"/>
          <w:b/>
          <w:sz w:val="32"/>
          <w:szCs w:val="32"/>
        </w:rPr>
      </w:pPr>
    </w:p>
    <w:p w14:paraId="3C8E919E">
      <w:pPr>
        <w:rPr>
          <w:rFonts w:hint="eastAsia" w:ascii="仿宋_GB2312" w:eastAsia="仿宋_GB2312"/>
          <w:b/>
          <w:sz w:val="32"/>
          <w:szCs w:val="32"/>
        </w:rPr>
      </w:pPr>
    </w:p>
    <w:p w14:paraId="414E0A8B">
      <w:pPr>
        <w:rPr>
          <w:rFonts w:hint="eastAsia" w:ascii="仿宋_GB2312" w:eastAsia="仿宋_GB2312"/>
          <w:b/>
          <w:sz w:val="32"/>
          <w:szCs w:val="32"/>
        </w:rPr>
      </w:pPr>
    </w:p>
    <w:p w14:paraId="0C1459E7">
      <w:pPr>
        <w:rPr>
          <w:rFonts w:hint="eastAsia" w:ascii="仿宋_GB2312" w:eastAsia="仿宋_GB2312"/>
          <w:b/>
          <w:sz w:val="32"/>
          <w:szCs w:val="32"/>
        </w:rPr>
      </w:pPr>
    </w:p>
    <w:p w14:paraId="4CA1996E">
      <w:pPr>
        <w:rPr>
          <w:rFonts w:hint="eastAsia" w:ascii="仿宋_GB2312" w:eastAsia="仿宋_GB2312"/>
          <w:b/>
          <w:sz w:val="32"/>
          <w:szCs w:val="32"/>
        </w:rPr>
      </w:pPr>
    </w:p>
    <w:p w14:paraId="1A7E02BA">
      <w:pPr>
        <w:rPr>
          <w:rFonts w:hint="eastAsia" w:ascii="仿宋_GB2312" w:eastAsia="仿宋_GB2312"/>
          <w:b/>
          <w:sz w:val="32"/>
          <w:szCs w:val="32"/>
        </w:rPr>
      </w:pPr>
    </w:p>
    <w:p w14:paraId="5510AE62">
      <w:pPr>
        <w:rPr>
          <w:rFonts w:hint="eastAsia" w:ascii="仿宋_GB2312" w:eastAsia="仿宋_GB2312"/>
          <w:b/>
          <w:sz w:val="32"/>
          <w:szCs w:val="32"/>
        </w:rPr>
      </w:pPr>
    </w:p>
    <w:p w14:paraId="613A0341">
      <w:pPr>
        <w:rPr>
          <w:rFonts w:hint="eastAsia" w:ascii="仿宋_GB2312" w:eastAsia="仿宋_GB2312"/>
          <w:b/>
          <w:sz w:val="32"/>
          <w:szCs w:val="32"/>
        </w:rPr>
      </w:pPr>
    </w:p>
    <w:p w14:paraId="4CB09824">
      <w:pPr>
        <w:rPr>
          <w:rFonts w:hint="eastAsia" w:ascii="仿宋_GB2312" w:eastAsia="仿宋_GB2312"/>
          <w:b/>
          <w:sz w:val="32"/>
          <w:szCs w:val="32"/>
        </w:rPr>
      </w:pPr>
    </w:p>
    <w:p w14:paraId="63D779A6">
      <w:pPr>
        <w:rPr>
          <w:rFonts w:hint="eastAsia" w:ascii="仿宋_GB2312" w:eastAsia="仿宋_GB2312"/>
          <w:b/>
          <w:sz w:val="32"/>
          <w:szCs w:val="32"/>
        </w:rPr>
      </w:pPr>
    </w:p>
    <w:p w14:paraId="10516DE9">
      <w:pPr>
        <w:spacing w:line="560" w:lineRule="exact"/>
        <w:ind w:firstLine="640" w:firstLineChars="200"/>
        <w:jc w:val="center"/>
        <w:rPr>
          <w:rFonts w:hint="eastAsia" w:ascii="黑体" w:hAnsi="黑体" w:eastAsia="黑体"/>
          <w:sz w:val="32"/>
          <w:szCs w:val="32"/>
        </w:rPr>
      </w:pPr>
      <w:r>
        <w:rPr>
          <w:rFonts w:hint="eastAsia" w:ascii="黑体" w:hAnsi="黑体" w:eastAsia="黑体"/>
          <w:sz w:val="32"/>
          <w:szCs w:val="32"/>
        </w:rPr>
        <w:t>第一部分：</w:t>
      </w:r>
      <w:r>
        <w:rPr>
          <w:rFonts w:hint="eastAsia" w:ascii="方正小标宋简体" w:eastAsia="方正小标宋简体" w:cs="ArialUnicodeMS"/>
          <w:kern w:val="0"/>
          <w:sz w:val="32"/>
          <w:szCs w:val="32"/>
          <w:lang w:val="en-US" w:eastAsia="zh-CN"/>
        </w:rPr>
        <w:t>环江毛南族自治县</w:t>
      </w:r>
      <w:r>
        <w:rPr>
          <w:rFonts w:hint="eastAsia" w:ascii="方正小标宋简体" w:hAnsi="黑体" w:eastAsia="方正小标宋简体"/>
          <w:bCs/>
          <w:color w:val="000000"/>
          <w:sz w:val="32"/>
          <w:szCs w:val="32"/>
          <w:u w:val="single"/>
          <w:lang w:val="en-US" w:eastAsia="zh-CN"/>
        </w:rPr>
        <w:t>糖业发展中心</w:t>
      </w:r>
      <w:r>
        <w:rPr>
          <w:rFonts w:hint="eastAsia" w:ascii="方正小标宋简体" w:hAnsi="黑体" w:eastAsia="方正小标宋简体"/>
          <w:bCs/>
          <w:color w:val="000000"/>
          <w:sz w:val="32"/>
          <w:szCs w:val="32"/>
          <w:u w:val="single"/>
        </w:rPr>
        <w:t xml:space="preserve"> </w:t>
      </w:r>
      <w:r>
        <w:rPr>
          <w:rFonts w:hint="eastAsia" w:ascii="黑体" w:hAnsi="黑体" w:eastAsia="黑体"/>
          <w:sz w:val="32"/>
          <w:szCs w:val="32"/>
        </w:rPr>
        <w:t>概况</w:t>
      </w:r>
    </w:p>
    <w:p w14:paraId="0C022618">
      <w:pPr>
        <w:spacing w:line="560" w:lineRule="exact"/>
        <w:ind w:firstLine="646"/>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本部门职责</w:t>
      </w:r>
    </w:p>
    <w:p w14:paraId="55F26FBC">
      <w:pPr>
        <w:widowControl/>
        <w:spacing w:before="100" w:beforeAutospacing="1" w:after="100" w:afterAutospacing="1" w:line="360" w:lineRule="auto"/>
        <w:ind w:firstLine="640" w:firstLineChars="200"/>
        <w:jc w:val="left"/>
        <w:rPr>
          <w:rFonts w:hint="eastAsia" w:ascii="仿宋_GB2312" w:hAnsi="仿宋_GB2312" w:eastAsia="仿宋_GB2312" w:cs="仿宋_GB2312"/>
          <w:color w:val="333333"/>
          <w:kern w:val="1"/>
          <w:sz w:val="32"/>
          <w:szCs w:val="32"/>
        </w:rPr>
      </w:pPr>
      <w:r>
        <w:rPr>
          <w:rFonts w:hint="eastAsia" w:ascii="仿宋_GB2312" w:hAnsi="仿宋_GB2312" w:eastAsia="仿宋_GB2312" w:cs="仿宋_GB2312"/>
          <w:color w:val="333333"/>
          <w:kern w:val="1"/>
          <w:sz w:val="32"/>
          <w:szCs w:val="32"/>
        </w:rPr>
        <w:t>（一）贯彻执行国家、自治区、市和自治县有关糖蔗（糖料蔗）生产发展的法律、法规、规章和方针政策，加强蔗区管理，认真履行自治县人民政府赋予糖业生产发展的管理职能。</w:t>
      </w:r>
      <w:r>
        <w:rPr>
          <w:rFonts w:hint="eastAsia" w:ascii="仿宋_GB2312" w:hAnsi="仿宋_GB2312" w:eastAsia="仿宋_GB2312" w:cs="仿宋_GB2312"/>
          <w:color w:val="333333"/>
          <w:kern w:val="1"/>
          <w:sz w:val="32"/>
          <w:szCs w:val="32"/>
        </w:rPr>
        <w:br w:type="textWrapping"/>
      </w:r>
      <w:r>
        <w:rPr>
          <w:rFonts w:hint="eastAsia" w:ascii="仿宋_GB2312" w:hAnsi="仿宋_GB2312" w:eastAsia="仿宋_GB2312" w:cs="仿宋_GB2312"/>
          <w:color w:val="333333"/>
          <w:kern w:val="1"/>
          <w:sz w:val="32"/>
          <w:szCs w:val="32"/>
        </w:rPr>
        <w:t xml:space="preserve"> </w:t>
      </w:r>
      <w:r>
        <w:rPr>
          <w:rFonts w:hint="eastAsia" w:ascii="仿宋_GB2312" w:hAnsi="仿宋_GB2312" w:eastAsia="仿宋_GB2312" w:cs="仿宋_GB2312"/>
          <w:color w:val="333333"/>
          <w:kern w:val="1"/>
          <w:sz w:val="32"/>
          <w:szCs w:val="32"/>
          <w:lang w:val="en-US" w:eastAsia="zh-CN"/>
        </w:rPr>
        <w:t xml:space="preserve">  </w:t>
      </w:r>
      <w:r>
        <w:rPr>
          <w:rFonts w:hint="eastAsia" w:ascii="仿宋_GB2312" w:hAnsi="仿宋_GB2312" w:eastAsia="仿宋_GB2312" w:cs="仿宋_GB2312"/>
          <w:color w:val="333333"/>
          <w:kern w:val="1"/>
          <w:sz w:val="32"/>
          <w:szCs w:val="32"/>
        </w:rPr>
        <w:t>（二）负责编制全县糖业发展规划和制定相关政策，科学规划糖业发展布局。</w:t>
      </w:r>
      <w:r>
        <w:rPr>
          <w:rFonts w:hint="eastAsia" w:ascii="仿宋_GB2312" w:hAnsi="仿宋_GB2312" w:eastAsia="仿宋_GB2312" w:cs="仿宋_GB2312"/>
          <w:color w:val="333333"/>
          <w:kern w:val="1"/>
          <w:sz w:val="32"/>
          <w:szCs w:val="32"/>
        </w:rPr>
        <w:br w:type="textWrapping"/>
      </w:r>
      <w:r>
        <w:rPr>
          <w:rFonts w:hint="eastAsia" w:ascii="仿宋_GB2312" w:hAnsi="仿宋_GB2312" w:eastAsia="仿宋_GB2312" w:cs="仿宋_GB2312"/>
          <w:color w:val="333333"/>
          <w:kern w:val="1"/>
          <w:sz w:val="32"/>
          <w:szCs w:val="32"/>
          <w:lang w:val="en-US" w:eastAsia="zh-CN"/>
        </w:rPr>
        <w:t xml:space="preserve">  </w:t>
      </w:r>
      <w:r>
        <w:rPr>
          <w:rFonts w:hint="eastAsia" w:ascii="仿宋_GB2312" w:hAnsi="仿宋_GB2312" w:eastAsia="仿宋_GB2312" w:cs="仿宋_GB2312"/>
          <w:color w:val="333333"/>
          <w:kern w:val="1"/>
          <w:sz w:val="32"/>
          <w:szCs w:val="32"/>
        </w:rPr>
        <w:t xml:space="preserve"> （三</w:t>
      </w:r>
      <w:r>
        <w:rPr>
          <w:rFonts w:hint="eastAsia" w:ascii="仿宋_GB2312" w:hAnsi="仿宋_GB2312" w:eastAsia="仿宋_GB2312" w:cs="仿宋_GB2312"/>
          <w:color w:val="333333"/>
          <w:kern w:val="1"/>
          <w:sz w:val="32"/>
          <w:szCs w:val="32"/>
          <w:lang w:val="en-US" w:eastAsia="zh-CN"/>
        </w:rPr>
        <w:t>)</w:t>
      </w:r>
      <w:r>
        <w:rPr>
          <w:rFonts w:hint="eastAsia" w:ascii="仿宋_GB2312" w:hAnsi="仿宋_GB2312" w:eastAsia="仿宋_GB2312" w:cs="仿宋_GB2312"/>
          <w:color w:val="333333"/>
          <w:kern w:val="1"/>
          <w:sz w:val="32"/>
          <w:szCs w:val="32"/>
        </w:rPr>
        <w:t>负责蔗区糖蔗生产种植、涉蔗农资、原料蔗的砍运榨销、蔗款兑现、蔗区路维修等方面的监督管理，做好协调服务工作。</w:t>
      </w:r>
      <w:r>
        <w:rPr>
          <w:rFonts w:hint="eastAsia" w:ascii="仿宋_GB2312" w:hAnsi="仿宋_GB2312" w:eastAsia="仿宋_GB2312" w:cs="仿宋_GB2312"/>
          <w:color w:val="333333"/>
          <w:kern w:val="1"/>
          <w:sz w:val="32"/>
          <w:szCs w:val="32"/>
        </w:rPr>
        <w:br w:type="textWrapping"/>
      </w:r>
      <w:r>
        <w:rPr>
          <w:rFonts w:hint="eastAsia" w:ascii="仿宋_GB2312" w:hAnsi="仿宋_GB2312" w:eastAsia="仿宋_GB2312" w:cs="仿宋_GB2312"/>
          <w:color w:val="333333"/>
          <w:kern w:val="1"/>
          <w:sz w:val="32"/>
          <w:szCs w:val="32"/>
        </w:rPr>
        <w:t xml:space="preserve"> </w:t>
      </w:r>
      <w:r>
        <w:rPr>
          <w:rFonts w:hint="eastAsia" w:ascii="仿宋_GB2312" w:hAnsi="仿宋_GB2312" w:eastAsia="仿宋_GB2312" w:cs="仿宋_GB2312"/>
          <w:color w:val="333333"/>
          <w:kern w:val="1"/>
          <w:sz w:val="32"/>
          <w:szCs w:val="32"/>
          <w:lang w:val="en-US" w:eastAsia="zh-CN"/>
        </w:rPr>
        <w:t xml:space="preserve">  </w:t>
      </w:r>
      <w:r>
        <w:rPr>
          <w:rFonts w:hint="eastAsia" w:ascii="仿宋_GB2312" w:hAnsi="仿宋_GB2312" w:eastAsia="仿宋_GB2312" w:cs="仿宋_GB2312"/>
          <w:color w:val="333333"/>
          <w:kern w:val="1"/>
          <w:sz w:val="32"/>
          <w:szCs w:val="32"/>
        </w:rPr>
        <w:t>（四）负责糖蔗种子鉴定、检疫及管理；负责种苗调运和调剂；负责糖蔗新品种的引进及其对比试验；负责品种改良和结构调整，切实做好适应当地种植糖蔗品种的繁育推广和"双高"栽培技术的推广普及工作。</w:t>
      </w:r>
      <w:r>
        <w:rPr>
          <w:rFonts w:hint="eastAsia" w:ascii="仿宋_GB2312" w:hAnsi="仿宋_GB2312" w:eastAsia="仿宋_GB2312" w:cs="仿宋_GB2312"/>
          <w:color w:val="333333"/>
          <w:kern w:val="1"/>
          <w:sz w:val="32"/>
          <w:szCs w:val="32"/>
        </w:rPr>
        <w:br w:type="textWrapping"/>
      </w:r>
      <w:r>
        <w:rPr>
          <w:rFonts w:hint="eastAsia" w:ascii="仿宋_GB2312" w:hAnsi="仿宋_GB2312" w:eastAsia="仿宋_GB2312" w:cs="仿宋_GB2312"/>
          <w:color w:val="333333"/>
          <w:kern w:val="1"/>
          <w:sz w:val="32"/>
          <w:szCs w:val="32"/>
        </w:rPr>
        <w:t xml:space="preserve"> （五）负责全县糖蔗生产种植技术培训和技术指导工作；负责对各乡镇甘蔗站进行业务指导。</w:t>
      </w:r>
      <w:r>
        <w:rPr>
          <w:rFonts w:hint="eastAsia" w:ascii="仿宋_GB2312" w:hAnsi="仿宋_GB2312" w:eastAsia="仿宋_GB2312" w:cs="仿宋_GB2312"/>
          <w:color w:val="333333"/>
          <w:kern w:val="1"/>
          <w:sz w:val="32"/>
          <w:szCs w:val="32"/>
        </w:rPr>
        <w:br w:type="textWrapping"/>
      </w:r>
      <w:r>
        <w:rPr>
          <w:rFonts w:hint="eastAsia" w:ascii="仿宋_GB2312" w:hAnsi="仿宋_GB2312" w:eastAsia="仿宋_GB2312" w:cs="仿宋_GB2312"/>
          <w:color w:val="333333"/>
          <w:kern w:val="1"/>
          <w:sz w:val="32"/>
          <w:szCs w:val="32"/>
        </w:rPr>
        <w:t xml:space="preserve"> （六）负责探究实施适合我县糖蔗生产的有效管理模式；配合有关部门共同做好糖蔗产业方面的招商引资工作。</w:t>
      </w:r>
      <w:r>
        <w:rPr>
          <w:rFonts w:hint="eastAsia" w:ascii="仿宋_GB2312" w:hAnsi="仿宋_GB2312" w:eastAsia="仿宋_GB2312" w:cs="仿宋_GB2312"/>
          <w:color w:val="333333"/>
          <w:kern w:val="1"/>
          <w:sz w:val="32"/>
          <w:szCs w:val="32"/>
        </w:rPr>
        <w:br w:type="textWrapping"/>
      </w:r>
      <w:r>
        <w:rPr>
          <w:rFonts w:hint="eastAsia" w:ascii="仿宋_GB2312" w:hAnsi="仿宋_GB2312" w:eastAsia="仿宋_GB2312" w:cs="仿宋_GB2312"/>
          <w:color w:val="333333"/>
          <w:kern w:val="1"/>
          <w:sz w:val="32"/>
          <w:szCs w:val="32"/>
        </w:rPr>
        <w:t>（七）负责与上级业务主管部门或先进糖蔗产区开展多层次的技术交流与合作；负责糖业发展项目的组织实施。</w:t>
      </w:r>
      <w:r>
        <w:rPr>
          <w:rFonts w:hint="eastAsia" w:ascii="仿宋_GB2312" w:hAnsi="仿宋_GB2312" w:eastAsia="仿宋_GB2312" w:cs="仿宋_GB2312"/>
          <w:color w:val="333333"/>
          <w:kern w:val="1"/>
          <w:sz w:val="32"/>
          <w:szCs w:val="32"/>
        </w:rPr>
        <w:br w:type="textWrapping"/>
      </w:r>
      <w:r>
        <w:rPr>
          <w:rFonts w:hint="eastAsia" w:ascii="仿宋_GB2312" w:hAnsi="仿宋_GB2312" w:eastAsia="仿宋_GB2312" w:cs="仿宋_GB2312"/>
          <w:color w:val="333333"/>
          <w:kern w:val="1"/>
          <w:sz w:val="32"/>
          <w:szCs w:val="32"/>
        </w:rPr>
        <w:t xml:space="preserve"> （八）负责协调和处理制糖企业与蔗区乡镇、村、蔗农的关系，维护企业和群众的合法权益。</w:t>
      </w:r>
      <w:r>
        <w:rPr>
          <w:rFonts w:hint="eastAsia" w:ascii="仿宋_GB2312" w:hAnsi="仿宋_GB2312" w:eastAsia="仿宋_GB2312" w:cs="仿宋_GB2312"/>
          <w:color w:val="333333"/>
          <w:kern w:val="1"/>
          <w:sz w:val="32"/>
          <w:szCs w:val="32"/>
        </w:rPr>
        <w:br w:type="textWrapping"/>
      </w:r>
      <w:r>
        <w:rPr>
          <w:rFonts w:hint="eastAsia" w:ascii="仿宋_GB2312" w:hAnsi="仿宋_GB2312" w:eastAsia="仿宋_GB2312" w:cs="仿宋_GB2312"/>
          <w:color w:val="333333"/>
          <w:kern w:val="1"/>
          <w:sz w:val="32"/>
          <w:szCs w:val="32"/>
        </w:rPr>
        <w:t>（九）会同自治县人民政府有关部门做好原料蔗收购价格的测定工作，并督促检查制糖企业在原料蔗收购价格上的执行情况。</w:t>
      </w:r>
      <w:r>
        <w:rPr>
          <w:rFonts w:hint="eastAsia" w:ascii="仿宋_GB2312" w:hAnsi="仿宋_GB2312" w:eastAsia="仿宋_GB2312" w:cs="仿宋_GB2312"/>
          <w:color w:val="333333"/>
          <w:kern w:val="1"/>
          <w:sz w:val="32"/>
          <w:szCs w:val="32"/>
        </w:rPr>
        <w:br w:type="textWrapping"/>
      </w:r>
      <w:r>
        <w:rPr>
          <w:rFonts w:hint="eastAsia" w:ascii="仿宋_GB2312" w:hAnsi="仿宋_GB2312" w:eastAsia="仿宋_GB2312" w:cs="仿宋_GB2312"/>
          <w:color w:val="333333"/>
          <w:kern w:val="1"/>
          <w:sz w:val="32"/>
          <w:szCs w:val="32"/>
        </w:rPr>
        <w:t xml:space="preserve"> </w:t>
      </w:r>
      <w:r>
        <w:rPr>
          <w:rFonts w:hint="eastAsia" w:ascii="仿宋_GB2312" w:hAnsi="仿宋_GB2312" w:eastAsia="仿宋_GB2312" w:cs="仿宋_GB2312"/>
          <w:color w:val="333333"/>
          <w:kern w:val="1"/>
          <w:sz w:val="32"/>
          <w:szCs w:val="32"/>
          <w:lang w:val="en-US" w:eastAsia="zh-CN"/>
        </w:rPr>
        <w:t>(</w:t>
      </w:r>
      <w:r>
        <w:rPr>
          <w:rFonts w:hint="eastAsia" w:ascii="仿宋_GB2312" w:hAnsi="仿宋_GB2312" w:eastAsia="仿宋_GB2312" w:cs="仿宋_GB2312"/>
          <w:color w:val="333333"/>
          <w:kern w:val="1"/>
          <w:sz w:val="32"/>
          <w:szCs w:val="32"/>
        </w:rPr>
        <w:t>十）负责完成全县高产高糖糖料蔗基地建设的相关工作。</w:t>
      </w:r>
      <w:r>
        <w:rPr>
          <w:rFonts w:hint="eastAsia" w:ascii="仿宋_GB2312" w:hAnsi="仿宋_GB2312" w:eastAsia="仿宋_GB2312" w:cs="仿宋_GB2312"/>
          <w:color w:val="333333"/>
          <w:kern w:val="1"/>
          <w:sz w:val="32"/>
          <w:szCs w:val="32"/>
          <w:lang w:val="en-US" w:eastAsia="zh-CN"/>
        </w:rPr>
        <w:t xml:space="preserve">         </w:t>
      </w:r>
      <w:r>
        <w:rPr>
          <w:rFonts w:hint="eastAsia" w:ascii="仿宋_GB2312" w:hAnsi="仿宋_GB2312" w:eastAsia="仿宋_GB2312" w:cs="仿宋_GB2312"/>
          <w:color w:val="333333"/>
          <w:kern w:val="1"/>
          <w:sz w:val="32"/>
          <w:szCs w:val="32"/>
        </w:rPr>
        <w:t>（十一）承办自治县人民政府交办的其他事项。</w:t>
      </w:r>
    </w:p>
    <w:p w14:paraId="425FF108">
      <w:pPr>
        <w:spacing w:line="560" w:lineRule="exact"/>
        <w:ind w:firstLine="64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机构设置情况</w:t>
      </w:r>
    </w:p>
    <w:p w14:paraId="4BDA52AF">
      <w:pPr>
        <w:widowControl/>
        <w:spacing w:before="100" w:beforeAutospacing="1" w:after="100" w:afterAutospacing="1" w:line="360" w:lineRule="auto"/>
        <w:ind w:firstLine="640" w:firstLineChars="200"/>
        <w:jc w:val="left"/>
        <w:rPr>
          <w:rFonts w:hint="eastAsia" w:ascii="仿宋_GB2312" w:hAnsi="仿宋_GB2312" w:eastAsia="仿宋_GB2312" w:cs="仿宋_GB2312"/>
          <w:kern w:val="1"/>
          <w:sz w:val="32"/>
          <w:szCs w:val="32"/>
        </w:rPr>
      </w:pP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bCs/>
          <w:sz w:val="32"/>
          <w:szCs w:val="32"/>
        </w:rPr>
        <w:t>自治县糖业</w:t>
      </w:r>
      <w:r>
        <w:rPr>
          <w:rFonts w:hint="eastAsia" w:ascii="仿宋_GB2312" w:hAnsi="仿宋_GB2312" w:eastAsia="仿宋_GB2312" w:cs="仿宋_GB2312"/>
          <w:bCs/>
          <w:sz w:val="32"/>
          <w:szCs w:val="32"/>
          <w:lang w:eastAsia="zh-CN"/>
        </w:rPr>
        <w:t>发展中心</w:t>
      </w:r>
      <w:r>
        <w:rPr>
          <w:rFonts w:hint="eastAsia" w:ascii="仿宋_GB2312" w:hAnsi="仿宋_GB2312" w:eastAsia="仿宋_GB2312" w:cs="仿宋_GB2312"/>
          <w:bCs/>
          <w:sz w:val="32"/>
          <w:szCs w:val="32"/>
        </w:rPr>
        <w:t>内设3个股室和1站,综合股、办公室、财务室和糖蔗生产技术服务站。与上年基本一致。</w:t>
      </w:r>
    </w:p>
    <w:p w14:paraId="4FF7D16B">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可列表，</w:t>
      </w:r>
      <w:r>
        <w:rPr>
          <w:rFonts w:hint="eastAsia" w:ascii="仿宋_GB2312" w:hAnsi="仿宋_GB2312" w:eastAsia="仿宋_GB2312" w:cs="仿宋_GB2312"/>
          <w:color w:val="auto"/>
          <w:sz w:val="32"/>
          <w:szCs w:val="32"/>
        </w:rPr>
        <w:t>参考格式如下：</w:t>
      </w:r>
    </w:p>
    <w:tbl>
      <w:tblPr>
        <w:tblStyle w:val="4"/>
        <w:tblW w:w="94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5"/>
        <w:gridCol w:w="3734"/>
      </w:tblGrid>
      <w:tr w14:paraId="0E9C3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5685" w:type="dxa"/>
            <w:tcBorders>
              <w:top w:val="single" w:color="auto" w:sz="4" w:space="0"/>
              <w:left w:val="single" w:color="auto" w:sz="4" w:space="0"/>
              <w:bottom w:val="single" w:color="auto" w:sz="4" w:space="0"/>
              <w:right w:val="single" w:color="auto" w:sz="4" w:space="0"/>
            </w:tcBorders>
            <w:noWrap w:val="0"/>
            <w:vAlign w:val="center"/>
          </w:tcPr>
          <w:p w14:paraId="787B4A29">
            <w:pPr>
              <w:keepNext w:val="0"/>
              <w:keepLines w:val="0"/>
              <w:widowControl/>
              <w:suppressLineNumbers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beforeAutospacing="0" w:after="0" w:afterAutospacing="0" w:line="520" w:lineRule="exact"/>
              <w:ind w:left="0" w:right="0"/>
              <w:jc w:val="left"/>
              <w:rPr>
                <w:rFonts w:hint="eastAsia" w:ascii="仿宋_GB2312" w:hAnsi="仿宋_GB2312" w:eastAsia="仿宋_GB2312" w:cs="仿宋_GB2312"/>
                <w:b/>
                <w:kern w:val="0"/>
                <w:sz w:val="32"/>
                <w:szCs w:val="32"/>
              </w:rPr>
            </w:pPr>
            <w:bookmarkStart w:id="0" w:name="_Hlk109379180"/>
            <w:r>
              <w:rPr>
                <w:rFonts w:hint="eastAsia" w:ascii="仿宋_GB2312" w:hAnsi="仿宋_GB2312" w:eastAsia="仿宋_GB2312" w:cs="仿宋_GB2312"/>
                <w:b/>
                <w:kern w:val="0"/>
                <w:sz w:val="32"/>
                <w:szCs w:val="32"/>
              </w:rPr>
              <w:t>单位名称</w:t>
            </w:r>
          </w:p>
        </w:tc>
        <w:tc>
          <w:tcPr>
            <w:tcW w:w="3734" w:type="dxa"/>
            <w:tcBorders>
              <w:top w:val="single" w:color="auto" w:sz="4" w:space="0"/>
              <w:left w:val="single" w:color="auto" w:sz="4" w:space="0"/>
              <w:bottom w:val="single" w:color="auto" w:sz="4" w:space="0"/>
              <w:right w:val="single" w:color="auto" w:sz="4" w:space="0"/>
            </w:tcBorders>
            <w:noWrap w:val="0"/>
            <w:vAlign w:val="center"/>
          </w:tcPr>
          <w:p w14:paraId="4089B5EC">
            <w:pPr>
              <w:keepNext w:val="0"/>
              <w:keepLines w:val="0"/>
              <w:widowControl/>
              <w:suppressLineNumbers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beforeAutospacing="0" w:after="0" w:afterAutospacing="0" w:line="520" w:lineRule="exact"/>
              <w:ind w:left="0" w:right="0"/>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单位性质</w:t>
            </w:r>
          </w:p>
        </w:tc>
      </w:tr>
      <w:tr w14:paraId="27918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685" w:type="dxa"/>
            <w:tcBorders>
              <w:top w:val="single" w:color="auto" w:sz="4" w:space="0"/>
              <w:left w:val="single" w:color="auto" w:sz="4" w:space="0"/>
              <w:bottom w:val="single" w:color="auto" w:sz="4" w:space="0"/>
              <w:right w:val="single" w:color="auto" w:sz="4" w:space="0"/>
            </w:tcBorders>
            <w:noWrap w:val="0"/>
            <w:vAlign w:val="top"/>
          </w:tcPr>
          <w:p w14:paraId="696FDDA1">
            <w:pPr>
              <w:keepNext w:val="0"/>
              <w:keepLines w:val="0"/>
              <w:suppressLineNumbers w:val="0"/>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highlight w:val="none"/>
                <w:lang w:val="en-US" w:eastAsia="zh-CN"/>
              </w:rPr>
              <w:t>环江毛南族自治县糖业发展中心</w:t>
            </w:r>
          </w:p>
        </w:tc>
        <w:tc>
          <w:tcPr>
            <w:tcW w:w="3734" w:type="dxa"/>
            <w:tcBorders>
              <w:top w:val="single" w:color="auto" w:sz="4" w:space="0"/>
              <w:left w:val="single" w:color="auto" w:sz="4" w:space="0"/>
              <w:bottom w:val="single" w:color="auto" w:sz="4" w:space="0"/>
              <w:right w:val="single" w:color="auto" w:sz="4" w:space="0"/>
            </w:tcBorders>
            <w:noWrap w:val="0"/>
            <w:vAlign w:val="top"/>
          </w:tcPr>
          <w:p w14:paraId="293E9552">
            <w:pPr>
              <w:keepNext w:val="0"/>
              <w:keepLines w:val="0"/>
              <w:suppressLineNumbers w:val="0"/>
              <w:spacing w:before="0" w:beforeAutospacing="0" w:after="0" w:afterAutospacing="0"/>
              <w:ind w:left="0" w:right="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公益一类</w:t>
            </w:r>
          </w:p>
        </w:tc>
      </w:tr>
      <w:tr w14:paraId="26684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5685" w:type="dxa"/>
            <w:tcBorders>
              <w:top w:val="single" w:color="auto" w:sz="4" w:space="0"/>
              <w:left w:val="single" w:color="auto" w:sz="4" w:space="0"/>
              <w:bottom w:val="single" w:color="auto" w:sz="4" w:space="0"/>
              <w:right w:val="single" w:color="auto" w:sz="4" w:space="0"/>
            </w:tcBorders>
            <w:noWrap w:val="0"/>
            <w:vAlign w:val="center"/>
          </w:tcPr>
          <w:p w14:paraId="1E5AFD9E">
            <w:pPr>
              <w:keepNext w:val="0"/>
              <w:keepLines w:val="0"/>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3734" w:type="dxa"/>
            <w:tcBorders>
              <w:top w:val="single" w:color="auto" w:sz="4" w:space="0"/>
              <w:left w:val="single" w:color="auto" w:sz="4" w:space="0"/>
              <w:bottom w:val="single" w:color="auto" w:sz="4" w:space="0"/>
              <w:right w:val="single" w:color="auto" w:sz="4" w:space="0"/>
            </w:tcBorders>
            <w:noWrap w:val="0"/>
            <w:vAlign w:val="center"/>
          </w:tcPr>
          <w:p w14:paraId="6CCEC570">
            <w:pPr>
              <w:keepNext w:val="0"/>
              <w:keepLines w:val="0"/>
              <w:suppressLineNumbers w:val="0"/>
              <w:spacing w:before="0" w:beforeAutospacing="0" w:after="0" w:afterAutospacing="0"/>
              <w:ind w:left="0" w:right="0"/>
              <w:jc w:val="left"/>
              <w:rPr>
                <w:rFonts w:hint="eastAsia" w:ascii="仿宋_GB2312" w:hAnsi="仿宋_GB2312" w:eastAsia="仿宋_GB2312" w:cs="仿宋_GB2312"/>
                <w:sz w:val="32"/>
                <w:szCs w:val="32"/>
              </w:rPr>
            </w:pPr>
          </w:p>
        </w:tc>
      </w:tr>
      <w:tr w14:paraId="46EE6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5685" w:type="dxa"/>
            <w:tcBorders>
              <w:top w:val="single" w:color="auto" w:sz="4" w:space="0"/>
              <w:left w:val="single" w:color="auto" w:sz="4" w:space="0"/>
              <w:bottom w:val="single" w:color="auto" w:sz="4" w:space="0"/>
              <w:right w:val="single" w:color="auto" w:sz="4" w:space="0"/>
            </w:tcBorders>
            <w:noWrap w:val="0"/>
            <w:vAlign w:val="center"/>
          </w:tcPr>
          <w:p w14:paraId="62EF4BFB">
            <w:pPr>
              <w:keepNext w:val="0"/>
              <w:keepLines w:val="0"/>
              <w:suppressLineNumbers w:val="0"/>
              <w:spacing w:before="0" w:beforeAutospacing="0" w:after="0" w:afterAutospacing="0"/>
              <w:ind w:left="0" w:right="0"/>
              <w:jc w:val="left"/>
              <w:rPr>
                <w:rFonts w:hint="eastAsia" w:ascii="仿宋_GB2312" w:hAnsi="仿宋_GB2312" w:eastAsia="仿宋_GB2312" w:cs="仿宋_GB2312"/>
                <w:sz w:val="32"/>
                <w:szCs w:val="32"/>
              </w:rPr>
            </w:pPr>
          </w:p>
        </w:tc>
        <w:tc>
          <w:tcPr>
            <w:tcW w:w="3734" w:type="dxa"/>
            <w:tcBorders>
              <w:top w:val="single" w:color="auto" w:sz="4" w:space="0"/>
              <w:left w:val="single" w:color="auto" w:sz="4" w:space="0"/>
              <w:bottom w:val="single" w:color="auto" w:sz="4" w:space="0"/>
              <w:right w:val="single" w:color="auto" w:sz="4" w:space="0"/>
            </w:tcBorders>
            <w:noWrap w:val="0"/>
            <w:vAlign w:val="center"/>
          </w:tcPr>
          <w:p w14:paraId="384824CE">
            <w:pPr>
              <w:keepNext w:val="0"/>
              <w:keepLines w:val="0"/>
              <w:suppressLineNumbers w:val="0"/>
              <w:spacing w:before="0" w:beforeAutospacing="0" w:after="0" w:afterAutospacing="0"/>
              <w:ind w:left="0" w:right="0"/>
              <w:jc w:val="left"/>
              <w:rPr>
                <w:rFonts w:hint="eastAsia" w:ascii="仿宋_GB2312" w:hAnsi="仿宋_GB2312" w:eastAsia="仿宋_GB2312" w:cs="仿宋_GB2312"/>
                <w:sz w:val="32"/>
                <w:szCs w:val="32"/>
              </w:rPr>
            </w:pPr>
          </w:p>
        </w:tc>
      </w:tr>
      <w:bookmarkEnd w:id="0"/>
    </w:tbl>
    <w:p w14:paraId="11AB9E60">
      <w:pPr>
        <w:ind w:firstLine="640" w:firstLineChars="200"/>
        <w:jc w:val="left"/>
        <w:rPr>
          <w:rFonts w:hint="eastAsia" w:ascii="仿宋_GB2312" w:hAnsi="仿宋_GB2312" w:eastAsia="仿宋_GB2312" w:cs="仿宋_GB2312"/>
          <w:sz w:val="32"/>
          <w:szCs w:val="32"/>
        </w:rPr>
      </w:pPr>
    </w:p>
    <w:p w14:paraId="1425ECA8">
      <w:pPr>
        <w:jc w:val="center"/>
        <w:rPr>
          <w:rFonts w:hint="eastAsia" w:ascii="黑体" w:hAnsi="黑体" w:eastAsia="黑体" w:cs="黑体"/>
          <w:sz w:val="32"/>
          <w:szCs w:val="32"/>
          <w:highlight w:val="none"/>
          <w:lang w:val="en-US" w:eastAsia="zh-CN"/>
        </w:rPr>
      </w:pPr>
    </w:p>
    <w:p w14:paraId="72BF2E9A">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4EAF05E3">
      <w:pPr>
        <w:spacing w:line="560" w:lineRule="exact"/>
        <w:jc w:val="both"/>
        <w:rPr>
          <w:rFonts w:hint="eastAsia" w:ascii="黑体" w:hAnsi="黑体" w:eastAsia="黑体"/>
          <w:sz w:val="32"/>
          <w:szCs w:val="32"/>
        </w:rPr>
      </w:pPr>
      <w:r>
        <w:rPr>
          <w:rFonts w:hint="eastAsia" w:ascii="黑体" w:hAnsi="黑体" w:eastAsia="黑体"/>
          <w:sz w:val="32"/>
          <w:szCs w:val="32"/>
        </w:rPr>
        <w:t>第二部分：</w:t>
      </w:r>
      <w:r>
        <w:rPr>
          <w:rFonts w:hint="eastAsia" w:ascii="方正小标宋简体" w:eastAsia="方正小标宋简体" w:cs="ArialUnicodeMS"/>
          <w:kern w:val="0"/>
          <w:sz w:val="32"/>
          <w:szCs w:val="32"/>
          <w:lang w:val="en-US" w:eastAsia="zh-CN"/>
        </w:rPr>
        <w:t>环江毛南族自治县</w:t>
      </w:r>
      <w:r>
        <w:rPr>
          <w:rFonts w:hint="eastAsia" w:ascii="方正小标宋简体" w:hAnsi="黑体" w:eastAsia="方正小标宋简体"/>
          <w:bCs/>
          <w:color w:val="000000"/>
          <w:sz w:val="32"/>
          <w:szCs w:val="32"/>
          <w:u w:val="single"/>
          <w:lang w:val="en-US" w:eastAsia="zh-CN"/>
        </w:rPr>
        <w:t>糖业发展中心</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年度部门决算报表</w:t>
      </w:r>
    </w:p>
    <w:p w14:paraId="064FCB00">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sz w:val="32"/>
          <w:szCs w:val="32"/>
          <w:highlight w:val="none"/>
          <w:lang w:eastAsia="zh-CN"/>
        </w:rPr>
        <w:t>糖业发展中心</w:t>
      </w:r>
      <w:r>
        <w:rPr>
          <w:rFonts w:hint="eastAsia" w:ascii="仿宋_GB2312" w:hAnsi="仿宋_GB2312" w:eastAsia="仿宋_GB2312" w:cs="仿宋_GB2312"/>
          <w:sz w:val="32"/>
          <w:szCs w:val="32"/>
          <w:highlight w:val="none"/>
        </w:rPr>
        <w:t>公开的</w:t>
      </w: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年度本部门决算报表共</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均取数自</w:t>
      </w: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年度部门决算报表，分别为：</w:t>
      </w:r>
    </w:p>
    <w:p w14:paraId="20C18588">
      <w:pPr>
        <w:jc w:val="center"/>
        <w:rPr>
          <w:rFonts w:hint="eastAsia" w:ascii="黑体" w:hAnsi="黑体" w:eastAsia="黑体" w:cs="黑体"/>
          <w:sz w:val="32"/>
          <w:szCs w:val="32"/>
          <w:highlight w:val="none"/>
        </w:rPr>
      </w:pPr>
    </w:p>
    <w:tbl>
      <w:tblPr>
        <w:tblStyle w:val="4"/>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14:paraId="48269D1B">
        <w:tblPrEx>
          <w:tblCellMar>
            <w:top w:w="0" w:type="dxa"/>
            <w:left w:w="108" w:type="dxa"/>
            <w:bottom w:w="0" w:type="dxa"/>
            <w:right w:w="108" w:type="dxa"/>
          </w:tblCellMar>
        </w:tblPrEx>
        <w:trPr>
          <w:trHeight w:val="902" w:hRule="atLeast"/>
        </w:trPr>
        <w:tc>
          <w:tcPr>
            <w:tcW w:w="13940" w:type="dxa"/>
            <w:gridSpan w:val="6"/>
            <w:tcBorders>
              <w:top w:val="nil"/>
              <w:left w:val="nil"/>
              <w:bottom w:val="nil"/>
              <w:right w:val="nil"/>
            </w:tcBorders>
            <w:shd w:val="clear" w:color="auto" w:fill="auto"/>
            <w:noWrap/>
            <w:vAlign w:val="bottom"/>
          </w:tcPr>
          <w:p w14:paraId="6F0F6F66">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14:paraId="504F6767">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14:paraId="7A44D8C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14:paraId="58488835">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noWrap/>
            <w:vAlign w:val="bottom"/>
          </w:tcPr>
          <w:p w14:paraId="456D7B6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93" w:type="dxa"/>
            <w:tcBorders>
              <w:top w:val="nil"/>
              <w:left w:val="nil"/>
              <w:bottom w:val="nil"/>
              <w:right w:val="nil"/>
            </w:tcBorders>
            <w:shd w:val="clear" w:color="auto" w:fill="auto"/>
            <w:noWrap/>
            <w:vAlign w:val="bottom"/>
          </w:tcPr>
          <w:p w14:paraId="5B41367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31" w:type="dxa"/>
            <w:tcBorders>
              <w:top w:val="nil"/>
              <w:left w:val="nil"/>
              <w:bottom w:val="nil"/>
              <w:right w:val="nil"/>
            </w:tcBorders>
            <w:shd w:val="clear" w:color="auto" w:fill="auto"/>
            <w:noWrap/>
            <w:vAlign w:val="bottom"/>
          </w:tcPr>
          <w:p w14:paraId="2CA129B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69" w:type="dxa"/>
            <w:tcBorders>
              <w:top w:val="nil"/>
              <w:left w:val="nil"/>
              <w:bottom w:val="nil"/>
              <w:right w:val="nil"/>
            </w:tcBorders>
            <w:shd w:val="clear" w:color="auto" w:fill="auto"/>
            <w:noWrap/>
            <w:vAlign w:val="bottom"/>
          </w:tcPr>
          <w:p w14:paraId="6786BAA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nil"/>
              <w:right w:val="nil"/>
            </w:tcBorders>
            <w:shd w:val="clear" w:color="auto" w:fill="auto"/>
            <w:noWrap/>
            <w:vAlign w:val="bottom"/>
          </w:tcPr>
          <w:p w14:paraId="0C4BB45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nil"/>
              <w:right w:val="nil"/>
            </w:tcBorders>
            <w:shd w:val="clear" w:color="auto" w:fill="auto"/>
            <w:noWrap/>
            <w:vAlign w:val="bottom"/>
          </w:tcPr>
          <w:p w14:paraId="46E8C410">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14:paraId="010C1B16">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noWrap/>
            <w:vAlign w:val="bottom"/>
          </w:tcPr>
          <w:p w14:paraId="4E7845CB">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Theme="minorEastAsia" w:hAnsiTheme="minorEastAsia" w:eastAsiaTheme="minorEastAsia" w:cstheme="minorEastAsia"/>
                <w:b w:val="0"/>
                <w:bCs w:val="0"/>
                <w:sz w:val="21"/>
                <w:szCs w:val="21"/>
                <w:highlight w:val="none"/>
                <w:lang w:val="en-US" w:eastAsia="zh-CN"/>
              </w:rPr>
              <w:t>环江毛南族自治县糖业发展中心</w:t>
            </w:r>
          </w:p>
        </w:tc>
        <w:tc>
          <w:tcPr>
            <w:tcW w:w="2669" w:type="dxa"/>
            <w:tcBorders>
              <w:top w:val="nil"/>
              <w:left w:val="nil"/>
              <w:bottom w:val="single" w:color="auto" w:sz="4" w:space="0"/>
              <w:right w:val="nil"/>
            </w:tcBorders>
            <w:shd w:val="clear" w:color="auto" w:fill="auto"/>
            <w:noWrap/>
            <w:vAlign w:val="bottom"/>
          </w:tcPr>
          <w:p w14:paraId="0D1B3F6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single" w:color="auto" w:sz="4" w:space="0"/>
              <w:right w:val="nil"/>
            </w:tcBorders>
            <w:shd w:val="clear" w:color="auto" w:fill="auto"/>
            <w:noWrap/>
            <w:vAlign w:val="bottom"/>
          </w:tcPr>
          <w:p w14:paraId="3474C24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single" w:color="auto" w:sz="4" w:space="0"/>
              <w:right w:val="nil"/>
            </w:tcBorders>
            <w:shd w:val="clear" w:color="auto" w:fill="auto"/>
            <w:noWrap/>
            <w:vAlign w:val="bottom"/>
          </w:tcPr>
          <w:p w14:paraId="75231B38">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0280F4C2">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9A8259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C2F69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14:paraId="61D5DDCE">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6F4DB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6D05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35F7E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5A6A8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CB757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914C8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r>
      <w:tr w14:paraId="49FF4E6B">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79A2A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63305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45D3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B74D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8A3C1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3F5A8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r>
      <w:tr w14:paraId="26AFB5EA">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C30D47">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8C8F0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ADD05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209.19</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BD853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6D280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6360C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2.74</w:t>
            </w:r>
          </w:p>
        </w:tc>
      </w:tr>
      <w:tr w14:paraId="10A2AF15">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F8CE58">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99CEC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A52E8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F8EB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E82E9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8BEBC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27F6932">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49BE3">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8199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F3605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563C5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0E51D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5C31E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9CE8F9D">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8E233">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FD886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D245C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EC86F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37B62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CA990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BFE0A0F">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305422">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A4A1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C22F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D7725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0C354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3AF59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14:paraId="5FC603EF">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0EFA9D">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3A987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993D3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DC9F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A1534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C8381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66D4CD4">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DFA0E4">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4F7D7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3143E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625B1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04AA6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DD0FD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CC31826">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A2A4B9">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0737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026D7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E00E1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2A6F9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3DE46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18.08</w:t>
            </w:r>
          </w:p>
        </w:tc>
      </w:tr>
      <w:tr w14:paraId="73CB3A97">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FF90F7">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EADC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277E6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5EC63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D2810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8105F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14:paraId="5BF0DF3A">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C77F1C">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34E40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94529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6DE2A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06EE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47D7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A0F7548">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D92FDF">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33ED5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2E7E4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6FA2A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F91B2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00645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6836A50">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9366D3">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2479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E73F8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4E01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D4DA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17A4E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color w:val="000000"/>
                <w:kern w:val="0"/>
                <w:sz w:val="22"/>
                <w:szCs w:val="22"/>
                <w:highlight w:val="none"/>
                <w:lang w:val="en-US" w:eastAsia="zh-CN" w:bidi="ar"/>
              </w:rPr>
              <w:t>148.85</w:t>
            </w:r>
          </w:p>
        </w:tc>
      </w:tr>
      <w:tr w14:paraId="7D6948AA">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06C49B">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70BA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4691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AD833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B648F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57058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C5FF4D0">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8868BB">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0C2E9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A7BD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233E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44683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37905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1D3477B">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E6D80B">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4CDB2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9D98D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F8E2D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8989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114B9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CF0919B">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EA3F43">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1CD14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8B7A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6A59E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1DB7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02FCC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214C99F">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BB4330">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ABC69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1F60A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4AE5F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B368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F445D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512D267">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B6D5C">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5A095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A93C7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1BDC4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3010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83FF6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475C755">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030D4">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FD43E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98F54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60B5C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427F6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44DE9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13.64</w:t>
            </w:r>
          </w:p>
        </w:tc>
      </w:tr>
      <w:tr w14:paraId="0CF92F38">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A5C52F">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4E192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D781A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B31A8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AE88F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A1879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7121E6D">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77DF89">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C9472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AE839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E01B0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74E9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7FF49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F0F7B63">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0C7FF0">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CE5DB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E81D8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CCCCF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95B4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E40C0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45DEB8B">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470145">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8E335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9B823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E2DC6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6E4DA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D336A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24.88</w:t>
            </w:r>
          </w:p>
        </w:tc>
      </w:tr>
      <w:tr w14:paraId="47C9F78E">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827295">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420C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7AE84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05824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701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C46A7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A7233A6">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9DB61A">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275B4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1D99F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68534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00DD2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2E069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259BD8C">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BCB7B6">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DECF3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E0E0E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2AF7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E42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225DB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EC10374">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298E6">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AC68C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11B12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209.19</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C3599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E8BCB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53A2F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209.19</w:t>
            </w:r>
          </w:p>
        </w:tc>
      </w:tr>
      <w:tr w14:paraId="2244D72A">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A8DFF0">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254F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3A3C5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74C91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CF384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EAEEE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9291980">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6FE2A">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793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D6C97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83E1D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D7909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E406D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14:paraId="45ECDCF0">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CFB12F">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48AF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B3B91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8014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231E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4F8F5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C3195E8">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5B1F6D">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AC49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0C0D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209.19</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50C86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5ADB6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F5015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209.19</w:t>
            </w:r>
          </w:p>
        </w:tc>
      </w:tr>
    </w:tbl>
    <w:p w14:paraId="6FBBDE74">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4"/>
        <w:tblW w:w="13960" w:type="dxa"/>
        <w:tblInd w:w="96" w:type="dxa"/>
        <w:tblLayout w:type="fixed"/>
        <w:tblCellMar>
          <w:top w:w="0" w:type="dxa"/>
          <w:left w:w="108" w:type="dxa"/>
          <w:bottom w:w="0" w:type="dxa"/>
          <w:right w:w="108" w:type="dxa"/>
        </w:tblCellMar>
      </w:tblPr>
      <w:tblGrid>
        <w:gridCol w:w="1584"/>
        <w:gridCol w:w="1378"/>
        <w:gridCol w:w="236"/>
        <w:gridCol w:w="236"/>
        <w:gridCol w:w="524"/>
        <w:gridCol w:w="1520"/>
        <w:gridCol w:w="1453"/>
        <w:gridCol w:w="1373"/>
        <w:gridCol w:w="1467"/>
        <w:gridCol w:w="1480"/>
        <w:gridCol w:w="1440"/>
        <w:gridCol w:w="1269"/>
      </w:tblGrid>
      <w:tr w14:paraId="628C3440">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14:paraId="2C1EC23B">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14:paraId="490FB916">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14:paraId="3E5B4D3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14:paraId="09BDB4E3">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14:paraId="35599BB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14:paraId="69D66F9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14:paraId="5D8A82C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4" w:type="dxa"/>
            <w:tcBorders>
              <w:top w:val="nil"/>
              <w:left w:val="nil"/>
              <w:bottom w:val="nil"/>
              <w:right w:val="nil"/>
            </w:tcBorders>
            <w:shd w:val="clear" w:color="auto" w:fill="auto"/>
            <w:noWrap/>
            <w:vAlign w:val="bottom"/>
          </w:tcPr>
          <w:p w14:paraId="5BF4799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20" w:type="dxa"/>
            <w:tcBorders>
              <w:top w:val="nil"/>
              <w:left w:val="nil"/>
              <w:bottom w:val="nil"/>
              <w:right w:val="nil"/>
            </w:tcBorders>
            <w:shd w:val="clear" w:color="auto" w:fill="auto"/>
            <w:noWrap/>
            <w:vAlign w:val="bottom"/>
          </w:tcPr>
          <w:p w14:paraId="5312E5B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53" w:type="dxa"/>
            <w:tcBorders>
              <w:top w:val="nil"/>
              <w:left w:val="nil"/>
              <w:bottom w:val="nil"/>
              <w:right w:val="nil"/>
            </w:tcBorders>
            <w:shd w:val="clear" w:color="auto" w:fill="auto"/>
            <w:noWrap/>
            <w:vAlign w:val="bottom"/>
          </w:tcPr>
          <w:p w14:paraId="22C6C58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73" w:type="dxa"/>
            <w:tcBorders>
              <w:top w:val="nil"/>
              <w:left w:val="nil"/>
              <w:bottom w:val="nil"/>
              <w:right w:val="nil"/>
            </w:tcBorders>
            <w:shd w:val="clear" w:color="auto" w:fill="auto"/>
            <w:noWrap/>
            <w:vAlign w:val="bottom"/>
          </w:tcPr>
          <w:p w14:paraId="4B0E201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nil"/>
              <w:right w:val="nil"/>
            </w:tcBorders>
            <w:shd w:val="clear" w:color="auto" w:fill="auto"/>
            <w:noWrap/>
            <w:vAlign w:val="bottom"/>
          </w:tcPr>
          <w:p w14:paraId="5C607FC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nil"/>
              <w:right w:val="nil"/>
            </w:tcBorders>
            <w:shd w:val="clear" w:color="auto" w:fill="auto"/>
            <w:noWrap/>
            <w:vAlign w:val="bottom"/>
          </w:tcPr>
          <w:p w14:paraId="07F0C2E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nil"/>
              <w:right w:val="nil"/>
            </w:tcBorders>
            <w:shd w:val="clear" w:color="auto" w:fill="auto"/>
            <w:noWrap/>
            <w:vAlign w:val="bottom"/>
          </w:tcPr>
          <w:p w14:paraId="0C9BF75B">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14:paraId="305AB0D6">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noWrap/>
            <w:vAlign w:val="bottom"/>
          </w:tcPr>
          <w:p w14:paraId="76D524BE">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Theme="minorEastAsia" w:hAnsiTheme="minorEastAsia" w:eastAsiaTheme="minorEastAsia" w:cstheme="minorEastAsia"/>
                <w:b w:val="0"/>
                <w:bCs w:val="0"/>
                <w:sz w:val="21"/>
                <w:szCs w:val="21"/>
                <w:highlight w:val="none"/>
                <w:lang w:val="en-US" w:eastAsia="zh-CN"/>
              </w:rPr>
              <w:t>环江毛南族自治县糖业发展中心</w:t>
            </w:r>
          </w:p>
        </w:tc>
        <w:tc>
          <w:tcPr>
            <w:tcW w:w="1373" w:type="dxa"/>
            <w:tcBorders>
              <w:top w:val="nil"/>
              <w:left w:val="nil"/>
              <w:bottom w:val="single" w:color="auto" w:sz="4" w:space="0"/>
              <w:right w:val="nil"/>
            </w:tcBorders>
            <w:shd w:val="clear" w:color="auto" w:fill="auto"/>
            <w:noWrap/>
            <w:vAlign w:val="bottom"/>
          </w:tcPr>
          <w:p w14:paraId="22A836B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single" w:color="auto" w:sz="4" w:space="0"/>
              <w:right w:val="nil"/>
            </w:tcBorders>
            <w:shd w:val="clear" w:color="auto" w:fill="auto"/>
            <w:noWrap/>
            <w:vAlign w:val="bottom"/>
          </w:tcPr>
          <w:p w14:paraId="2894A01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single" w:color="auto" w:sz="4" w:space="0"/>
              <w:right w:val="nil"/>
            </w:tcBorders>
            <w:shd w:val="clear" w:color="auto" w:fill="auto"/>
            <w:noWrap/>
            <w:vAlign w:val="bottom"/>
          </w:tcPr>
          <w:p w14:paraId="5818B5F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single" w:color="auto" w:sz="4" w:space="0"/>
            </w:tcBorders>
            <w:shd w:val="clear" w:color="auto" w:fill="auto"/>
            <w:noWrap/>
            <w:vAlign w:val="bottom"/>
          </w:tcPr>
          <w:p w14:paraId="154E7C2F">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27880F9A">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6E04ED0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CF55D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7601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A1735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9164A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473EF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9F7E8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C3B9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其他收入</w:t>
            </w:r>
          </w:p>
        </w:tc>
      </w:tr>
      <w:tr w14:paraId="488FD5FD">
        <w:tblPrEx>
          <w:tblCellMar>
            <w:top w:w="0" w:type="dxa"/>
            <w:left w:w="108" w:type="dxa"/>
            <w:bottom w:w="0" w:type="dxa"/>
            <w:right w:w="108" w:type="dxa"/>
          </w:tblCellMar>
        </w:tblPrEx>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A3AB0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37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00159B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202A2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0587A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AD4BA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85887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03D5D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CD8B7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4207C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069A233D">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81024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F6163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8A412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9AF38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AAE99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68D0B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DAB6C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2F3A5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56AB9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3F42B688">
        <w:tblPrEx>
          <w:tblCellMar>
            <w:top w:w="0" w:type="dxa"/>
            <w:left w:w="108" w:type="dxa"/>
            <w:bottom w:w="0" w:type="dxa"/>
            <w:right w:w="108" w:type="dxa"/>
          </w:tblCellMar>
        </w:tblPrEx>
        <w:trPr>
          <w:trHeight w:val="312"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3660B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19288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9F239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6346F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EFA61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39256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1FD7E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C4634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1B8DE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73BA9898">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A0DFA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59B1616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14:paraId="142C471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14:paraId="6CF0F29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14:paraId="40299AC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14:paraId="354EA2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15B63F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14:paraId="1B62665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r>
      <w:tr w14:paraId="75ECEE80">
        <w:tblPrEx>
          <w:tblCellMar>
            <w:top w:w="0" w:type="dxa"/>
            <w:left w:w="108" w:type="dxa"/>
            <w:bottom w:w="0" w:type="dxa"/>
            <w:right w:w="108" w:type="dxa"/>
          </w:tblCellMar>
        </w:tblPrEx>
        <w:trPr>
          <w:trHeight w:val="501"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E7C560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DF366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cs="宋体"/>
                <w:b/>
                <w:bCs/>
                <w:color w:val="000000"/>
                <w:sz w:val="22"/>
                <w:szCs w:val="22"/>
                <w:highlight w:val="none"/>
                <w:lang w:val="en-US" w:eastAsia="zh-CN"/>
              </w:rPr>
              <w:t>209.19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F548F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cs="宋体"/>
                <w:b/>
                <w:bCs/>
                <w:color w:val="000000"/>
                <w:sz w:val="22"/>
                <w:szCs w:val="22"/>
                <w:highlight w:val="none"/>
                <w:lang w:val="en-US" w:eastAsia="zh-CN"/>
              </w:rPr>
              <w:t>209.19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744E77">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lang w:val="en-US"/>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F34C83">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D8FD7C">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C4DA81">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72F05A">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lang w:val="en-US" w:eastAsia="zh-CN"/>
              </w:rPr>
              <w:t>0.0</w:t>
            </w:r>
            <w:r>
              <w:rPr>
                <w:rFonts w:hint="eastAsia" w:ascii="宋体" w:hAnsi="宋体" w:eastAsia="宋体" w:cs="宋体"/>
                <w:b/>
                <w:bCs/>
                <w:color w:val="000000"/>
                <w:sz w:val="22"/>
                <w:szCs w:val="22"/>
                <w:highlight w:val="none"/>
              </w:rPr>
              <w:t>0</w:t>
            </w:r>
          </w:p>
        </w:tc>
      </w:tr>
      <w:tr w14:paraId="6F90AF23">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A601D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140331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一般公共服务支出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4BB9C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2.74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9E3D8A">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2.74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501C4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8A350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07796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62B47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9960A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68271D2">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838AB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7F5E7B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群众团体事务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1CCC6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2.74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280355">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2.74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C9DE0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216AB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FEB7A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623B9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81AD6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0.0</w:t>
            </w:r>
            <w:r>
              <w:rPr>
                <w:rFonts w:hint="default" w:ascii="宋体" w:hAnsi="宋体" w:eastAsia="宋体" w:cs="宋体"/>
                <w:color w:val="000000"/>
                <w:kern w:val="0"/>
                <w:sz w:val="22"/>
                <w:szCs w:val="22"/>
                <w:highlight w:val="none"/>
                <w:lang w:bidi="ar"/>
              </w:rPr>
              <w:t>0</w:t>
            </w:r>
          </w:p>
        </w:tc>
      </w:tr>
      <w:tr w14:paraId="0FAE2F3B">
        <w:tblPrEx>
          <w:tblCellMar>
            <w:top w:w="0" w:type="dxa"/>
            <w:left w:w="108" w:type="dxa"/>
            <w:bottom w:w="0" w:type="dxa"/>
            <w:right w:w="108" w:type="dxa"/>
          </w:tblCellMar>
        </w:tblPrEx>
        <w:trPr>
          <w:trHeight w:val="834"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46C53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AE1B7D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45AA0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color w:val="000000"/>
                <w:kern w:val="0"/>
                <w:sz w:val="22"/>
                <w:szCs w:val="22"/>
                <w:highlight w:val="none"/>
                <w:lang w:val="en-US" w:eastAsia="zh-CN" w:bidi="ar"/>
              </w:rPr>
              <w:t>2.74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5E279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2.74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FF3B2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12026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24713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A3BEB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075A2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9BD783C">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B02C0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59575C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6FF62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18.08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A1C27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18.08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EC7A8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C407E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F9CB1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63A33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E9E8B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D6B957E">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C115B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E5983D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06B28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18.08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B64F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18.08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C7BC0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1B535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4E5C0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854DA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F84DB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4A4EC58">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D65FE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1EE042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5CA89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18.08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BE81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18.08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4D433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A595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2CDE3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DAB37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8A2CD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D5D81CE">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B4984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69AE62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农林水支出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914B7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149.85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41589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149.85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181B7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6DF5D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53D49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2F8A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91DF4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1527A85">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DF582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54E23F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农业农村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AF41A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149.85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EE6B4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149.85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FFAF1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11373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C57FB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FD4DE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63F9E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60D674B">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FB6B3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2130104</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E4AA79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34C30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149.85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DEB72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149.85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09647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DF89A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035B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EDCA2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3E9E0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FF0BA2D">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BADA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6DB1A4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住房保障支出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C146B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13.64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7031E3">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13.64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4CF05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EF481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611AF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BA982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3F3A8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5D488BD">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26921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5D17DF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住房改革支出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D8279A">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13.64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F29110">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13.64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C365F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90EC0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07EC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CD28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26F22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C176EF2">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6E7E5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11280A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887742">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13.64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0C76ED">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13.64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0B356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39CE4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325A8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AEED3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53D2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983BE79">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7EA15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BA7067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02349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24.88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1BC2F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24.88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72092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44A2B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BFA24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25E73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E477F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55BD704">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803E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5C499E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0D2E1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24.88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E728F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24.88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FA328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ACF3F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F9909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A3B6A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C1E43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A676A30">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904B2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2299999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FA8DBE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05C06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24.88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3C209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24.88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A546B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F949B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03D9A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14BDC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2B695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5D1A5FC">
        <w:tblPrEx>
          <w:tblCellMar>
            <w:top w:w="0" w:type="dxa"/>
            <w:left w:w="108" w:type="dxa"/>
            <w:bottom w:w="0" w:type="dxa"/>
            <w:right w:w="108" w:type="dxa"/>
          </w:tblCellMar>
        </w:tblPrEx>
        <w:trPr>
          <w:trHeight w:val="34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D24EA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224F59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94BB27">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106454">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C58CD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F49F2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1EC67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9D4C1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2837D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143E27E">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14:paraId="43CB3FA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注：本表反映部门本年度取得的各项收入情况。</w:t>
            </w:r>
          </w:p>
        </w:tc>
      </w:tr>
    </w:tbl>
    <w:p w14:paraId="079506B3">
      <w:pPr>
        <w:jc w:val="center"/>
        <w:rPr>
          <w:rFonts w:ascii="仿宋" w:hAnsi="仿宋" w:eastAsia="仿宋" w:cs="仿宋"/>
          <w:sz w:val="24"/>
          <w:highlight w:val="none"/>
        </w:rPr>
      </w:pPr>
    </w:p>
    <w:p w14:paraId="41A00732">
      <w:pPr>
        <w:rPr>
          <w:rFonts w:ascii="仿宋" w:hAnsi="仿宋" w:eastAsia="仿宋" w:cs="仿宋"/>
          <w:sz w:val="24"/>
          <w:highlight w:val="none"/>
        </w:rPr>
      </w:pPr>
      <w:r>
        <w:rPr>
          <w:rFonts w:ascii="仿宋" w:hAnsi="仿宋" w:eastAsia="仿宋" w:cs="仿宋"/>
          <w:sz w:val="24"/>
          <w:highlight w:val="none"/>
        </w:rPr>
        <w:br w:type="page"/>
      </w:r>
    </w:p>
    <w:p w14:paraId="05EBE872">
      <w:pPr>
        <w:jc w:val="center"/>
        <w:rPr>
          <w:rFonts w:ascii="仿宋" w:hAnsi="仿宋" w:eastAsia="仿宋" w:cs="仿宋"/>
          <w:sz w:val="24"/>
          <w:highlight w:val="none"/>
        </w:rPr>
      </w:pPr>
    </w:p>
    <w:p w14:paraId="73C80800">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14:paraId="77DD2872">
      <w:pPr>
        <w:jc w:val="left"/>
        <w:rPr>
          <w:rFonts w:hint="eastAsia" w:ascii="仿宋" w:hAnsi="仿宋" w:eastAsia="仿宋" w:cs="仿宋"/>
          <w:sz w:val="24"/>
          <w:highlight w:val="none"/>
        </w:rPr>
      </w:pPr>
    </w:p>
    <w:tbl>
      <w:tblPr>
        <w:tblStyle w:val="4"/>
        <w:tblW w:w="13980" w:type="dxa"/>
        <w:tblInd w:w="96" w:type="dxa"/>
        <w:tblLayout w:type="fixed"/>
        <w:tblCellMar>
          <w:top w:w="0" w:type="dxa"/>
          <w:left w:w="108" w:type="dxa"/>
          <w:bottom w:w="0" w:type="dxa"/>
          <w:right w:w="108" w:type="dxa"/>
        </w:tblCellMar>
      </w:tblPr>
      <w:tblGrid>
        <w:gridCol w:w="1142"/>
        <w:gridCol w:w="237"/>
        <w:gridCol w:w="239"/>
        <w:gridCol w:w="64"/>
        <w:gridCol w:w="2222"/>
        <w:gridCol w:w="1627"/>
        <w:gridCol w:w="1680"/>
        <w:gridCol w:w="1760"/>
        <w:gridCol w:w="1653"/>
        <w:gridCol w:w="1654"/>
        <w:gridCol w:w="1702"/>
      </w:tblGrid>
      <w:tr w14:paraId="2C7D2778">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14:paraId="44886D8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14:paraId="5A9967D7">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14:paraId="57475CF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tcBorders>
              <w:top w:val="nil"/>
              <w:left w:val="nil"/>
              <w:bottom w:val="nil"/>
              <w:right w:val="nil"/>
            </w:tcBorders>
            <w:shd w:val="clear" w:color="auto" w:fill="auto"/>
            <w:noWrap/>
            <w:vAlign w:val="center"/>
          </w:tcPr>
          <w:p w14:paraId="64A0767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gridSpan w:val="2"/>
            <w:tcBorders>
              <w:top w:val="nil"/>
              <w:left w:val="nil"/>
              <w:bottom w:val="nil"/>
              <w:right w:val="nil"/>
            </w:tcBorders>
            <w:shd w:val="clear" w:color="auto" w:fill="auto"/>
            <w:noWrap/>
            <w:vAlign w:val="center"/>
          </w:tcPr>
          <w:p w14:paraId="2FFC368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2" w:type="dxa"/>
            <w:tcBorders>
              <w:top w:val="nil"/>
              <w:left w:val="nil"/>
              <w:bottom w:val="nil"/>
              <w:right w:val="nil"/>
            </w:tcBorders>
            <w:shd w:val="clear" w:color="auto" w:fill="auto"/>
            <w:noWrap/>
            <w:vAlign w:val="center"/>
          </w:tcPr>
          <w:p w14:paraId="6587695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7" w:type="dxa"/>
            <w:tcBorders>
              <w:top w:val="nil"/>
              <w:left w:val="nil"/>
              <w:bottom w:val="nil"/>
              <w:right w:val="nil"/>
            </w:tcBorders>
            <w:shd w:val="clear" w:color="auto" w:fill="auto"/>
            <w:noWrap/>
            <w:vAlign w:val="center"/>
          </w:tcPr>
          <w:p w14:paraId="28CD438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center"/>
          </w:tcPr>
          <w:p w14:paraId="0E18AF2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tcBorders>
              <w:top w:val="nil"/>
              <w:left w:val="nil"/>
              <w:bottom w:val="nil"/>
              <w:right w:val="nil"/>
            </w:tcBorders>
            <w:shd w:val="clear" w:color="auto" w:fill="auto"/>
            <w:noWrap/>
            <w:vAlign w:val="center"/>
          </w:tcPr>
          <w:p w14:paraId="1DF3992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center"/>
          </w:tcPr>
          <w:p w14:paraId="35020FA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noWrap/>
            <w:vAlign w:val="center"/>
          </w:tcPr>
          <w:p w14:paraId="5A085E7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noWrap/>
            <w:vAlign w:val="center"/>
          </w:tcPr>
          <w:p w14:paraId="3BE16F0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14:paraId="3B7B6D5B">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14:paraId="6D4A049B">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Theme="minorEastAsia" w:hAnsiTheme="minorEastAsia" w:eastAsiaTheme="minorEastAsia" w:cstheme="minorEastAsia"/>
                <w:b w:val="0"/>
                <w:bCs w:val="0"/>
                <w:sz w:val="21"/>
                <w:szCs w:val="21"/>
                <w:highlight w:val="none"/>
                <w:lang w:val="en-US" w:eastAsia="zh-CN"/>
              </w:rPr>
              <w:t>环江毛南族自治县糖业发展中心</w:t>
            </w:r>
          </w:p>
        </w:tc>
        <w:tc>
          <w:tcPr>
            <w:tcW w:w="1653" w:type="dxa"/>
            <w:tcBorders>
              <w:top w:val="nil"/>
              <w:left w:val="nil"/>
              <w:bottom w:val="single" w:color="auto" w:sz="4" w:space="0"/>
              <w:right w:val="nil"/>
            </w:tcBorders>
            <w:shd w:val="clear" w:color="auto" w:fill="auto"/>
            <w:noWrap/>
            <w:vAlign w:val="center"/>
          </w:tcPr>
          <w:p w14:paraId="1EBC03E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noWrap/>
            <w:vAlign w:val="center"/>
          </w:tcPr>
          <w:p w14:paraId="2B2A585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14:paraId="108A8D3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2378BFA3">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C1D3DF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BDE2D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C1F6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D9EA1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B6D6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83680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DF0D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对附属单位补助支出</w:t>
            </w:r>
          </w:p>
        </w:tc>
      </w:tr>
      <w:tr w14:paraId="460D2426">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B36E4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28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3B45F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E8180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A35E3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D4BF9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B0F05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9CC82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261A6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117F50E0">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575ED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43CAE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C6FC0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837D1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6A316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ECFA4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16BF1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C0DBA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0C5DADB2">
        <w:tblPrEx>
          <w:tblCellMar>
            <w:top w:w="0" w:type="dxa"/>
            <w:left w:w="108" w:type="dxa"/>
            <w:bottom w:w="0" w:type="dxa"/>
            <w:right w:w="108" w:type="dxa"/>
          </w:tblCellMar>
        </w:tblPrEx>
        <w:trPr>
          <w:trHeight w:val="383"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8C8B7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CB36C3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ED0C3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4342C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0DCB9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51E76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74DC3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59ED6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506CFCC5">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2F9AFE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14:paraId="187799D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637186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14:paraId="389342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1720FD0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14:paraId="07863F9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647D64E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14:paraId="75631180">
        <w:tblPrEx>
          <w:tblCellMar>
            <w:top w:w="0" w:type="dxa"/>
            <w:left w:w="108" w:type="dxa"/>
            <w:bottom w:w="0" w:type="dxa"/>
            <w:right w:w="108" w:type="dxa"/>
          </w:tblCellMar>
        </w:tblPrEx>
        <w:trPr>
          <w:trHeight w:val="63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2345C0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66D0F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209.19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8C724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199.70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BA070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9.50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0EF0E1">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C727AE">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788AE2">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0.00</w:t>
            </w:r>
          </w:p>
        </w:tc>
      </w:tr>
      <w:tr w14:paraId="15D2530C">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996513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9BE4E7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一般公共服务支出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06051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2.74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5749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2.74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D64B8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689F3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C0600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A357A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71B1908">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8D511C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A2FCB4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群众团体事务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10F8B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2.74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B4DF8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2.74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DC16C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EE1C7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CBFDB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5470B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A40C909">
        <w:tblPrEx>
          <w:tblCellMar>
            <w:top w:w="0" w:type="dxa"/>
            <w:left w:w="108" w:type="dxa"/>
            <w:bottom w:w="0" w:type="dxa"/>
            <w:right w:w="108" w:type="dxa"/>
          </w:tblCellMar>
        </w:tblPrEx>
        <w:trPr>
          <w:trHeight w:val="534"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D61919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DDF3DB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F2B3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2.74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9FDB2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2.74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5907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DEBF1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9E4AC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ADCB2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228FB64">
        <w:tblPrEx>
          <w:tblCellMar>
            <w:top w:w="0" w:type="dxa"/>
            <w:left w:w="108" w:type="dxa"/>
            <w:bottom w:w="0" w:type="dxa"/>
            <w:right w:w="108" w:type="dxa"/>
          </w:tblCellMar>
        </w:tblPrEx>
        <w:trPr>
          <w:trHeight w:val="264"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B34659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0DBA35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C80ED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18.08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56DA2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18.08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1D8B0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BD036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27568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EB20E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CF9CE19">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1FDE6A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AF6939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05CDE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18.08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D11DF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18.08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1F9C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240FD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E8B5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5710A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EEE5C32">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7216FF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1AF2F0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59065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18.08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D3509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18.08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6889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3BD3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09091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3446A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F4E6BB2">
        <w:tblPrEx>
          <w:tblCellMar>
            <w:top w:w="0" w:type="dxa"/>
            <w:left w:w="108" w:type="dxa"/>
            <w:bottom w:w="0" w:type="dxa"/>
            <w:right w:w="108" w:type="dxa"/>
          </w:tblCellMar>
        </w:tblPrEx>
        <w:trPr>
          <w:trHeight w:val="404"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E4932B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F4DD6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农林水支出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901EC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149.85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71A19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140.35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4CC8C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9.50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367DA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1F2B9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4FC2A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bl>
    <w:p w14:paraId="43E3E1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4"/>
        <w:tblW w:w="13980" w:type="dxa"/>
        <w:tblInd w:w="96" w:type="dxa"/>
        <w:tblLayout w:type="fixed"/>
        <w:tblCellMar>
          <w:top w:w="0" w:type="dxa"/>
          <w:left w:w="108" w:type="dxa"/>
          <w:bottom w:w="0" w:type="dxa"/>
          <w:right w:w="108" w:type="dxa"/>
        </w:tblCellMar>
      </w:tblPr>
      <w:tblGrid>
        <w:gridCol w:w="1618"/>
        <w:gridCol w:w="2286"/>
        <w:gridCol w:w="1627"/>
        <w:gridCol w:w="1680"/>
        <w:gridCol w:w="1760"/>
        <w:gridCol w:w="1653"/>
        <w:gridCol w:w="1654"/>
        <w:gridCol w:w="1702"/>
      </w:tblGrid>
      <w:tr w14:paraId="7E262CB8">
        <w:tblPrEx>
          <w:tblCellMar>
            <w:top w:w="0" w:type="dxa"/>
            <w:left w:w="108" w:type="dxa"/>
            <w:bottom w:w="0" w:type="dxa"/>
            <w:right w:w="108" w:type="dxa"/>
          </w:tblCellMar>
        </w:tblPrEx>
        <w:trPr>
          <w:trHeight w:val="322" w:hRule="atLeast"/>
        </w:trPr>
        <w:tc>
          <w:tcPr>
            <w:tcW w:w="16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D874D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21301</w:t>
            </w:r>
          </w:p>
        </w:tc>
        <w:tc>
          <w:tcPr>
            <w:tcW w:w="22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DC33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农业农村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B3BC94">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149.85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6AE1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140.35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399E8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9.50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F04D2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070E8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A84C2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BD05047">
        <w:tblPrEx>
          <w:tblCellMar>
            <w:top w:w="0" w:type="dxa"/>
            <w:left w:w="108" w:type="dxa"/>
            <w:bottom w:w="0" w:type="dxa"/>
            <w:right w:w="108" w:type="dxa"/>
          </w:tblCellMar>
        </w:tblPrEx>
        <w:trPr>
          <w:trHeight w:val="322" w:hRule="atLeast"/>
        </w:trPr>
        <w:tc>
          <w:tcPr>
            <w:tcW w:w="16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9AC97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2130104</w:t>
            </w:r>
          </w:p>
        </w:tc>
        <w:tc>
          <w:tcPr>
            <w:tcW w:w="22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96355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ADDF15">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149.85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517E6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140.35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E4EA4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9.50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0534C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58966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717FB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2155CB8">
        <w:tblPrEx>
          <w:tblCellMar>
            <w:top w:w="0" w:type="dxa"/>
            <w:left w:w="108" w:type="dxa"/>
            <w:bottom w:w="0" w:type="dxa"/>
            <w:right w:w="108" w:type="dxa"/>
          </w:tblCellMar>
        </w:tblPrEx>
        <w:trPr>
          <w:trHeight w:val="446" w:hRule="atLeast"/>
        </w:trPr>
        <w:tc>
          <w:tcPr>
            <w:tcW w:w="16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BBE30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w:t>
            </w:r>
          </w:p>
        </w:tc>
        <w:tc>
          <w:tcPr>
            <w:tcW w:w="22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2DEDF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住房保障支出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2D84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13.64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5FAD7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13.64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4BE5A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39002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3C564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E2086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2EAF04A">
        <w:tblPrEx>
          <w:tblCellMar>
            <w:top w:w="0" w:type="dxa"/>
            <w:left w:w="108" w:type="dxa"/>
            <w:bottom w:w="0" w:type="dxa"/>
            <w:right w:w="108" w:type="dxa"/>
          </w:tblCellMar>
        </w:tblPrEx>
        <w:trPr>
          <w:trHeight w:val="322" w:hRule="atLeast"/>
        </w:trPr>
        <w:tc>
          <w:tcPr>
            <w:tcW w:w="16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80BE7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w:t>
            </w:r>
          </w:p>
        </w:tc>
        <w:tc>
          <w:tcPr>
            <w:tcW w:w="22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4270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住房改革支出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01DEC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13.64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DFBB9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13.64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3482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D5242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10449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2AD2C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046B00A">
        <w:tblPrEx>
          <w:tblCellMar>
            <w:top w:w="0" w:type="dxa"/>
            <w:left w:w="108" w:type="dxa"/>
            <w:bottom w:w="0" w:type="dxa"/>
            <w:right w:w="108" w:type="dxa"/>
          </w:tblCellMar>
        </w:tblPrEx>
        <w:trPr>
          <w:trHeight w:val="322" w:hRule="atLeast"/>
        </w:trPr>
        <w:tc>
          <w:tcPr>
            <w:tcW w:w="16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6C442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2210201</w:t>
            </w:r>
          </w:p>
        </w:tc>
        <w:tc>
          <w:tcPr>
            <w:tcW w:w="22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24056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C6B4A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13.64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0E162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13.64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98576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FD35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A039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5A631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83A6A30">
        <w:tblPrEx>
          <w:tblCellMar>
            <w:top w:w="0" w:type="dxa"/>
            <w:left w:w="108" w:type="dxa"/>
            <w:bottom w:w="0" w:type="dxa"/>
            <w:right w:w="108" w:type="dxa"/>
          </w:tblCellMar>
        </w:tblPrEx>
        <w:trPr>
          <w:trHeight w:val="322" w:hRule="atLeast"/>
        </w:trPr>
        <w:tc>
          <w:tcPr>
            <w:tcW w:w="16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45640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w:t>
            </w:r>
          </w:p>
        </w:tc>
        <w:tc>
          <w:tcPr>
            <w:tcW w:w="22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6EB7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2AC39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24.88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B9782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24.88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C3F03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9EF28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FD90B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056D5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A6D3DA4">
        <w:tblPrEx>
          <w:tblCellMar>
            <w:top w:w="0" w:type="dxa"/>
            <w:left w:w="108" w:type="dxa"/>
            <w:bottom w:w="0" w:type="dxa"/>
            <w:right w:w="108" w:type="dxa"/>
          </w:tblCellMar>
        </w:tblPrEx>
        <w:trPr>
          <w:trHeight w:val="322" w:hRule="atLeast"/>
        </w:trPr>
        <w:tc>
          <w:tcPr>
            <w:tcW w:w="16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83590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22999</w:t>
            </w:r>
          </w:p>
        </w:tc>
        <w:tc>
          <w:tcPr>
            <w:tcW w:w="22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F1D3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17E38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24.88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31408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24.88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47FD5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5B885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64BCB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D2CE7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DAD7B64">
        <w:tblPrEx>
          <w:tblCellMar>
            <w:top w:w="0" w:type="dxa"/>
            <w:left w:w="108" w:type="dxa"/>
            <w:bottom w:w="0" w:type="dxa"/>
            <w:right w:w="108" w:type="dxa"/>
          </w:tblCellMar>
        </w:tblPrEx>
        <w:trPr>
          <w:trHeight w:val="322" w:hRule="atLeast"/>
        </w:trPr>
        <w:tc>
          <w:tcPr>
            <w:tcW w:w="16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B64AC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2299999</w:t>
            </w:r>
          </w:p>
        </w:tc>
        <w:tc>
          <w:tcPr>
            <w:tcW w:w="22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FD39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BC398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24.88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BEB81">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24.88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188AD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7438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9E0E0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82D93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6E2EEF6">
        <w:tblPrEx>
          <w:tblCellMar>
            <w:top w:w="0" w:type="dxa"/>
            <w:left w:w="108" w:type="dxa"/>
            <w:bottom w:w="0" w:type="dxa"/>
            <w:right w:w="108" w:type="dxa"/>
          </w:tblCellMar>
        </w:tblPrEx>
        <w:trPr>
          <w:trHeight w:val="322" w:hRule="atLeast"/>
        </w:trPr>
        <w:tc>
          <w:tcPr>
            <w:tcW w:w="16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FF50A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2FD2A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B960D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9A85B2">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color w:val="000000"/>
                <w:kern w:val="0"/>
                <w:sz w:val="22"/>
                <w:szCs w:val="22"/>
                <w:highlight w:val="none"/>
                <w:lang w:val="en-US" w:eastAsia="zh-CN" w:bidi="ar"/>
              </w:rPr>
            </w:pP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316C83">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B8A64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724754">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8210DA">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p>
        </w:tc>
      </w:tr>
      <w:tr w14:paraId="3BF17AFE">
        <w:tblPrEx>
          <w:tblCellMar>
            <w:top w:w="0" w:type="dxa"/>
            <w:left w:w="108" w:type="dxa"/>
            <w:bottom w:w="0" w:type="dxa"/>
            <w:right w:w="108" w:type="dxa"/>
          </w:tblCellMar>
        </w:tblPrEx>
        <w:trPr>
          <w:trHeight w:val="322" w:hRule="atLeast"/>
        </w:trPr>
        <w:tc>
          <w:tcPr>
            <w:tcW w:w="13980" w:type="dxa"/>
            <w:gridSpan w:val="8"/>
            <w:tcBorders>
              <w:top w:val="single" w:color="auto" w:sz="4" w:space="0"/>
              <w:left w:val="nil"/>
              <w:bottom w:val="nil"/>
              <w:right w:val="nil"/>
            </w:tcBorders>
            <w:shd w:val="clear" w:color="auto" w:fill="auto"/>
            <w:noWrap/>
            <w:vAlign w:val="center"/>
          </w:tcPr>
          <w:p w14:paraId="50E1040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14:paraId="773B8391">
      <w:pPr>
        <w:rPr>
          <w:rFonts w:ascii="仿宋" w:hAnsi="仿宋" w:eastAsia="仿宋" w:cs="仿宋"/>
          <w:sz w:val="24"/>
          <w:highlight w:val="none"/>
        </w:rPr>
      </w:pPr>
      <w:r>
        <w:rPr>
          <w:rFonts w:ascii="仿宋" w:hAnsi="仿宋" w:eastAsia="仿宋" w:cs="仿宋"/>
          <w:sz w:val="24"/>
          <w:highlight w:val="none"/>
        </w:rPr>
        <w:br w:type="page"/>
      </w:r>
    </w:p>
    <w:p w14:paraId="0B046CD9">
      <w:pPr>
        <w:jc w:val="center"/>
        <w:rPr>
          <w:rFonts w:ascii="仿宋" w:hAnsi="仿宋" w:eastAsia="仿宋" w:cs="仿宋"/>
          <w:sz w:val="24"/>
          <w:highlight w:val="none"/>
        </w:rPr>
      </w:pPr>
    </w:p>
    <w:p w14:paraId="664EE4A1">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14:paraId="0494A5C1">
      <w:pPr>
        <w:jc w:val="left"/>
        <w:rPr>
          <w:rFonts w:hint="eastAsia" w:ascii="仿宋" w:hAnsi="仿宋" w:eastAsia="仿宋" w:cs="仿宋"/>
          <w:sz w:val="24"/>
          <w:highlight w:val="none"/>
        </w:rPr>
      </w:pPr>
    </w:p>
    <w:tbl>
      <w:tblPr>
        <w:tblStyle w:val="4"/>
        <w:tblW w:w="4965" w:type="pct"/>
        <w:tblInd w:w="0" w:type="dxa"/>
        <w:tblLayout w:type="fixed"/>
        <w:tblCellMar>
          <w:top w:w="0" w:type="dxa"/>
          <w:left w:w="108" w:type="dxa"/>
          <w:bottom w:w="0" w:type="dxa"/>
          <w:right w:w="108" w:type="dxa"/>
        </w:tblCellMar>
      </w:tblPr>
      <w:tblGrid>
        <w:gridCol w:w="2214"/>
        <w:gridCol w:w="785"/>
        <w:gridCol w:w="1306"/>
        <w:gridCol w:w="2361"/>
        <w:gridCol w:w="853"/>
        <w:gridCol w:w="1087"/>
        <w:gridCol w:w="1772"/>
        <w:gridCol w:w="1802"/>
        <w:gridCol w:w="1895"/>
      </w:tblGrid>
      <w:tr w14:paraId="62219171">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14:paraId="488CB86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14:paraId="5DF87FB4">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14:paraId="223E075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8" w:type="pct"/>
            <w:tcBorders>
              <w:top w:val="nil"/>
              <w:left w:val="nil"/>
              <w:bottom w:val="nil"/>
              <w:right w:val="nil"/>
            </w:tcBorders>
            <w:shd w:val="clear" w:color="auto" w:fill="auto"/>
            <w:noWrap/>
            <w:vAlign w:val="bottom"/>
          </w:tcPr>
          <w:p w14:paraId="29A36B5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4" w:type="pct"/>
            <w:tcBorders>
              <w:top w:val="nil"/>
              <w:left w:val="nil"/>
              <w:bottom w:val="nil"/>
              <w:right w:val="nil"/>
            </w:tcBorders>
            <w:shd w:val="clear" w:color="auto" w:fill="auto"/>
            <w:noWrap/>
            <w:vAlign w:val="bottom"/>
          </w:tcPr>
          <w:p w14:paraId="7E22EEC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38" w:type="pct"/>
            <w:tcBorders>
              <w:top w:val="nil"/>
              <w:left w:val="nil"/>
              <w:bottom w:val="nil"/>
              <w:right w:val="nil"/>
            </w:tcBorders>
            <w:shd w:val="clear" w:color="auto" w:fill="auto"/>
            <w:noWrap/>
            <w:vAlign w:val="bottom"/>
          </w:tcPr>
          <w:p w14:paraId="0DA770E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2" w:type="pct"/>
            <w:tcBorders>
              <w:top w:val="nil"/>
              <w:left w:val="nil"/>
              <w:bottom w:val="nil"/>
              <w:right w:val="nil"/>
            </w:tcBorders>
            <w:shd w:val="clear" w:color="auto" w:fill="auto"/>
            <w:noWrap/>
            <w:vAlign w:val="bottom"/>
          </w:tcPr>
          <w:p w14:paraId="0DC5882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6" w:type="pct"/>
            <w:tcBorders>
              <w:top w:val="nil"/>
              <w:left w:val="nil"/>
              <w:bottom w:val="nil"/>
              <w:right w:val="nil"/>
            </w:tcBorders>
            <w:shd w:val="clear" w:color="auto" w:fill="auto"/>
            <w:noWrap/>
            <w:vAlign w:val="bottom"/>
          </w:tcPr>
          <w:p w14:paraId="0BBF9E3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29" w:type="pct"/>
            <w:tcBorders>
              <w:top w:val="nil"/>
              <w:left w:val="nil"/>
              <w:bottom w:val="nil"/>
              <w:right w:val="nil"/>
            </w:tcBorders>
            <w:shd w:val="clear" w:color="auto" w:fill="auto"/>
            <w:noWrap/>
            <w:vAlign w:val="bottom"/>
          </w:tcPr>
          <w:p w14:paraId="2D3920D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nil"/>
              <w:right w:val="nil"/>
            </w:tcBorders>
            <w:shd w:val="clear" w:color="auto" w:fill="auto"/>
            <w:noWrap/>
            <w:vAlign w:val="bottom"/>
          </w:tcPr>
          <w:p w14:paraId="6B8948D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nil"/>
              <w:right w:val="nil"/>
            </w:tcBorders>
            <w:shd w:val="clear" w:color="auto" w:fill="auto"/>
            <w:noWrap/>
            <w:vAlign w:val="bottom"/>
          </w:tcPr>
          <w:p w14:paraId="4821B42B">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14:paraId="03197432">
        <w:tblPrEx>
          <w:tblCellMar>
            <w:top w:w="0" w:type="dxa"/>
            <w:left w:w="108" w:type="dxa"/>
            <w:bottom w:w="0" w:type="dxa"/>
            <w:right w:w="108" w:type="dxa"/>
          </w:tblCellMar>
        </w:tblPrEx>
        <w:trPr>
          <w:trHeight w:val="260" w:hRule="atLeast"/>
        </w:trPr>
        <w:tc>
          <w:tcPr>
            <w:tcW w:w="3057" w:type="pct"/>
            <w:gridSpan w:val="6"/>
            <w:tcBorders>
              <w:top w:val="nil"/>
              <w:left w:val="nil"/>
              <w:bottom w:val="single" w:color="auto" w:sz="4" w:space="0"/>
              <w:right w:val="nil"/>
            </w:tcBorders>
            <w:shd w:val="clear" w:color="auto" w:fill="auto"/>
            <w:noWrap/>
            <w:vAlign w:val="bottom"/>
          </w:tcPr>
          <w:p w14:paraId="09D6E058">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Theme="minorEastAsia" w:hAnsiTheme="minorEastAsia" w:eastAsiaTheme="minorEastAsia" w:cstheme="minorEastAsia"/>
                <w:b w:val="0"/>
                <w:bCs w:val="0"/>
                <w:sz w:val="21"/>
                <w:szCs w:val="21"/>
                <w:highlight w:val="none"/>
                <w:lang w:val="en-US" w:eastAsia="zh-CN"/>
              </w:rPr>
              <w:t>环江毛南族自治县糖业发展中心</w:t>
            </w:r>
          </w:p>
        </w:tc>
        <w:tc>
          <w:tcPr>
            <w:tcW w:w="629" w:type="pct"/>
            <w:tcBorders>
              <w:top w:val="nil"/>
              <w:left w:val="nil"/>
              <w:bottom w:val="single" w:color="auto" w:sz="4" w:space="0"/>
              <w:right w:val="nil"/>
            </w:tcBorders>
            <w:shd w:val="clear" w:color="auto" w:fill="auto"/>
            <w:noWrap/>
            <w:vAlign w:val="bottom"/>
          </w:tcPr>
          <w:p w14:paraId="51D716E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single" w:color="auto" w:sz="4" w:space="0"/>
              <w:right w:val="nil"/>
            </w:tcBorders>
            <w:shd w:val="clear" w:color="auto" w:fill="auto"/>
            <w:noWrap/>
            <w:vAlign w:val="bottom"/>
          </w:tcPr>
          <w:p w14:paraId="6FCE23E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single" w:color="auto" w:sz="4" w:space="0"/>
              <w:right w:val="nil"/>
            </w:tcBorders>
            <w:shd w:val="clear" w:color="auto" w:fill="auto"/>
            <w:noWrap/>
            <w:vAlign w:val="bottom"/>
          </w:tcPr>
          <w:p w14:paraId="0293E8AB">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43A94331">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E4AAD0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3892976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     出</w:t>
            </w:r>
          </w:p>
        </w:tc>
      </w:tr>
      <w:tr w14:paraId="33EB9AE6">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CD299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CB6D5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D05E7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4401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21297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53E02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708D7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0DCAC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6E9E7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国有资本经营预算财政拨款</w:t>
            </w:r>
          </w:p>
        </w:tc>
      </w:tr>
      <w:tr w14:paraId="29DA66C9">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A1DF1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2702D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87585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1A8E9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B2CD2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16454E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B433C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3FD23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9CAF9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419E3930">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C13E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2FE02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E6963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49D8C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0FB7D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6D537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506D8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4C13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E539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r>
      <w:tr w14:paraId="574ED6AE">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73BEF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B6907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C4737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209.19</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EE7E5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CC057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A0606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2.74</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991A8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2.74</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1ABE5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69AD9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8434C46">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F9202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二、政府性基金预算财政拨款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623F2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DC4B1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7BE07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E86D1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6D6DF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5A092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000D4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AE858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1CB7585">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A5A91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三、国有资本经营预算财政拨款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BFF9E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5F966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E8E0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46CA8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09B35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223C9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479A0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1C903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F9F5B5E">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087D1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72CAF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36E1B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A7D53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E4D6F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8F2BE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60003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6CADF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B5E78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350C648">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CEE76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27B65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8D481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BFBCB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88862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885BA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3D838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E1814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30951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A67E291">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020E9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18BEB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72201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ECACA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225F4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78535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90106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3911A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C040F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5873C30">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61DFF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0C185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E9B3B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AD85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2D54F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C4C77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B13C6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9E8ED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59390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A820B04">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D4333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C531F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A1B64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22D6B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1DECC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F9D9D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18.08</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D5518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18.08</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7F3F3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F025C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D120E90">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653EA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2B521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CAB2B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74C9E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8CA21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76773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7DD93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EE8E4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C82D0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1A9C627">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4282B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109BE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608A4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033F5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B4526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A466C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93748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0E835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17A74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FA6EDB1">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D3668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38F96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2AB0B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F9E5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4C01C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907B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5985D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C0FEB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2EB73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840140F">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D7F63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104E3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59B22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1091E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B0EFA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20BB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149.85</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32A30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149.85</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01D15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11FC9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27743C6">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B6993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5D302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A5289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8E5B9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9EC7E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AF157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F166F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9A460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3C958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7723A47">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F165C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C4C0F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03902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0812F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9C362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5BDA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B237F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18B39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E99E8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5C837E6">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694D3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7FE11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4EB78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0659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E439B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049B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78BC4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A2BCA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67E97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4AF83BD">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7E918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21897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D49FC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75231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5B274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0DF7E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CA00C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656D0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56BDD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A876B69">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B0F94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41815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350DF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D9868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8EC2F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61E68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498CB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03F86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28CD8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69F32BA">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9C238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DFB6C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8501B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2BAD5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88696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495A0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8C58A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DE2FA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83B76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6C05A10">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341E3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4E185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9298E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CC891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09B92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DDC68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13.64</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2B060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13.64</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DF8F1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FF611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BD05E8E">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52566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5EB24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0D9EC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50E58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F37F1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1519C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D4C4D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46B20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4A044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E60EA58">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77B8C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47DF4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F2053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0C3F1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D7833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88AA8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C4775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D3E6F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047CA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4E20B22">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8E414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81517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0284C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CC65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303CF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5B6D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F8C5A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3AC79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E89F4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C2D717D">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F945E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D8399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6E129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2E2A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6375C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D2EB4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24.88</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DD167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24.88</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5CE40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7A013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655C7F9">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8150F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BAB8A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54DB3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69B71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5F83D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A5D3C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5A7C8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697DB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1F0E8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F4614E6">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83D30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669C9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E2169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BB943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6E29D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D9331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3FC13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F2F1D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95356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6FA2304">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EDA94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747DA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C812C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A82AE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1DD2D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BA140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0149D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CB016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A181E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1B85BD5">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BBBD7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本年收入合计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32EF5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097C4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209.19</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13756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本年支出合计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62B78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42E2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209.19</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F821E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209.19</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F0F6E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5A1BA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235595A">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A9D27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年初财政拨款结转和结余</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FF1DC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189D7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C39FC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年末财政拨款结转和结余</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53B35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517F4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00BE3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B2B17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7341F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FD00A8C">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810E9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一般公共预算财政拨款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66685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7E724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F1810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FC53A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51406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E9942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3D68A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63A83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03DDCA3">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FA136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政府性基金预算财政拨款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0B51F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214B9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D873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17CE4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411C6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76B9F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82AD3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307AA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7D7CEEB">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1903E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国有资本经营预算财政拨款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61019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90214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46CFA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2A78B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E8A0E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4AEF8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80D52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3C76F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114D9C4">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C9AD4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6856E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50258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209.19</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E3080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总计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C5707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EC279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209.19</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CA33F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209.19</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51E98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AB53A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A0DCB75">
        <w:tblPrEx>
          <w:tblCellMar>
            <w:top w:w="0" w:type="dxa"/>
            <w:left w:w="108" w:type="dxa"/>
            <w:bottom w:w="0" w:type="dxa"/>
            <w:right w:w="108" w:type="dxa"/>
          </w:tblCellMar>
        </w:tblPrEx>
        <w:trPr>
          <w:trHeight w:val="268" w:hRule="atLeast"/>
        </w:trPr>
        <w:tc>
          <w:tcPr>
            <w:tcW w:w="4327" w:type="pct"/>
            <w:gridSpan w:val="8"/>
            <w:tcBorders>
              <w:top w:val="single" w:color="auto" w:sz="4" w:space="0"/>
              <w:left w:val="nil"/>
              <w:bottom w:val="nil"/>
              <w:right w:val="nil"/>
            </w:tcBorders>
            <w:shd w:val="clear" w:color="auto" w:fill="auto"/>
            <w:noWrap/>
            <w:vAlign w:val="center"/>
          </w:tcPr>
          <w:p w14:paraId="4B4F4C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14:paraId="1D119D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14:paraId="6C109C4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c>
          <w:tcPr>
            <w:tcW w:w="672" w:type="pct"/>
            <w:tcBorders>
              <w:top w:val="single" w:color="auto" w:sz="4" w:space="0"/>
              <w:left w:val="nil"/>
              <w:bottom w:val="nil"/>
              <w:right w:val="nil"/>
            </w:tcBorders>
            <w:shd w:val="clear" w:color="auto" w:fill="auto"/>
            <w:noWrap/>
            <w:vAlign w:val="center"/>
          </w:tcPr>
          <w:p w14:paraId="5423B5B6">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14:paraId="53B32F40">
      <w:pPr>
        <w:jc w:val="left"/>
        <w:rPr>
          <w:rFonts w:ascii="仿宋" w:hAnsi="仿宋" w:eastAsia="仿宋" w:cs="仿宋"/>
          <w:sz w:val="24"/>
          <w:highlight w:val="none"/>
        </w:rPr>
      </w:pPr>
    </w:p>
    <w:p w14:paraId="78C70F8B">
      <w:pPr>
        <w:rPr>
          <w:rFonts w:ascii="仿宋" w:hAnsi="仿宋" w:eastAsia="仿宋" w:cs="仿宋"/>
          <w:sz w:val="24"/>
          <w:highlight w:val="none"/>
        </w:rPr>
      </w:pPr>
      <w:r>
        <w:rPr>
          <w:rFonts w:ascii="仿宋" w:hAnsi="仿宋" w:eastAsia="仿宋" w:cs="仿宋"/>
          <w:sz w:val="24"/>
          <w:highlight w:val="none"/>
        </w:rPr>
        <w:br w:type="page"/>
      </w:r>
    </w:p>
    <w:p w14:paraId="521F4188">
      <w:pPr>
        <w:jc w:val="left"/>
        <w:rPr>
          <w:rFonts w:ascii="仿宋" w:hAnsi="仿宋" w:eastAsia="仿宋" w:cs="仿宋"/>
          <w:sz w:val="24"/>
          <w:highlight w:val="none"/>
        </w:rPr>
      </w:pPr>
    </w:p>
    <w:p w14:paraId="1C071FA1">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14:paraId="16C9C030">
      <w:pPr>
        <w:jc w:val="left"/>
        <w:rPr>
          <w:rFonts w:hint="eastAsia" w:ascii="仿宋" w:hAnsi="仿宋" w:eastAsia="仿宋" w:cs="仿宋"/>
          <w:sz w:val="24"/>
          <w:highlight w:val="none"/>
        </w:rPr>
      </w:pPr>
    </w:p>
    <w:tbl>
      <w:tblPr>
        <w:tblStyle w:val="4"/>
        <w:tblW w:w="13980" w:type="dxa"/>
        <w:tblInd w:w="96" w:type="dxa"/>
        <w:tblLayout w:type="fixed"/>
        <w:tblCellMar>
          <w:top w:w="0" w:type="dxa"/>
          <w:left w:w="108" w:type="dxa"/>
          <w:bottom w:w="0" w:type="dxa"/>
          <w:right w:w="108" w:type="dxa"/>
        </w:tblCellMar>
      </w:tblPr>
      <w:tblGrid>
        <w:gridCol w:w="2011"/>
        <w:gridCol w:w="272"/>
        <w:gridCol w:w="238"/>
        <w:gridCol w:w="238"/>
        <w:gridCol w:w="2052"/>
        <w:gridCol w:w="3173"/>
        <w:gridCol w:w="3107"/>
        <w:gridCol w:w="2889"/>
      </w:tblGrid>
      <w:tr w14:paraId="6D8B8341">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14:paraId="218044B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14:paraId="5EBCA1A9">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14:paraId="568663C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14:paraId="664B043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14:paraId="0A4CF6F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noWrap/>
            <w:vAlign w:val="bottom"/>
          </w:tcPr>
          <w:p w14:paraId="4CFEBC2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73" w:type="dxa"/>
            <w:tcBorders>
              <w:top w:val="nil"/>
              <w:left w:val="nil"/>
              <w:bottom w:val="nil"/>
              <w:right w:val="nil"/>
            </w:tcBorders>
            <w:shd w:val="clear" w:color="auto" w:fill="auto"/>
            <w:noWrap/>
            <w:vAlign w:val="bottom"/>
          </w:tcPr>
          <w:p w14:paraId="13AD6B6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tcBorders>
              <w:top w:val="nil"/>
              <w:left w:val="nil"/>
              <w:bottom w:val="nil"/>
              <w:right w:val="nil"/>
            </w:tcBorders>
            <w:shd w:val="clear" w:color="auto" w:fill="auto"/>
            <w:noWrap/>
            <w:vAlign w:val="bottom"/>
          </w:tcPr>
          <w:p w14:paraId="286AD17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14:paraId="31E5CF76">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14:paraId="2E459E3F">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14:paraId="45165B4B">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Theme="minorEastAsia" w:hAnsiTheme="minorEastAsia" w:eastAsiaTheme="minorEastAsia" w:cstheme="minorEastAsia"/>
                <w:b w:val="0"/>
                <w:bCs w:val="0"/>
                <w:sz w:val="21"/>
                <w:szCs w:val="21"/>
                <w:highlight w:val="none"/>
                <w:lang w:val="en-US" w:eastAsia="zh-CN"/>
              </w:rPr>
              <w:t>环江毛南族自治县糖业发展中心</w:t>
            </w:r>
          </w:p>
        </w:tc>
        <w:tc>
          <w:tcPr>
            <w:tcW w:w="3107" w:type="dxa"/>
            <w:tcBorders>
              <w:top w:val="nil"/>
              <w:left w:val="nil"/>
              <w:bottom w:val="single" w:color="auto" w:sz="4" w:space="0"/>
              <w:right w:val="nil"/>
            </w:tcBorders>
            <w:shd w:val="clear" w:color="auto" w:fill="auto"/>
            <w:noWrap/>
            <w:vAlign w:val="bottom"/>
          </w:tcPr>
          <w:p w14:paraId="610B760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14:paraId="6B09D771">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2DB1615C">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51610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0E08A1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14:paraId="25C5CB9F">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CAD07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FC8F78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1748F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67DD7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7F23C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14:paraId="38E2AF9E">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50A94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579314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69566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B58F8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EF46B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242022F6">
        <w:tblPrEx>
          <w:tblCellMar>
            <w:top w:w="0" w:type="dxa"/>
            <w:left w:w="108" w:type="dxa"/>
            <w:bottom w:w="0" w:type="dxa"/>
            <w:right w:w="108" w:type="dxa"/>
          </w:tblCellMar>
        </w:tblPrEx>
        <w:trPr>
          <w:trHeight w:val="353"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B8C3F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C57E71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8276B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2FC9C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3173C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74A34FA1">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0BEE47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8C52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9D38D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EF43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14:paraId="0539A167">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BDA6FA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2B3AA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209.19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2CB74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rPr>
            </w:pPr>
            <w:r>
              <w:rPr>
                <w:rFonts w:hint="eastAsia" w:ascii="宋体" w:hAnsi="宋体" w:eastAsia="宋体" w:cs="宋体"/>
                <w:b/>
                <w:bCs/>
                <w:color w:val="000000"/>
                <w:sz w:val="22"/>
                <w:szCs w:val="22"/>
                <w:highlight w:val="none"/>
                <w:lang w:val="en-US" w:eastAsia="zh-CN"/>
              </w:rPr>
              <w:t>199.70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F3293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9.5</w:t>
            </w:r>
          </w:p>
        </w:tc>
      </w:tr>
      <w:tr w14:paraId="5C56C59F">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E8856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5C5185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6197B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2.74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765CB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2.74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AE9CE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4ACBE7E1">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7449B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20129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8FEEA2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群众团体事务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C6362">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2.74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1B6BD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2.74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4F837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2BC4FA75">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37306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A9E108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C4A95B">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2.74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8CB01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2.74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36F87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6A77D7EB">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1CD07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654E5C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DCEAC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18.08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1C975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18.08</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CFF79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253DD6D4">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65F72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DB10D2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A972C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18.08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378F9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18.08</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5FE17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1631F919">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04F31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37E2CC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E76A6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18.08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9AE7A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18.08</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DF72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640A3EB2">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D860B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213</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1B61CE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农林水支出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B9526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149.85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2421B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140.35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3724C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b/>
                <w:bCs/>
                <w:color w:val="000000"/>
                <w:sz w:val="22"/>
                <w:szCs w:val="22"/>
                <w:highlight w:val="none"/>
                <w:lang w:val="en-US" w:eastAsia="zh-CN"/>
              </w:rPr>
              <w:t>9.5</w:t>
            </w:r>
          </w:p>
        </w:tc>
      </w:tr>
      <w:tr w14:paraId="43E6D362">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39284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21301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3EA902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农业农村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F6B4D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149.85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446F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140.35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6AA36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b/>
                <w:bCs/>
                <w:color w:val="000000"/>
                <w:sz w:val="22"/>
                <w:szCs w:val="22"/>
                <w:highlight w:val="none"/>
                <w:lang w:val="en-US" w:eastAsia="zh-CN"/>
              </w:rPr>
              <w:t>9.5</w:t>
            </w:r>
          </w:p>
        </w:tc>
      </w:tr>
      <w:tr w14:paraId="52B2DF42">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F83D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2130104</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5EB3D9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E1C75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149.85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5F09E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140.35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831A0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b/>
                <w:bCs/>
                <w:color w:val="000000"/>
                <w:sz w:val="22"/>
                <w:szCs w:val="22"/>
                <w:highlight w:val="none"/>
                <w:lang w:val="en-US" w:eastAsia="zh-CN"/>
              </w:rPr>
              <w:t>9.5</w:t>
            </w:r>
          </w:p>
        </w:tc>
      </w:tr>
      <w:tr w14:paraId="0D2ABA47">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C3B77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D27739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166BA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13.64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F80B4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13.64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6F696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183DAEB9">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8A5E5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22102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AE69AC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CDFFE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13.64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24BC1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13.64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CBA8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712C7D2F">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C27D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2210201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CF944E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A93DA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13.64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605F9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13.64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1B6B5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27D78060">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B2F7F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BB7A45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D70AD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24.88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72A5C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24.88</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B834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71347172">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CF233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4566BA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E8308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24.88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BC2E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24.88</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3B905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1C17EC11">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67FD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2299999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56013D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03198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24.88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072F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24.88</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4DB3E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241D5C4C">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2CFB91">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B2A1B75">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F7C8A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80EB3F">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9065B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433AE19F">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14:paraId="3A3EE95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tc>
      </w:tr>
    </w:tbl>
    <w:p w14:paraId="67A401E9">
      <w:pPr>
        <w:rPr>
          <w:rFonts w:ascii="仿宋" w:hAnsi="仿宋" w:eastAsia="仿宋" w:cs="仿宋"/>
          <w:sz w:val="24"/>
          <w:highlight w:val="none"/>
        </w:rPr>
      </w:pPr>
      <w:r>
        <w:rPr>
          <w:rFonts w:ascii="仿宋" w:hAnsi="仿宋" w:eastAsia="仿宋" w:cs="仿宋"/>
          <w:sz w:val="24"/>
          <w:highlight w:val="none"/>
        </w:rPr>
        <w:br w:type="page"/>
      </w:r>
    </w:p>
    <w:p w14:paraId="34FD27A1">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14:paraId="2205BE9E">
      <w:pPr>
        <w:jc w:val="left"/>
        <w:rPr>
          <w:rFonts w:hint="eastAsia" w:ascii="仿宋" w:hAnsi="仿宋" w:eastAsia="仿宋" w:cs="仿宋"/>
          <w:sz w:val="24"/>
          <w:highlight w:val="none"/>
        </w:rPr>
      </w:pPr>
    </w:p>
    <w:tbl>
      <w:tblPr>
        <w:tblStyle w:val="4"/>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14:paraId="17F7301A">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14:paraId="577C92BA">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14:paraId="3032C924">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14:paraId="26DC169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14:paraId="4F33B76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14:paraId="2505AAB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14:paraId="3E60239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14:paraId="02E082D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14:paraId="413AEEA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14:paraId="0FC3B19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14:paraId="40ED65D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14:paraId="59C7D496">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14:paraId="3AF388A6">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14:paraId="795CBB4F">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Theme="minorEastAsia" w:hAnsiTheme="minorEastAsia" w:eastAsiaTheme="minorEastAsia" w:cstheme="minorEastAsia"/>
                <w:b w:val="0"/>
                <w:bCs w:val="0"/>
                <w:sz w:val="21"/>
                <w:szCs w:val="21"/>
                <w:highlight w:val="none"/>
                <w:lang w:val="en-US" w:eastAsia="zh-CN"/>
              </w:rPr>
              <w:t>环江毛南族自治县糖业发展中心</w:t>
            </w:r>
          </w:p>
        </w:tc>
        <w:tc>
          <w:tcPr>
            <w:tcW w:w="1160" w:type="dxa"/>
            <w:tcBorders>
              <w:top w:val="nil"/>
              <w:left w:val="nil"/>
              <w:bottom w:val="single" w:color="auto" w:sz="4" w:space="0"/>
              <w:right w:val="nil"/>
            </w:tcBorders>
            <w:shd w:val="clear" w:color="auto" w:fill="auto"/>
            <w:noWrap/>
            <w:vAlign w:val="bottom"/>
          </w:tcPr>
          <w:p w14:paraId="140C0FE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14:paraId="0C421DC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14:paraId="4EBC7BC4">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6AAC5BBC">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C7B2EB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C46A79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14:paraId="1E97D394">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14:paraId="022C0A0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14:paraId="71126D8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8FF61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9F374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74A5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25880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6461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82B8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E2E7F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E5BD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14:paraId="1E046603">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14:paraId="391E1F4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884DE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8345C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3D4B8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67D8E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279DA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B1854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41AE8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51EA4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4728C237">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FDCB3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8578F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1" w:name="OLE_LINK3"/>
            <w:bookmarkStart w:id="2" w:name="OLE_LINK4"/>
            <w:r>
              <w:rPr>
                <w:rFonts w:hint="eastAsia" w:ascii="宋体" w:hAnsi="宋体" w:eastAsia="宋体" w:cs="宋体"/>
                <w:i w:val="0"/>
                <w:iCs w:val="0"/>
                <w:color w:val="000000"/>
                <w:kern w:val="0"/>
                <w:sz w:val="22"/>
                <w:szCs w:val="22"/>
                <w:u w:val="none"/>
                <w:lang w:val="en-US" w:eastAsia="zh-CN" w:bidi="ar"/>
              </w:rPr>
              <w:t>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907D34">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169.59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FB74B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15D63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0CBAF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13.73</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CBB2E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3BEF4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B15F1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44457082">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B371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AFB4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2506D1">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56.23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723F8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A4D0C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7BCFF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1.94</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46550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F525A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C2B221">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570F9206">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BA0E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057C0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CDA7A0">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16.10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4237F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D5B32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475CD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3D672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3B11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6C9B1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2028BC5D">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74453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3D3B0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18284E">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52.90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2D127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59522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B6F85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FE3A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7DE01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F70F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61A7FB1C">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2557F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BC186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91C9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8B813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F31B0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03354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61A70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A5CB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C2D94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26D67ED5">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206FB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F3FE6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8AE5D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6.74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A1848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1152A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9C3C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0.11</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024C3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6A9D5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A49BEF">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4E9728D9">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00ACF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5329B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7032E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18.08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1811E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8F612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FF531F">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0.20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E27B6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1EA4D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D1A66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5615A040">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69B43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537E6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0B095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34D93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CD9A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40C2F">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1.02</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1C9B7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EA9B4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FF5549">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1A21B9DD">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D8F6A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A8EA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4FB447">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5.67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4D4EE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7988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A4FD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AD415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4BCA4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7F6348">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7FE1CAE1">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42B2B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209A6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AD0CF">
            <w:pPr>
              <w:jc w:val="right"/>
              <w:rPr>
                <w:rFonts w:hint="default" w:ascii="宋体" w:hAnsi="宋体" w:eastAsia="宋体" w:cs="宋体"/>
                <w:color w:val="000000"/>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AC153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01D90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7C030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08FE1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B2058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AE827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75E78E51">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7DBFA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B42D8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91CADC">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0.21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5F088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9CB2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161F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0.81</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5439D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E9273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0954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65B8439F">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A4288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7C487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68B68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13.64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27E75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3DDE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C9E85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64581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6F023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9C777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3C1419CE">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FE84D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B9EE2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D84D0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5AC75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8BF26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15248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7BCF1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249AB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C04BF8">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4FF90BF1">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D7BE1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B627A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A035A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0.02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17E69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91B94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E8B07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808C6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E4AB3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08EDC9">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0F632E02">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FF89A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04C39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9B2BC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13.68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1203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B572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59DBD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D765D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A864E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1F97C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552A476B">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8F97B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B2A2E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C107F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7A633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4972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7B034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A2EFB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E7F31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DF8B8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758D70F2">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3D75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4B78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13C3F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5AA0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C2391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7D7E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CB16C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0FA2C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CD171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375C2D09">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98987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785FA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F210E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73761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3EC55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6FFD4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E9616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3E30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7BAB6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09F9490A">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9F1DD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86FE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C39EA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65B33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6CA5C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E7924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DBB07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5649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192B2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180D7233">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8418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8E7A0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7C45F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16.38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3C0E4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13385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6849F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D78E7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B6F6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1A13C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1090460E">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50656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F027F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EB418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F71F6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B8C63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08AAE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50860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33F5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5CB5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6209BDDC">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48B6E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35B38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1464F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5F5C7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EF611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6C4E4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1E81A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8673B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D927F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289B5224">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8D442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17758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7ABE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0A62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2CBE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B5435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2.74</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840D2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1260E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091C65">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1F3E5B42">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91809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FEE99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882D8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BADAB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12282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7E318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C274F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8062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9D398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406E747C">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36247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E85C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74A8E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E8B04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D0672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FBAED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AE670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BDFCE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8C185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2C589EDE">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3B1AA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6F509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F1426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CAE41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7E88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211F2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6.90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E8B1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2A2B9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DF65E5">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07E50009">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F17B8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2072D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474E6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4D098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9667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3FAFE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887E5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F66F1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6D682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14:paraId="3816F8DF">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EFD8F">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608434">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3F3A9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6AE92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31110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8D8E4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E0F9F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EDC8E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42D329">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bookmarkEnd w:id="1"/>
      <w:bookmarkEnd w:id="2"/>
      <w:tr w14:paraId="6DD1D6C9">
        <w:tblPrEx>
          <w:tblCellMar>
            <w:top w:w="0" w:type="dxa"/>
            <w:left w:w="108" w:type="dxa"/>
            <w:bottom w:w="0" w:type="dxa"/>
            <w:right w:w="108" w:type="dxa"/>
          </w:tblCellMar>
        </w:tblPrEx>
        <w:trPr>
          <w:trHeight w:val="624" w:hRule="atLeast"/>
        </w:trPr>
        <w:tc>
          <w:tcPr>
            <w:tcW w:w="34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7CF4A9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B492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185.96</w:t>
            </w:r>
          </w:p>
        </w:tc>
        <w:tc>
          <w:tcPr>
            <w:tcW w:w="36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80C0A1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lang w:val="en-US" w:eastAsia="zh-CN"/>
              </w:rPr>
            </w:pPr>
            <w:r>
              <w:rPr>
                <w:rFonts w:hint="default" w:ascii="宋体" w:hAnsi="宋体" w:eastAsia="宋体" w:cs="宋体"/>
                <w:color w:val="000000"/>
                <w:kern w:val="0"/>
                <w:sz w:val="22"/>
                <w:szCs w:val="22"/>
                <w:highlight w:val="none"/>
                <w:lang w:bidi="ar"/>
              </w:rPr>
              <w:t>公用经费合计</w:t>
            </w:r>
          </w:p>
        </w:tc>
        <w:tc>
          <w:tcPr>
            <w:tcW w:w="578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868C35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13.73</w:t>
            </w:r>
          </w:p>
        </w:tc>
      </w:tr>
      <w:tr w14:paraId="4BDC5561">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14:paraId="2EC5AEE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14:paraId="4885211C">
      <w:pPr>
        <w:jc w:val="left"/>
        <w:rPr>
          <w:rFonts w:ascii="仿宋" w:hAnsi="仿宋" w:eastAsia="仿宋" w:cs="仿宋"/>
          <w:sz w:val="24"/>
          <w:highlight w:val="none"/>
        </w:rPr>
      </w:pPr>
    </w:p>
    <w:p w14:paraId="79CF0703">
      <w:pPr>
        <w:rPr>
          <w:rFonts w:ascii="仿宋" w:hAnsi="仿宋" w:eastAsia="仿宋" w:cs="仿宋"/>
          <w:sz w:val="24"/>
          <w:highlight w:val="none"/>
        </w:rPr>
      </w:pPr>
      <w:r>
        <w:rPr>
          <w:rFonts w:ascii="仿宋" w:hAnsi="仿宋" w:eastAsia="仿宋" w:cs="仿宋"/>
          <w:sz w:val="24"/>
          <w:highlight w:val="none"/>
        </w:rPr>
        <w:br w:type="page"/>
      </w:r>
    </w:p>
    <w:p w14:paraId="7D31CFCF">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14:paraId="2F78AA2A">
      <w:pPr>
        <w:jc w:val="left"/>
        <w:rPr>
          <w:rFonts w:hint="eastAsia" w:ascii="仿宋" w:hAnsi="仿宋" w:eastAsia="仿宋" w:cs="仿宋"/>
          <w:sz w:val="24"/>
          <w:highlight w:val="none"/>
        </w:rPr>
      </w:pPr>
    </w:p>
    <w:tbl>
      <w:tblPr>
        <w:tblStyle w:val="4"/>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14:paraId="29BE9BB4">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14:paraId="48286913">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14:paraId="5C554EA4">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14:paraId="344D66A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14:paraId="13CF6B0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14:paraId="71FCF11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14:paraId="0485394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14:paraId="2FB3C24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14:paraId="21BEA23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14:paraId="5244C03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14:paraId="2C6802C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14:paraId="28DD63D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14:paraId="209F592D">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14:paraId="0B7E0CAE">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14:paraId="477ED7F5">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Theme="minorEastAsia" w:hAnsiTheme="minorEastAsia" w:eastAsiaTheme="minorEastAsia" w:cstheme="minorEastAsia"/>
                <w:b w:val="0"/>
                <w:bCs w:val="0"/>
                <w:sz w:val="21"/>
                <w:szCs w:val="21"/>
                <w:highlight w:val="none"/>
                <w:lang w:val="en-US" w:eastAsia="zh-CN"/>
              </w:rPr>
              <w:t>环江毛南族自治县糖业发展中心</w:t>
            </w:r>
          </w:p>
        </w:tc>
        <w:tc>
          <w:tcPr>
            <w:tcW w:w="1680" w:type="dxa"/>
            <w:tcBorders>
              <w:top w:val="nil"/>
              <w:left w:val="nil"/>
              <w:bottom w:val="single" w:color="auto" w:sz="4" w:space="0"/>
              <w:right w:val="nil"/>
            </w:tcBorders>
            <w:shd w:val="clear" w:color="auto" w:fill="auto"/>
            <w:noWrap/>
            <w:vAlign w:val="bottom"/>
          </w:tcPr>
          <w:p w14:paraId="302F7B6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14:paraId="05F4A95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14:paraId="2827C44A">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335865F3">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7A22F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E0345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E190E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9DB70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8A125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14:paraId="6ABF5E48">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CCBDB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6E3CD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399AF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31C63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E8F31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B862A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75DA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93285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3C20EE71">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E0B6B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06435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A3502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C45FF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A386C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9021D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0E3FA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F3ED4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0C23F2D8">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EA889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3898E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76F53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52FD4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4882B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216A2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F85EA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A7838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771B22AC">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B9690B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252DB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D152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B898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92B9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1B6B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4E640F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14:paraId="79932B28">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75558F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2D2D6">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0032A3">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49760">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F3D9CE">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D57109">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5136360">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14:paraId="02DD5707">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93B7D68">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0EF839E">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8D6CD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3B95C9">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C7F955">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699AE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DCFE85">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732283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70ED6E8B">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DBA7ADA">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6BFF051">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C904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D0C46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C9A405">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C145A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F2CEC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45B5B8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5643F95A">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1900811">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AE3B584">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182CC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6EF28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C239B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26A08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04E0F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2609D1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602C0E38">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6A788D94">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nil"/>
              <w:bottom w:val="single" w:color="000000" w:sz="4" w:space="0"/>
              <w:right w:val="single" w:color="000000" w:sz="4" w:space="0"/>
            </w:tcBorders>
            <w:shd w:val="clear" w:color="auto" w:fill="auto"/>
            <w:noWrap/>
            <w:vAlign w:val="center"/>
          </w:tcPr>
          <w:p w14:paraId="333ED5B6">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nil"/>
              <w:bottom w:val="single" w:color="000000" w:sz="4" w:space="0"/>
              <w:right w:val="single" w:color="000000" w:sz="4" w:space="0"/>
            </w:tcBorders>
            <w:shd w:val="clear" w:color="auto" w:fill="auto"/>
            <w:noWrap/>
            <w:vAlign w:val="center"/>
          </w:tcPr>
          <w:p w14:paraId="0E4A2A2F">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nil"/>
              <w:bottom w:val="single" w:color="000000" w:sz="4" w:space="0"/>
              <w:right w:val="single" w:color="000000" w:sz="4" w:space="0"/>
            </w:tcBorders>
            <w:shd w:val="clear" w:color="auto" w:fill="auto"/>
            <w:noWrap/>
            <w:vAlign w:val="center"/>
          </w:tcPr>
          <w:p w14:paraId="3651C4F1">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nil"/>
              <w:bottom w:val="single" w:color="000000" w:sz="4" w:space="0"/>
              <w:right w:val="single" w:color="000000" w:sz="4" w:space="0"/>
            </w:tcBorders>
            <w:shd w:val="clear" w:color="auto" w:fill="auto"/>
            <w:noWrap/>
            <w:vAlign w:val="center"/>
          </w:tcPr>
          <w:p w14:paraId="7B84A50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nil"/>
              <w:bottom w:val="single" w:color="000000" w:sz="4" w:space="0"/>
              <w:right w:val="single" w:color="000000" w:sz="4" w:space="0"/>
            </w:tcBorders>
            <w:shd w:val="clear" w:color="auto" w:fill="auto"/>
            <w:noWrap/>
            <w:vAlign w:val="center"/>
          </w:tcPr>
          <w:p w14:paraId="60E757D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nil"/>
              <w:bottom w:val="single" w:color="000000" w:sz="4" w:space="0"/>
              <w:right w:val="single" w:color="000000" w:sz="4" w:space="0"/>
            </w:tcBorders>
            <w:shd w:val="clear" w:color="auto" w:fill="auto"/>
            <w:noWrap/>
            <w:vAlign w:val="center"/>
          </w:tcPr>
          <w:p w14:paraId="681C7A78">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nil"/>
              <w:bottom w:val="single" w:color="000000" w:sz="4" w:space="0"/>
              <w:right w:val="single" w:color="000000" w:sz="4" w:space="0"/>
            </w:tcBorders>
            <w:shd w:val="clear" w:color="auto" w:fill="auto"/>
            <w:noWrap/>
            <w:vAlign w:val="center"/>
          </w:tcPr>
          <w:p w14:paraId="1E6B3A4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13B862D1">
        <w:tblPrEx>
          <w:tblCellMar>
            <w:top w:w="0" w:type="dxa"/>
            <w:left w:w="108" w:type="dxa"/>
            <w:bottom w:w="0" w:type="dxa"/>
            <w:right w:w="108" w:type="dxa"/>
          </w:tblCellMar>
        </w:tblPrEx>
        <w:trPr>
          <w:gridAfter w:val="1"/>
          <w:wAfter w:w="2" w:type="dxa"/>
          <w:trHeight w:val="277" w:hRule="atLeast"/>
        </w:trPr>
        <w:tc>
          <w:tcPr>
            <w:tcW w:w="1537" w:type="dxa"/>
            <w:gridSpan w:val="2"/>
            <w:tcBorders>
              <w:top w:val="nil"/>
              <w:left w:val="single" w:color="000000" w:sz="4" w:space="0"/>
              <w:bottom w:val="single" w:color="000000" w:sz="4" w:space="0"/>
              <w:right w:val="single" w:color="000000" w:sz="4" w:space="0"/>
            </w:tcBorders>
            <w:shd w:val="clear" w:color="auto" w:fill="auto"/>
            <w:noWrap/>
            <w:vAlign w:val="center"/>
          </w:tcPr>
          <w:p w14:paraId="1EFE4EE1">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nil"/>
              <w:left w:val="nil"/>
              <w:bottom w:val="single" w:color="000000" w:sz="4" w:space="0"/>
              <w:right w:val="single" w:color="000000" w:sz="4" w:space="0"/>
            </w:tcBorders>
            <w:shd w:val="clear" w:color="auto" w:fill="auto"/>
            <w:noWrap/>
            <w:vAlign w:val="center"/>
          </w:tcPr>
          <w:p w14:paraId="6F75E4A4">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nil"/>
              <w:left w:val="nil"/>
              <w:bottom w:val="single" w:color="000000" w:sz="4" w:space="0"/>
              <w:right w:val="single" w:color="000000" w:sz="4" w:space="0"/>
            </w:tcBorders>
            <w:shd w:val="clear" w:color="auto" w:fill="auto"/>
            <w:noWrap/>
            <w:vAlign w:val="center"/>
          </w:tcPr>
          <w:p w14:paraId="64771C9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nil"/>
              <w:left w:val="nil"/>
              <w:bottom w:val="single" w:color="000000" w:sz="4" w:space="0"/>
              <w:right w:val="single" w:color="000000" w:sz="4" w:space="0"/>
            </w:tcBorders>
            <w:shd w:val="clear" w:color="auto" w:fill="auto"/>
            <w:noWrap/>
            <w:vAlign w:val="center"/>
          </w:tcPr>
          <w:p w14:paraId="36408EF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nil"/>
              <w:left w:val="nil"/>
              <w:bottom w:val="single" w:color="000000" w:sz="4" w:space="0"/>
              <w:right w:val="single" w:color="000000" w:sz="4" w:space="0"/>
            </w:tcBorders>
            <w:shd w:val="clear" w:color="auto" w:fill="auto"/>
            <w:noWrap/>
            <w:vAlign w:val="center"/>
          </w:tcPr>
          <w:p w14:paraId="578EC2F8">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nil"/>
              <w:left w:val="nil"/>
              <w:bottom w:val="single" w:color="000000" w:sz="4" w:space="0"/>
              <w:right w:val="single" w:color="000000" w:sz="4" w:space="0"/>
            </w:tcBorders>
            <w:shd w:val="clear" w:color="auto" w:fill="auto"/>
            <w:noWrap/>
            <w:vAlign w:val="center"/>
          </w:tcPr>
          <w:p w14:paraId="2505551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nil"/>
              <w:left w:val="nil"/>
              <w:bottom w:val="single" w:color="000000" w:sz="4" w:space="0"/>
              <w:right w:val="single" w:color="000000" w:sz="4" w:space="0"/>
            </w:tcBorders>
            <w:shd w:val="clear" w:color="auto" w:fill="auto"/>
            <w:noWrap/>
            <w:vAlign w:val="center"/>
          </w:tcPr>
          <w:p w14:paraId="661EFD55">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nil"/>
              <w:left w:val="nil"/>
              <w:bottom w:val="single" w:color="000000" w:sz="4" w:space="0"/>
              <w:right w:val="single" w:color="000000" w:sz="4" w:space="0"/>
            </w:tcBorders>
            <w:shd w:val="clear" w:color="auto" w:fill="auto"/>
            <w:noWrap/>
            <w:vAlign w:val="center"/>
          </w:tcPr>
          <w:p w14:paraId="1FC67FA8">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3C2E59EB">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14:paraId="585897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p>
          <w:p w14:paraId="0C73D396">
            <w:pPr>
              <w:keepNext w:val="0"/>
              <w:keepLines w:val="0"/>
              <w:widowControl w:val="0"/>
              <w:suppressLineNumbers w:val="0"/>
              <w:spacing w:before="0" w:beforeAutospacing="0" w:after="0" w:afterAutospacing="0"/>
              <w:ind w:left="0" w:right="0"/>
              <w:jc w:val="both"/>
              <w:rPr>
                <w:rFonts w:hint="default"/>
              </w:rPr>
            </w:pPr>
            <w:r>
              <w:rPr>
                <w:rFonts w:hint="eastAsia" w:ascii="宋体" w:hAnsi="宋体" w:eastAsia="宋体" w:cs="宋体"/>
                <w:color w:val="FF0000"/>
                <w:kern w:val="2"/>
                <w:sz w:val="21"/>
                <w:szCs w:val="21"/>
                <w:lang w:val="en-US" w:eastAsia="zh-CN" w:bidi="ar"/>
              </w:rPr>
              <w:t>“本部门</w:t>
            </w:r>
            <w:r>
              <w:rPr>
                <w:rFonts w:hint="default" w:ascii="Times New Roman" w:hAnsi="Times New Roman" w:eastAsia="宋体" w:cs="Times New Roman"/>
                <w:color w:val="FF0000"/>
                <w:kern w:val="2"/>
                <w:sz w:val="21"/>
                <w:szCs w:val="21"/>
                <w:lang w:val="en-US" w:eastAsia="zh-CN" w:bidi="ar"/>
              </w:rPr>
              <w:t>202</w:t>
            </w:r>
            <w:r>
              <w:rPr>
                <w:rFonts w:hint="eastAsia" w:cs="Times New Roman"/>
                <w:color w:val="FF0000"/>
                <w:kern w:val="2"/>
                <w:sz w:val="21"/>
                <w:szCs w:val="21"/>
                <w:lang w:val="en-US" w:eastAsia="zh-CN" w:bidi="ar"/>
              </w:rPr>
              <w:t>3</w:t>
            </w:r>
            <w:r>
              <w:rPr>
                <w:rFonts w:hint="eastAsia" w:ascii="宋体" w:hAnsi="宋体" w:eastAsia="宋体" w:cs="宋体"/>
                <w:color w:val="FF0000"/>
                <w:kern w:val="2"/>
                <w:sz w:val="21"/>
                <w:szCs w:val="21"/>
                <w:lang w:val="en-US" w:eastAsia="zh-CN" w:bidi="ar"/>
              </w:rPr>
              <w:t>年度没有政府性基金预算财政拨款收入，也没有政府性基金预算财政拨款安排的支出，故本表无数据”。</w:t>
            </w:r>
          </w:p>
          <w:p w14:paraId="5BE695C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14:paraId="2FB7E382">
      <w:pPr>
        <w:rPr>
          <w:rFonts w:ascii="仿宋" w:hAnsi="仿宋" w:eastAsia="仿宋" w:cs="仿宋"/>
          <w:sz w:val="24"/>
          <w:highlight w:val="none"/>
        </w:rPr>
      </w:pPr>
      <w:r>
        <w:rPr>
          <w:rFonts w:ascii="仿宋" w:hAnsi="仿宋" w:eastAsia="仿宋" w:cs="仿宋"/>
          <w:sz w:val="24"/>
          <w:highlight w:val="none"/>
        </w:rPr>
        <w:br w:type="page"/>
      </w:r>
    </w:p>
    <w:p w14:paraId="4871B9F7">
      <w:pPr>
        <w:jc w:val="left"/>
        <w:rPr>
          <w:rFonts w:ascii="仿宋" w:hAnsi="仿宋" w:eastAsia="仿宋" w:cs="仿宋"/>
          <w:sz w:val="24"/>
          <w:highlight w:val="none"/>
        </w:rPr>
      </w:pPr>
    </w:p>
    <w:p w14:paraId="0992F154">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14:paraId="7BD41FC9">
      <w:pPr>
        <w:jc w:val="left"/>
        <w:rPr>
          <w:rFonts w:hint="eastAsia" w:ascii="仿宋" w:hAnsi="仿宋" w:eastAsia="仿宋" w:cs="仿宋"/>
          <w:sz w:val="24"/>
          <w:highlight w:val="none"/>
        </w:rPr>
      </w:pPr>
    </w:p>
    <w:tbl>
      <w:tblPr>
        <w:tblStyle w:val="4"/>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14:paraId="672B136A">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14:paraId="1DA3B958">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14:paraId="02167EBA">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14:paraId="0C17BAB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14:paraId="57C5077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14:paraId="146FE24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14:paraId="36BA012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14:paraId="4150AB3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14:paraId="1355869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14:paraId="08E4F11F">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14:paraId="663B7500">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14:paraId="3C512FAE">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Theme="minorEastAsia" w:hAnsiTheme="minorEastAsia" w:eastAsiaTheme="minorEastAsia" w:cstheme="minorEastAsia"/>
                <w:b w:val="0"/>
                <w:bCs w:val="0"/>
                <w:sz w:val="21"/>
                <w:szCs w:val="21"/>
                <w:highlight w:val="none"/>
                <w:lang w:val="en-US" w:eastAsia="zh-CN"/>
              </w:rPr>
              <w:t>环江毛南族自治县糖业发展中心</w:t>
            </w:r>
          </w:p>
        </w:tc>
        <w:tc>
          <w:tcPr>
            <w:tcW w:w="3135" w:type="dxa"/>
            <w:tcBorders>
              <w:top w:val="nil"/>
              <w:left w:val="nil"/>
              <w:bottom w:val="nil"/>
              <w:right w:val="nil"/>
            </w:tcBorders>
            <w:shd w:val="clear" w:color="auto" w:fill="auto"/>
            <w:noWrap/>
            <w:vAlign w:val="bottom"/>
          </w:tcPr>
          <w:p w14:paraId="640B941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14:paraId="13378FB4">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6D2A4945">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6939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14:paraId="1879B3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14:paraId="5037DAE2">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14:paraId="6B611BB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14:paraId="1B23C5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14:paraId="635975E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14:paraId="697CF05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14:paraId="526395E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14:paraId="5C72E5A0">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14:paraId="06E3815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14:paraId="7AB9C4E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14:paraId="5B358FB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14:paraId="76119FA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14:paraId="5B5A74B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2F5BB6A9">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14:paraId="4E176BB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14:paraId="5FC8AEB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14:paraId="7B0CD13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14:paraId="5A54979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14:paraId="6307C4B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5752ED91">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14:paraId="169900D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14:paraId="4FA04C1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14:paraId="67B6EC4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14:paraId="4FEA68E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14:paraId="11187DCD">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14:paraId="75146B9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14:paraId="6BB600AA">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14:paraId="2B0D9429">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14:paraId="4D68B030">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14:paraId="2E91E7DF">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14:paraId="056BCF17">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14:paraId="04FE26D1">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14:paraId="7E9B01E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14:paraId="366FC145">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14:paraId="00B87CC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63B9E832">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14:paraId="25892783">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14:paraId="26035DBA">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14:paraId="60FBE798">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14:paraId="51EAFA5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14:paraId="2CC9B0E5">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14:paraId="1842DC4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14:paraId="2D97B9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FF0000"/>
          <w:kern w:val="2"/>
          <w:sz w:val="21"/>
          <w:szCs w:val="21"/>
          <w:lang w:val="en-US" w:eastAsia="zh-CN" w:bidi="ar"/>
        </w:rPr>
        <w:t>“本部门</w:t>
      </w:r>
      <w:r>
        <w:rPr>
          <w:rFonts w:hint="default" w:ascii="Times New Roman" w:hAnsi="Times New Roman" w:eastAsia="宋体" w:cs="Times New Roman"/>
          <w:color w:val="FF0000"/>
          <w:kern w:val="2"/>
          <w:sz w:val="21"/>
          <w:szCs w:val="21"/>
          <w:lang w:val="en-US" w:eastAsia="zh-CN" w:bidi="ar"/>
        </w:rPr>
        <w:t>202</w:t>
      </w:r>
      <w:r>
        <w:rPr>
          <w:rFonts w:hint="eastAsia" w:cs="Times New Roman"/>
          <w:color w:val="FF0000"/>
          <w:kern w:val="2"/>
          <w:sz w:val="21"/>
          <w:szCs w:val="21"/>
          <w:lang w:val="en-US" w:eastAsia="zh-CN" w:bidi="ar"/>
        </w:rPr>
        <w:t>3</w:t>
      </w:r>
      <w:r>
        <w:rPr>
          <w:rFonts w:hint="eastAsia" w:ascii="宋体" w:hAnsi="宋体" w:eastAsia="宋体" w:cs="宋体"/>
          <w:color w:val="FF0000"/>
          <w:kern w:val="2"/>
          <w:sz w:val="21"/>
          <w:szCs w:val="21"/>
          <w:lang w:val="en-US" w:eastAsia="zh-CN" w:bidi="ar"/>
        </w:rPr>
        <w:t>年度没有国有资本经营预算财政拨款收入，也没有国有资本经营预算财政拨款安排的支出，故本表无数据”。</w:t>
      </w:r>
      <w:r>
        <w:rPr>
          <w:rFonts w:hint="eastAsia" w:ascii="宋体" w:hAnsi="宋体" w:eastAsia="宋体" w:cs="宋体"/>
          <w:color w:val="000000"/>
          <w:kern w:val="0"/>
          <w:sz w:val="22"/>
          <w:szCs w:val="22"/>
          <w:highlight w:val="none"/>
          <w:lang w:bidi="ar"/>
        </w:rPr>
        <w:br w:type="page"/>
      </w:r>
    </w:p>
    <w:tbl>
      <w:tblPr>
        <w:tblStyle w:val="4"/>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14:paraId="2D6B33FC">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14:paraId="019CC0B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14:paraId="17284451">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14:paraId="297FE2BF">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一般公共预算财政拨款安排的“三公”经费支出决算表</w:t>
            </w:r>
          </w:p>
          <w:p w14:paraId="613FD575">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14:paraId="22EC96E4">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一般公共预算财政拨款“三公”经费支出决算表</w:t>
            </w:r>
          </w:p>
        </w:tc>
      </w:tr>
      <w:tr w14:paraId="0CC1E4C3">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14:paraId="54DDF02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14:paraId="1358866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14:paraId="75C97D2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14:paraId="449CCB4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14:paraId="57CBE94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14:paraId="6BE6C41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14:paraId="6BF8029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14:paraId="5715346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14:paraId="5867272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14:paraId="7B5887D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14:paraId="4EDC580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14:paraId="74A6BACC">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14:paraId="08B6252F">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14:paraId="5BADFD10">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某某单位</w:t>
            </w:r>
          </w:p>
        </w:tc>
        <w:tc>
          <w:tcPr>
            <w:tcW w:w="1066" w:type="dxa"/>
            <w:tcBorders>
              <w:top w:val="nil"/>
              <w:left w:val="nil"/>
              <w:bottom w:val="nil"/>
              <w:right w:val="nil"/>
            </w:tcBorders>
            <w:shd w:val="clear" w:color="auto" w:fill="auto"/>
            <w:noWrap/>
            <w:vAlign w:val="bottom"/>
          </w:tcPr>
          <w:p w14:paraId="4A78E0F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14:paraId="664A2CC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14:paraId="1677C91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14:paraId="6A66C70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14:paraId="0A988C51">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419B0304">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C9F8D9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14:paraId="7DB5F1A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14:paraId="3E9A4EB7">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7399A36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14:paraId="468DD0A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14:paraId="05FE78C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14:paraId="46AC1C7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14:paraId="75B6826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14:paraId="0BD938A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14:paraId="714A7DF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14:paraId="3B955B9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14:paraId="18DD4A2C">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36AB123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14:paraId="31BEAD5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14:paraId="685AA5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14:paraId="09A302F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14:paraId="4724D9F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14:paraId="20B2EE8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14:paraId="49F1E51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14:paraId="459BD47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14:paraId="40D6E60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14:paraId="0859B1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14:paraId="7C10B0C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14:paraId="76B3818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28E51749">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14:paraId="0C125F6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14:paraId="13DA207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14:paraId="21850F5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14:paraId="741D60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14:paraId="42C443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14:paraId="4283C2D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14:paraId="7812618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14:paraId="5672BC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14:paraId="4A9A41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14:paraId="00FA012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14:paraId="1073C16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14:paraId="007EF79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14:paraId="7545876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14:paraId="16D4296D">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14:paraId="0136488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425" w:type="dxa"/>
            <w:tcBorders>
              <w:top w:val="nil"/>
              <w:left w:val="nil"/>
              <w:bottom w:val="single" w:color="000000" w:sz="4" w:space="0"/>
              <w:right w:val="single" w:color="000000" w:sz="4" w:space="0"/>
            </w:tcBorders>
            <w:shd w:val="clear" w:color="auto" w:fill="auto"/>
            <w:noWrap/>
            <w:vAlign w:val="center"/>
          </w:tcPr>
          <w:p w14:paraId="6F0A5F51">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14:paraId="40FF19E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59" w:type="dxa"/>
            <w:tcBorders>
              <w:top w:val="nil"/>
              <w:left w:val="nil"/>
              <w:bottom w:val="single" w:color="000000" w:sz="4" w:space="0"/>
              <w:right w:val="single" w:color="000000" w:sz="4" w:space="0"/>
            </w:tcBorders>
            <w:shd w:val="clear" w:color="auto" w:fill="auto"/>
            <w:noWrap/>
            <w:vAlign w:val="center"/>
          </w:tcPr>
          <w:p w14:paraId="72D22B5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14:paraId="4AC656F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040" w:type="dxa"/>
            <w:tcBorders>
              <w:top w:val="nil"/>
              <w:left w:val="nil"/>
              <w:bottom w:val="single" w:color="000000" w:sz="4" w:space="0"/>
              <w:right w:val="single" w:color="000000" w:sz="4" w:space="0"/>
            </w:tcBorders>
            <w:shd w:val="clear" w:color="auto" w:fill="auto"/>
            <w:noWrap/>
            <w:vAlign w:val="center"/>
          </w:tcPr>
          <w:p w14:paraId="5E5AB32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066" w:type="dxa"/>
            <w:tcBorders>
              <w:top w:val="nil"/>
              <w:left w:val="nil"/>
              <w:bottom w:val="single" w:color="000000" w:sz="4" w:space="0"/>
              <w:right w:val="single" w:color="000000" w:sz="4" w:space="0"/>
            </w:tcBorders>
            <w:shd w:val="clear" w:color="auto" w:fill="auto"/>
            <w:noWrap/>
            <w:vAlign w:val="center"/>
          </w:tcPr>
          <w:p w14:paraId="3CFA32F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161" w:type="dxa"/>
            <w:tcBorders>
              <w:top w:val="nil"/>
              <w:left w:val="nil"/>
              <w:bottom w:val="single" w:color="000000" w:sz="4" w:space="0"/>
              <w:right w:val="single" w:color="000000" w:sz="4" w:space="0"/>
            </w:tcBorders>
            <w:shd w:val="clear" w:color="auto" w:fill="auto"/>
            <w:noWrap/>
            <w:vAlign w:val="center"/>
          </w:tcPr>
          <w:p w14:paraId="7E10E94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14:paraId="52805E7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48" w:type="dxa"/>
            <w:tcBorders>
              <w:top w:val="nil"/>
              <w:left w:val="nil"/>
              <w:bottom w:val="single" w:color="000000" w:sz="4" w:space="0"/>
              <w:right w:val="single" w:color="000000" w:sz="4" w:space="0"/>
            </w:tcBorders>
            <w:shd w:val="clear" w:color="auto" w:fill="auto"/>
            <w:noWrap/>
            <w:vAlign w:val="center"/>
          </w:tcPr>
          <w:p w14:paraId="65764AD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tcPr>
          <w:p w14:paraId="0DC4FE4C">
            <w:pPr>
              <w:keepNext w:val="0"/>
              <w:keepLines w:val="0"/>
              <w:suppressLineNumbers w:val="0"/>
              <w:spacing w:before="0" w:beforeAutospacing="0" w:after="0" w:afterAutospacing="0"/>
              <w:ind w:left="0" w:right="0"/>
              <w:jc w:val="right"/>
              <w:rPr>
                <w:rFonts w:hint="default"/>
                <w:highlight w:val="none"/>
              </w:rPr>
            </w:pPr>
            <w:r>
              <w:rPr>
                <w:rFonts w:hint="default"/>
                <w:highlight w:val="none"/>
              </w:rPr>
              <w:t>0.00</w:t>
            </w:r>
          </w:p>
        </w:tc>
        <w:tc>
          <w:tcPr>
            <w:tcW w:w="1073" w:type="dxa"/>
            <w:tcBorders>
              <w:top w:val="nil"/>
              <w:left w:val="nil"/>
              <w:bottom w:val="single" w:color="000000" w:sz="4" w:space="0"/>
              <w:right w:val="single" w:color="000000" w:sz="4" w:space="0"/>
            </w:tcBorders>
            <w:shd w:val="clear" w:color="auto" w:fill="auto"/>
            <w:noWrap/>
          </w:tcPr>
          <w:p w14:paraId="5338FB03">
            <w:pPr>
              <w:keepNext w:val="0"/>
              <w:keepLines w:val="0"/>
              <w:suppressLineNumbers w:val="0"/>
              <w:spacing w:before="0" w:beforeAutospacing="0" w:after="0" w:afterAutospacing="0"/>
              <w:ind w:left="0" w:right="0"/>
              <w:jc w:val="right"/>
              <w:rPr>
                <w:rFonts w:hint="default" w:eastAsia="宋体"/>
                <w:highlight w:val="none"/>
                <w:lang w:val="en-US" w:eastAsia="zh-CN"/>
              </w:rPr>
            </w:pPr>
            <w:r>
              <w:rPr>
                <w:rFonts w:hint="eastAsia" w:ascii="宋体" w:hAnsi="宋体" w:eastAsia="宋体" w:cs="宋体"/>
                <w:color w:val="000000"/>
                <w:kern w:val="0"/>
                <w:sz w:val="22"/>
                <w:szCs w:val="22"/>
                <w:highlight w:val="none"/>
                <w:lang w:val="en-US" w:eastAsia="zh-CN" w:bidi="ar"/>
              </w:rPr>
              <w:t>0.00</w:t>
            </w:r>
          </w:p>
        </w:tc>
      </w:tr>
      <w:tr w14:paraId="40234C95">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14:paraId="0D9082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14:paraId="16C79E8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FF0000"/>
                <w:kern w:val="2"/>
                <w:sz w:val="21"/>
                <w:szCs w:val="21"/>
                <w:lang w:val="en-US" w:eastAsia="zh-CN" w:bidi="ar"/>
              </w:rPr>
              <w:t>“本部门</w:t>
            </w:r>
            <w:r>
              <w:rPr>
                <w:rFonts w:hint="default" w:ascii="Times New Roman" w:hAnsi="Times New Roman" w:eastAsia="宋体" w:cs="Times New Roman"/>
                <w:color w:val="FF0000"/>
                <w:kern w:val="2"/>
                <w:sz w:val="21"/>
                <w:szCs w:val="21"/>
                <w:lang w:val="en-US" w:eastAsia="zh-CN" w:bidi="ar"/>
              </w:rPr>
              <w:t>202</w:t>
            </w:r>
            <w:r>
              <w:rPr>
                <w:rFonts w:hint="eastAsia" w:cs="Times New Roman"/>
                <w:color w:val="FF0000"/>
                <w:kern w:val="2"/>
                <w:sz w:val="21"/>
                <w:szCs w:val="21"/>
                <w:lang w:val="en-US" w:eastAsia="zh-CN" w:bidi="ar"/>
              </w:rPr>
              <w:t>3</w:t>
            </w:r>
            <w:r>
              <w:rPr>
                <w:rFonts w:hint="eastAsia" w:ascii="宋体" w:hAnsi="宋体" w:eastAsia="宋体" w:cs="宋体"/>
                <w:color w:val="FF0000"/>
                <w:kern w:val="2"/>
                <w:sz w:val="21"/>
                <w:szCs w:val="21"/>
                <w:lang w:val="en-US" w:eastAsia="zh-CN" w:bidi="ar"/>
              </w:rPr>
              <w:t>年度没有一般公共预算财政拨款“三公”经费收入，也没有一般公共预算财政拨款“三公”经费安排的支出，故本表无数据”。</w:t>
            </w:r>
          </w:p>
        </w:tc>
      </w:tr>
    </w:tbl>
    <w:p w14:paraId="3EA1BE61">
      <w:pPr>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14:paraId="2126A6C2">
      <w:pPr>
        <w:spacing w:line="560" w:lineRule="exact"/>
        <w:rPr>
          <w:rFonts w:hint="eastAsia" w:ascii="仿宋_GB2312" w:eastAsia="仿宋_GB2312"/>
          <w:b/>
          <w:sz w:val="32"/>
          <w:szCs w:val="32"/>
        </w:rPr>
        <w:sectPr>
          <w:footerReference r:id="rId3" w:type="default"/>
          <w:footerReference r:id="rId4" w:type="even"/>
          <w:pgSz w:w="11906" w:h="16838"/>
          <w:pgMar w:top="1701" w:right="1474" w:bottom="1247" w:left="1587" w:header="851" w:footer="992" w:gutter="0"/>
          <w:cols w:space="720" w:num="1"/>
          <w:docGrid w:type="lines" w:linePitch="312" w:charSpace="0"/>
        </w:sectPr>
      </w:pPr>
    </w:p>
    <w:p w14:paraId="10DF68A9">
      <w:pPr>
        <w:spacing w:line="560" w:lineRule="exact"/>
        <w:rPr>
          <w:rFonts w:hint="eastAsia" w:ascii="黑体" w:hAnsi="黑体" w:eastAsia="黑体"/>
          <w:sz w:val="32"/>
          <w:szCs w:val="32"/>
        </w:rPr>
      </w:pPr>
      <w:r>
        <w:rPr>
          <w:rFonts w:hint="eastAsia" w:ascii="黑体" w:hAnsi="黑体" w:eastAsia="黑体"/>
          <w:sz w:val="32"/>
          <w:szCs w:val="32"/>
        </w:rPr>
        <w:t>第三部分：</w:t>
      </w:r>
      <w:r>
        <w:rPr>
          <w:rFonts w:hint="eastAsia" w:ascii="方正小标宋简体" w:eastAsia="方正小标宋简体" w:cs="ArialUnicodeMS"/>
          <w:kern w:val="0"/>
          <w:sz w:val="32"/>
          <w:szCs w:val="32"/>
          <w:lang w:val="en-US" w:eastAsia="zh-CN"/>
        </w:rPr>
        <w:t>环江毛南族自治县</w:t>
      </w:r>
      <w:r>
        <w:rPr>
          <w:rFonts w:hint="eastAsia" w:ascii="方正小标宋简体" w:hAnsi="黑体" w:eastAsia="方正小标宋简体"/>
          <w:bCs/>
          <w:color w:val="000000"/>
          <w:sz w:val="32"/>
          <w:szCs w:val="32"/>
          <w:u w:val="single"/>
          <w:lang w:val="en-US" w:eastAsia="zh-CN"/>
        </w:rPr>
        <w:t>糖业发展中心</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年度部门决算情况说明</w:t>
      </w:r>
    </w:p>
    <w:p w14:paraId="78196E9C">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rPr>
        <w:t>202</w:t>
      </w:r>
      <w:r>
        <w:rPr>
          <w:rFonts w:hint="eastAsia" w:ascii="黑体" w:hAnsi="黑体" w:eastAsia="黑体"/>
          <w:kern w:val="0"/>
          <w:sz w:val="32"/>
          <w:szCs w:val="32"/>
          <w:lang w:val="en-US" w:eastAsia="zh-CN"/>
        </w:rPr>
        <w:t>3</w:t>
      </w:r>
      <w:r>
        <w:rPr>
          <w:rFonts w:hint="eastAsia" w:ascii="黑体" w:hAnsi="黑体" w:eastAsia="黑体" w:cs="仿宋_GB2312"/>
          <w:kern w:val="0"/>
          <w:sz w:val="32"/>
          <w:szCs w:val="32"/>
        </w:rPr>
        <w:t>年度收入支出决算总体情况</w:t>
      </w:r>
    </w:p>
    <w:p w14:paraId="177E31B0">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（一）本部门202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年度总收入</w:t>
      </w:r>
      <w:r>
        <w:rPr>
          <w:rFonts w:hint="eastAsia" w:ascii="仿宋_GB2312" w:eastAsia="仿宋_GB2312" w:cs="仿宋_GB2312"/>
          <w:kern w:val="0"/>
          <w:sz w:val="32"/>
          <w:szCs w:val="32"/>
          <w:lang w:val="en-US" w:eastAsia="zh-CN"/>
        </w:rPr>
        <w:t>209.19</w:t>
      </w:r>
      <w:r>
        <w:rPr>
          <w:rFonts w:hint="eastAsia" w:ascii="仿宋_GB2312" w:eastAsia="仿宋_GB2312" w:cs="仿宋_GB2312"/>
          <w:kern w:val="0"/>
          <w:sz w:val="32"/>
          <w:szCs w:val="32"/>
        </w:rPr>
        <w:t>万元，其中本年收入</w:t>
      </w:r>
      <w:r>
        <w:rPr>
          <w:rFonts w:hint="eastAsia" w:ascii="仿宋_GB2312" w:eastAsia="仿宋_GB2312" w:cs="仿宋_GB2312"/>
          <w:color w:val="auto"/>
          <w:kern w:val="0"/>
          <w:sz w:val="32"/>
          <w:szCs w:val="32"/>
          <w:lang w:val="en-US" w:eastAsia="zh-CN"/>
        </w:rPr>
        <w:t>209.19</w:t>
      </w:r>
      <w:r>
        <w:rPr>
          <w:rFonts w:hint="eastAsia" w:ascii="仿宋_GB2312" w:eastAsia="仿宋_GB2312" w:cs="仿宋_GB2312"/>
          <w:color w:val="auto"/>
          <w:kern w:val="0"/>
          <w:sz w:val="32"/>
          <w:szCs w:val="32"/>
        </w:rPr>
        <w:t>万元</w:t>
      </w:r>
      <w:r>
        <w:rPr>
          <w:rFonts w:hint="eastAsia" w:ascii="仿宋_GB2312" w:eastAsia="仿宋_GB2312" w:cs="仿宋_GB2312"/>
          <w:color w:val="auto"/>
          <w:kern w:val="0"/>
          <w:sz w:val="32"/>
          <w:szCs w:val="32"/>
          <w:lang w:eastAsia="zh-CN"/>
        </w:rPr>
        <w:t>，</w:t>
      </w:r>
      <w:r>
        <w:rPr>
          <w:rFonts w:hint="eastAsia" w:ascii="仿宋_GB2312" w:hAnsi="黑体" w:eastAsia="仿宋_GB2312" w:cs="仿宋_GB2312"/>
          <w:color w:val="auto"/>
          <w:kern w:val="0"/>
          <w:sz w:val="32"/>
          <w:szCs w:val="32"/>
        </w:rPr>
        <w:t>较202</w:t>
      </w:r>
      <w:r>
        <w:rPr>
          <w:rFonts w:hint="eastAsia" w:ascii="仿宋_GB2312" w:hAnsi="黑体" w:eastAsia="仿宋_GB2312" w:cs="仿宋_GB2312"/>
          <w:color w:val="auto"/>
          <w:kern w:val="0"/>
          <w:sz w:val="32"/>
          <w:szCs w:val="32"/>
          <w:lang w:val="en-US" w:eastAsia="zh-CN"/>
        </w:rPr>
        <w:t>2</w:t>
      </w:r>
      <w:r>
        <w:rPr>
          <w:rFonts w:hint="eastAsia" w:ascii="仿宋_GB2312" w:hAnsi="黑体" w:eastAsia="仿宋_GB2312" w:cs="仿宋_GB2312"/>
          <w:color w:val="auto"/>
          <w:kern w:val="0"/>
          <w:sz w:val="32"/>
          <w:szCs w:val="32"/>
        </w:rPr>
        <w:t>年度决算数减少</w:t>
      </w:r>
      <w:r>
        <w:rPr>
          <w:rFonts w:hint="eastAsia" w:ascii="仿宋_GB2312" w:eastAsia="仿宋_GB2312" w:cs="仿宋_GB2312"/>
          <w:color w:val="auto"/>
          <w:kern w:val="0"/>
          <w:sz w:val="32"/>
          <w:szCs w:val="32"/>
          <w:lang w:val="en-US" w:eastAsia="zh-CN"/>
        </w:rPr>
        <w:t>10.04</w:t>
      </w:r>
      <w:r>
        <w:rPr>
          <w:rFonts w:hint="eastAsia" w:ascii="仿宋_GB2312" w:hAnsi="黑体" w:eastAsia="仿宋_GB2312" w:cs="仿宋_GB2312"/>
          <w:color w:val="auto"/>
          <w:kern w:val="0"/>
          <w:sz w:val="32"/>
          <w:szCs w:val="32"/>
        </w:rPr>
        <w:t>万元，下降</w:t>
      </w:r>
      <w:r>
        <w:rPr>
          <w:rFonts w:hint="eastAsia" w:ascii="仿宋_GB2312" w:hAnsi="黑体" w:eastAsia="仿宋_GB2312" w:cs="仿宋_GB2312"/>
          <w:color w:val="auto"/>
          <w:kern w:val="0"/>
          <w:sz w:val="32"/>
          <w:szCs w:val="32"/>
          <w:lang w:val="en-US" w:eastAsia="zh-CN"/>
        </w:rPr>
        <w:t>4.6</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rPr>
        <w:t>收入具体情况如下。</w:t>
      </w:r>
    </w:p>
    <w:p w14:paraId="44160880">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cs="仿宋_GB2312"/>
          <w:kern w:val="0"/>
          <w:sz w:val="32"/>
          <w:szCs w:val="32"/>
          <w:lang w:val="en-US" w:eastAsia="zh-CN"/>
        </w:rPr>
        <w:t>209.19</w:t>
      </w:r>
      <w:r>
        <w:rPr>
          <w:rFonts w:hint="eastAsia" w:ascii="仿宋_GB2312" w:eastAsia="仿宋_GB2312" w:cs="仿宋_GB2312"/>
          <w:kern w:val="0"/>
          <w:sz w:val="32"/>
          <w:szCs w:val="32"/>
        </w:rPr>
        <w:t>万元，为自治区本级财政当年拨付的资金。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eastAsia="仿宋_GB2312" w:cs="仿宋_GB2312"/>
          <w:kern w:val="0"/>
          <w:sz w:val="32"/>
          <w:szCs w:val="32"/>
          <w:lang w:val="en-US" w:eastAsia="zh-CN"/>
        </w:rPr>
        <w:t>10.04</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4.6</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val="en-US" w:eastAsia="zh-CN"/>
        </w:rPr>
        <w:t>与上年数据基本相同</w:t>
      </w:r>
      <w:r>
        <w:rPr>
          <w:rFonts w:hint="eastAsia" w:ascii="仿宋_GB2312" w:hAnsi="黑体" w:eastAsia="仿宋_GB2312" w:cs="仿宋_GB2312"/>
          <w:kern w:val="0"/>
          <w:sz w:val="32"/>
          <w:szCs w:val="32"/>
        </w:rPr>
        <w:t>。</w:t>
      </w:r>
    </w:p>
    <w:p w14:paraId="4F7907DF">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2.政府性基金预算财政拨款收入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lang w:val="en-US" w:eastAsia="zh-CN"/>
        </w:rPr>
        <w:t>与上年数据基本相同</w:t>
      </w:r>
      <w:r>
        <w:rPr>
          <w:rFonts w:hint="eastAsia" w:ascii="仿宋_GB2312" w:hAnsi="黑体" w:eastAsia="仿宋_GB2312" w:cs="仿宋_GB2312"/>
          <w:kern w:val="0"/>
          <w:sz w:val="32"/>
          <w:szCs w:val="32"/>
        </w:rPr>
        <w:t>。</w:t>
      </w:r>
    </w:p>
    <w:p w14:paraId="229A622F">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lang w:val="en-US" w:eastAsia="zh-CN"/>
        </w:rPr>
        <w:t>与上年数据基本相同</w:t>
      </w:r>
      <w:r>
        <w:rPr>
          <w:rFonts w:hint="eastAsia" w:ascii="仿宋_GB2312" w:hAnsi="黑体" w:eastAsia="仿宋_GB2312" w:cs="仿宋_GB2312"/>
          <w:kern w:val="0"/>
          <w:sz w:val="32"/>
          <w:szCs w:val="32"/>
        </w:rPr>
        <w:t>。</w:t>
      </w:r>
    </w:p>
    <w:p w14:paraId="112D0C05">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4.事业收入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lang w:val="en-US" w:eastAsia="zh-CN"/>
        </w:rPr>
        <w:t>与上年数据基本相同</w:t>
      </w:r>
      <w:r>
        <w:rPr>
          <w:rFonts w:hint="eastAsia" w:ascii="仿宋_GB2312" w:eastAsia="仿宋_GB2312" w:cs="仿宋_GB2312"/>
          <w:kern w:val="0"/>
          <w:sz w:val="32"/>
          <w:szCs w:val="32"/>
        </w:rPr>
        <w:t>。</w:t>
      </w:r>
    </w:p>
    <w:p w14:paraId="0578ED81">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w:t>
      </w:r>
      <w:r>
        <w:rPr>
          <w:rFonts w:hint="eastAsia" w:ascii="仿宋_GB2312" w:eastAsia="仿宋_GB2312" w:cs="仿宋_GB2312"/>
          <w:kern w:val="0"/>
          <w:sz w:val="32"/>
          <w:szCs w:val="32"/>
          <w:lang w:eastAsia="zh-CN"/>
        </w:rPr>
        <w:t>元</w:t>
      </w:r>
      <w:r>
        <w:rPr>
          <w:rFonts w:hint="eastAsia" w:ascii="仿宋_GB2312" w:hAnsi="黑体" w:eastAsia="仿宋_GB2312" w:cs="仿宋_GB2312"/>
          <w:kern w:val="0"/>
          <w:sz w:val="32"/>
          <w:szCs w:val="32"/>
          <w:lang w:val="en-US" w:eastAsia="zh-CN"/>
        </w:rPr>
        <w:t>与上年数据基本相同</w:t>
      </w:r>
      <w:r>
        <w:rPr>
          <w:rFonts w:hint="eastAsia" w:ascii="仿宋_GB2312" w:hAnsi="黑体" w:eastAsia="仿宋_GB2312" w:cs="仿宋_GB2312"/>
          <w:kern w:val="0"/>
          <w:sz w:val="32"/>
          <w:szCs w:val="32"/>
        </w:rPr>
        <w:t>。</w:t>
      </w:r>
    </w:p>
    <w:p w14:paraId="31A39724">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lang w:val="en-US" w:eastAsia="zh-CN"/>
        </w:rPr>
        <w:t>与上年数据基本相同</w:t>
      </w:r>
      <w:r>
        <w:rPr>
          <w:rFonts w:hint="eastAsia" w:ascii="仿宋_GB2312" w:hAnsi="黑体" w:eastAsia="仿宋_GB2312" w:cs="仿宋_GB2312"/>
          <w:kern w:val="0"/>
          <w:sz w:val="32"/>
          <w:szCs w:val="32"/>
        </w:rPr>
        <w:t>。</w:t>
      </w:r>
    </w:p>
    <w:p w14:paraId="78DD6DA2">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r>
        <w:rPr>
          <w:rFonts w:hint="eastAsia" w:ascii="仿宋_GB2312" w:eastAsia="仿宋_GB2312" w:cs="仿宋_GB2312"/>
          <w:kern w:val="0"/>
          <w:sz w:val="32"/>
          <w:szCs w:val="32"/>
          <w:lang w:eastAsia="zh-CN"/>
        </w:rPr>
        <w:t>（含专用结余）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万元，主</w:t>
      </w:r>
      <w:r>
        <w:rPr>
          <w:rFonts w:hint="eastAsia" w:ascii="仿宋_GB2312" w:hAnsi="黑体" w:eastAsia="仿宋_GB2312" w:cs="仿宋_GB2312"/>
          <w:kern w:val="0"/>
          <w:sz w:val="32"/>
          <w:szCs w:val="32"/>
          <w:lang w:val="en-US" w:eastAsia="zh-CN"/>
        </w:rPr>
        <w:t>与上年数据基本相同</w:t>
      </w:r>
      <w:r>
        <w:rPr>
          <w:rFonts w:hint="eastAsia" w:ascii="仿宋_GB2312" w:hAnsi="黑体" w:eastAsia="仿宋_GB2312" w:cs="仿宋_GB2312"/>
          <w:kern w:val="0"/>
          <w:sz w:val="32"/>
          <w:szCs w:val="32"/>
        </w:rPr>
        <w:t>。</w:t>
      </w:r>
    </w:p>
    <w:p w14:paraId="44048F3C">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lang w:val="en-US" w:eastAsia="zh-CN"/>
        </w:rPr>
        <w:t>与上年数据基本相同</w:t>
      </w:r>
      <w:r>
        <w:rPr>
          <w:rFonts w:hint="eastAsia" w:ascii="仿宋_GB2312" w:hAnsi="黑体" w:eastAsia="仿宋_GB2312" w:cs="仿宋_GB2312"/>
          <w:kern w:val="0"/>
          <w:sz w:val="32"/>
          <w:szCs w:val="32"/>
        </w:rPr>
        <w:t>。</w:t>
      </w:r>
    </w:p>
    <w:p w14:paraId="7CF36BF1">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（二）本部门202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年度总支出</w:t>
      </w:r>
      <w:r>
        <w:rPr>
          <w:rFonts w:hint="eastAsia" w:ascii="仿宋_GB2312" w:eastAsia="仿宋_GB2312" w:cs="仿宋_GB2312"/>
          <w:kern w:val="0"/>
          <w:sz w:val="32"/>
          <w:szCs w:val="32"/>
          <w:lang w:val="en-US" w:eastAsia="zh-CN"/>
        </w:rPr>
        <w:t>209.19</w:t>
      </w:r>
      <w:r>
        <w:rPr>
          <w:rFonts w:hint="eastAsia" w:ascii="仿宋_GB2312" w:eastAsia="仿宋_GB2312" w:cs="仿宋_GB2312"/>
          <w:kern w:val="0"/>
          <w:sz w:val="32"/>
          <w:szCs w:val="32"/>
        </w:rPr>
        <w:t>万元，其中本年支出</w:t>
      </w:r>
      <w:r>
        <w:rPr>
          <w:rFonts w:hint="eastAsia" w:ascii="仿宋_GB2312" w:eastAsia="仿宋_GB2312" w:cs="仿宋_GB2312"/>
          <w:kern w:val="0"/>
          <w:sz w:val="32"/>
          <w:szCs w:val="32"/>
          <w:lang w:val="en-US" w:eastAsia="zh-CN"/>
        </w:rPr>
        <w:t>199.7</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13.18</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6.2</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p>
    <w:p w14:paraId="62D43239">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.一般公共服务支出（类）</w:t>
      </w:r>
      <w:r>
        <w:rPr>
          <w:rFonts w:hint="eastAsia" w:ascii="仿宋_GB2312" w:eastAsia="仿宋_GB2312" w:cs="仿宋_GB2312"/>
          <w:kern w:val="0"/>
          <w:sz w:val="32"/>
          <w:szCs w:val="32"/>
          <w:lang w:val="en-US" w:eastAsia="zh-CN"/>
        </w:rPr>
        <w:t>2.74</w:t>
      </w:r>
      <w:r>
        <w:rPr>
          <w:rFonts w:hint="eastAsia" w:ascii="仿宋_GB2312" w:eastAsia="仿宋_GB2312" w:cs="仿宋_GB2312"/>
          <w:kern w:val="0"/>
          <w:sz w:val="32"/>
          <w:szCs w:val="32"/>
        </w:rPr>
        <w:t>万元：主要用于</w:t>
      </w:r>
      <w:r>
        <w:rPr>
          <w:rFonts w:hint="eastAsia" w:ascii="仿宋" w:hAnsi="仿宋" w:eastAsia="仿宋" w:cs="仿宋"/>
          <w:kern w:val="0"/>
          <w:sz w:val="32"/>
          <w:szCs w:val="32"/>
          <w:lang w:val="en-US" w:eastAsia="zh-CN"/>
        </w:rPr>
        <w:t>工会经费</w:t>
      </w:r>
    </w:p>
    <w:p w14:paraId="42609E5D">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rPr>
      </w:pP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0.08</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2.8</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人员减少</w:t>
      </w:r>
      <w:r>
        <w:rPr>
          <w:rFonts w:hint="eastAsia" w:ascii="仿宋_GB2312" w:hAnsi="黑体" w:eastAsia="仿宋_GB2312" w:cs="仿宋_GB2312"/>
          <w:kern w:val="0"/>
          <w:sz w:val="32"/>
          <w:szCs w:val="32"/>
        </w:rPr>
        <w:t>。</w:t>
      </w:r>
    </w:p>
    <w:p w14:paraId="36907574">
      <w:pPr>
        <w:numPr>
          <w:ilvl w:val="0"/>
          <w:numId w:val="2"/>
        </w:numPr>
        <w:spacing w:line="560" w:lineRule="exact"/>
        <w:ind w:left="213" w:leftChars="0" w:firstLine="627" w:firstLineChars="0"/>
        <w:jc w:val="left"/>
        <w:rPr>
          <w:rFonts w:hint="eastAsia" w:ascii="仿宋" w:hAnsi="仿宋" w:eastAsia="仿宋" w:cs="仿宋"/>
          <w:sz w:val="32"/>
          <w:szCs w:val="32"/>
        </w:rPr>
      </w:pPr>
      <w:r>
        <w:rPr>
          <w:rFonts w:hint="eastAsia" w:ascii="仿宋" w:hAnsi="仿宋" w:eastAsia="仿宋" w:cs="仿宋"/>
          <w:sz w:val="32"/>
          <w:szCs w:val="32"/>
        </w:rPr>
        <w:t>城乡社区支出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41F87DDF">
      <w:pPr>
        <w:numPr>
          <w:ilvl w:val="0"/>
          <w:numId w:val="2"/>
        </w:numPr>
        <w:spacing w:line="560" w:lineRule="exact"/>
        <w:ind w:left="213" w:leftChars="0" w:firstLine="627" w:firstLineChars="0"/>
        <w:jc w:val="left"/>
        <w:rPr>
          <w:rFonts w:hint="eastAsia" w:ascii="仿宋" w:hAnsi="仿宋" w:eastAsia="仿宋" w:cs="仿宋"/>
          <w:sz w:val="32"/>
          <w:szCs w:val="32"/>
        </w:rPr>
      </w:pPr>
      <w:r>
        <w:rPr>
          <w:rFonts w:hint="eastAsia" w:ascii="仿宋" w:hAnsi="仿宋" w:eastAsia="仿宋" w:cs="仿宋"/>
          <w:sz w:val="32"/>
          <w:szCs w:val="32"/>
        </w:rPr>
        <w:t>农林水支出（类）支出</w:t>
      </w:r>
      <w:r>
        <w:rPr>
          <w:rFonts w:hint="eastAsia" w:ascii="仿宋" w:hAnsi="仿宋" w:eastAsia="仿宋" w:cs="仿宋"/>
          <w:sz w:val="32"/>
          <w:szCs w:val="32"/>
          <w:lang w:val="en-US" w:eastAsia="zh-CN"/>
        </w:rPr>
        <w:t>149.85</w:t>
      </w:r>
      <w:r>
        <w:rPr>
          <w:rFonts w:hint="eastAsia" w:ascii="仿宋" w:hAnsi="仿宋" w:eastAsia="仿宋" w:cs="仿宋"/>
          <w:sz w:val="32"/>
          <w:szCs w:val="32"/>
        </w:rPr>
        <w:t>万元；</w:t>
      </w:r>
    </w:p>
    <w:p w14:paraId="731C9D42">
      <w:pPr>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rPr>
        <w:t>主要用于干部职工的基本工资、各项津贴补贴和绩效工资；开展糖蔗产业生产工作发生的各项经费、高产糖料蔗的良种补贴、高产糖料蔗的基地建设土地整治费</w:t>
      </w:r>
      <w:r>
        <w:rPr>
          <w:rFonts w:hint="eastAsia" w:ascii="仿宋" w:hAnsi="仿宋" w:eastAsia="仿宋" w:cs="仿宋"/>
          <w:sz w:val="32"/>
          <w:szCs w:val="32"/>
          <w:lang w:eastAsia="zh-CN"/>
        </w:rPr>
        <w:t>等等</w:t>
      </w:r>
      <w:r>
        <w:rPr>
          <w:rFonts w:hint="eastAsia" w:ascii="仿宋" w:hAnsi="仿宋" w:eastAsia="仿宋" w:cs="仿宋"/>
          <w:sz w:val="32"/>
          <w:szCs w:val="32"/>
        </w:rPr>
        <w:t>。较20</w:t>
      </w:r>
      <w:r>
        <w:rPr>
          <w:rFonts w:hint="eastAsia" w:ascii="仿宋" w:hAnsi="仿宋" w:eastAsia="仿宋" w:cs="仿宋"/>
          <w:sz w:val="32"/>
          <w:szCs w:val="32"/>
          <w:lang w:val="en-US" w:eastAsia="zh-CN"/>
        </w:rPr>
        <w:t>22</w:t>
      </w:r>
      <w:r>
        <w:rPr>
          <w:rFonts w:hint="eastAsia" w:ascii="仿宋" w:hAnsi="仿宋" w:eastAsia="仿宋" w:cs="仿宋"/>
          <w:sz w:val="32"/>
          <w:szCs w:val="32"/>
        </w:rPr>
        <w:t>年度决算数</w:t>
      </w:r>
      <w:r>
        <w:rPr>
          <w:rFonts w:hint="eastAsia" w:ascii="仿宋" w:hAnsi="仿宋" w:eastAsia="仿宋" w:cs="仿宋"/>
          <w:sz w:val="32"/>
          <w:szCs w:val="32"/>
          <w:lang w:val="en-US" w:eastAsia="zh-CN"/>
        </w:rPr>
        <w:t>增加2.19</w:t>
      </w:r>
      <w:r>
        <w:rPr>
          <w:rFonts w:hint="eastAsia" w:ascii="仿宋" w:hAnsi="仿宋" w:eastAsia="仿宋" w:cs="仿宋"/>
          <w:sz w:val="32"/>
          <w:szCs w:val="32"/>
        </w:rPr>
        <w:t>万元，</w:t>
      </w:r>
      <w:r>
        <w:rPr>
          <w:rFonts w:hint="eastAsia" w:ascii="仿宋" w:hAnsi="仿宋" w:eastAsia="仿宋" w:cs="仿宋"/>
          <w:sz w:val="32"/>
          <w:szCs w:val="32"/>
          <w:lang w:val="en-US" w:eastAsia="zh-CN"/>
        </w:rPr>
        <w:t>提高1.5</w:t>
      </w:r>
      <w:r>
        <w:rPr>
          <w:rFonts w:hint="eastAsia" w:ascii="仿宋" w:hAnsi="仿宋" w:eastAsia="仿宋" w:cs="仿宋"/>
          <w:sz w:val="32"/>
          <w:szCs w:val="32"/>
        </w:rPr>
        <w:t>%，主要原因为</w:t>
      </w:r>
      <w:r>
        <w:rPr>
          <w:rFonts w:hint="eastAsia" w:ascii="仿宋" w:hAnsi="仿宋" w:eastAsia="仿宋" w:cs="仿宋"/>
          <w:sz w:val="32"/>
          <w:szCs w:val="32"/>
          <w:lang w:val="en-US" w:eastAsia="zh-CN"/>
        </w:rPr>
        <w:t>工资有所增加</w:t>
      </w:r>
      <w:r>
        <w:rPr>
          <w:rFonts w:hint="eastAsia" w:ascii="仿宋" w:hAnsi="仿宋" w:eastAsia="仿宋" w:cs="仿宋"/>
          <w:sz w:val="32"/>
          <w:szCs w:val="32"/>
        </w:rPr>
        <w:t>。</w:t>
      </w:r>
    </w:p>
    <w:p w14:paraId="50F5F873">
      <w:pPr>
        <w:spacing w:line="560" w:lineRule="exact"/>
        <w:ind w:firstLine="627"/>
        <w:jc w:val="left"/>
        <w:rPr>
          <w:rFonts w:hint="eastAsia" w:ascii="仿宋" w:hAnsi="仿宋" w:eastAsia="仿宋" w:cs="仿宋"/>
          <w:sz w:val="32"/>
          <w:szCs w:val="32"/>
        </w:rPr>
      </w:pPr>
      <w:r>
        <w:rPr>
          <w:rFonts w:hint="eastAsia" w:ascii="仿宋" w:hAnsi="仿宋" w:eastAsia="仿宋" w:cs="仿宋"/>
          <w:bCs/>
          <w:sz w:val="32"/>
          <w:szCs w:val="32"/>
        </w:rPr>
        <w:t>4</w:t>
      </w:r>
      <w:r>
        <w:rPr>
          <w:rFonts w:hint="eastAsia" w:ascii="仿宋" w:hAnsi="仿宋" w:eastAsia="仿宋" w:cs="仿宋"/>
          <w:sz w:val="32"/>
          <w:szCs w:val="32"/>
        </w:rPr>
        <w:t>.社会保障和就业（类）支出</w:t>
      </w:r>
      <w:r>
        <w:rPr>
          <w:rFonts w:hint="eastAsia" w:ascii="仿宋" w:hAnsi="仿宋" w:eastAsia="仿宋" w:cs="仿宋"/>
          <w:sz w:val="32"/>
          <w:szCs w:val="32"/>
          <w:lang w:val="en-US" w:eastAsia="zh-CN"/>
        </w:rPr>
        <w:t>18.08</w:t>
      </w:r>
      <w:r>
        <w:rPr>
          <w:rFonts w:hint="eastAsia" w:ascii="仿宋" w:hAnsi="仿宋" w:eastAsia="仿宋" w:cs="仿宋"/>
          <w:sz w:val="32"/>
          <w:szCs w:val="32"/>
        </w:rPr>
        <w:t>万元；</w:t>
      </w:r>
    </w:p>
    <w:p w14:paraId="24987B00">
      <w:pPr>
        <w:spacing w:line="560" w:lineRule="exact"/>
        <w:ind w:firstLine="627"/>
        <w:jc w:val="left"/>
        <w:rPr>
          <w:rFonts w:hint="eastAsia" w:ascii="仿宋" w:hAnsi="仿宋" w:eastAsia="仿宋" w:cs="仿宋"/>
          <w:sz w:val="32"/>
          <w:szCs w:val="32"/>
        </w:rPr>
      </w:pPr>
      <w:r>
        <w:rPr>
          <w:rFonts w:hint="eastAsia" w:ascii="仿宋" w:hAnsi="仿宋" w:eastAsia="仿宋" w:cs="仿宋"/>
          <w:sz w:val="32"/>
          <w:szCs w:val="32"/>
        </w:rPr>
        <w:t>主要用于干部职工养老保险、医疗保险和工伤保险等社会保障资金。较20</w:t>
      </w:r>
      <w:r>
        <w:rPr>
          <w:rFonts w:hint="eastAsia" w:ascii="仿宋" w:hAnsi="仿宋" w:eastAsia="仿宋" w:cs="仿宋"/>
          <w:sz w:val="32"/>
          <w:szCs w:val="32"/>
          <w:lang w:val="en-US" w:eastAsia="zh-CN"/>
        </w:rPr>
        <w:t>22</w:t>
      </w:r>
      <w:r>
        <w:rPr>
          <w:rFonts w:hint="eastAsia" w:ascii="仿宋" w:hAnsi="仿宋" w:eastAsia="仿宋" w:cs="仿宋"/>
          <w:sz w:val="32"/>
          <w:szCs w:val="32"/>
        </w:rPr>
        <w:t>年度决算数</w:t>
      </w:r>
      <w:r>
        <w:rPr>
          <w:rFonts w:hint="eastAsia" w:ascii="仿宋" w:hAnsi="仿宋" w:eastAsia="仿宋" w:cs="仿宋"/>
          <w:sz w:val="32"/>
          <w:szCs w:val="32"/>
          <w:lang w:val="en-US" w:eastAsia="zh-CN"/>
        </w:rPr>
        <w:t>减少0.52</w:t>
      </w:r>
      <w:r>
        <w:rPr>
          <w:rFonts w:hint="eastAsia" w:ascii="仿宋" w:hAnsi="仿宋" w:eastAsia="仿宋" w:cs="仿宋"/>
          <w:sz w:val="32"/>
          <w:szCs w:val="32"/>
        </w:rPr>
        <w:t>万元</w:t>
      </w:r>
      <w:r>
        <w:rPr>
          <w:rFonts w:hint="eastAsia" w:ascii="仿宋" w:hAnsi="仿宋" w:eastAsia="仿宋" w:cs="仿宋"/>
          <w:sz w:val="32"/>
          <w:szCs w:val="32"/>
          <w:lang w:eastAsia="zh-CN"/>
        </w:rPr>
        <w:t>，数据与上年同基本相同</w:t>
      </w:r>
      <w:r>
        <w:rPr>
          <w:rFonts w:hint="eastAsia" w:ascii="仿宋" w:hAnsi="仿宋" w:eastAsia="仿宋" w:cs="仿宋"/>
          <w:sz w:val="32"/>
          <w:szCs w:val="32"/>
          <w:lang w:val="en-US" w:eastAsia="zh-CN"/>
        </w:rPr>
        <w:t>。</w:t>
      </w:r>
    </w:p>
    <w:p w14:paraId="1984EBDD">
      <w:pPr>
        <w:spacing w:line="560" w:lineRule="exact"/>
        <w:ind w:firstLine="640"/>
        <w:jc w:val="left"/>
        <w:rPr>
          <w:rFonts w:hint="eastAsia" w:ascii="仿宋" w:hAnsi="仿宋" w:eastAsia="仿宋" w:cs="仿宋"/>
          <w:sz w:val="32"/>
          <w:szCs w:val="32"/>
        </w:rPr>
      </w:pPr>
      <w:r>
        <w:rPr>
          <w:rFonts w:hint="eastAsia" w:ascii="仿宋" w:hAnsi="仿宋" w:eastAsia="仿宋" w:cs="仿宋"/>
          <w:bCs/>
          <w:sz w:val="32"/>
          <w:szCs w:val="32"/>
        </w:rPr>
        <w:t>5</w:t>
      </w:r>
      <w:r>
        <w:rPr>
          <w:rFonts w:hint="eastAsia" w:ascii="仿宋" w:hAnsi="仿宋" w:eastAsia="仿宋" w:cs="仿宋"/>
          <w:sz w:val="32"/>
          <w:szCs w:val="32"/>
        </w:rPr>
        <w:t>.住房保障支出（类）</w:t>
      </w:r>
      <w:r>
        <w:rPr>
          <w:rFonts w:hint="eastAsia" w:ascii="仿宋" w:hAnsi="仿宋" w:eastAsia="仿宋" w:cs="仿宋"/>
          <w:sz w:val="32"/>
          <w:szCs w:val="32"/>
          <w:lang w:val="en-US" w:eastAsia="zh-CN"/>
        </w:rPr>
        <w:t>13.64</w:t>
      </w:r>
      <w:r>
        <w:rPr>
          <w:rFonts w:hint="eastAsia" w:ascii="仿宋" w:hAnsi="仿宋" w:eastAsia="仿宋" w:cs="仿宋"/>
          <w:sz w:val="32"/>
          <w:szCs w:val="32"/>
        </w:rPr>
        <w:t>万元；</w:t>
      </w:r>
    </w:p>
    <w:p w14:paraId="26A8C486">
      <w:pPr>
        <w:spacing w:line="560" w:lineRule="exact"/>
        <w:ind w:firstLine="627"/>
        <w:jc w:val="left"/>
        <w:rPr>
          <w:rFonts w:hint="eastAsia" w:ascii="仿宋" w:hAnsi="仿宋" w:eastAsia="仿宋" w:cs="仿宋"/>
          <w:sz w:val="32"/>
          <w:szCs w:val="32"/>
        </w:rPr>
      </w:pPr>
      <w:r>
        <w:rPr>
          <w:rFonts w:hint="eastAsia" w:ascii="仿宋" w:hAnsi="仿宋" w:eastAsia="仿宋" w:cs="仿宋"/>
          <w:sz w:val="32"/>
          <w:szCs w:val="32"/>
        </w:rPr>
        <w:t>主要用于按照国家政策规定向职工发放的住房公积金、提租补贴、购房补贴等住房改革方面的支出。较20</w:t>
      </w:r>
      <w:r>
        <w:rPr>
          <w:rFonts w:hint="eastAsia" w:ascii="仿宋" w:hAnsi="仿宋" w:eastAsia="仿宋" w:cs="仿宋"/>
          <w:sz w:val="32"/>
          <w:szCs w:val="32"/>
          <w:lang w:val="en-US" w:eastAsia="zh-CN"/>
        </w:rPr>
        <w:t>22</w:t>
      </w:r>
      <w:r>
        <w:rPr>
          <w:rFonts w:hint="eastAsia" w:ascii="仿宋" w:hAnsi="仿宋" w:eastAsia="仿宋" w:cs="仿宋"/>
          <w:sz w:val="32"/>
          <w:szCs w:val="32"/>
        </w:rPr>
        <w:t>年度</w:t>
      </w:r>
      <w:r>
        <w:rPr>
          <w:rFonts w:hint="eastAsia" w:ascii="仿宋" w:hAnsi="仿宋" w:eastAsia="仿宋" w:cs="仿宋"/>
          <w:sz w:val="32"/>
          <w:szCs w:val="32"/>
          <w:lang w:eastAsia="zh-CN"/>
        </w:rPr>
        <w:t>数据与上年同基本相同</w:t>
      </w:r>
      <w:r>
        <w:rPr>
          <w:rFonts w:hint="eastAsia" w:ascii="仿宋" w:hAnsi="仿宋" w:eastAsia="仿宋" w:cs="仿宋"/>
          <w:sz w:val="32"/>
          <w:szCs w:val="32"/>
          <w:lang w:val="en-US" w:eastAsia="zh-CN"/>
        </w:rPr>
        <w:t>。</w:t>
      </w:r>
    </w:p>
    <w:p w14:paraId="23B50DE9">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其他支出</w:t>
      </w:r>
      <w:r>
        <w:rPr>
          <w:rFonts w:hint="eastAsia" w:ascii="仿宋" w:hAnsi="仿宋" w:eastAsia="仿宋" w:cs="仿宋"/>
          <w:sz w:val="32"/>
          <w:szCs w:val="32"/>
          <w:lang w:val="en-US" w:eastAsia="zh-CN"/>
        </w:rPr>
        <w:t>24.88</w:t>
      </w:r>
      <w:r>
        <w:rPr>
          <w:rFonts w:hint="eastAsia" w:ascii="仿宋" w:hAnsi="仿宋" w:eastAsia="仿宋" w:cs="仿宋"/>
          <w:sz w:val="32"/>
          <w:szCs w:val="32"/>
        </w:rPr>
        <w:t>万元；</w:t>
      </w:r>
    </w:p>
    <w:p w14:paraId="48D7626F">
      <w:pPr>
        <w:spacing w:line="560" w:lineRule="exact"/>
        <w:ind w:firstLine="640"/>
        <w:jc w:val="left"/>
        <w:rPr>
          <w:rFonts w:hint="eastAsia" w:ascii="仿宋" w:hAnsi="仿宋" w:eastAsia="仿宋" w:cs="仿宋"/>
          <w:sz w:val="32"/>
          <w:szCs w:val="32"/>
        </w:rPr>
      </w:pPr>
      <w:r>
        <w:rPr>
          <w:rFonts w:hint="eastAsia" w:ascii="仿宋" w:hAnsi="仿宋" w:eastAsia="仿宋" w:cs="仿宋"/>
          <w:sz w:val="32"/>
          <w:szCs w:val="32"/>
        </w:rPr>
        <w:t>主要用于发放干部年终绩效奖金和农林水事务的其他支出。较2</w:t>
      </w:r>
      <w:r>
        <w:rPr>
          <w:rFonts w:hint="eastAsia" w:ascii="仿宋" w:hAnsi="仿宋" w:eastAsia="仿宋" w:cs="仿宋"/>
          <w:sz w:val="32"/>
          <w:szCs w:val="32"/>
          <w:lang w:val="en-US" w:eastAsia="zh-CN"/>
        </w:rPr>
        <w:t>022</w:t>
      </w:r>
      <w:r>
        <w:rPr>
          <w:rFonts w:hint="eastAsia" w:ascii="仿宋" w:hAnsi="仿宋" w:eastAsia="仿宋" w:cs="仿宋"/>
          <w:sz w:val="32"/>
          <w:szCs w:val="32"/>
        </w:rPr>
        <w:t>年度决算数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10.06</w:t>
      </w:r>
      <w:r>
        <w:rPr>
          <w:rFonts w:hint="eastAsia" w:ascii="仿宋" w:hAnsi="仿宋" w:eastAsia="仿宋" w:cs="仿宋"/>
          <w:sz w:val="32"/>
          <w:szCs w:val="32"/>
        </w:rPr>
        <w:t>万元，</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28.8</w:t>
      </w:r>
      <w:r>
        <w:rPr>
          <w:rFonts w:hint="eastAsia" w:ascii="仿宋" w:hAnsi="仿宋" w:eastAsia="仿宋" w:cs="仿宋"/>
          <w:sz w:val="32"/>
          <w:szCs w:val="32"/>
        </w:rPr>
        <w:t>%，主要原因为</w:t>
      </w:r>
      <w:r>
        <w:rPr>
          <w:rFonts w:hint="eastAsia" w:ascii="仿宋" w:hAnsi="仿宋" w:eastAsia="仿宋" w:cs="仿宋"/>
          <w:sz w:val="32"/>
          <w:szCs w:val="32"/>
          <w:lang w:eastAsia="zh-CN"/>
        </w:rPr>
        <w:t>职工</w:t>
      </w:r>
      <w:r>
        <w:rPr>
          <w:rFonts w:hint="eastAsia" w:ascii="仿宋" w:hAnsi="仿宋" w:eastAsia="仿宋" w:cs="仿宋"/>
          <w:sz w:val="32"/>
          <w:szCs w:val="32"/>
        </w:rPr>
        <w:t>发的绩效奖金有所</w:t>
      </w:r>
      <w:r>
        <w:rPr>
          <w:rFonts w:hint="eastAsia" w:ascii="仿宋" w:hAnsi="仿宋" w:eastAsia="仿宋" w:cs="仿宋"/>
          <w:sz w:val="32"/>
          <w:szCs w:val="32"/>
          <w:lang w:eastAsia="zh-CN"/>
        </w:rPr>
        <w:t>减少</w:t>
      </w:r>
      <w:r>
        <w:rPr>
          <w:rFonts w:hint="eastAsia" w:ascii="仿宋" w:hAnsi="仿宋" w:eastAsia="仿宋" w:cs="仿宋"/>
          <w:sz w:val="32"/>
          <w:szCs w:val="32"/>
        </w:rPr>
        <w:t>。</w:t>
      </w:r>
    </w:p>
    <w:p w14:paraId="7B123E57">
      <w:pPr>
        <w:spacing w:line="560" w:lineRule="exact"/>
        <w:ind w:firstLine="640"/>
        <w:jc w:val="left"/>
        <w:rPr>
          <w:rFonts w:hint="eastAsia" w:ascii="仿宋" w:hAnsi="仿宋" w:eastAsia="仿宋" w:cs="仿宋"/>
          <w:sz w:val="32"/>
          <w:szCs w:val="32"/>
        </w:rPr>
      </w:pPr>
      <w:r>
        <w:rPr>
          <w:rFonts w:hint="eastAsia" w:ascii="仿宋" w:hAnsi="仿宋" w:eastAsia="仿宋" w:cs="仿宋"/>
          <w:bCs/>
          <w:sz w:val="32"/>
          <w:szCs w:val="32"/>
        </w:rPr>
        <w:t>7</w:t>
      </w:r>
      <w:r>
        <w:rPr>
          <w:rFonts w:hint="eastAsia" w:ascii="仿宋" w:hAnsi="仿宋" w:eastAsia="仿宋" w:cs="仿宋"/>
          <w:sz w:val="32"/>
          <w:szCs w:val="32"/>
        </w:rPr>
        <w:t>.结余分配0万元；</w:t>
      </w:r>
    </w:p>
    <w:p w14:paraId="0EA2DAAC">
      <w:pPr>
        <w:spacing w:line="560" w:lineRule="exact"/>
        <w:ind w:firstLine="640" w:firstLineChars="200"/>
        <w:jc w:val="left"/>
        <w:rPr>
          <w:rFonts w:hint="eastAsia" w:ascii="仿宋_GB2312" w:eastAsia="仿宋_GB2312" w:cs="仿宋_GB2312"/>
          <w:kern w:val="0"/>
          <w:sz w:val="32"/>
          <w:szCs w:val="32"/>
        </w:rPr>
      </w:pPr>
      <w:r>
        <w:rPr>
          <w:rFonts w:hint="eastAsia" w:ascii="仿宋" w:hAnsi="仿宋" w:eastAsia="仿宋" w:cs="仿宋"/>
          <w:sz w:val="32"/>
          <w:szCs w:val="32"/>
        </w:rPr>
        <w:t>8.年末结转和结余</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15F29A72">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rPr>
        <w:t>202</w:t>
      </w:r>
      <w:r>
        <w:rPr>
          <w:rFonts w:hint="eastAsia" w:ascii="黑体" w:hAnsi="黑体" w:eastAsia="黑体"/>
          <w:kern w:val="0"/>
          <w:sz w:val="32"/>
          <w:szCs w:val="32"/>
          <w:lang w:val="en-US" w:eastAsia="zh-CN"/>
        </w:rPr>
        <w:t>3</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14:paraId="26C552F2">
      <w:pPr>
        <w:autoSpaceDE w:val="0"/>
        <w:autoSpaceDN w:val="0"/>
        <w:adjustRightInd w:val="0"/>
        <w:spacing w:line="560" w:lineRule="exact"/>
        <w:ind w:firstLine="1200" w:firstLineChars="400"/>
        <w:jc w:val="both"/>
        <w:rPr>
          <w:rFonts w:hint="eastAsia" w:ascii="仿宋_GB2312" w:eastAsia="仿宋_GB2312" w:cs="仿宋_GB2312"/>
          <w:kern w:val="0"/>
          <w:sz w:val="32"/>
          <w:szCs w:val="32"/>
        </w:rPr>
      </w:pPr>
      <w:r>
        <w:rPr>
          <w:rFonts w:hint="eastAsia" w:asciiTheme="majorEastAsia" w:hAnsiTheme="majorEastAsia" w:eastAsiaTheme="majorEastAsia" w:cstheme="majorEastAsia"/>
          <w:b w:val="0"/>
          <w:bCs w:val="0"/>
          <w:kern w:val="0"/>
          <w:sz w:val="30"/>
          <w:szCs w:val="30"/>
          <w:u w:val="single"/>
          <w:lang w:val="en-US" w:eastAsia="zh-CN"/>
        </w:rPr>
        <w:t>自治县</w:t>
      </w:r>
      <w:r>
        <w:rPr>
          <w:rFonts w:hint="eastAsia" w:asciiTheme="majorEastAsia" w:hAnsiTheme="majorEastAsia" w:eastAsiaTheme="majorEastAsia" w:cstheme="majorEastAsia"/>
          <w:b w:val="0"/>
          <w:bCs w:val="0"/>
          <w:color w:val="000000"/>
          <w:sz w:val="30"/>
          <w:szCs w:val="30"/>
          <w:u w:val="single"/>
          <w:lang w:val="en-US" w:eastAsia="zh-CN"/>
        </w:rPr>
        <w:t>糖业发展中心</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 xml:space="preserve">公共预算财政拨款支出 </w:t>
      </w:r>
      <w:r>
        <w:rPr>
          <w:rFonts w:hint="eastAsia" w:ascii="仿宋_GB2312" w:eastAsia="仿宋_GB2312" w:cs="仿宋_GB2312"/>
          <w:kern w:val="0"/>
          <w:sz w:val="32"/>
          <w:szCs w:val="32"/>
          <w:lang w:val="en-US" w:eastAsia="zh-CN"/>
        </w:rPr>
        <w:t>209.19</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10.04</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4.6</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cs="仿宋_GB2312"/>
          <w:kern w:val="0"/>
          <w:sz w:val="32"/>
          <w:szCs w:val="32"/>
          <w:lang w:val="en-US" w:eastAsia="zh-CN"/>
        </w:rPr>
        <w:t>199.7</w:t>
      </w:r>
      <w:r>
        <w:rPr>
          <w:rFonts w:hint="eastAsia" w:ascii="仿宋_GB2312" w:eastAsia="仿宋_GB2312" w:cs="仿宋_GB2312"/>
          <w:kern w:val="0"/>
          <w:sz w:val="32"/>
          <w:szCs w:val="32"/>
        </w:rPr>
        <w:t>万元，项目支</w:t>
      </w:r>
      <w:r>
        <w:rPr>
          <w:rFonts w:hint="eastAsia" w:ascii="仿宋_GB2312" w:eastAsia="仿宋_GB2312" w:cs="仿宋_GB2312"/>
          <w:kern w:val="0"/>
          <w:sz w:val="32"/>
          <w:szCs w:val="32"/>
          <w:lang w:val="en-US" w:eastAsia="zh-CN"/>
        </w:rPr>
        <w:t>9.5</w:t>
      </w:r>
      <w:r>
        <w:rPr>
          <w:rFonts w:hint="eastAsia" w:ascii="仿宋_GB2312" w:eastAsia="仿宋_GB2312" w:cs="仿宋_GB2312"/>
          <w:kern w:val="0"/>
          <w:sz w:val="32"/>
          <w:szCs w:val="32"/>
        </w:rPr>
        <w:t>万元。</w:t>
      </w:r>
    </w:p>
    <w:p w14:paraId="77F3A58B">
      <w:pPr>
        <w:autoSpaceDE w:val="0"/>
        <w:autoSpaceDN w:val="0"/>
        <w:adjustRightInd w:val="0"/>
        <w:spacing w:line="560" w:lineRule="exact"/>
        <w:ind w:firstLine="600" w:firstLineChars="200"/>
        <w:jc w:val="both"/>
        <w:rPr>
          <w:rFonts w:hint="eastAsia" w:ascii="仿宋_GB2312" w:hAnsi="黑体" w:eastAsia="仿宋_GB2312" w:cs="仿宋_GB2312"/>
          <w:kern w:val="0"/>
          <w:sz w:val="32"/>
          <w:szCs w:val="32"/>
        </w:rPr>
      </w:pPr>
      <w:r>
        <w:rPr>
          <w:rFonts w:hint="eastAsia" w:asciiTheme="majorEastAsia" w:hAnsiTheme="majorEastAsia" w:eastAsiaTheme="majorEastAsia" w:cstheme="majorEastAsia"/>
          <w:b w:val="0"/>
          <w:bCs w:val="0"/>
          <w:color w:val="000000"/>
          <w:sz w:val="30"/>
          <w:szCs w:val="30"/>
          <w:u w:val="single"/>
          <w:lang w:val="en-US" w:eastAsia="zh-CN"/>
        </w:rPr>
        <w:t>糖业发展中心</w:t>
      </w:r>
      <w:r>
        <w:rPr>
          <w:rFonts w:hint="eastAsia" w:ascii="仿宋_GB2312" w:hAnsi="黑体" w:eastAsia="仿宋_GB2312"/>
          <w:kern w:val="0"/>
          <w:sz w:val="32"/>
          <w:szCs w:val="32"/>
        </w:rPr>
        <w:t>202</w:t>
      </w:r>
      <w:r>
        <w:rPr>
          <w:rFonts w:hint="eastAsia" w:ascii="仿宋_GB2312" w:hAnsi="黑体" w:eastAsia="仿宋_GB2312"/>
          <w:kern w:val="0"/>
          <w:sz w:val="32"/>
          <w:szCs w:val="32"/>
          <w:lang w:val="en-US" w:eastAsia="zh-CN"/>
        </w:rPr>
        <w:t>3</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hAnsi="黑体" w:eastAsia="仿宋_GB2312" w:cs="仿宋_GB2312"/>
          <w:kern w:val="0"/>
          <w:sz w:val="32"/>
          <w:szCs w:val="32"/>
          <w:lang w:val="en-US" w:eastAsia="zh-CN"/>
        </w:rPr>
        <w:t>209.19</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197.05</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106.1</w:t>
      </w:r>
      <w:r>
        <w:rPr>
          <w:rFonts w:hint="eastAsia" w:ascii="仿宋_GB2312" w:hAnsi="黑体" w:eastAsia="仿宋_GB2312" w:cs="仿宋_GB2312"/>
          <w:kern w:val="0"/>
          <w:sz w:val="32"/>
          <w:szCs w:val="32"/>
        </w:rPr>
        <w:t>%。</w:t>
      </w:r>
    </w:p>
    <w:p w14:paraId="7151F996">
      <w:pPr>
        <w:numPr>
          <w:ilvl w:val="0"/>
          <w:numId w:val="3"/>
        </w:num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一般公共服务支出（类）</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197.05</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209.19</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106.1</w:t>
      </w:r>
      <w:r>
        <w:rPr>
          <w:rFonts w:hint="eastAsia" w:ascii="仿宋_GB2312" w:hAnsi="黑体" w:eastAsia="仿宋_GB2312" w:cs="仿宋_GB2312"/>
          <w:kern w:val="0"/>
          <w:sz w:val="32"/>
          <w:szCs w:val="32"/>
        </w:rPr>
        <w:t>%。</w:t>
      </w:r>
    </w:p>
    <w:p w14:paraId="63E07F3A">
      <w:pPr>
        <w:keepNext w:val="0"/>
        <w:keepLines w:val="0"/>
        <w:pageBreakBefore w:val="0"/>
        <w:numPr>
          <w:ilvl w:val="0"/>
          <w:numId w:val="4"/>
        </w:numPr>
        <w:kinsoku/>
        <w:wordWrap/>
        <w:overflowPunct/>
        <w:topLinePunct w:val="0"/>
        <w:autoSpaceDE w:val="0"/>
        <w:autoSpaceDN w:val="0"/>
        <w:bidi w:val="0"/>
        <w:adjustRightInd w:val="0"/>
        <w:spacing w:line="560" w:lineRule="exact"/>
        <w:ind w:firstLine="643" w:firstLineChars="20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
          <w:bCs w:val="0"/>
          <w:kern w:val="0"/>
          <w:sz w:val="32"/>
          <w:szCs w:val="32"/>
          <w:highlight w:val="none"/>
        </w:rPr>
        <w:t>行政运行（项）支出</w:t>
      </w:r>
      <w:r>
        <w:rPr>
          <w:rFonts w:hint="eastAsia" w:ascii="仿宋_GB2312" w:hAnsi="仿宋_GB2312" w:eastAsia="仿宋_GB2312" w:cs="仿宋_GB2312"/>
          <w:b/>
          <w:bCs w:val="0"/>
          <w:kern w:val="0"/>
          <w:sz w:val="32"/>
          <w:szCs w:val="32"/>
          <w:highlight w:val="none"/>
          <w:lang w:val="en-US" w:eastAsia="zh-CN"/>
        </w:rPr>
        <w:t xml:space="preserve"> </w:t>
      </w:r>
      <w:r>
        <w:rPr>
          <w:rFonts w:hint="eastAsia" w:ascii="仿宋_GB2312" w:hAnsi="仿宋_GB2312" w:eastAsia="仿宋_GB2312" w:cs="仿宋_GB2312"/>
          <w:bCs/>
          <w:kern w:val="0"/>
          <w:sz w:val="32"/>
          <w:szCs w:val="32"/>
          <w:highlight w:val="none"/>
          <w:lang w:val="en-US" w:eastAsia="zh-CN"/>
        </w:rPr>
        <w:t xml:space="preserve"> </w:t>
      </w:r>
      <w:r>
        <w:rPr>
          <w:rFonts w:hint="eastAsia" w:ascii="仿宋_GB2312" w:hAnsi="仿宋_GB2312" w:eastAsia="仿宋_GB2312" w:cs="仿宋_GB2312"/>
          <w:bCs/>
          <w:kern w:val="0"/>
          <w:sz w:val="32"/>
          <w:szCs w:val="32"/>
          <w:highlight w:val="none"/>
        </w:rPr>
        <w:t>年初预算为</w:t>
      </w:r>
      <w:r>
        <w:rPr>
          <w:rFonts w:hint="eastAsia" w:ascii="仿宋_GB2312" w:hAnsi="仿宋_GB2312" w:eastAsia="仿宋_GB2312" w:cs="仿宋_GB2312"/>
          <w:bCs/>
          <w:kern w:val="0"/>
          <w:sz w:val="32"/>
          <w:szCs w:val="32"/>
          <w:highlight w:val="none"/>
          <w:lang w:val="en-US" w:eastAsia="zh-CN"/>
        </w:rPr>
        <w:t>0</w:t>
      </w:r>
      <w:r>
        <w:rPr>
          <w:rFonts w:hint="eastAsia" w:ascii="仿宋_GB2312" w:hAnsi="仿宋_GB2312" w:eastAsia="仿宋_GB2312" w:cs="仿宋_GB2312"/>
          <w:bCs/>
          <w:kern w:val="0"/>
          <w:sz w:val="32"/>
          <w:szCs w:val="32"/>
          <w:highlight w:val="none"/>
        </w:rPr>
        <w:t>万元</w:t>
      </w: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highlight w:val="none"/>
        </w:rPr>
        <w:t xml:space="preserve">支出决算为 </w:t>
      </w:r>
      <w:r>
        <w:rPr>
          <w:rFonts w:hint="eastAsia" w:ascii="仿宋_GB2312" w:hAnsi="仿宋_GB2312" w:eastAsia="仿宋_GB2312" w:cs="仿宋_GB2312"/>
          <w:bCs/>
          <w:kern w:val="0"/>
          <w:sz w:val="32"/>
          <w:szCs w:val="32"/>
          <w:highlight w:val="none"/>
          <w:lang w:val="en-US" w:eastAsia="zh-CN"/>
        </w:rPr>
        <w:t>0</w:t>
      </w:r>
      <w:r>
        <w:rPr>
          <w:rFonts w:hint="eastAsia" w:ascii="仿宋_GB2312" w:hAnsi="仿宋_GB2312" w:eastAsia="仿宋_GB2312" w:cs="仿宋_GB2312"/>
          <w:bCs/>
          <w:kern w:val="0"/>
          <w:sz w:val="32"/>
          <w:szCs w:val="32"/>
          <w:highlight w:val="none"/>
        </w:rPr>
        <w:t>万元</w:t>
      </w:r>
      <w:r>
        <w:rPr>
          <w:rFonts w:hint="eastAsia" w:ascii="仿宋_GB2312" w:hAnsi="仿宋_GB2312" w:eastAsia="仿宋_GB2312" w:cs="仿宋_GB2312"/>
          <w:bCs/>
          <w:kern w:val="0"/>
          <w:sz w:val="32"/>
          <w:szCs w:val="32"/>
          <w:highlight w:val="none"/>
          <w:lang w:eastAsia="zh-CN"/>
        </w:rPr>
        <w:t>。</w:t>
      </w:r>
    </w:p>
    <w:p w14:paraId="4DF63097">
      <w:pPr>
        <w:keepNext w:val="0"/>
        <w:keepLines w:val="0"/>
        <w:pageBreakBefore w:val="0"/>
        <w:numPr>
          <w:ilvl w:val="0"/>
          <w:numId w:val="4"/>
        </w:numPr>
        <w:kinsoku/>
        <w:wordWrap/>
        <w:overflowPunct/>
        <w:topLinePunct w:val="0"/>
        <w:autoSpaceDE w:val="0"/>
        <w:autoSpaceDN w:val="0"/>
        <w:bidi w:val="0"/>
        <w:adjustRightInd w:val="0"/>
        <w:spacing w:line="560" w:lineRule="exact"/>
        <w:ind w:left="0" w:leftChars="0" w:firstLine="643" w:firstLineChars="20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
          <w:bCs w:val="0"/>
          <w:kern w:val="0"/>
          <w:sz w:val="32"/>
          <w:szCs w:val="32"/>
          <w:highlight w:val="none"/>
        </w:rPr>
        <w:t>事业运行（项）支出</w:t>
      </w:r>
      <w:r>
        <w:rPr>
          <w:rFonts w:hint="eastAsia" w:ascii="仿宋_GB2312" w:hAnsi="仿宋_GB2312" w:eastAsia="仿宋_GB2312" w:cs="仿宋_GB2312"/>
          <w:b/>
          <w:bCs w:val="0"/>
          <w:kern w:val="0"/>
          <w:sz w:val="32"/>
          <w:szCs w:val="32"/>
          <w:highlight w:val="none"/>
          <w:lang w:val="en-US" w:eastAsia="zh-CN"/>
        </w:rPr>
        <w:t xml:space="preserve">   </w:t>
      </w:r>
      <w:r>
        <w:rPr>
          <w:rFonts w:hint="eastAsia" w:ascii="仿宋_GB2312" w:hAnsi="仿宋_GB2312" w:eastAsia="仿宋_GB2312" w:cs="仿宋_GB2312"/>
          <w:bCs/>
          <w:kern w:val="0"/>
          <w:sz w:val="32"/>
          <w:szCs w:val="32"/>
          <w:highlight w:val="none"/>
        </w:rPr>
        <w:t>年初预算为</w:t>
      </w:r>
      <w:r>
        <w:rPr>
          <w:rFonts w:hint="eastAsia" w:ascii="仿宋_GB2312" w:hAnsi="仿宋_GB2312" w:eastAsia="仿宋_GB2312" w:cs="仿宋_GB2312"/>
          <w:bCs/>
          <w:kern w:val="0"/>
          <w:sz w:val="32"/>
          <w:szCs w:val="32"/>
          <w:highlight w:val="none"/>
          <w:lang w:val="en-US" w:eastAsia="zh-CN"/>
        </w:rPr>
        <w:t>155.88</w:t>
      </w:r>
      <w:r>
        <w:rPr>
          <w:rFonts w:hint="eastAsia" w:ascii="仿宋_GB2312" w:hAnsi="仿宋_GB2312" w:eastAsia="仿宋_GB2312" w:cs="仿宋_GB2312"/>
          <w:bCs/>
          <w:kern w:val="0"/>
          <w:sz w:val="32"/>
          <w:szCs w:val="32"/>
          <w:highlight w:val="none"/>
        </w:rPr>
        <w:t>万元，支出决算为</w:t>
      </w:r>
      <w:r>
        <w:rPr>
          <w:rFonts w:hint="eastAsia" w:ascii="仿宋_GB2312" w:hAnsi="仿宋_GB2312" w:eastAsia="仿宋_GB2312" w:cs="仿宋_GB2312"/>
          <w:bCs/>
          <w:kern w:val="0"/>
          <w:sz w:val="32"/>
          <w:szCs w:val="32"/>
          <w:highlight w:val="none"/>
          <w:lang w:val="en-US" w:eastAsia="zh-CN"/>
        </w:rPr>
        <w:t>149.85</w:t>
      </w:r>
      <w:r>
        <w:rPr>
          <w:rFonts w:hint="eastAsia" w:ascii="仿宋_GB2312" w:hAnsi="仿宋_GB2312" w:eastAsia="仿宋_GB2312" w:cs="仿宋_GB2312"/>
          <w:bCs/>
          <w:kern w:val="0"/>
          <w:sz w:val="32"/>
          <w:szCs w:val="32"/>
          <w:highlight w:val="none"/>
        </w:rPr>
        <w:t>万元，完成年初预算的</w:t>
      </w:r>
      <w:r>
        <w:rPr>
          <w:rFonts w:hint="eastAsia" w:ascii="仿宋_GB2312" w:hAnsi="仿宋_GB2312" w:eastAsia="仿宋_GB2312" w:cs="仿宋_GB2312"/>
          <w:bCs/>
          <w:kern w:val="0"/>
          <w:sz w:val="32"/>
          <w:szCs w:val="32"/>
          <w:highlight w:val="none"/>
          <w:lang w:val="en-US" w:eastAsia="zh-CN"/>
        </w:rPr>
        <w:t>96.1</w:t>
      </w:r>
      <w:r>
        <w:rPr>
          <w:rFonts w:hint="eastAsia" w:ascii="仿宋_GB2312" w:hAnsi="仿宋_GB2312" w:eastAsia="仿宋_GB2312" w:cs="仿宋_GB2312"/>
          <w:bCs/>
          <w:kern w:val="0"/>
          <w:sz w:val="32"/>
          <w:szCs w:val="32"/>
          <w:highlight w:val="none"/>
        </w:rPr>
        <w:t>%。主要用于部门所属事业单位人员工资、日常运转方面的支出。</w:t>
      </w:r>
    </w:p>
    <w:p w14:paraId="67D17861">
      <w:pPr>
        <w:keepNext w:val="0"/>
        <w:keepLines w:val="0"/>
        <w:pageBreakBefore w:val="0"/>
        <w:numPr>
          <w:ilvl w:val="0"/>
          <w:numId w:val="0"/>
        </w:numPr>
        <w:kinsoku/>
        <w:wordWrap/>
        <w:overflowPunct/>
        <w:topLinePunct w:val="0"/>
        <w:autoSpaceDE w:val="0"/>
        <w:autoSpaceDN w:val="0"/>
        <w:bidi w:val="0"/>
        <w:adjustRightInd w:val="0"/>
        <w:spacing w:line="560" w:lineRule="exact"/>
        <w:ind w:leftChars="200"/>
        <w:textAlignment w:val="auto"/>
        <w:rPr>
          <w:rFonts w:hint="eastAsia" w:ascii="仿宋_GB2312" w:hAnsi="仿宋_GB2312" w:eastAsia="仿宋_GB2312" w:cs="仿宋_GB2312"/>
          <w:bCs/>
          <w:kern w:val="0"/>
          <w:sz w:val="32"/>
          <w:szCs w:val="32"/>
          <w:highlight w:val="none"/>
        </w:rPr>
      </w:pPr>
    </w:p>
    <w:p w14:paraId="08E8F4B9">
      <w:pPr>
        <w:keepNext w:val="0"/>
        <w:keepLines w:val="0"/>
        <w:pageBreakBefore w:val="0"/>
        <w:numPr>
          <w:ilvl w:val="0"/>
          <w:numId w:val="0"/>
        </w:numPr>
        <w:kinsoku/>
        <w:wordWrap/>
        <w:overflowPunct/>
        <w:topLinePunct w:val="0"/>
        <w:autoSpaceDE w:val="0"/>
        <w:autoSpaceDN w:val="0"/>
        <w:bidi w:val="0"/>
        <w:adjustRightInd w:val="0"/>
        <w:spacing w:line="560" w:lineRule="exact"/>
        <w:textAlignment w:val="auto"/>
        <w:rPr>
          <w:rFonts w:hint="eastAsia" w:ascii="仿宋_GB2312" w:hAnsi="仿宋_GB2312" w:eastAsia="仿宋_GB2312" w:cs="仿宋_GB2312"/>
          <w:bCs/>
          <w:kern w:val="0"/>
          <w:sz w:val="32"/>
          <w:szCs w:val="32"/>
          <w:highlight w:val="none"/>
        </w:rPr>
      </w:pPr>
    </w:p>
    <w:p w14:paraId="0109BD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rPr>
          <w:rFonts w:hint="eastAsia" w:ascii="宋体" w:hAnsi="宋体" w:eastAsia="宋体" w:cs="宋体"/>
          <w:i w:val="0"/>
          <w:iCs w:val="0"/>
          <w:caps w:val="0"/>
          <w:color w:val="333333"/>
          <w:spacing w:val="0"/>
          <w:sz w:val="28"/>
          <w:szCs w:val="28"/>
        </w:rPr>
      </w:pPr>
      <w:r>
        <w:rPr>
          <w:rFonts w:hint="eastAsia" w:ascii="仿宋" w:hAnsi="仿宋" w:eastAsia="仿宋" w:cs="仿宋"/>
          <w:sz w:val="32"/>
          <w:szCs w:val="32"/>
          <w:highlight w:val="none"/>
        </w:rPr>
        <w:drawing>
          <wp:inline distT="0" distB="0" distL="114300" distR="114300">
            <wp:extent cx="4474845" cy="3215640"/>
            <wp:effectExtent l="4445" t="4445" r="16510" b="1079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96D9F55">
      <w:pPr>
        <w:keepNext w:val="0"/>
        <w:keepLines w:val="0"/>
        <w:pageBreakBefore w:val="0"/>
        <w:numPr>
          <w:ilvl w:val="0"/>
          <w:numId w:val="0"/>
        </w:numPr>
        <w:kinsoku/>
        <w:wordWrap/>
        <w:overflowPunct/>
        <w:topLinePunct w:val="0"/>
        <w:autoSpaceDE w:val="0"/>
        <w:autoSpaceDN w:val="0"/>
        <w:bidi w:val="0"/>
        <w:adjustRightInd w:val="0"/>
        <w:spacing w:line="560" w:lineRule="exact"/>
        <w:textAlignment w:val="auto"/>
        <w:rPr>
          <w:rFonts w:hint="eastAsia" w:ascii="仿宋_GB2312" w:hAnsi="仿宋_GB2312" w:eastAsia="仿宋_GB2312" w:cs="仿宋_GB2312"/>
          <w:bCs/>
          <w:kern w:val="0"/>
          <w:sz w:val="32"/>
          <w:szCs w:val="32"/>
          <w:highlight w:val="none"/>
        </w:rPr>
      </w:pPr>
    </w:p>
    <w:p w14:paraId="5D15669E">
      <w:pPr>
        <w:autoSpaceDE w:val="0"/>
        <w:autoSpaceDN w:val="0"/>
        <w:adjustRightInd w:val="0"/>
        <w:spacing w:line="600" w:lineRule="exact"/>
        <w:ind w:firstLine="643" w:firstLineChars="200"/>
        <w:rPr>
          <w:rFonts w:hint="eastAsia" w:ascii="仿宋" w:hAnsi="仿宋" w:eastAsia="仿宋" w:cs="仿宋"/>
          <w:bCs/>
          <w:kern w:val="0"/>
          <w:sz w:val="32"/>
          <w:szCs w:val="32"/>
        </w:rPr>
      </w:pPr>
      <w:r>
        <w:rPr>
          <w:rFonts w:hint="eastAsia" w:ascii="仿宋" w:hAnsi="仿宋" w:eastAsia="仿宋" w:cs="仿宋"/>
          <w:b/>
          <w:bCs w:val="0"/>
          <w:kern w:val="0"/>
          <w:sz w:val="32"/>
          <w:szCs w:val="32"/>
          <w:lang w:val="en-US" w:eastAsia="zh-CN"/>
        </w:rPr>
        <w:t>3</w:t>
      </w:r>
      <w:r>
        <w:rPr>
          <w:rFonts w:hint="eastAsia" w:ascii="仿宋" w:hAnsi="仿宋" w:eastAsia="仿宋" w:cs="仿宋"/>
          <w:b/>
          <w:bCs w:val="0"/>
          <w:kern w:val="0"/>
          <w:sz w:val="32"/>
          <w:szCs w:val="32"/>
        </w:rPr>
        <w:t>、</w:t>
      </w:r>
      <w:r>
        <w:rPr>
          <w:rFonts w:hint="eastAsia" w:ascii="仿宋" w:hAnsi="仿宋" w:eastAsia="仿宋" w:cs="仿宋"/>
          <w:b/>
          <w:bCs w:val="0"/>
          <w:kern w:val="0"/>
          <w:sz w:val="32"/>
          <w:szCs w:val="32"/>
          <w:lang w:eastAsia="zh-CN"/>
        </w:rPr>
        <w:t>其他农业</w:t>
      </w:r>
      <w:r>
        <w:rPr>
          <w:rFonts w:hint="eastAsia" w:ascii="仿宋" w:hAnsi="仿宋" w:eastAsia="仿宋" w:cs="仿宋"/>
          <w:b/>
          <w:bCs w:val="0"/>
          <w:kern w:val="0"/>
          <w:sz w:val="32"/>
          <w:szCs w:val="32"/>
        </w:rPr>
        <w:t>支出</w:t>
      </w:r>
      <w:r>
        <w:rPr>
          <w:rFonts w:hint="eastAsia" w:ascii="仿宋" w:hAnsi="仿宋" w:eastAsia="仿宋" w:cs="仿宋"/>
          <w:b/>
          <w:bCs w:val="0"/>
          <w:kern w:val="0"/>
          <w:sz w:val="32"/>
          <w:szCs w:val="32"/>
          <w:lang w:val="en-US" w:eastAsia="zh-CN"/>
        </w:rPr>
        <w:t xml:space="preserve"> </w:t>
      </w:r>
      <w:r>
        <w:rPr>
          <w:rFonts w:hint="eastAsia" w:ascii="仿宋" w:hAnsi="仿宋" w:eastAsia="仿宋" w:cs="仿宋"/>
          <w:bCs/>
          <w:kern w:val="0"/>
          <w:sz w:val="32"/>
          <w:szCs w:val="32"/>
          <w:lang w:val="en-US" w:eastAsia="zh-CN"/>
        </w:rPr>
        <w:t xml:space="preserve">  </w:t>
      </w:r>
      <w:r>
        <w:rPr>
          <w:rFonts w:hint="eastAsia" w:ascii="仿宋" w:hAnsi="仿宋" w:eastAsia="仿宋" w:cs="仿宋"/>
          <w:bCs/>
          <w:kern w:val="0"/>
          <w:sz w:val="32"/>
          <w:szCs w:val="32"/>
        </w:rPr>
        <w:t xml:space="preserve">年初预算为 </w:t>
      </w:r>
      <w:r>
        <w:rPr>
          <w:rFonts w:hint="eastAsia" w:ascii="仿宋" w:hAnsi="仿宋" w:eastAsia="仿宋" w:cs="仿宋"/>
          <w:bCs/>
          <w:kern w:val="0"/>
          <w:sz w:val="32"/>
          <w:szCs w:val="32"/>
          <w:lang w:val="en-US" w:eastAsia="zh-CN"/>
        </w:rPr>
        <w:t>0</w:t>
      </w:r>
      <w:r>
        <w:rPr>
          <w:rFonts w:hint="eastAsia" w:ascii="仿宋" w:hAnsi="仿宋" w:eastAsia="仿宋" w:cs="仿宋"/>
          <w:bCs/>
          <w:kern w:val="0"/>
          <w:sz w:val="32"/>
          <w:szCs w:val="32"/>
        </w:rPr>
        <w:t>万元，支出决算为</w:t>
      </w:r>
      <w:r>
        <w:rPr>
          <w:rFonts w:hint="eastAsia" w:ascii="仿宋" w:hAnsi="仿宋" w:eastAsia="仿宋" w:cs="仿宋"/>
          <w:bCs/>
          <w:kern w:val="0"/>
          <w:sz w:val="32"/>
          <w:szCs w:val="32"/>
          <w:lang w:val="en-US" w:eastAsia="zh-CN"/>
        </w:rPr>
        <w:t>0</w:t>
      </w:r>
      <w:r>
        <w:rPr>
          <w:rFonts w:hint="eastAsia" w:ascii="仿宋" w:hAnsi="仿宋" w:eastAsia="仿宋" w:cs="仿宋"/>
          <w:bCs/>
          <w:kern w:val="0"/>
          <w:sz w:val="32"/>
          <w:szCs w:val="32"/>
        </w:rPr>
        <w:t>万元。</w:t>
      </w:r>
    </w:p>
    <w:p w14:paraId="1A758F52">
      <w:pPr>
        <w:autoSpaceDE w:val="0"/>
        <w:autoSpaceDN w:val="0"/>
        <w:adjustRightInd w:val="0"/>
        <w:spacing w:line="600" w:lineRule="exact"/>
        <w:ind w:firstLine="643" w:firstLineChars="200"/>
        <w:rPr>
          <w:rFonts w:hint="eastAsia" w:ascii="仿宋" w:hAnsi="仿宋" w:eastAsia="仿宋" w:cs="仿宋"/>
          <w:bCs/>
          <w:kern w:val="0"/>
          <w:sz w:val="32"/>
          <w:szCs w:val="32"/>
          <w:lang w:val="en-US" w:eastAsia="zh-CN"/>
        </w:rPr>
      </w:pPr>
      <w:r>
        <w:rPr>
          <w:rFonts w:hint="eastAsia" w:ascii="仿宋" w:hAnsi="仿宋" w:eastAsia="仿宋" w:cs="仿宋"/>
          <w:b/>
          <w:bCs w:val="0"/>
          <w:kern w:val="0"/>
          <w:sz w:val="32"/>
          <w:szCs w:val="32"/>
          <w:lang w:val="en-US" w:eastAsia="zh-CN"/>
        </w:rPr>
        <w:t>4</w:t>
      </w:r>
      <w:r>
        <w:rPr>
          <w:rFonts w:hint="eastAsia" w:ascii="仿宋" w:hAnsi="仿宋" w:eastAsia="仿宋" w:cs="仿宋"/>
          <w:b/>
          <w:bCs w:val="0"/>
          <w:kern w:val="0"/>
          <w:sz w:val="32"/>
          <w:szCs w:val="32"/>
        </w:rPr>
        <w:t>.机关事业单位基本养老保险缴费支出</w:t>
      </w:r>
      <w:r>
        <w:rPr>
          <w:rFonts w:hint="eastAsia" w:ascii="仿宋" w:hAnsi="仿宋" w:eastAsia="仿宋" w:cs="仿宋"/>
          <w:bCs/>
          <w:kern w:val="0"/>
          <w:sz w:val="32"/>
          <w:szCs w:val="32"/>
          <w:lang w:val="en-US" w:eastAsia="zh-CN"/>
        </w:rPr>
        <w:t xml:space="preserve">    </w:t>
      </w:r>
    </w:p>
    <w:p w14:paraId="0CAE6693">
      <w:pPr>
        <w:autoSpaceDE w:val="0"/>
        <w:autoSpaceDN w:val="0"/>
        <w:adjustRightInd w:val="0"/>
        <w:spacing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bCs/>
          <w:kern w:val="0"/>
          <w:sz w:val="32"/>
          <w:szCs w:val="32"/>
        </w:rPr>
        <w:t>年初预算为</w:t>
      </w:r>
      <w:r>
        <w:rPr>
          <w:rFonts w:hint="eastAsia" w:ascii="仿宋" w:hAnsi="仿宋" w:eastAsia="仿宋" w:cs="仿宋"/>
          <w:bCs/>
          <w:kern w:val="0"/>
          <w:sz w:val="32"/>
          <w:szCs w:val="32"/>
          <w:lang w:val="en-US" w:eastAsia="zh-CN"/>
        </w:rPr>
        <w:t>21.96</w:t>
      </w:r>
      <w:r>
        <w:rPr>
          <w:rFonts w:hint="eastAsia" w:ascii="仿宋" w:hAnsi="仿宋" w:eastAsia="仿宋" w:cs="仿宋"/>
          <w:bCs/>
          <w:kern w:val="0"/>
          <w:sz w:val="32"/>
          <w:szCs w:val="32"/>
        </w:rPr>
        <w:t>万元，支出决算为</w:t>
      </w:r>
      <w:r>
        <w:rPr>
          <w:rFonts w:hint="eastAsia" w:ascii="仿宋" w:hAnsi="仿宋" w:eastAsia="仿宋" w:cs="仿宋"/>
          <w:bCs/>
          <w:kern w:val="0"/>
          <w:sz w:val="32"/>
          <w:szCs w:val="32"/>
          <w:lang w:val="en-US" w:eastAsia="zh-CN"/>
        </w:rPr>
        <w:t>18.08</w:t>
      </w:r>
      <w:r>
        <w:rPr>
          <w:rFonts w:hint="eastAsia" w:ascii="仿宋" w:hAnsi="仿宋" w:eastAsia="仿宋" w:cs="仿宋"/>
          <w:bCs/>
          <w:kern w:val="0"/>
          <w:sz w:val="32"/>
          <w:szCs w:val="32"/>
        </w:rPr>
        <w:t>万元，完成年初预算的</w:t>
      </w:r>
      <w:r>
        <w:rPr>
          <w:rFonts w:hint="eastAsia" w:ascii="仿宋" w:hAnsi="仿宋" w:eastAsia="仿宋" w:cs="仿宋"/>
          <w:bCs/>
          <w:kern w:val="0"/>
          <w:sz w:val="32"/>
          <w:szCs w:val="32"/>
          <w:lang w:val="en-US" w:eastAsia="zh-CN"/>
        </w:rPr>
        <w:t>82.33</w:t>
      </w:r>
      <w:r>
        <w:rPr>
          <w:rFonts w:hint="eastAsia" w:ascii="仿宋" w:hAnsi="仿宋" w:eastAsia="仿宋" w:cs="仿宋"/>
          <w:bCs/>
          <w:kern w:val="0"/>
          <w:sz w:val="32"/>
          <w:szCs w:val="32"/>
        </w:rPr>
        <w:t>%。主要用于</w:t>
      </w:r>
      <w:r>
        <w:rPr>
          <w:rFonts w:hint="eastAsia" w:ascii="仿宋" w:hAnsi="仿宋" w:eastAsia="仿宋" w:cs="仿宋"/>
          <w:sz w:val="32"/>
          <w:szCs w:val="32"/>
        </w:rPr>
        <w:t>主要用于干部职工养老保险、医疗保险和工伤保险等会保障资金。</w:t>
      </w:r>
    </w:p>
    <w:p w14:paraId="13B05992">
      <w:pPr>
        <w:jc w:val="left"/>
        <w:rPr>
          <w:rFonts w:hint="eastAsia"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210" cy="3193415"/>
            <wp:effectExtent l="4445" t="5080" r="17145" b="1714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C8C9F5D">
      <w:pPr>
        <w:autoSpaceDE w:val="0"/>
        <w:autoSpaceDN w:val="0"/>
        <w:adjustRightInd w:val="0"/>
        <w:spacing w:line="600" w:lineRule="exact"/>
        <w:rPr>
          <w:rFonts w:hint="eastAsia" w:ascii="仿宋" w:hAnsi="仿宋" w:eastAsia="仿宋" w:cs="仿宋"/>
          <w:sz w:val="32"/>
          <w:szCs w:val="32"/>
          <w:highlight w:val="none"/>
        </w:rPr>
      </w:pPr>
    </w:p>
    <w:p w14:paraId="72910909">
      <w:pPr>
        <w:autoSpaceDE w:val="0"/>
        <w:autoSpaceDN w:val="0"/>
        <w:adjustRightInd w:val="0"/>
        <w:spacing w:line="600" w:lineRule="exact"/>
        <w:ind w:firstLine="643" w:firstLineChars="200"/>
        <w:rPr>
          <w:rFonts w:hint="eastAsia" w:ascii="仿宋" w:hAnsi="仿宋" w:eastAsia="仿宋" w:cs="仿宋"/>
          <w:sz w:val="32"/>
          <w:szCs w:val="32"/>
        </w:rPr>
      </w:pPr>
      <w:r>
        <w:rPr>
          <w:rFonts w:hint="eastAsia" w:ascii="仿宋" w:hAnsi="仿宋" w:eastAsia="仿宋" w:cs="仿宋"/>
          <w:b/>
          <w:bCs w:val="0"/>
          <w:kern w:val="0"/>
          <w:sz w:val="32"/>
          <w:szCs w:val="32"/>
          <w:lang w:val="en-US" w:eastAsia="zh-CN"/>
        </w:rPr>
        <w:t>5. 其他技术研究与开发</w:t>
      </w:r>
      <w:r>
        <w:rPr>
          <w:rFonts w:hint="eastAsia" w:ascii="仿宋" w:hAnsi="仿宋" w:eastAsia="仿宋" w:cs="仿宋"/>
          <w:b/>
          <w:bCs w:val="0"/>
          <w:kern w:val="0"/>
          <w:sz w:val="32"/>
          <w:szCs w:val="32"/>
        </w:rPr>
        <w:t>支出</w:t>
      </w:r>
      <w:r>
        <w:rPr>
          <w:rFonts w:hint="eastAsia" w:ascii="仿宋" w:hAnsi="仿宋" w:eastAsia="仿宋" w:cs="仿宋"/>
          <w:bCs/>
          <w:kern w:val="0"/>
          <w:sz w:val="32"/>
          <w:szCs w:val="32"/>
          <w:lang w:val="en-US" w:eastAsia="zh-CN"/>
        </w:rPr>
        <w:t xml:space="preserve">   </w:t>
      </w:r>
      <w:r>
        <w:rPr>
          <w:rFonts w:hint="eastAsia" w:ascii="仿宋" w:hAnsi="仿宋" w:eastAsia="仿宋" w:cs="仿宋"/>
          <w:bCs/>
          <w:kern w:val="0"/>
          <w:sz w:val="32"/>
          <w:szCs w:val="32"/>
        </w:rPr>
        <w:t xml:space="preserve">年初预算为 </w:t>
      </w:r>
      <w:r>
        <w:rPr>
          <w:rFonts w:hint="eastAsia" w:ascii="仿宋" w:hAnsi="仿宋" w:eastAsia="仿宋" w:cs="仿宋"/>
          <w:bCs/>
          <w:kern w:val="0"/>
          <w:sz w:val="32"/>
          <w:szCs w:val="32"/>
          <w:lang w:val="en-US" w:eastAsia="zh-CN"/>
        </w:rPr>
        <w:t>0</w:t>
      </w:r>
      <w:r>
        <w:rPr>
          <w:rFonts w:hint="eastAsia" w:ascii="仿宋" w:hAnsi="仿宋" w:eastAsia="仿宋" w:cs="仿宋"/>
          <w:bCs/>
          <w:kern w:val="0"/>
          <w:sz w:val="32"/>
          <w:szCs w:val="32"/>
        </w:rPr>
        <w:t>万元，支出决算为</w:t>
      </w:r>
      <w:r>
        <w:rPr>
          <w:rFonts w:hint="eastAsia" w:ascii="仿宋" w:hAnsi="仿宋" w:eastAsia="仿宋" w:cs="仿宋"/>
          <w:bCs/>
          <w:kern w:val="0"/>
          <w:sz w:val="32"/>
          <w:szCs w:val="32"/>
          <w:lang w:val="en-US" w:eastAsia="zh-CN"/>
        </w:rPr>
        <w:t>0</w:t>
      </w:r>
      <w:r>
        <w:rPr>
          <w:rFonts w:hint="eastAsia" w:ascii="仿宋" w:hAnsi="仿宋" w:eastAsia="仿宋" w:cs="仿宋"/>
          <w:bCs/>
          <w:kern w:val="0"/>
          <w:sz w:val="32"/>
          <w:szCs w:val="32"/>
        </w:rPr>
        <w:t>万元</w:t>
      </w:r>
      <w:r>
        <w:rPr>
          <w:rFonts w:hint="eastAsia" w:ascii="仿宋" w:hAnsi="仿宋" w:eastAsia="仿宋" w:cs="仿宋"/>
          <w:sz w:val="32"/>
          <w:szCs w:val="32"/>
        </w:rPr>
        <w:t>。</w:t>
      </w:r>
    </w:p>
    <w:p w14:paraId="4C72CE8A">
      <w:pPr>
        <w:autoSpaceDE w:val="0"/>
        <w:autoSpaceDN w:val="0"/>
        <w:adjustRightInd w:val="0"/>
        <w:spacing w:line="600" w:lineRule="exact"/>
        <w:ind w:firstLine="643" w:firstLineChars="200"/>
        <w:rPr>
          <w:rFonts w:hint="eastAsia" w:ascii="仿宋" w:hAnsi="仿宋" w:eastAsia="仿宋" w:cs="仿宋"/>
          <w:bCs/>
          <w:kern w:val="0"/>
          <w:sz w:val="32"/>
          <w:szCs w:val="32"/>
        </w:rPr>
      </w:pPr>
      <w:r>
        <w:rPr>
          <w:rFonts w:hint="eastAsia" w:ascii="仿宋_GB2312" w:hAnsi="仿宋_GB2312" w:cs="宋体"/>
          <w:b/>
          <w:bCs/>
          <w:sz w:val="32"/>
          <w:szCs w:val="32"/>
          <w:lang w:val="en-US" w:eastAsia="zh-CN"/>
        </w:rPr>
        <w:t>6</w:t>
      </w:r>
      <w:r>
        <w:rPr>
          <w:rFonts w:hint="eastAsia" w:ascii="仿宋" w:hAnsi="仿宋" w:eastAsia="仿宋" w:cs="仿宋"/>
          <w:b/>
          <w:bCs/>
          <w:sz w:val="32"/>
          <w:szCs w:val="32"/>
          <w:lang w:val="en-US" w:eastAsia="zh-CN"/>
        </w:rPr>
        <w:t>.</w:t>
      </w:r>
      <w:r>
        <w:rPr>
          <w:rFonts w:hint="eastAsia" w:ascii="仿宋" w:hAnsi="仿宋" w:eastAsia="仿宋" w:cs="仿宋"/>
          <w:b/>
          <w:bCs w:val="0"/>
          <w:kern w:val="0"/>
          <w:sz w:val="32"/>
          <w:szCs w:val="32"/>
        </w:rPr>
        <w:t>住房公积金</w:t>
      </w:r>
      <w:r>
        <w:rPr>
          <w:rFonts w:hint="eastAsia" w:ascii="仿宋" w:hAnsi="仿宋" w:eastAsia="仿宋" w:cs="仿宋"/>
          <w:b/>
          <w:bCs w:val="0"/>
          <w:kern w:val="0"/>
          <w:sz w:val="32"/>
          <w:szCs w:val="32"/>
          <w:lang w:val="en-US" w:eastAsia="zh-CN"/>
        </w:rPr>
        <w:t xml:space="preserve"> </w:t>
      </w:r>
      <w:r>
        <w:rPr>
          <w:rFonts w:hint="eastAsia" w:ascii="仿宋" w:hAnsi="仿宋" w:eastAsia="仿宋" w:cs="仿宋"/>
          <w:bCs/>
          <w:kern w:val="0"/>
          <w:sz w:val="32"/>
          <w:szCs w:val="32"/>
          <w:lang w:val="en-US" w:eastAsia="zh-CN"/>
        </w:rPr>
        <w:t xml:space="preserve">  </w:t>
      </w:r>
      <w:r>
        <w:rPr>
          <w:rFonts w:hint="eastAsia" w:ascii="仿宋" w:hAnsi="仿宋" w:eastAsia="仿宋" w:cs="仿宋"/>
          <w:bCs/>
          <w:kern w:val="0"/>
          <w:sz w:val="32"/>
          <w:szCs w:val="32"/>
        </w:rPr>
        <w:t>年初预算为</w:t>
      </w:r>
      <w:r>
        <w:rPr>
          <w:rFonts w:hint="eastAsia" w:ascii="仿宋" w:hAnsi="仿宋" w:eastAsia="仿宋" w:cs="仿宋"/>
          <w:bCs/>
          <w:kern w:val="0"/>
          <w:sz w:val="32"/>
          <w:szCs w:val="32"/>
          <w:lang w:val="en-US" w:eastAsia="zh-CN"/>
        </w:rPr>
        <w:t>16.47</w:t>
      </w:r>
      <w:r>
        <w:rPr>
          <w:rFonts w:hint="eastAsia" w:ascii="仿宋" w:hAnsi="仿宋" w:eastAsia="仿宋" w:cs="仿宋"/>
          <w:bCs/>
          <w:kern w:val="0"/>
          <w:sz w:val="32"/>
          <w:szCs w:val="32"/>
        </w:rPr>
        <w:t xml:space="preserve">万元，支出决算为   </w:t>
      </w:r>
      <w:r>
        <w:rPr>
          <w:rFonts w:hint="eastAsia" w:ascii="仿宋" w:hAnsi="仿宋" w:eastAsia="仿宋" w:cs="仿宋"/>
          <w:bCs/>
          <w:kern w:val="0"/>
          <w:sz w:val="32"/>
          <w:szCs w:val="32"/>
          <w:lang w:val="en-US" w:eastAsia="zh-CN"/>
        </w:rPr>
        <w:t>13.64</w:t>
      </w:r>
      <w:r>
        <w:rPr>
          <w:rFonts w:hint="eastAsia" w:ascii="仿宋" w:hAnsi="仿宋" w:eastAsia="仿宋" w:cs="仿宋"/>
          <w:bCs/>
          <w:kern w:val="0"/>
          <w:sz w:val="32"/>
          <w:szCs w:val="32"/>
        </w:rPr>
        <w:t>万元，完成年初预算的</w:t>
      </w:r>
      <w:r>
        <w:rPr>
          <w:rFonts w:hint="eastAsia" w:ascii="仿宋" w:hAnsi="仿宋" w:eastAsia="仿宋" w:cs="仿宋"/>
          <w:bCs/>
          <w:kern w:val="0"/>
          <w:sz w:val="32"/>
          <w:szCs w:val="32"/>
          <w:lang w:val="en-US" w:eastAsia="zh-CN"/>
        </w:rPr>
        <w:t>82.82</w:t>
      </w:r>
      <w:r>
        <w:rPr>
          <w:rFonts w:hint="eastAsia" w:ascii="仿宋" w:hAnsi="仿宋" w:eastAsia="仿宋" w:cs="仿宋"/>
          <w:bCs/>
          <w:kern w:val="0"/>
          <w:sz w:val="32"/>
          <w:szCs w:val="32"/>
        </w:rPr>
        <w:t>%。主要用于本部门及所属事业单位按规定的比例计缴的住房公积金。</w:t>
      </w:r>
    </w:p>
    <w:p w14:paraId="1FBB4F22">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079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EFF97A3">
      <w:pPr>
        <w:autoSpaceDE w:val="0"/>
        <w:autoSpaceDN w:val="0"/>
        <w:adjustRightInd w:val="0"/>
        <w:spacing w:line="600" w:lineRule="exact"/>
        <w:ind w:firstLine="640" w:firstLineChars="200"/>
        <w:rPr>
          <w:rFonts w:hint="eastAsia" w:ascii="仿宋" w:hAnsi="仿宋" w:eastAsia="仿宋" w:cs="仿宋"/>
          <w:bCs/>
          <w:kern w:val="0"/>
          <w:sz w:val="32"/>
          <w:szCs w:val="32"/>
        </w:rPr>
      </w:pPr>
    </w:p>
    <w:p w14:paraId="72122A21">
      <w:pPr>
        <w:autoSpaceDE w:val="0"/>
        <w:autoSpaceDN w:val="0"/>
        <w:adjustRightInd w:val="0"/>
        <w:spacing w:line="600" w:lineRule="exact"/>
        <w:ind w:firstLine="640" w:firstLineChars="200"/>
        <w:rPr>
          <w:rFonts w:hint="eastAsia" w:ascii="仿宋" w:hAnsi="仿宋" w:eastAsia="仿宋" w:cs="仿宋"/>
          <w:bCs/>
          <w:kern w:val="0"/>
          <w:sz w:val="32"/>
          <w:szCs w:val="32"/>
        </w:rPr>
      </w:pPr>
    </w:p>
    <w:p w14:paraId="67CCDF1A">
      <w:pPr>
        <w:numPr>
          <w:ilvl w:val="0"/>
          <w:numId w:val="5"/>
        </w:numPr>
        <w:autoSpaceDE w:val="0"/>
        <w:autoSpaceDN w:val="0"/>
        <w:adjustRightInd w:val="0"/>
        <w:spacing w:line="600" w:lineRule="exact"/>
        <w:rPr>
          <w:rFonts w:hint="eastAsia" w:ascii="仿宋" w:hAnsi="仿宋" w:eastAsia="仿宋" w:cs="仿宋"/>
          <w:bCs/>
          <w:kern w:val="0"/>
          <w:sz w:val="32"/>
          <w:szCs w:val="32"/>
          <w:lang w:eastAsia="zh-CN"/>
        </w:rPr>
      </w:pPr>
      <w:r>
        <w:rPr>
          <w:rFonts w:hint="eastAsia" w:ascii="仿宋" w:hAnsi="仿宋" w:eastAsia="仿宋" w:cs="仿宋"/>
          <w:b/>
          <w:bCs w:val="0"/>
          <w:kern w:val="0"/>
          <w:sz w:val="32"/>
          <w:szCs w:val="32"/>
          <w:lang w:val="en-US" w:eastAsia="zh-CN"/>
        </w:rPr>
        <w:t xml:space="preserve">其他支出 </w:t>
      </w:r>
      <w:r>
        <w:rPr>
          <w:rFonts w:hint="eastAsia" w:ascii="仿宋" w:hAnsi="仿宋" w:eastAsia="仿宋" w:cs="仿宋"/>
          <w:bCs/>
          <w:kern w:val="0"/>
          <w:sz w:val="32"/>
          <w:szCs w:val="32"/>
          <w:lang w:val="en-US" w:eastAsia="zh-CN"/>
        </w:rPr>
        <w:t xml:space="preserve">  </w:t>
      </w:r>
      <w:r>
        <w:rPr>
          <w:rFonts w:hint="eastAsia" w:ascii="仿宋" w:hAnsi="仿宋" w:eastAsia="仿宋" w:cs="仿宋"/>
          <w:bCs/>
          <w:kern w:val="0"/>
          <w:sz w:val="32"/>
          <w:szCs w:val="32"/>
        </w:rPr>
        <w:t xml:space="preserve">年初预算为 </w:t>
      </w:r>
      <w:r>
        <w:rPr>
          <w:rFonts w:hint="eastAsia" w:ascii="仿宋" w:hAnsi="仿宋" w:eastAsia="仿宋" w:cs="仿宋"/>
          <w:bCs/>
          <w:kern w:val="0"/>
          <w:sz w:val="32"/>
          <w:szCs w:val="32"/>
          <w:lang w:val="en-US" w:eastAsia="zh-CN"/>
        </w:rPr>
        <w:t>0</w:t>
      </w:r>
      <w:r>
        <w:rPr>
          <w:rFonts w:hint="eastAsia" w:ascii="仿宋" w:hAnsi="仿宋" w:eastAsia="仿宋" w:cs="仿宋"/>
          <w:bCs/>
          <w:kern w:val="0"/>
          <w:sz w:val="32"/>
          <w:szCs w:val="32"/>
        </w:rPr>
        <w:t>万元，支出决算为</w:t>
      </w:r>
      <w:r>
        <w:rPr>
          <w:rFonts w:hint="eastAsia" w:ascii="仿宋" w:hAnsi="仿宋" w:eastAsia="仿宋" w:cs="仿宋"/>
          <w:bCs/>
          <w:kern w:val="0"/>
          <w:sz w:val="32"/>
          <w:szCs w:val="32"/>
          <w:lang w:val="en-US" w:eastAsia="zh-CN"/>
        </w:rPr>
        <w:t>24.88</w:t>
      </w:r>
      <w:r>
        <w:rPr>
          <w:rFonts w:hint="eastAsia" w:ascii="仿宋" w:hAnsi="仿宋" w:eastAsia="仿宋" w:cs="仿宋"/>
          <w:bCs/>
          <w:kern w:val="0"/>
          <w:sz w:val="32"/>
          <w:szCs w:val="32"/>
        </w:rPr>
        <w:t>万元，完成年初预算的</w:t>
      </w:r>
      <w:r>
        <w:rPr>
          <w:rFonts w:hint="eastAsia" w:ascii="仿宋" w:hAnsi="仿宋" w:eastAsia="仿宋" w:cs="仿宋"/>
          <w:bCs/>
          <w:kern w:val="0"/>
          <w:sz w:val="32"/>
          <w:szCs w:val="32"/>
          <w:lang w:val="en-US" w:eastAsia="zh-CN"/>
        </w:rPr>
        <w:t>100</w:t>
      </w:r>
      <w:r>
        <w:rPr>
          <w:rFonts w:hint="eastAsia" w:ascii="仿宋" w:hAnsi="仿宋" w:eastAsia="仿宋" w:cs="仿宋"/>
          <w:bCs/>
          <w:kern w:val="0"/>
          <w:sz w:val="32"/>
          <w:szCs w:val="32"/>
        </w:rPr>
        <w:t xml:space="preserve"> %。主要用于本部门及所属事业单位</w:t>
      </w:r>
      <w:r>
        <w:rPr>
          <w:rFonts w:hint="eastAsia" w:ascii="仿宋" w:hAnsi="仿宋" w:eastAsia="仿宋" w:cs="仿宋"/>
          <w:bCs/>
          <w:kern w:val="0"/>
          <w:sz w:val="32"/>
          <w:szCs w:val="32"/>
          <w:lang w:eastAsia="zh-CN"/>
        </w:rPr>
        <w:t>人员的年终绩效奖金。</w:t>
      </w:r>
    </w:p>
    <w:p w14:paraId="6AE19EDB">
      <w:pPr>
        <w:numPr>
          <w:ilvl w:val="0"/>
          <w:numId w:val="0"/>
        </w:numPr>
        <w:autoSpaceDE w:val="0"/>
        <w:autoSpaceDN w:val="0"/>
        <w:adjustRightInd w:val="0"/>
        <w:spacing w:line="600" w:lineRule="exact"/>
        <w:rPr>
          <w:rFonts w:hint="eastAsia" w:ascii="仿宋" w:hAnsi="仿宋" w:eastAsia="仿宋" w:cs="仿宋"/>
          <w:bCs/>
          <w:kern w:val="0"/>
          <w:sz w:val="32"/>
          <w:szCs w:val="32"/>
          <w:lang w:val="en-US" w:eastAsia="zh-CN"/>
        </w:rPr>
      </w:pPr>
    </w:p>
    <w:p w14:paraId="13241E01">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0795"/>
            <wp:docPr id="7"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951F76D">
      <w:pPr>
        <w:numPr>
          <w:ilvl w:val="0"/>
          <w:numId w:val="0"/>
        </w:numPr>
        <w:autoSpaceDE w:val="0"/>
        <w:autoSpaceDN w:val="0"/>
        <w:adjustRightInd w:val="0"/>
        <w:spacing w:line="600" w:lineRule="exact"/>
        <w:rPr>
          <w:rFonts w:hint="eastAsia" w:ascii="仿宋" w:hAnsi="仿宋" w:eastAsia="仿宋" w:cs="仿宋"/>
          <w:bCs/>
          <w:kern w:val="0"/>
          <w:sz w:val="32"/>
          <w:szCs w:val="32"/>
          <w:lang w:val="en-US" w:eastAsia="zh-CN"/>
        </w:rPr>
      </w:pPr>
    </w:p>
    <w:p w14:paraId="6E9F9998">
      <w:pPr>
        <w:autoSpaceDE w:val="0"/>
        <w:autoSpaceDN w:val="0"/>
        <w:adjustRightInd w:val="0"/>
        <w:spacing w:line="560" w:lineRule="exact"/>
        <w:jc w:val="both"/>
        <w:rPr>
          <w:rFonts w:hint="eastAsia" w:ascii="黑体" w:hAnsi="黑体" w:eastAsia="黑体" w:cs="仿宋_GB2312"/>
          <w:kern w:val="0"/>
          <w:sz w:val="32"/>
          <w:szCs w:val="32"/>
        </w:rPr>
      </w:pPr>
      <w:r>
        <w:rPr>
          <w:rFonts w:hint="eastAsia" w:ascii="黑体" w:hAnsi="黑体" w:eastAsia="黑体" w:cs="仿宋_GB2312"/>
          <w:kern w:val="0"/>
          <w:sz w:val="32"/>
          <w:szCs w:val="32"/>
        </w:rPr>
        <w:t>三、202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年度一般公共预算财政拨款基本支出决算情况说明</w:t>
      </w:r>
    </w:p>
    <w:p w14:paraId="6ECCFC50">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hAnsi="黑体" w:eastAsia="仿宋_GB2312"/>
          <w:bCs/>
          <w:color w:val="000000"/>
          <w:sz w:val="32"/>
          <w:szCs w:val="32"/>
          <w:u w:val="single"/>
          <w:lang w:eastAsia="zh-CN"/>
        </w:rPr>
        <w:t>糖业发展中心</w:t>
      </w:r>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 xml:space="preserve">公共预算财政拨款基本支出 </w:t>
      </w:r>
      <w:r>
        <w:rPr>
          <w:rFonts w:hint="eastAsia" w:ascii="仿宋_GB2312" w:eastAsia="仿宋_GB2312" w:cs="仿宋_GB2312"/>
          <w:kern w:val="0"/>
          <w:sz w:val="32"/>
          <w:szCs w:val="32"/>
          <w:lang w:val="en-US" w:eastAsia="zh-CN"/>
        </w:rPr>
        <w:t>199.7</w:t>
      </w:r>
      <w:r>
        <w:rPr>
          <w:rFonts w:hint="eastAsia" w:ascii="仿宋_GB2312" w:eastAsia="仿宋_GB2312" w:cs="仿宋_GB2312"/>
          <w:kern w:val="0"/>
          <w:sz w:val="32"/>
          <w:szCs w:val="32"/>
        </w:rPr>
        <w:t>万元，支出具体情况如下：</w:t>
      </w:r>
    </w:p>
    <w:p w14:paraId="457D25FD">
      <w:pPr>
        <w:numPr>
          <w:ilvl w:val="0"/>
          <w:numId w:val="6"/>
        </w:num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rPr>
        <w:t>工资福利支出</w:t>
      </w:r>
      <w:r>
        <w:rPr>
          <w:rFonts w:hint="eastAsia" w:ascii="仿宋_GB2312" w:eastAsia="仿宋_GB2312"/>
          <w:bCs/>
          <w:kern w:val="0"/>
          <w:sz w:val="32"/>
          <w:szCs w:val="32"/>
          <w:lang w:val="en-US" w:eastAsia="zh-CN"/>
        </w:rPr>
        <w:t>169.59</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100</w:t>
      </w:r>
      <w:r>
        <w:rPr>
          <w:rFonts w:hint="eastAsia" w:ascii="仿宋_GB2312" w:eastAsia="仿宋_GB2312"/>
          <w:bCs/>
          <w:kern w:val="0"/>
          <w:sz w:val="32"/>
          <w:szCs w:val="32"/>
        </w:rPr>
        <w:t xml:space="preserve"> %。</w:t>
      </w:r>
    </w:p>
    <w:p w14:paraId="24FC787B">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56.23万元，30102津贴补贴16.20万元，30103奖金52.90万元，30107绩效工资6.74元，30108机关事业单位基本养老保险缴费18.08万元，30110职工基本医疗保险缴费0.21万元，30112其他社会保障缴费0.21元，30113住房公积金13.64万元，30199其他工资福利支出0.02万元。</w:t>
      </w:r>
    </w:p>
    <w:p w14:paraId="4D3CBAA2">
      <w:pPr>
        <w:numPr>
          <w:ilvl w:val="0"/>
          <w:numId w:val="0"/>
        </w:numPr>
        <w:autoSpaceDE w:val="0"/>
        <w:autoSpaceDN w:val="0"/>
        <w:adjustRightInd w:val="0"/>
        <w:spacing w:line="560" w:lineRule="exact"/>
        <w:jc w:val="left"/>
        <w:rPr>
          <w:rFonts w:hint="eastAsia" w:ascii="仿宋_GB2312" w:eastAsia="仿宋_GB2312"/>
          <w:bCs/>
          <w:kern w:val="0"/>
          <w:sz w:val="32"/>
          <w:szCs w:val="32"/>
        </w:rPr>
      </w:pPr>
    </w:p>
    <w:p w14:paraId="45D56503">
      <w:pPr>
        <w:numPr>
          <w:ilvl w:val="0"/>
          <w:numId w:val="0"/>
        </w:numPr>
        <w:autoSpaceDE w:val="0"/>
        <w:autoSpaceDN w:val="0"/>
        <w:adjustRightInd w:val="0"/>
        <w:spacing w:line="560" w:lineRule="exact"/>
        <w:jc w:val="left"/>
        <w:rPr>
          <w:rFonts w:hint="eastAsia" w:ascii="仿宋_GB2312" w:eastAsia="仿宋_GB2312"/>
          <w:bCs/>
          <w:kern w:val="0"/>
          <w:sz w:val="32"/>
          <w:szCs w:val="32"/>
        </w:rPr>
      </w:pPr>
    </w:p>
    <w:p w14:paraId="6C767154">
      <w:pPr>
        <w:numPr>
          <w:ilvl w:val="0"/>
          <w:numId w:val="0"/>
        </w:numPr>
        <w:autoSpaceDE w:val="0"/>
        <w:autoSpaceDN w:val="0"/>
        <w:adjustRightInd w:val="0"/>
        <w:spacing w:line="560" w:lineRule="exact"/>
        <w:jc w:val="left"/>
        <w:rPr>
          <w:rFonts w:hint="eastAsia" w:ascii="仿宋_GB2312" w:eastAsia="仿宋_GB2312"/>
          <w:bCs/>
          <w:kern w:val="0"/>
          <w:sz w:val="32"/>
          <w:szCs w:val="32"/>
        </w:rPr>
      </w:pPr>
    </w:p>
    <w:p w14:paraId="693274F8">
      <w:pPr>
        <w:numPr>
          <w:ilvl w:val="0"/>
          <w:numId w:val="0"/>
        </w:numPr>
        <w:autoSpaceDE w:val="0"/>
        <w:autoSpaceDN w:val="0"/>
        <w:adjustRightInd w:val="0"/>
        <w:spacing w:line="560" w:lineRule="exact"/>
        <w:jc w:val="left"/>
        <w:rPr>
          <w:rFonts w:hint="eastAsia" w:ascii="仿宋" w:hAnsi="仿宋" w:eastAsia="仿宋" w:cs="仿宋"/>
          <w:sz w:val="32"/>
          <w:szCs w:val="32"/>
          <w:highlight w:val="none"/>
        </w:rPr>
      </w:pPr>
    </w:p>
    <w:p w14:paraId="0B1ECDEB">
      <w:pPr>
        <w:jc w:val="left"/>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079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9491804">
      <w:pPr>
        <w:numPr>
          <w:ilvl w:val="0"/>
          <w:numId w:val="6"/>
        </w:numPr>
        <w:ind w:left="0" w:leftChars="0" w:firstLine="640" w:firstLineChars="200"/>
        <w:jc w:val="left"/>
        <w:rPr>
          <w:rFonts w:hint="eastAsia" w:ascii="仿宋" w:hAnsi="仿宋" w:eastAsia="仿宋" w:cs="仿宋"/>
          <w:sz w:val="32"/>
          <w:szCs w:val="32"/>
          <w:highlight w:val="none"/>
          <w:lang w:val="en-US" w:eastAsia="zh-CN"/>
        </w:rPr>
      </w:pPr>
      <w:r>
        <w:rPr>
          <w:rFonts w:hint="eastAsia" w:ascii="仿宋_GB2312" w:eastAsia="仿宋_GB2312"/>
          <w:bCs/>
          <w:kern w:val="0"/>
          <w:sz w:val="32"/>
          <w:szCs w:val="32"/>
        </w:rPr>
        <w:t>商品和服务支出</w:t>
      </w:r>
      <w:r>
        <w:rPr>
          <w:rFonts w:hint="eastAsia" w:ascii="仿宋_GB2312" w:eastAsia="仿宋_GB2312"/>
          <w:bCs/>
          <w:kern w:val="0"/>
          <w:sz w:val="32"/>
          <w:szCs w:val="32"/>
          <w:lang w:val="en-US" w:eastAsia="zh-CN"/>
        </w:rPr>
        <w:t>13.73</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80.7</w:t>
      </w:r>
      <w:r>
        <w:rPr>
          <w:rFonts w:hint="eastAsia" w:ascii="仿宋_GB2312" w:eastAsia="仿宋_GB2312"/>
          <w:bCs/>
          <w:kern w:val="0"/>
          <w:sz w:val="32"/>
          <w:szCs w:val="32"/>
        </w:rPr>
        <w:t>%。</w:t>
      </w:r>
      <w:r>
        <w:rPr>
          <w:rFonts w:hint="eastAsia" w:ascii="仿宋_GB2312" w:eastAsia="仿宋_GB2312"/>
          <w:bCs/>
          <w:kern w:val="0"/>
          <w:sz w:val="32"/>
          <w:szCs w:val="32"/>
          <w:lang w:eastAsia="zh-CN"/>
        </w:rPr>
        <w:t>差异原因：</w:t>
      </w:r>
      <w:r>
        <w:rPr>
          <w:rFonts w:hint="eastAsia" w:ascii="仿宋_GB2312" w:eastAsia="仿宋_GB2312"/>
          <w:bCs/>
          <w:kern w:val="0"/>
          <w:sz w:val="32"/>
          <w:szCs w:val="32"/>
          <w:lang w:val="en-US" w:eastAsia="zh-CN"/>
        </w:rPr>
        <w:t>水电费邮电费</w:t>
      </w:r>
      <w:r>
        <w:rPr>
          <w:rFonts w:hint="eastAsia" w:ascii="仿宋_GB2312" w:eastAsia="仿宋_GB2312"/>
          <w:bCs/>
          <w:kern w:val="0"/>
          <w:sz w:val="32"/>
          <w:szCs w:val="32"/>
          <w:lang w:eastAsia="zh-CN"/>
        </w:rPr>
        <w:t>预算</w:t>
      </w:r>
      <w:r>
        <w:rPr>
          <w:rFonts w:hint="eastAsia" w:ascii="仿宋_GB2312" w:eastAsia="仿宋_GB2312"/>
          <w:bCs/>
          <w:kern w:val="0"/>
          <w:sz w:val="32"/>
          <w:szCs w:val="32"/>
          <w:lang w:val="en-US" w:eastAsia="zh-CN"/>
        </w:rPr>
        <w:t>多了。</w:t>
      </w: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30201办公费1.94万元，30205水费0.11万元，30206电费0.20万元，30207邮电费1.02万元，30211差旅费0.81万元，30228工会经费2.74万元，30239其他交通费用6.90万元。</w:t>
      </w:r>
    </w:p>
    <w:p w14:paraId="4BCF8187">
      <w:pPr>
        <w:numPr>
          <w:ilvl w:val="0"/>
          <w:numId w:val="0"/>
        </w:numPr>
        <w:ind w:leftChars="20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drawing>
          <wp:inline distT="0" distB="0" distL="114300" distR="114300">
            <wp:extent cx="4474845" cy="3215640"/>
            <wp:effectExtent l="4445" t="4445" r="16510" b="10795"/>
            <wp:docPr id="1"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362E47F">
      <w:pPr>
        <w:numPr>
          <w:ilvl w:val="0"/>
          <w:numId w:val="0"/>
        </w:numPr>
        <w:ind w:leftChars="200"/>
        <w:jc w:val="left"/>
        <w:rPr>
          <w:rFonts w:hint="eastAsia" w:ascii="仿宋" w:hAnsi="仿宋" w:eastAsia="仿宋" w:cs="仿宋"/>
          <w:sz w:val="32"/>
          <w:szCs w:val="32"/>
          <w:highlight w:val="none"/>
        </w:rPr>
      </w:pPr>
    </w:p>
    <w:p w14:paraId="789CBC95">
      <w:pPr>
        <w:numPr>
          <w:ilvl w:val="0"/>
          <w:numId w:val="0"/>
        </w:numPr>
        <w:ind w:leftChars="20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lang w:eastAsia="zh-CN"/>
        </w:rPr>
        <w:t>）</w:t>
      </w:r>
      <w:r>
        <w:rPr>
          <w:rFonts w:hint="eastAsia" w:ascii="仿宋" w:hAnsi="仿宋" w:eastAsia="仿宋" w:cs="仿宋"/>
          <w:bCs/>
          <w:kern w:val="0"/>
          <w:sz w:val="32"/>
          <w:szCs w:val="32"/>
        </w:rPr>
        <w:t>对个人和家庭的补助</w:t>
      </w:r>
      <w:r>
        <w:rPr>
          <w:rFonts w:hint="eastAsia" w:ascii="仿宋" w:hAnsi="仿宋" w:eastAsia="仿宋" w:cs="仿宋"/>
          <w:bCs/>
          <w:kern w:val="0"/>
          <w:sz w:val="32"/>
          <w:szCs w:val="32"/>
          <w:lang w:val="en-US" w:eastAsia="zh-CN"/>
        </w:rPr>
        <w:t>16.38</w:t>
      </w:r>
      <w:r>
        <w:rPr>
          <w:rFonts w:hint="eastAsia" w:ascii="仿宋" w:hAnsi="仿宋" w:eastAsia="仿宋" w:cs="仿宋"/>
          <w:bCs/>
          <w:kern w:val="0"/>
          <w:sz w:val="32"/>
          <w:szCs w:val="32"/>
        </w:rPr>
        <w:t>万元，完成年初预算的</w:t>
      </w:r>
      <w:r>
        <w:rPr>
          <w:rFonts w:hint="eastAsia" w:ascii="仿宋" w:hAnsi="仿宋" w:eastAsia="仿宋" w:cs="仿宋"/>
          <w:bCs/>
          <w:kern w:val="0"/>
          <w:sz w:val="32"/>
          <w:szCs w:val="32"/>
          <w:lang w:val="en-US" w:eastAsia="zh-CN"/>
        </w:rPr>
        <w:t>100</w:t>
      </w:r>
      <w:r>
        <w:rPr>
          <w:rFonts w:hint="eastAsia" w:ascii="仿宋" w:hAnsi="仿宋" w:eastAsia="仿宋" w:cs="仿宋"/>
          <w:bCs/>
          <w:kern w:val="0"/>
          <w:sz w:val="32"/>
          <w:szCs w:val="32"/>
        </w:rPr>
        <w:t>%。</w:t>
      </w: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30305生活补助16.38万</w:t>
      </w:r>
      <w:r>
        <w:rPr>
          <w:rFonts w:hint="eastAsia" w:ascii="仿宋" w:hAnsi="仿宋" w:eastAsia="仿宋" w:cs="仿宋"/>
          <w:sz w:val="32"/>
          <w:szCs w:val="32"/>
          <w:highlight w:val="none"/>
        </w:rPr>
        <w:drawing>
          <wp:inline distT="0" distB="0" distL="114300" distR="114300">
            <wp:extent cx="4474845" cy="3215640"/>
            <wp:effectExtent l="4445" t="4445" r="16510" b="1079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F627BF4">
      <w:pPr>
        <w:autoSpaceDE w:val="0"/>
        <w:autoSpaceDN w:val="0"/>
        <w:adjustRightInd w:val="0"/>
        <w:spacing w:line="600" w:lineRule="exact"/>
        <w:ind w:firstLine="640" w:firstLineChars="200"/>
        <w:rPr>
          <w:rFonts w:hint="eastAsia" w:ascii="仿宋" w:hAnsi="仿宋" w:eastAsia="仿宋" w:cs="仿宋"/>
          <w:bCs/>
          <w:kern w:val="0"/>
          <w:sz w:val="32"/>
          <w:szCs w:val="32"/>
          <w:lang w:eastAsia="zh-CN"/>
        </w:rPr>
      </w:pPr>
    </w:p>
    <w:p w14:paraId="2F70170D">
      <w:pPr>
        <w:autoSpaceDE w:val="0"/>
        <w:autoSpaceDN w:val="0"/>
        <w:adjustRightInd w:val="0"/>
        <w:spacing w:line="600" w:lineRule="exact"/>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 xml:space="preserve">（四）资本性支出 </w:t>
      </w:r>
      <w:r>
        <w:rPr>
          <w:rFonts w:hint="eastAsia" w:ascii="仿宋" w:hAnsi="仿宋" w:eastAsia="仿宋" w:cs="仿宋"/>
          <w:bCs/>
          <w:kern w:val="0"/>
          <w:sz w:val="32"/>
          <w:szCs w:val="32"/>
          <w:lang w:val="en-US" w:eastAsia="zh-CN"/>
        </w:rPr>
        <w:t>0</w:t>
      </w:r>
      <w:r>
        <w:rPr>
          <w:rFonts w:hint="eastAsia" w:ascii="仿宋" w:hAnsi="仿宋" w:eastAsia="仿宋" w:cs="仿宋"/>
          <w:bCs/>
          <w:kern w:val="0"/>
          <w:sz w:val="32"/>
          <w:szCs w:val="32"/>
        </w:rPr>
        <w:t>万元，完成年初预算的</w:t>
      </w:r>
      <w:r>
        <w:rPr>
          <w:rFonts w:hint="eastAsia" w:ascii="仿宋" w:hAnsi="仿宋" w:eastAsia="仿宋" w:cs="仿宋"/>
          <w:bCs/>
          <w:kern w:val="0"/>
          <w:sz w:val="32"/>
          <w:szCs w:val="32"/>
          <w:lang w:val="en-US" w:eastAsia="zh-CN"/>
        </w:rPr>
        <w:t>100</w:t>
      </w:r>
      <w:r>
        <w:rPr>
          <w:rFonts w:hint="eastAsia" w:ascii="仿宋" w:hAnsi="仿宋" w:eastAsia="仿宋" w:cs="仿宋"/>
          <w:bCs/>
          <w:kern w:val="0"/>
          <w:sz w:val="32"/>
          <w:szCs w:val="32"/>
        </w:rPr>
        <w:t xml:space="preserve"> %。</w:t>
      </w:r>
    </w:p>
    <w:p w14:paraId="289BEC78">
      <w:pPr>
        <w:jc w:val="left"/>
        <w:rPr>
          <w:rFonts w:ascii="仿宋" w:hAnsi="仿宋" w:eastAsia="仿宋" w:cs="仿宋"/>
          <w:sz w:val="32"/>
          <w:szCs w:val="32"/>
          <w:highlight w:val="none"/>
        </w:rPr>
      </w:pPr>
      <w:bookmarkStart w:id="3" w:name="OLE_LINK2"/>
      <w:bookmarkEnd w:id="3"/>
    </w:p>
    <w:p w14:paraId="76156F92">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p>
    <w:p w14:paraId="173BB772">
      <w:pPr>
        <w:autoSpaceDE w:val="0"/>
        <w:autoSpaceDN w:val="0"/>
        <w:adjustRightInd w:val="0"/>
        <w:spacing w:line="560" w:lineRule="exact"/>
        <w:ind w:firstLine="640" w:firstLineChars="200"/>
        <w:jc w:val="both"/>
        <w:rPr>
          <w:rFonts w:hint="eastAsia" w:ascii="仿宋" w:hAnsi="仿宋" w:eastAsia="仿宋" w:cs="仿宋"/>
          <w:sz w:val="32"/>
          <w:szCs w:val="32"/>
        </w:rPr>
      </w:pPr>
      <w:r>
        <w:rPr>
          <w:rFonts w:hint="eastAsia" w:ascii="黑体" w:hAnsi="黑体" w:eastAsia="黑体" w:cs="仿宋_GB2312"/>
          <w:kern w:val="0"/>
          <w:sz w:val="32"/>
          <w:szCs w:val="32"/>
        </w:rPr>
        <w:t>四、202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年度政府性基金支出决算情况</w:t>
      </w:r>
    </w:p>
    <w:p w14:paraId="0F4EE45B">
      <w:pPr>
        <w:autoSpaceDE w:val="0"/>
        <w:autoSpaceDN w:val="0"/>
        <w:adjustRightInd w:val="0"/>
        <w:spacing w:line="560" w:lineRule="exact"/>
        <w:ind w:firstLine="1280" w:firstLineChars="400"/>
        <w:jc w:val="left"/>
        <w:rPr>
          <w:rFonts w:hint="eastAsia" w:ascii="仿宋_GB2312" w:eastAsia="仿宋_GB2312" w:cs="仿宋_GB2312"/>
          <w:kern w:val="0"/>
          <w:sz w:val="32"/>
          <w:szCs w:val="32"/>
        </w:rPr>
      </w:pPr>
      <w:r>
        <w:rPr>
          <w:rFonts w:hint="eastAsia" w:ascii="仿宋_GB2312" w:hAnsi="黑体" w:eastAsia="仿宋_GB2312"/>
          <w:bCs/>
          <w:color w:val="000000"/>
          <w:sz w:val="32"/>
          <w:szCs w:val="32"/>
          <w:u w:val="single"/>
          <w:lang w:eastAsia="zh-CN"/>
        </w:rPr>
        <w:t>糖业发展中心</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年度政府性基金支出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w:t>
      </w:r>
    </w:p>
    <w:p w14:paraId="365FBDB1">
      <w:pPr>
        <w:autoSpaceDE w:val="0"/>
        <w:autoSpaceDN w:val="0"/>
        <w:adjustRightInd w:val="0"/>
        <w:spacing w:line="560" w:lineRule="exact"/>
        <w:ind w:firstLine="1280" w:firstLineChars="400"/>
        <w:jc w:val="left"/>
        <w:rPr>
          <w:rFonts w:hint="eastAsia" w:ascii="仿宋" w:hAnsi="仿宋" w:eastAsia="仿宋" w:cs="仿宋"/>
          <w:color w:val="auto"/>
          <w:sz w:val="32"/>
          <w:szCs w:val="32"/>
          <w:highlight w:val="none"/>
        </w:rPr>
      </w:pPr>
      <w:r>
        <w:rPr>
          <w:rFonts w:hint="eastAsia" w:ascii="仿宋_GB2312" w:hAnsi="黑体" w:eastAsia="仿宋_GB2312"/>
          <w:bCs/>
          <w:color w:val="000000"/>
          <w:sz w:val="32"/>
          <w:szCs w:val="32"/>
          <w:u w:val="single"/>
          <w:lang w:eastAsia="zh-CN"/>
        </w:rPr>
        <w:t>糖业发展中心</w:t>
      </w:r>
      <w:r>
        <w:rPr>
          <w:rFonts w:hint="eastAsia" w:ascii="仿宋_GB2312" w:hAnsi="黑体" w:eastAsia="仿宋_GB2312"/>
          <w:kern w:val="0"/>
          <w:sz w:val="32"/>
          <w:szCs w:val="32"/>
        </w:rPr>
        <w:t>202</w:t>
      </w:r>
      <w:r>
        <w:rPr>
          <w:rFonts w:hint="eastAsia" w:ascii="仿宋_GB2312" w:hAnsi="黑体" w:eastAsia="仿宋_GB2312"/>
          <w:kern w:val="0"/>
          <w:sz w:val="32"/>
          <w:szCs w:val="32"/>
          <w:lang w:val="en-US" w:eastAsia="zh-CN"/>
        </w:rPr>
        <w:t>3</w:t>
      </w:r>
      <w:r>
        <w:rPr>
          <w:rFonts w:hint="eastAsia" w:ascii="仿宋_GB2312" w:hAnsi="黑体" w:eastAsia="仿宋_GB2312" w:cs="仿宋_GB2312"/>
          <w:kern w:val="0"/>
          <w:sz w:val="32"/>
          <w:szCs w:val="32"/>
        </w:rPr>
        <w:t>年度政府性基金支出年初预算为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万元，支出决算为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w:t>
      </w:r>
      <w:r>
        <w:rPr>
          <w:rFonts w:hint="eastAsia" w:ascii="仿宋_GB2312" w:hAnsi="Times New Roman" w:eastAsia="仿宋_GB2312" w:cs="Times New Roman"/>
          <w:color w:val="auto"/>
          <w:sz w:val="32"/>
          <w:szCs w:val="32"/>
          <w:lang w:val="en-US" w:eastAsia="zh-CN"/>
        </w:rPr>
        <w:t>本</w:t>
      </w:r>
      <w:r>
        <w:rPr>
          <w:rFonts w:hint="eastAsia" w:ascii="仿宋_GB2312" w:hAnsi="Times New Roman" w:eastAsia="仿宋_GB2312" w:cs="Times New Roman"/>
          <w:color w:val="auto"/>
          <w:sz w:val="32"/>
          <w:szCs w:val="32"/>
          <w:lang w:eastAsia="zh-CN"/>
        </w:rPr>
        <w:t>单位</w:t>
      </w:r>
      <w:r>
        <w:rPr>
          <w:rFonts w:ascii="仿宋_GB2312" w:hAnsi="仿宋_GB2312" w:eastAsia="仿宋_GB2312" w:cs="仿宋_GB2312"/>
          <w:color w:val="auto"/>
          <w:sz w:val="32"/>
          <w:u w:color="auto"/>
        </w:rPr>
        <w:t>没有政府性基金收入，也没有政府性基金收入安排的</w:t>
      </w:r>
      <w:r>
        <w:rPr>
          <w:rFonts w:hint="eastAsia" w:ascii="仿宋_GB2312" w:hAnsi="Times New Roman" w:eastAsia="仿宋_GB2312" w:cs="Times New Roman"/>
          <w:color w:val="auto"/>
          <w:sz w:val="32"/>
          <w:szCs w:val="32"/>
        </w:rPr>
        <w:t>。</w:t>
      </w:r>
    </w:p>
    <w:p w14:paraId="3F235A64">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五、202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年度国有资本经营预算支出决算情况</w:t>
      </w:r>
    </w:p>
    <w:p w14:paraId="3FC4D415">
      <w:pPr>
        <w:autoSpaceDE w:val="0"/>
        <w:autoSpaceDN w:val="0"/>
        <w:adjustRightInd w:val="0"/>
        <w:spacing w:line="560" w:lineRule="exact"/>
        <w:ind w:firstLine="1280" w:firstLineChars="400"/>
        <w:jc w:val="left"/>
        <w:rPr>
          <w:rFonts w:hint="eastAsia" w:ascii="仿宋_GB2312" w:eastAsia="仿宋_GB2312" w:cs="仿宋_GB2312"/>
          <w:kern w:val="0"/>
          <w:sz w:val="32"/>
          <w:szCs w:val="32"/>
        </w:rPr>
      </w:pPr>
      <w:r>
        <w:rPr>
          <w:rFonts w:hint="eastAsia" w:ascii="仿宋_GB2312" w:hAnsi="黑体" w:eastAsia="仿宋_GB2312"/>
          <w:bCs/>
          <w:color w:val="000000"/>
          <w:sz w:val="32"/>
          <w:szCs w:val="32"/>
          <w:u w:val="single"/>
          <w:lang w:eastAsia="zh-CN"/>
        </w:rPr>
        <w:t>糖业发展中心</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年度国有资本经营预算支出</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万元，项目支出</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p>
    <w:p w14:paraId="0D914874">
      <w:pPr>
        <w:autoSpaceDE w:val="0"/>
        <w:autoSpaceDN w:val="0"/>
        <w:adjustRightInd w:val="0"/>
        <w:spacing w:line="560" w:lineRule="exact"/>
        <w:ind w:firstLine="960" w:firstLineChars="300"/>
        <w:jc w:val="left"/>
        <w:rPr>
          <w:rFonts w:hint="eastAsia" w:ascii="仿宋_GB2312" w:eastAsia="仿宋_GB2312" w:cs="仿宋_GB2312"/>
          <w:kern w:val="0"/>
          <w:sz w:val="32"/>
          <w:szCs w:val="32"/>
        </w:rPr>
      </w:pPr>
      <w:r>
        <w:rPr>
          <w:rFonts w:hint="eastAsia" w:ascii="仿宋_GB2312" w:hAnsi="黑体" w:eastAsia="仿宋_GB2312"/>
          <w:bCs/>
          <w:color w:val="000000"/>
          <w:sz w:val="32"/>
          <w:szCs w:val="32"/>
          <w:u w:val="single"/>
          <w:lang w:eastAsia="zh-CN"/>
        </w:rPr>
        <w:t>糖业发展中心</w:t>
      </w:r>
      <w:r>
        <w:rPr>
          <w:rFonts w:hint="eastAsia" w:ascii="仿宋_GB2312" w:hAnsi="黑体" w:eastAsia="仿宋_GB2312"/>
          <w:kern w:val="0"/>
          <w:sz w:val="32"/>
          <w:szCs w:val="32"/>
        </w:rPr>
        <w:t>202</w:t>
      </w:r>
      <w:r>
        <w:rPr>
          <w:rFonts w:hint="eastAsia" w:ascii="仿宋_GB2312" w:hAnsi="黑体" w:eastAsia="仿宋_GB2312"/>
          <w:kern w:val="0"/>
          <w:sz w:val="32"/>
          <w:szCs w:val="32"/>
          <w:lang w:val="en-US" w:eastAsia="zh-CN"/>
        </w:rPr>
        <w:t>3</w:t>
      </w:r>
      <w:r>
        <w:rPr>
          <w:rFonts w:hint="eastAsia" w:ascii="仿宋_GB2312" w:hAnsi="黑体" w:eastAsia="仿宋_GB2312" w:cs="仿宋_GB2312"/>
          <w:kern w:val="0"/>
          <w:sz w:val="32"/>
          <w:szCs w:val="32"/>
        </w:rPr>
        <w:t>年度</w:t>
      </w:r>
      <w:r>
        <w:rPr>
          <w:rFonts w:hint="eastAsia" w:ascii="仿宋_GB2312" w:eastAsia="仿宋_GB2312" w:cs="仿宋_GB2312"/>
          <w:kern w:val="0"/>
          <w:sz w:val="32"/>
          <w:szCs w:val="32"/>
        </w:rPr>
        <w:t>国有资本经营预算</w:t>
      </w:r>
      <w:r>
        <w:rPr>
          <w:rFonts w:hint="eastAsia" w:ascii="仿宋_GB2312" w:hAnsi="黑体" w:eastAsia="仿宋_GB2312" w:cs="仿宋_GB2312"/>
          <w:kern w:val="0"/>
          <w:sz w:val="32"/>
          <w:szCs w:val="32"/>
        </w:rPr>
        <w:t>支出年初预算为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w:t>
      </w:r>
    </w:p>
    <w:p w14:paraId="21D608FA">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六、财政拨款安排的“三公”经费支出决算情况说明</w:t>
      </w:r>
    </w:p>
    <w:p w14:paraId="755418E1">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 xml:space="preserve">公共预算财政拨款安排的“三公”经费支出 </w:t>
      </w:r>
      <w:r>
        <w:rPr>
          <w:rFonts w:hint="eastAsia" w:ascii="仿宋_GB2312" w:eastAsia="仿宋_GB2312" w:cs="仿宋_GB2312"/>
          <w:kern w:val="0"/>
          <w:sz w:val="32"/>
          <w:szCs w:val="32"/>
          <w:lang w:val="en-US" w:eastAsia="zh-CN"/>
        </w:rPr>
        <w:t xml:space="preserve">0 </w:t>
      </w:r>
      <w:r>
        <w:rPr>
          <w:rFonts w:hint="eastAsia" w:ascii="仿宋_GB2312" w:eastAsia="仿宋_GB2312" w:cs="仿宋_GB2312"/>
          <w:kern w:val="0"/>
          <w:sz w:val="32"/>
          <w:szCs w:val="32"/>
        </w:rPr>
        <w:t xml:space="preserve">万元，完成年初预算的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w:t>
      </w:r>
      <w:bookmarkStart w:id="4" w:name="_GoBack"/>
      <w:bookmarkEnd w:id="4"/>
      <w:r>
        <w:rPr>
          <w:rFonts w:hint="eastAsia" w:ascii="仿宋_GB2312" w:eastAsia="仿宋_GB2312" w:cs="仿宋_GB2312"/>
          <w:kern w:val="0"/>
          <w:sz w:val="32"/>
          <w:szCs w:val="32"/>
        </w:rPr>
        <w:t>%。</w:t>
      </w:r>
    </w:p>
    <w:p w14:paraId="217DF067">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14:paraId="32014A6D">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 xml:space="preserve">（一）因公出国（境）费支出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w:t>
      </w:r>
    </w:p>
    <w:p w14:paraId="50DE196E">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（二）公务用车购置及运行费支出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14:paraId="33723B26">
      <w:pPr>
        <w:autoSpaceDE w:val="0"/>
        <w:autoSpaceDN w:val="0"/>
        <w:adjustRightInd w:val="0"/>
        <w:spacing w:line="560" w:lineRule="exact"/>
        <w:ind w:firstLine="640" w:firstLineChars="200"/>
        <w:jc w:val="left"/>
        <w:rPr>
          <w:rFonts w:hint="eastAsia" w:ascii="黑体" w:hAnsi="黑体" w:eastAsia="黑体" w:cs="黑体"/>
          <w:sz w:val="32"/>
          <w:szCs w:val="32"/>
          <w:highlight w:val="none"/>
        </w:rPr>
      </w:pPr>
      <w:r>
        <w:rPr>
          <w:rFonts w:hint="eastAsia" w:ascii="仿宋_GB2312" w:eastAsia="仿宋_GB2312" w:cs="仿宋_GB2312"/>
          <w:kern w:val="0"/>
          <w:sz w:val="32"/>
          <w:szCs w:val="32"/>
        </w:rPr>
        <w:t xml:space="preserve">（三）公务接待费支出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万元，完成年初预算的 </w:t>
      </w:r>
    </w:p>
    <w:p w14:paraId="229FE46F">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年度一般公共预算财政拨款安排的“三公”经费支出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color w:val="FF0000"/>
          <w:kern w:val="2"/>
          <w:sz w:val="32"/>
          <w:szCs w:val="32"/>
          <w:highlight w:val="none"/>
          <w:lang w:val="en-US" w:eastAsia="zh-CN" w:bidi="ar"/>
        </w:rPr>
        <w:t>。</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万元，公务接待费支出决算</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p>
    <w:p w14:paraId="676BE99B">
      <w:pPr>
        <w:spacing w:line="560" w:lineRule="exact"/>
        <w:ind w:firstLine="640" w:firstLineChars="200"/>
        <w:jc w:val="left"/>
        <w:rPr>
          <w:rFonts w:hint="eastAsia" w:ascii="仿宋" w:hAnsi="仿宋" w:eastAsia="仿宋" w:cs="仿宋"/>
          <w:sz w:val="32"/>
          <w:szCs w:val="32"/>
        </w:rPr>
      </w:pPr>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 xml:space="preserve">年度财政拨款安排的“三公”经费支出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%，比上年增减（减少）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 w:hAnsi="仿宋" w:eastAsia="仿宋" w:cs="仿宋"/>
          <w:sz w:val="32"/>
          <w:szCs w:val="32"/>
          <w:lang w:eastAsia="zh-CN"/>
        </w:rPr>
        <w:t>与上年同基本相同</w:t>
      </w:r>
      <w:r>
        <w:rPr>
          <w:rFonts w:hint="eastAsia" w:ascii="仿宋" w:hAnsi="仿宋" w:eastAsia="仿宋" w:cs="仿宋"/>
          <w:sz w:val="32"/>
          <w:szCs w:val="32"/>
          <w:lang w:val="en-US" w:eastAsia="zh-CN"/>
        </w:rPr>
        <w:t>。</w:t>
      </w:r>
    </w:p>
    <w:p w14:paraId="20213157">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（二）公务用车购置及运行费支出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万元。其中：</w:t>
      </w:r>
    </w:p>
    <w:p w14:paraId="096B9908">
      <w:pPr>
        <w:spacing w:line="560" w:lineRule="exact"/>
        <w:ind w:firstLine="627"/>
        <w:jc w:val="left"/>
        <w:rPr>
          <w:rFonts w:hint="eastAsia" w:ascii="仿宋" w:hAnsi="仿宋" w:eastAsia="仿宋" w:cs="仿宋"/>
          <w:sz w:val="32"/>
          <w:szCs w:val="32"/>
        </w:rPr>
      </w:pPr>
      <w:r>
        <w:rPr>
          <w:rFonts w:hint="eastAsia" w:ascii="仿宋_GB2312" w:eastAsia="仿宋_GB2312" w:cs="仿宋_GB2312"/>
          <w:kern w:val="0"/>
          <w:sz w:val="32"/>
          <w:szCs w:val="32"/>
        </w:rPr>
        <w:t>公务用车购置支出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%，比上年增减（减少）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 w:hAnsi="仿宋" w:eastAsia="仿宋" w:cs="仿宋"/>
          <w:sz w:val="32"/>
          <w:szCs w:val="32"/>
          <w:lang w:eastAsia="zh-CN"/>
        </w:rPr>
        <w:t>与上年同基本相同</w:t>
      </w:r>
      <w:r>
        <w:rPr>
          <w:rFonts w:hint="eastAsia" w:ascii="仿宋" w:hAnsi="仿宋" w:eastAsia="仿宋" w:cs="仿宋"/>
          <w:sz w:val="32"/>
          <w:szCs w:val="32"/>
          <w:lang w:val="en-US" w:eastAsia="zh-CN"/>
        </w:rPr>
        <w:t>。</w:t>
      </w:r>
    </w:p>
    <w:p w14:paraId="0EA8A1DB">
      <w:pPr>
        <w:spacing w:line="560" w:lineRule="exact"/>
        <w:ind w:firstLine="627"/>
        <w:jc w:val="left"/>
        <w:rPr>
          <w:rFonts w:hint="eastAsia" w:ascii="仿宋" w:hAnsi="仿宋" w:eastAsia="仿宋" w:cs="仿宋"/>
          <w:sz w:val="32"/>
          <w:szCs w:val="32"/>
        </w:rPr>
      </w:pPr>
      <w:r>
        <w:rPr>
          <w:rFonts w:hint="eastAsia" w:ascii="仿宋_GB2312" w:eastAsia="仿宋_GB2312" w:cs="仿宋_GB2312"/>
          <w:kern w:val="0"/>
          <w:sz w:val="32"/>
          <w:szCs w:val="32"/>
        </w:rPr>
        <w:t>（三）公务接待费支出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%，比上年增减（减少）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 w:hAnsi="仿宋" w:eastAsia="仿宋" w:cs="仿宋"/>
          <w:sz w:val="32"/>
          <w:szCs w:val="32"/>
          <w:lang w:eastAsia="zh-CN"/>
        </w:rPr>
        <w:t>与上年同基本相同</w:t>
      </w:r>
      <w:r>
        <w:rPr>
          <w:rFonts w:hint="eastAsia" w:ascii="仿宋" w:hAnsi="仿宋" w:eastAsia="仿宋" w:cs="仿宋"/>
          <w:sz w:val="32"/>
          <w:szCs w:val="32"/>
          <w:lang w:val="en-US" w:eastAsia="zh-CN"/>
        </w:rPr>
        <w:t>。</w:t>
      </w:r>
    </w:p>
    <w:p w14:paraId="119911F3">
      <w:pPr>
        <w:autoSpaceDE w:val="0"/>
        <w:autoSpaceDN w:val="0"/>
        <w:adjustRightInd w:val="0"/>
        <w:spacing w:line="560" w:lineRule="exact"/>
        <w:ind w:firstLine="627" w:firstLineChars="196"/>
        <w:jc w:val="both"/>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14:paraId="7EFF0A24">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（一）</w:t>
      </w:r>
      <w:r>
        <w:rPr>
          <w:rFonts w:hint="eastAsia" w:ascii="楷体_GB2312" w:eastAsia="楷体_GB2312"/>
          <w:sz w:val="32"/>
          <w:szCs w:val="32"/>
        </w:rPr>
        <w:t xml:space="preserve"> </w:t>
      </w:r>
      <w:r>
        <w:rPr>
          <w:rFonts w:hint="eastAsia" w:ascii="楷体_GB2312" w:eastAsia="楷体_GB2312" w:cs="仿宋_GB2312"/>
          <w:kern w:val="0"/>
          <w:sz w:val="32"/>
          <w:szCs w:val="32"/>
        </w:rPr>
        <w:t>机关运行经费支出情况说明。</w:t>
      </w:r>
    </w:p>
    <w:p w14:paraId="199B977A">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eastAsia="仿宋_GB2312" w:cs="仿宋_GB2312"/>
          <w:kern w:val="0"/>
          <w:sz w:val="32"/>
          <w:szCs w:val="32"/>
        </w:rPr>
        <w:t>本部门202</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 xml:space="preserve">年度机关运行经费支出 </w:t>
      </w:r>
      <w:r>
        <w:rPr>
          <w:rFonts w:hint="eastAsia" w:ascii="仿宋_GB2312" w:eastAsia="仿宋_GB2312" w:cs="仿宋_GB2312"/>
          <w:kern w:val="0"/>
          <w:sz w:val="32"/>
          <w:szCs w:val="32"/>
          <w:lang w:val="en-US" w:eastAsia="zh-CN"/>
        </w:rPr>
        <w:t>13.73</w:t>
      </w:r>
      <w:r>
        <w:rPr>
          <w:rFonts w:hint="eastAsia" w:ascii="仿宋_GB2312" w:eastAsia="仿宋_GB2312" w:cs="仿宋_GB2312"/>
          <w:kern w:val="0"/>
          <w:sz w:val="32"/>
          <w:szCs w:val="32"/>
        </w:rPr>
        <w:t>万元（与部门决算中行政单位和参照公务员法管理事业单位一般公共预算财政拨款基本支出中公用经费之和一致），比年初预算数</w:t>
      </w:r>
      <w:r>
        <w:rPr>
          <w:rFonts w:hint="eastAsia" w:ascii="仿宋_GB2312" w:eastAsia="仿宋_GB2312" w:cs="仿宋_GB2312"/>
          <w:kern w:val="0"/>
          <w:sz w:val="32"/>
          <w:szCs w:val="32"/>
          <w:lang w:val="en-US" w:eastAsia="zh-CN"/>
        </w:rPr>
        <w:t>增加14.02</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val="en-US" w:eastAsia="zh-CN"/>
        </w:rPr>
        <w:t>减少2.1</w:t>
      </w:r>
      <w:r>
        <w:rPr>
          <w:rFonts w:hint="eastAsia" w:ascii="仿宋_GB2312" w:eastAsia="仿宋_GB2312" w:cs="仿宋_GB2312"/>
          <w:kern w:val="0"/>
          <w:sz w:val="32"/>
          <w:szCs w:val="32"/>
        </w:rPr>
        <w:t>%，</w:t>
      </w:r>
      <w:r>
        <w:rPr>
          <w:rFonts w:hint="eastAsia" w:ascii="仿宋" w:hAnsi="仿宋" w:eastAsia="仿宋" w:cs="仿宋"/>
          <w:sz w:val="32"/>
          <w:szCs w:val="32"/>
          <w:lang w:eastAsia="zh-CN"/>
        </w:rPr>
        <w:t>与上年</w:t>
      </w:r>
      <w:r>
        <w:rPr>
          <w:rFonts w:hint="eastAsia" w:ascii="仿宋" w:hAnsi="仿宋" w:eastAsia="仿宋" w:cs="仿宋"/>
          <w:sz w:val="32"/>
          <w:szCs w:val="32"/>
          <w:lang w:val="en-US" w:eastAsia="zh-CN"/>
        </w:rPr>
        <w:t>数据</w:t>
      </w:r>
      <w:r>
        <w:rPr>
          <w:rFonts w:hint="eastAsia" w:ascii="仿宋" w:hAnsi="仿宋" w:eastAsia="仿宋" w:cs="仿宋"/>
          <w:sz w:val="32"/>
          <w:szCs w:val="32"/>
          <w:lang w:eastAsia="zh-CN"/>
        </w:rPr>
        <w:t>基本相同</w:t>
      </w:r>
      <w:r>
        <w:rPr>
          <w:rFonts w:hint="eastAsia" w:ascii="仿宋_GB2312" w:hAnsi="仿宋_GB2312" w:eastAsia="仿宋_GB2312" w:cs="仿宋_GB2312"/>
          <w:kern w:val="0"/>
          <w:sz w:val="32"/>
          <w:szCs w:val="32"/>
          <w:highlight w:val="none"/>
          <w:lang w:val="en-US" w:eastAsia="zh-CN"/>
        </w:rPr>
        <w:t>。</w:t>
      </w:r>
      <w:r>
        <w:rPr>
          <w:rFonts w:hint="eastAsia" w:ascii="仿宋_GB2312" w:eastAsia="仿宋_GB2312" w:cs="仿宋_GB2312"/>
          <w:kern w:val="0"/>
          <w:sz w:val="32"/>
          <w:szCs w:val="32"/>
        </w:rPr>
        <w:t>比202</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年决算数增加</w:t>
      </w:r>
      <w:r>
        <w:rPr>
          <w:rFonts w:hint="eastAsia" w:ascii="仿宋_GB2312" w:eastAsia="仿宋_GB2312" w:cs="仿宋_GB2312"/>
          <w:kern w:val="0"/>
          <w:sz w:val="32"/>
          <w:szCs w:val="32"/>
          <w:lang w:val="en-US" w:eastAsia="zh-CN"/>
        </w:rPr>
        <w:t>1.11万</w:t>
      </w:r>
      <w:r>
        <w:rPr>
          <w:rFonts w:hint="eastAsia" w:ascii="仿宋_GB2312" w:eastAsia="仿宋_GB2312" w:cs="仿宋_GB2312"/>
          <w:kern w:val="0"/>
          <w:sz w:val="32"/>
          <w:szCs w:val="32"/>
        </w:rPr>
        <w:t>元，增长</w:t>
      </w:r>
      <w:r>
        <w:rPr>
          <w:rFonts w:hint="eastAsia" w:ascii="仿宋_GB2312" w:eastAsia="仿宋_GB2312" w:cs="仿宋_GB2312"/>
          <w:kern w:val="0"/>
          <w:sz w:val="32"/>
          <w:szCs w:val="32"/>
          <w:lang w:val="en-US" w:eastAsia="zh-CN"/>
        </w:rPr>
        <w:t>8.8</w:t>
      </w:r>
      <w:r>
        <w:rPr>
          <w:rFonts w:hint="eastAsia" w:ascii="仿宋_GB2312" w:eastAsia="仿宋_GB2312" w:cs="仿宋_GB2312"/>
          <w:kern w:val="0"/>
          <w:sz w:val="32"/>
          <w:szCs w:val="32"/>
        </w:rPr>
        <w:t>%。主要原因是：</w:t>
      </w:r>
      <w:r>
        <w:rPr>
          <w:rFonts w:hint="eastAsia" w:ascii="仿宋_GB2312" w:eastAsia="仿宋_GB2312" w:cs="仿宋_GB2312"/>
          <w:kern w:val="0"/>
          <w:sz w:val="32"/>
          <w:szCs w:val="32"/>
          <w:lang w:val="en-US" w:eastAsia="zh-CN"/>
        </w:rPr>
        <w:t>工资有所提高</w:t>
      </w:r>
      <w:r>
        <w:rPr>
          <w:rFonts w:hint="eastAsia" w:ascii="仿宋_GB2312" w:eastAsia="仿宋_GB2312" w:cs="仿宋_GB2312"/>
          <w:kern w:val="0"/>
          <w:sz w:val="32"/>
          <w:szCs w:val="32"/>
        </w:rPr>
        <w:t>。</w:t>
      </w:r>
    </w:p>
    <w:p w14:paraId="62FD8A3E">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（二）政府采购支出情况说明。</w:t>
      </w:r>
    </w:p>
    <w:p w14:paraId="746D817A">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本部门2021年度政府采购支出总额</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万元，其中：政府采购货物支出</w:t>
      </w:r>
      <w:r>
        <w:rPr>
          <w:rFonts w:hint="eastAsia" w:ascii="仿宋_GB2312" w:eastAsia="仿宋_GB2312" w:cs="仿宋_GB2312"/>
          <w:kern w:val="0"/>
          <w:sz w:val="32"/>
          <w:szCs w:val="32"/>
          <w:lang w:val="en-US" w:eastAsia="zh-CN"/>
        </w:rPr>
        <w:t xml:space="preserve"> 0 </w:t>
      </w:r>
      <w:r>
        <w:rPr>
          <w:rFonts w:hint="eastAsia" w:ascii="仿宋_GB2312" w:eastAsia="仿宋_GB2312" w:cs="仿宋_GB2312"/>
          <w:kern w:val="0"/>
          <w:sz w:val="32"/>
          <w:szCs w:val="32"/>
        </w:rPr>
        <w:t xml:space="preserve">万元、政府采购工程支出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万元、政府采购服务支出</w:t>
      </w:r>
      <w:r>
        <w:rPr>
          <w:rFonts w:hint="eastAsia" w:ascii="仿宋_GB2312" w:eastAsia="仿宋_GB2312" w:cs="仿宋_GB2312"/>
          <w:kern w:val="0"/>
          <w:sz w:val="32"/>
          <w:szCs w:val="32"/>
          <w:lang w:val="en-US" w:eastAsia="zh-CN"/>
        </w:rPr>
        <w:t xml:space="preserve"> 0</w:t>
      </w:r>
      <w:r>
        <w:rPr>
          <w:rFonts w:hint="eastAsia" w:ascii="仿宋_GB2312" w:eastAsia="仿宋_GB2312" w:cs="仿宋_GB2312"/>
          <w:kern w:val="0"/>
          <w:sz w:val="32"/>
          <w:szCs w:val="32"/>
        </w:rPr>
        <w:t xml:space="preserve">  万元。授予中小企业合同金额</w:t>
      </w:r>
      <w:r>
        <w:rPr>
          <w:rFonts w:hint="eastAsia" w:ascii="仿宋_GB2312" w:eastAsia="仿宋_GB2312" w:cs="仿宋_GB2312"/>
          <w:kern w:val="0"/>
          <w:sz w:val="32"/>
          <w:szCs w:val="32"/>
          <w:lang w:val="en-US" w:eastAsia="zh-CN"/>
        </w:rPr>
        <w:t xml:space="preserve"> 0</w:t>
      </w:r>
      <w:r>
        <w:rPr>
          <w:rFonts w:hint="eastAsia" w:ascii="仿宋_GB2312" w:eastAsia="仿宋_GB2312" w:cs="仿宋_GB2312"/>
          <w:kern w:val="0"/>
          <w:sz w:val="32"/>
          <w:szCs w:val="32"/>
        </w:rPr>
        <w:t xml:space="preserve"> 万元，占政府采购支出总额的</w:t>
      </w:r>
      <w:r>
        <w:rPr>
          <w:rFonts w:hint="eastAsia" w:ascii="仿宋_GB2312" w:eastAsia="仿宋_GB2312" w:cs="仿宋_GB2312"/>
          <w:kern w:val="0"/>
          <w:sz w:val="32"/>
          <w:szCs w:val="32"/>
          <w:lang w:val="en-US" w:eastAsia="zh-CN"/>
        </w:rPr>
        <w:t xml:space="preserve"> 0</w:t>
      </w:r>
      <w:r>
        <w:rPr>
          <w:rFonts w:hint="eastAsia" w:ascii="仿宋_GB2312" w:eastAsia="仿宋_GB2312" w:cs="仿宋_GB2312"/>
          <w:kern w:val="0"/>
          <w:sz w:val="32"/>
          <w:szCs w:val="32"/>
        </w:rPr>
        <w:t xml:space="preserve"> %，其中：授予小微企业合同金额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万元，占授予中小企业合同金额的 </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 xml:space="preserve"> %</w:t>
      </w:r>
      <w:r>
        <w:rPr>
          <w:rFonts w:hint="eastAsia" w:ascii="仿宋_GB2312" w:eastAsia="仿宋_GB2312" w:cs="仿宋_GB2312"/>
          <w:kern w:val="0"/>
          <w:sz w:val="32"/>
          <w:szCs w:val="32"/>
          <w:highlight w:val="none"/>
        </w:rPr>
        <w:t>；货物采购授予中小企业合同金额占货物支出金额额</w:t>
      </w:r>
      <w:r>
        <w:rPr>
          <w:rFonts w:hint="eastAsia" w:ascii="仿宋_GB2312" w:eastAsia="仿宋_GB2312" w:cs="仿宋_GB2312"/>
          <w:kern w:val="0"/>
          <w:sz w:val="32"/>
          <w:szCs w:val="32"/>
          <w:highlight w:val="none"/>
          <w:lang w:val="en-US" w:eastAsia="zh-CN"/>
        </w:rPr>
        <w:t>100</w:t>
      </w:r>
      <w:r>
        <w:rPr>
          <w:rFonts w:hint="eastAsia" w:ascii="仿宋_GB2312" w:eastAsia="仿宋_GB2312" w:cs="仿宋_GB2312"/>
          <w:kern w:val="0"/>
          <w:sz w:val="32"/>
          <w:szCs w:val="32"/>
          <w:highlight w:val="none"/>
        </w:rPr>
        <w:t>%；</w:t>
      </w:r>
      <w:r>
        <w:rPr>
          <w:rFonts w:hint="eastAsia" w:ascii="仿宋_GB2312" w:eastAsia="仿宋_GB2312" w:cs="仿宋_GB2312"/>
          <w:b w:val="0"/>
          <w:bCs/>
          <w:kern w:val="0"/>
          <w:sz w:val="32"/>
          <w:szCs w:val="32"/>
        </w:rPr>
        <w:t>本部门无政府采购支出</w:t>
      </w:r>
      <w:r>
        <w:rPr>
          <w:rFonts w:hint="eastAsia" w:ascii="仿宋_GB2312" w:eastAsia="仿宋_GB2312" w:cs="仿宋_GB2312"/>
          <w:b/>
          <w:kern w:val="0"/>
          <w:sz w:val="32"/>
          <w:szCs w:val="32"/>
        </w:rPr>
        <w:t>。</w:t>
      </w:r>
    </w:p>
    <w:p w14:paraId="5C5D99CE">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14:paraId="0BD8435B">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截至20</w:t>
      </w:r>
      <w:r>
        <w:rPr>
          <w:rFonts w:hint="eastAsia" w:ascii="仿宋_GB2312" w:eastAsia="仿宋_GB2312" w:cs="仿宋_GB2312"/>
          <w:kern w:val="0"/>
          <w:sz w:val="32"/>
          <w:szCs w:val="32"/>
          <w:lang w:val="en-US" w:eastAsia="zh-CN"/>
        </w:rPr>
        <w:t>32</w:t>
      </w:r>
      <w:r>
        <w:rPr>
          <w:rFonts w:hint="eastAsia" w:ascii="仿宋_GB2312" w:eastAsia="仿宋_GB2312" w:cs="仿宋_GB2312"/>
          <w:kern w:val="0"/>
          <w:sz w:val="32"/>
          <w:szCs w:val="32"/>
        </w:rPr>
        <w:t xml:space="preserve">年12月31日，本部门共有车辆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辆，单位价值50万元以上通用设备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w:t>
      </w:r>
    </w:p>
    <w:p w14:paraId="17289CE8">
      <w:pPr>
        <w:numPr>
          <w:ilvl w:val="0"/>
          <w:numId w:val="7"/>
        </w:numPr>
        <w:autoSpaceDE w:val="0"/>
        <w:autoSpaceDN w:val="0"/>
        <w:adjustRightInd w:val="0"/>
        <w:spacing w:line="560" w:lineRule="exact"/>
        <w:ind w:firstLine="640" w:firstLineChars="200"/>
        <w:jc w:val="both"/>
        <w:rPr>
          <w:rFonts w:hint="eastAsia" w:ascii="黑体" w:hAnsi="黑体" w:eastAsia="黑体" w:cs="黑体"/>
          <w:kern w:val="0"/>
          <w:sz w:val="32"/>
          <w:szCs w:val="32"/>
        </w:rPr>
      </w:pPr>
      <w:r>
        <w:rPr>
          <w:rFonts w:hint="eastAsia" w:ascii="黑体" w:hAnsi="黑体" w:eastAsia="黑体" w:cs="黑体"/>
          <w:kern w:val="0"/>
          <w:sz w:val="32"/>
          <w:szCs w:val="32"/>
        </w:rPr>
        <w:t>预算绩效管理工作开展情况。</w:t>
      </w:r>
    </w:p>
    <w:p w14:paraId="75D74D0B">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default" w:ascii="仿宋_GB2312" w:hAnsi="Times New Roman" w:eastAsia="仿宋_GB2312" w:cs="仿宋_GB2312"/>
          <w:b w:val="0"/>
          <w:bCs w:val="0"/>
          <w:caps w:val="0"/>
          <w:color w:val="auto"/>
          <w:kern w:val="0"/>
          <w:sz w:val="32"/>
          <w:szCs w:val="32"/>
          <w:vertAlign w:val="baseline"/>
          <w:lang w:val="en-US"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整体支出绩效自评结果。</w:t>
      </w:r>
    </w:p>
    <w:p w14:paraId="2E60D658">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b w:val="0"/>
          <w:bCs w:val="0"/>
          <w:caps w:val="0"/>
          <w:color w:val="FF0000"/>
          <w:kern w:val="0"/>
          <w:sz w:val="32"/>
          <w:szCs w:val="32"/>
          <w:vertAlign w:val="baseline"/>
          <w:lang w:val="en-US"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我部门2023年度部门预算数34.51万元，执行数33.38万元，整体支出绩效自评结果为</w:t>
      </w:r>
      <w:r>
        <w:rPr>
          <w:rFonts w:hint="eastAsia" w:ascii="仿宋_GB2312" w:eastAsia="仿宋_GB2312" w:cs="仿宋_GB2312"/>
          <w:b w:val="0"/>
          <w:bCs w:val="0"/>
          <w:caps w:val="0"/>
          <w:color w:val="auto"/>
          <w:kern w:val="0"/>
          <w:sz w:val="32"/>
          <w:szCs w:val="32"/>
          <w:vertAlign w:val="baseline"/>
          <w:lang w:val="en-US" w:eastAsia="zh-CN" w:bidi="ar"/>
        </w:rPr>
        <w:t>二</w:t>
      </w:r>
      <w:r>
        <w:rPr>
          <w:rFonts w:hint="eastAsia" w:ascii="仿宋_GB2312" w:hAnsi="Times New Roman" w:eastAsia="仿宋_GB2312" w:cs="仿宋_GB2312"/>
          <w:b w:val="0"/>
          <w:bCs w:val="0"/>
          <w:caps w:val="0"/>
          <w:color w:val="auto"/>
          <w:kern w:val="0"/>
          <w:sz w:val="32"/>
          <w:szCs w:val="32"/>
          <w:vertAlign w:val="baseline"/>
          <w:lang w:val="en-US" w:eastAsia="zh-CN" w:bidi="ar"/>
        </w:rPr>
        <w:t>等。从自评情况来看，</w:t>
      </w:r>
      <w:r>
        <w:rPr>
          <w:rFonts w:hint="eastAsia" w:ascii="仿宋" w:hAnsi="仿宋" w:eastAsia="仿宋" w:cs="仿宋"/>
          <w:color w:val="auto"/>
          <w:sz w:val="32"/>
          <w:szCs w:val="32"/>
          <w:u w:val="none"/>
        </w:rPr>
        <w:t>本部门各单位能认真履行职责，做好统筹协调、各类重要工作</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工作经费及时落实到位，保证了各项工作的按时、有序开展；业务管理和财务管理制度比较健全，并能得到贯彻执行，</w:t>
      </w:r>
      <w:r>
        <w:rPr>
          <w:rFonts w:hint="eastAsia" w:ascii="仿宋" w:hAnsi="仿宋" w:eastAsia="仿宋" w:cs="仿宋"/>
          <w:color w:val="auto"/>
          <w:kern w:val="0"/>
          <w:sz w:val="32"/>
          <w:szCs w:val="32"/>
          <w:u w:val="none"/>
        </w:rPr>
        <w:t>整体支出绩效评价效果较好，达到了预期</w:t>
      </w:r>
      <w:r>
        <w:rPr>
          <w:rFonts w:hint="eastAsia" w:ascii="仿宋" w:hAnsi="仿宋" w:eastAsia="仿宋" w:cs="仿宋"/>
          <w:color w:val="auto"/>
          <w:sz w:val="32"/>
          <w:szCs w:val="32"/>
          <w:u w:val="none"/>
        </w:rPr>
        <w:t>目标。</w:t>
      </w:r>
      <w:r>
        <w:rPr>
          <w:rFonts w:hint="eastAsia" w:ascii="仿宋_GB2312" w:eastAsia="仿宋_GB2312" w:cs="仿宋_GB2312"/>
          <w:b w:val="0"/>
          <w:bCs w:val="0"/>
          <w:caps w:val="0"/>
          <w:color w:val="auto"/>
          <w:kern w:val="0"/>
          <w:sz w:val="32"/>
          <w:szCs w:val="32"/>
          <w:vertAlign w:val="baseline"/>
          <w:lang w:val="en-US" w:eastAsia="zh-CN" w:bidi="ar"/>
        </w:rPr>
        <w:t>2023年底，各项</w:t>
      </w:r>
      <w:r>
        <w:rPr>
          <w:rFonts w:hint="eastAsia" w:ascii="仿宋_GB2312" w:hAnsi="Times New Roman" w:eastAsia="仿宋_GB2312" w:cs="仿宋_GB2312"/>
          <w:b w:val="0"/>
          <w:bCs w:val="0"/>
          <w:caps w:val="0"/>
          <w:color w:val="auto"/>
          <w:kern w:val="0"/>
          <w:sz w:val="32"/>
          <w:szCs w:val="32"/>
          <w:vertAlign w:val="baseline"/>
          <w:lang w:val="en-US" w:eastAsia="zh-CN" w:bidi="ar"/>
        </w:rPr>
        <w:t>任务</w:t>
      </w:r>
      <w:r>
        <w:rPr>
          <w:rFonts w:hint="eastAsia" w:ascii="仿宋_GB2312" w:eastAsia="仿宋_GB2312" w:cs="仿宋_GB2312"/>
          <w:b w:val="0"/>
          <w:bCs w:val="0"/>
          <w:caps w:val="0"/>
          <w:color w:val="auto"/>
          <w:kern w:val="0"/>
          <w:sz w:val="32"/>
          <w:szCs w:val="32"/>
          <w:vertAlign w:val="baseline"/>
          <w:lang w:val="en-US" w:eastAsia="zh-CN" w:bidi="ar"/>
        </w:rPr>
        <w:t>都</w:t>
      </w:r>
      <w:r>
        <w:rPr>
          <w:rFonts w:hint="eastAsia" w:ascii="仿宋_GB2312" w:hAnsi="Times New Roman" w:eastAsia="仿宋_GB2312" w:cs="仿宋_GB2312"/>
          <w:b w:val="0"/>
          <w:bCs w:val="0"/>
          <w:caps w:val="0"/>
          <w:color w:val="auto"/>
          <w:kern w:val="0"/>
          <w:sz w:val="32"/>
          <w:szCs w:val="32"/>
          <w:vertAlign w:val="baseline"/>
          <w:lang w:val="en-US" w:eastAsia="zh-CN" w:bidi="ar"/>
        </w:rPr>
        <w:t>已完成</w:t>
      </w:r>
      <w:r>
        <w:rPr>
          <w:rFonts w:hint="eastAsia" w:ascii="仿宋" w:hAnsi="仿宋" w:eastAsia="仿宋" w:cs="仿宋"/>
          <w:color w:val="auto"/>
          <w:sz w:val="32"/>
          <w:szCs w:val="32"/>
          <w:u w:val="none"/>
          <w:lang w:val="en-US" w:eastAsia="zh-CN"/>
        </w:rPr>
        <w:t xml:space="preserve">  </w:t>
      </w:r>
      <w:r>
        <w:rPr>
          <w:rFonts w:hint="eastAsia" w:ascii="仿宋_GB2312" w:eastAsia="仿宋_GB2312" w:cs="仿宋_GB2312"/>
          <w:b w:val="0"/>
          <w:bCs w:val="0"/>
          <w:caps w:val="0"/>
          <w:color w:val="auto"/>
          <w:kern w:val="0"/>
          <w:sz w:val="32"/>
          <w:szCs w:val="32"/>
          <w:vertAlign w:val="baseline"/>
          <w:lang w:val="en-US" w:eastAsia="zh-CN" w:bidi="ar"/>
        </w:rPr>
        <w:t>。</w:t>
      </w:r>
    </w:p>
    <w:p w14:paraId="6A6B6A43">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2.项目支出绩效自评结果。</w:t>
      </w:r>
    </w:p>
    <w:p w14:paraId="62EBE4B2">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firstLine="480" w:firstLineChars="150"/>
        <w:jc w:val="both"/>
        <w:outlineLvl w:val="9"/>
        <w:rPr>
          <w:rFonts w:hint="eastAsia" w:ascii="仿宋_GB2312" w:eastAsia="仿宋_GB2312" w:cs="仿宋_GB2312"/>
          <w:caps w:val="0"/>
          <w:color w:val="auto"/>
          <w:kern w:val="0"/>
          <w:sz w:val="32"/>
          <w:szCs w:val="32"/>
          <w:vertAlign w:val="baseline"/>
          <w:lang w:eastAsia="zh-CN" w:bidi="ar"/>
        </w:rPr>
      </w:pPr>
      <w:r>
        <w:rPr>
          <w:rFonts w:hint="default" w:ascii="仿宋_GB2312" w:hAnsi="Times New Roman" w:eastAsia="仿宋_GB2312" w:cs="仿宋_GB2312"/>
          <w:b w:val="0"/>
          <w:bCs w:val="0"/>
          <w:caps w:val="0"/>
          <w:color w:val="auto"/>
          <w:kern w:val="0"/>
          <w:sz w:val="32"/>
          <w:szCs w:val="32"/>
          <w:vertAlign w:val="baseline"/>
          <w:lang w:val="en"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项目绩效自评总体情况：我部门2023年度项目</w:t>
      </w:r>
      <w:r>
        <w:rPr>
          <w:rFonts w:hint="eastAsia" w:ascii="仿宋_GB2312" w:eastAsia="仿宋_GB2312" w:cs="仿宋_GB2312"/>
          <w:kern w:val="0"/>
          <w:sz w:val="32"/>
          <w:szCs w:val="32"/>
          <w:lang w:val="en-US" w:eastAsia="zh-CN"/>
        </w:rPr>
        <w:t>4</w:t>
      </w:r>
      <w:r>
        <w:rPr>
          <w:rFonts w:hint="eastAsia" w:ascii="仿宋_GB2312" w:hAnsi="Times New Roman" w:eastAsia="仿宋_GB2312" w:cs="仿宋_GB2312"/>
          <w:b w:val="0"/>
          <w:bCs w:val="0"/>
          <w:caps w:val="0"/>
          <w:color w:val="auto"/>
          <w:kern w:val="0"/>
          <w:sz w:val="32"/>
          <w:szCs w:val="32"/>
          <w:vertAlign w:val="baseline"/>
          <w:lang w:val="en-US" w:eastAsia="zh-CN" w:bidi="ar"/>
        </w:rPr>
        <w:t>个，项目支出总额</w:t>
      </w:r>
      <w:r>
        <w:rPr>
          <w:rFonts w:hint="eastAsia" w:ascii="仿宋_GB2312" w:eastAsia="仿宋_GB2312" w:cs="仿宋_GB2312"/>
          <w:kern w:val="0"/>
          <w:sz w:val="32"/>
          <w:szCs w:val="32"/>
          <w:lang w:val="en-US" w:eastAsia="zh-CN"/>
        </w:rPr>
        <w:t>9.5</w:t>
      </w:r>
      <w:r>
        <w:rPr>
          <w:rFonts w:hint="eastAsia" w:ascii="仿宋_GB2312" w:hAnsi="Times New Roman" w:eastAsia="仿宋_GB2312" w:cs="仿宋_GB2312"/>
          <w:b w:val="0"/>
          <w:bCs w:val="0"/>
          <w:caps w:val="0"/>
          <w:color w:val="auto"/>
          <w:kern w:val="0"/>
          <w:sz w:val="32"/>
          <w:szCs w:val="32"/>
          <w:vertAlign w:val="baseline"/>
          <w:lang w:val="en-US" w:eastAsia="zh-CN" w:bidi="ar"/>
        </w:rPr>
        <w:t>万元。其中，本级项目</w:t>
      </w:r>
      <w:r>
        <w:rPr>
          <w:rFonts w:hint="eastAsia" w:ascii="仿宋_GB2312" w:eastAsia="仿宋_GB2312" w:cs="仿宋_GB2312"/>
          <w:kern w:val="0"/>
          <w:sz w:val="32"/>
          <w:szCs w:val="32"/>
          <w:lang w:val="en-US" w:eastAsia="zh-CN"/>
        </w:rPr>
        <w:t>4</w:t>
      </w:r>
      <w:r>
        <w:rPr>
          <w:rFonts w:hint="eastAsia" w:ascii="仿宋_GB2312" w:hAnsi="Times New Roman" w:eastAsia="仿宋_GB2312" w:cs="仿宋_GB2312"/>
          <w:b w:val="0"/>
          <w:bCs w:val="0"/>
          <w:caps w:val="0"/>
          <w:color w:val="auto"/>
          <w:kern w:val="0"/>
          <w:sz w:val="32"/>
          <w:szCs w:val="32"/>
          <w:vertAlign w:val="baseline"/>
          <w:lang w:val="en-US" w:eastAsia="zh-CN" w:bidi="ar"/>
        </w:rPr>
        <w:t>个，本级项目支出</w:t>
      </w:r>
      <w:r>
        <w:rPr>
          <w:rFonts w:hint="eastAsia" w:ascii="仿宋_GB2312" w:eastAsia="仿宋_GB2312" w:cs="仿宋_GB2312"/>
          <w:kern w:val="0"/>
          <w:sz w:val="32"/>
          <w:szCs w:val="32"/>
          <w:lang w:val="en-US" w:eastAsia="zh-CN"/>
        </w:rPr>
        <w:t>9.5</w:t>
      </w:r>
      <w:r>
        <w:rPr>
          <w:rFonts w:hint="eastAsia" w:ascii="仿宋_GB2312" w:hAnsi="Times New Roman" w:eastAsia="仿宋_GB2312" w:cs="仿宋_GB2312"/>
          <w:b w:val="0"/>
          <w:bCs w:val="0"/>
          <w:caps w:val="0"/>
          <w:color w:val="auto"/>
          <w:kern w:val="0"/>
          <w:sz w:val="32"/>
          <w:szCs w:val="32"/>
          <w:vertAlign w:val="baseline"/>
          <w:lang w:val="en-US" w:eastAsia="zh-CN" w:bidi="ar"/>
        </w:rPr>
        <w:t>万元；对下转移支付项目</w:t>
      </w:r>
      <w:r>
        <w:rPr>
          <w:rFonts w:hint="eastAsia" w:ascii="仿宋_GB2312" w:eastAsia="仿宋_GB2312" w:cs="仿宋_GB2312"/>
          <w:b w:val="0"/>
          <w:bCs w:val="0"/>
          <w:caps w:val="0"/>
          <w:color w:val="auto"/>
          <w:kern w:val="0"/>
          <w:sz w:val="32"/>
          <w:szCs w:val="32"/>
          <w:vertAlign w:val="baseline"/>
          <w:lang w:val="en-US" w:eastAsia="zh-CN" w:bidi="ar"/>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个，对下转移支付</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万元。项目中，敏感涉密项目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w:t>
      </w:r>
    </w:p>
    <w:p w14:paraId="3F7C8488">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所有项目均开展了绩效自评，其中非敏感涉密项目绩效自评结果为：</w:t>
      </w:r>
      <w:r>
        <w:rPr>
          <w:rFonts w:hint="eastAsia" w:ascii="仿宋_GB2312" w:eastAsia="仿宋_GB2312" w:cs="仿宋_GB2312"/>
          <w:kern w:val="0"/>
          <w:sz w:val="32"/>
          <w:szCs w:val="32"/>
          <w:lang w:val="en-US" w:eastAsia="zh-CN"/>
        </w:rPr>
        <w:t>3</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个项目评为一等，涉及资金</w:t>
      </w:r>
      <w:r>
        <w:rPr>
          <w:rFonts w:hint="eastAsia" w:ascii="仿宋_GB2312" w:eastAsia="仿宋_GB2312" w:cs="仿宋_GB2312"/>
          <w:kern w:val="0"/>
          <w:sz w:val="32"/>
          <w:szCs w:val="32"/>
          <w:lang w:val="en-US" w:eastAsia="zh-CN"/>
        </w:rPr>
        <w:t>9.5</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98.7</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kern w:val="0"/>
          <w:sz w:val="32"/>
          <w:szCs w:val="32"/>
          <w:lang w:val="en-US" w:eastAsia="zh-CN"/>
        </w:rPr>
        <w:t>75</w:t>
      </w:r>
      <w:r>
        <w:rPr>
          <w:rFonts w:hint="eastAsia" w:ascii="仿宋_GB2312" w:hAnsi="Times New Roman" w:eastAsia="仿宋_GB2312" w:cs="仿宋_GB2312"/>
          <w:b w:val="0"/>
          <w:bCs w:val="0"/>
          <w:caps w:val="0"/>
          <w:color w:val="auto"/>
          <w:kern w:val="0"/>
          <w:sz w:val="32"/>
          <w:szCs w:val="32"/>
          <w:vertAlign w:val="baseline"/>
          <w:lang w:val="en-US" w:eastAsia="zh-CN" w:bidi="ar"/>
        </w:rPr>
        <w:t>%；</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个项目评为二等，涉及资金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w:t>
      </w:r>
      <w:r>
        <w:rPr>
          <w:rFonts w:hint="eastAsia" w:ascii="仿宋_GB2312" w:eastAsia="仿宋_GB2312" w:cs="仿宋_GB2312"/>
          <w:b w:val="0"/>
          <w:bCs w:val="0"/>
          <w:caps w:val="0"/>
          <w:color w:val="auto"/>
          <w:kern w:val="0"/>
          <w:sz w:val="32"/>
          <w:szCs w:val="32"/>
          <w:vertAlign w:val="baseline"/>
          <w:lang w:val="en-US"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个项目评为三等，涉及资金</w:t>
      </w:r>
      <w:r>
        <w:rPr>
          <w:rFonts w:hint="eastAsia" w:ascii="仿宋_GB2312" w:eastAsia="仿宋_GB2312" w:cs="仿宋_GB2312"/>
          <w:kern w:val="0"/>
          <w:sz w:val="32"/>
          <w:szCs w:val="32"/>
          <w:lang w:val="en-US" w:eastAsia="zh-CN"/>
        </w:rPr>
        <w:t>0.13</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25</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%，占项目支出总额比例</w:t>
      </w:r>
      <w:r>
        <w:rPr>
          <w:rFonts w:hint="eastAsia" w:ascii="仿宋_GB2312" w:eastAsia="仿宋_GB2312" w:cs="仿宋_GB2312"/>
          <w:kern w:val="0"/>
          <w:sz w:val="32"/>
          <w:szCs w:val="32"/>
          <w:lang w:val="en-US" w:eastAsia="zh-CN"/>
        </w:rPr>
        <w:t>1.3</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%；自评发现的主要问题及原因：一是</w:t>
      </w:r>
      <w:r>
        <w:rPr>
          <w:rFonts w:hint="eastAsia" w:ascii="仿宋_GB2312" w:eastAsia="仿宋_GB2312" w:cs="仿宋_GB2312"/>
          <w:b w:val="0"/>
          <w:bCs w:val="0"/>
          <w:caps w:val="0"/>
          <w:color w:val="auto"/>
          <w:kern w:val="0"/>
          <w:sz w:val="32"/>
          <w:szCs w:val="32"/>
          <w:vertAlign w:val="baseline"/>
          <w:lang w:val="en-US" w:eastAsia="zh-CN" w:bidi="ar"/>
        </w:rPr>
        <w:t>工作已开展，资金未支付。</w:t>
      </w:r>
    </w:p>
    <w:p w14:paraId="036BD52C">
      <w:pPr>
        <w:keepNext w:val="0"/>
        <w:keepLines w:val="0"/>
        <w:pageBreakBefore w:val="0"/>
        <w:widowControl w:val="0"/>
        <w:numPr>
          <w:ilvl w:val="0"/>
          <w:numId w:val="0"/>
        </w:numPr>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right="0" w:rightChars="0" w:firstLine="640" w:firstLineChars="200"/>
        <w:jc w:val="both"/>
        <w:outlineLvl w:val="9"/>
        <w:rPr>
          <w:rFonts w:hint="eastAsia" w:ascii="仿宋" w:hAnsi="仿宋" w:eastAsia="仿宋" w:cs="仿宋"/>
          <w:color w:val="auto"/>
          <w:kern w:val="0"/>
          <w:sz w:val="32"/>
          <w:szCs w:val="32"/>
          <w:highlight w:val="none"/>
          <w:u w:val="none"/>
          <w:lang w:eastAsia="zh-CN"/>
        </w:rPr>
      </w:pPr>
      <w:r>
        <w:rPr>
          <w:rFonts w:hint="eastAsia" w:ascii="仿宋_GB2312" w:hAnsi="Times New Roman" w:eastAsia="仿宋_GB2312" w:cs="仿宋_GB2312"/>
          <w:b w:val="0"/>
          <w:bCs w:val="0"/>
          <w:caps w:val="0"/>
          <w:color w:val="auto"/>
          <w:kern w:val="0"/>
          <w:sz w:val="32"/>
          <w:szCs w:val="32"/>
          <w:vertAlign w:val="baseline"/>
          <w:lang w:val="en-US" w:eastAsia="zh-CN" w:bidi="ar"/>
        </w:rPr>
        <w:t>（2）部分重点项目绩效自评情况（至少选择一个重点项目做具体说明）：根据年初设定的绩效目标，</w:t>
      </w:r>
      <w:r>
        <w:rPr>
          <w:rFonts w:hint="eastAsia" w:ascii="仿宋_GB2312" w:eastAsia="仿宋_GB2312" w:cs="仿宋_GB2312"/>
          <w:b w:val="0"/>
          <w:bCs w:val="0"/>
          <w:caps w:val="0"/>
          <w:color w:val="auto"/>
          <w:kern w:val="0"/>
          <w:sz w:val="32"/>
          <w:szCs w:val="32"/>
          <w:vertAlign w:val="baseline"/>
          <w:lang w:val="en-US"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项目自评得分为</w:t>
      </w:r>
      <w:r>
        <w:rPr>
          <w:rFonts w:hint="eastAsia" w:ascii="仿宋_GB2312" w:eastAsia="仿宋_GB2312" w:cs="仿宋_GB2312"/>
          <w:b w:val="0"/>
          <w:bCs w:val="0"/>
          <w:caps w:val="0"/>
          <w:color w:val="auto"/>
          <w:kern w:val="0"/>
          <w:sz w:val="32"/>
          <w:szCs w:val="32"/>
          <w:vertAlign w:val="baseline"/>
          <w:lang w:val="en-US" w:eastAsia="zh-CN" w:bidi="ar"/>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分，</w:t>
      </w:r>
      <w:r>
        <w:rPr>
          <w:rFonts w:hint="eastAsia" w:ascii="仿宋_GB2312" w:eastAsia="仿宋_GB2312" w:cs="仿宋_GB2312"/>
          <w:b w:val="0"/>
          <w:bCs w:val="0"/>
          <w:caps w:val="0"/>
          <w:color w:val="auto"/>
          <w:kern w:val="0"/>
          <w:sz w:val="32"/>
          <w:szCs w:val="32"/>
          <w:vertAlign w:val="baseline"/>
          <w:lang w:val="en-US" w:eastAsia="zh-CN" w:bidi="ar"/>
        </w:rPr>
        <w:t>一</w:t>
      </w:r>
      <w:r>
        <w:rPr>
          <w:rFonts w:hint="eastAsia" w:ascii="仿宋_GB2312" w:hAnsi="Times New Roman" w:eastAsia="仿宋_GB2312" w:cs="仿宋_GB2312"/>
          <w:b w:val="0"/>
          <w:bCs w:val="0"/>
          <w:caps w:val="0"/>
          <w:color w:val="auto"/>
          <w:kern w:val="0"/>
          <w:sz w:val="32"/>
          <w:szCs w:val="32"/>
          <w:vertAlign w:val="baseline"/>
          <w:lang w:val="en-US" w:eastAsia="zh-CN" w:bidi="ar"/>
        </w:rPr>
        <w:t>等，项目全年预算数为</w:t>
      </w:r>
      <w:r>
        <w:rPr>
          <w:rFonts w:hint="eastAsia" w:ascii="仿宋_GB2312" w:eastAsia="仿宋_GB2312" w:cs="仿宋_GB2312"/>
          <w:kern w:val="0"/>
          <w:sz w:val="32"/>
          <w:szCs w:val="32"/>
          <w:lang w:val="en-US" w:eastAsia="zh-CN"/>
        </w:rPr>
        <w:t>2.5</w:t>
      </w:r>
      <w:r>
        <w:rPr>
          <w:rFonts w:hint="eastAsia" w:ascii="仿宋_GB2312" w:hAnsi="Times New Roman" w:eastAsia="仿宋_GB2312" w:cs="仿宋_GB2312"/>
          <w:b w:val="0"/>
          <w:bCs w:val="0"/>
          <w:caps w:val="0"/>
          <w:color w:val="auto"/>
          <w:kern w:val="0"/>
          <w:sz w:val="32"/>
          <w:szCs w:val="32"/>
          <w:vertAlign w:val="baseline"/>
          <w:lang w:val="en-US" w:eastAsia="zh-CN" w:bidi="ar"/>
        </w:rPr>
        <w:t>万元，执行数为</w:t>
      </w:r>
      <w:r>
        <w:rPr>
          <w:rFonts w:hint="eastAsia" w:ascii="仿宋_GB2312" w:eastAsia="仿宋_GB2312" w:cs="仿宋_GB2312"/>
          <w:kern w:val="0"/>
          <w:sz w:val="32"/>
          <w:szCs w:val="32"/>
          <w:lang w:val="en-US" w:eastAsia="zh-CN"/>
        </w:rPr>
        <w:t>2.5</w:t>
      </w:r>
      <w:r>
        <w:rPr>
          <w:rFonts w:hint="eastAsia" w:ascii="仿宋_GB2312" w:hAnsi="Times New Roman" w:eastAsia="仿宋_GB2312" w:cs="仿宋_GB2312"/>
          <w:b w:val="0"/>
          <w:bCs w:val="0"/>
          <w:caps w:val="0"/>
          <w:color w:val="auto"/>
          <w:kern w:val="0"/>
          <w:sz w:val="32"/>
          <w:szCs w:val="32"/>
          <w:vertAlign w:val="baseline"/>
          <w:lang w:val="en-US" w:eastAsia="zh-CN" w:bidi="ar"/>
        </w:rPr>
        <w:t>万元，完成预算的</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%。项目绩效目标完成情况：</w:t>
      </w:r>
      <w:r>
        <w:rPr>
          <w:rFonts w:hint="eastAsia" w:ascii="仿宋" w:hAnsi="仿宋" w:eastAsia="仿宋" w:cs="仿宋"/>
          <w:color w:val="auto"/>
          <w:kern w:val="0"/>
          <w:sz w:val="32"/>
          <w:szCs w:val="32"/>
          <w:highlight w:val="none"/>
          <w:lang w:eastAsia="zh-CN"/>
        </w:rPr>
        <w:t>已在全县主要蔗区举办糖蔗“双高”栽培技术培训班4期，培训2</w:t>
      </w:r>
      <w:r>
        <w:rPr>
          <w:rFonts w:hint="eastAsia" w:ascii="仿宋" w:hAnsi="仿宋" w:eastAsia="仿宋" w:cs="仿宋"/>
          <w:color w:val="auto"/>
          <w:kern w:val="0"/>
          <w:sz w:val="32"/>
          <w:szCs w:val="32"/>
          <w:highlight w:val="none"/>
          <w:lang w:val="en-US" w:eastAsia="zh-CN"/>
        </w:rPr>
        <w:t>1</w:t>
      </w:r>
      <w:r>
        <w:rPr>
          <w:rFonts w:hint="eastAsia" w:ascii="仿宋" w:hAnsi="仿宋" w:eastAsia="仿宋" w:cs="仿宋"/>
          <w:color w:val="auto"/>
          <w:kern w:val="0"/>
          <w:sz w:val="32"/>
          <w:szCs w:val="32"/>
          <w:highlight w:val="none"/>
          <w:lang w:eastAsia="zh-CN"/>
        </w:rPr>
        <w:t>0人次，发放宣传学学习资料</w:t>
      </w:r>
      <w:r>
        <w:rPr>
          <w:rFonts w:hint="eastAsia" w:ascii="仿宋" w:hAnsi="仿宋" w:eastAsia="仿宋" w:cs="仿宋"/>
          <w:color w:val="auto"/>
          <w:kern w:val="0"/>
          <w:sz w:val="32"/>
          <w:szCs w:val="32"/>
          <w:highlight w:val="none"/>
          <w:lang w:val="en-US" w:eastAsia="zh-CN"/>
        </w:rPr>
        <w:t>9</w:t>
      </w:r>
      <w:r>
        <w:rPr>
          <w:rFonts w:hint="eastAsia" w:ascii="仿宋" w:hAnsi="仿宋" w:eastAsia="仿宋" w:cs="仿宋"/>
          <w:color w:val="auto"/>
          <w:kern w:val="0"/>
          <w:sz w:val="32"/>
          <w:szCs w:val="32"/>
          <w:highlight w:val="none"/>
          <w:lang w:eastAsia="zh-CN"/>
        </w:rPr>
        <w:t>00份。</w:t>
      </w:r>
      <w:r>
        <w:rPr>
          <w:rFonts w:hint="eastAsia" w:ascii="仿宋" w:hAnsi="仿宋" w:eastAsia="仿宋" w:cs="仿宋"/>
          <w:color w:val="auto"/>
          <w:kern w:val="0"/>
          <w:sz w:val="32"/>
          <w:szCs w:val="32"/>
          <w:highlight w:val="none"/>
        </w:rPr>
        <w:t>通过技术培训使蔗农掌握更多的糖蔗栽培生产技术，从而促进糖蔗生产整体效益</w:t>
      </w:r>
      <w:r>
        <w:rPr>
          <w:rFonts w:hint="eastAsia" w:ascii="仿宋" w:hAnsi="仿宋" w:eastAsia="仿宋" w:cs="仿宋"/>
          <w:color w:val="auto"/>
          <w:kern w:val="0"/>
          <w:sz w:val="32"/>
          <w:szCs w:val="32"/>
          <w:highlight w:val="none"/>
          <w:lang w:val="en-US" w:eastAsia="zh-CN"/>
        </w:rPr>
        <w:t>,</w:t>
      </w:r>
      <w:r>
        <w:rPr>
          <w:rFonts w:hint="eastAsia" w:ascii="仿宋" w:hAnsi="仿宋" w:eastAsia="仿宋" w:cs="仿宋"/>
          <w:color w:val="auto"/>
          <w:kern w:val="0"/>
          <w:sz w:val="32"/>
          <w:szCs w:val="32"/>
          <w:highlight w:val="none"/>
        </w:rPr>
        <w:t>提高蔗农生产收入</w:t>
      </w:r>
      <w:r>
        <w:rPr>
          <w:rFonts w:hint="eastAsia" w:ascii="仿宋" w:hAnsi="仿宋" w:eastAsia="仿宋" w:cs="仿宋"/>
          <w:color w:val="auto"/>
          <w:kern w:val="0"/>
          <w:sz w:val="32"/>
          <w:szCs w:val="32"/>
          <w:highlight w:val="none"/>
          <w:lang w:val="en-US" w:eastAsia="zh-CN"/>
        </w:rPr>
        <w:t>18元/年.人,</w:t>
      </w:r>
      <w:r>
        <w:rPr>
          <w:rFonts w:hint="eastAsia" w:ascii="仿宋" w:hAnsi="仿宋" w:eastAsia="仿宋" w:cs="仿宋"/>
          <w:color w:val="auto"/>
          <w:kern w:val="0"/>
          <w:sz w:val="32"/>
          <w:szCs w:val="32"/>
          <w:highlight w:val="none"/>
          <w:u w:val="none"/>
        </w:rPr>
        <w:t>达到</w:t>
      </w:r>
      <w:r>
        <w:rPr>
          <w:rFonts w:hint="eastAsia" w:ascii="仿宋" w:hAnsi="仿宋" w:eastAsia="仿宋" w:cs="仿宋"/>
          <w:color w:val="auto"/>
          <w:kern w:val="0"/>
          <w:sz w:val="32"/>
          <w:szCs w:val="32"/>
          <w:highlight w:val="none"/>
          <w:u w:val="none"/>
          <w:lang w:eastAsia="zh-CN"/>
        </w:rPr>
        <w:t>了预期的</w:t>
      </w:r>
      <w:r>
        <w:rPr>
          <w:rFonts w:hint="eastAsia" w:ascii="仿宋" w:hAnsi="仿宋" w:eastAsia="仿宋" w:cs="仿宋"/>
          <w:color w:val="auto"/>
          <w:kern w:val="0"/>
          <w:sz w:val="32"/>
          <w:szCs w:val="32"/>
          <w:highlight w:val="none"/>
          <w:u w:val="none"/>
        </w:rPr>
        <w:t>绩效效果</w:t>
      </w:r>
      <w:r>
        <w:rPr>
          <w:rFonts w:hint="eastAsia" w:ascii="仿宋" w:hAnsi="仿宋" w:eastAsia="仿宋" w:cs="仿宋"/>
          <w:color w:val="auto"/>
          <w:kern w:val="0"/>
          <w:sz w:val="32"/>
          <w:szCs w:val="32"/>
          <w:highlight w:val="none"/>
          <w:u w:val="none"/>
          <w:lang w:eastAsia="zh-CN"/>
        </w:rPr>
        <w:t>。</w:t>
      </w:r>
    </w:p>
    <w:p w14:paraId="588697FC">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highlight w:val="none"/>
          <w:vertAlign w:val="baseline"/>
          <w:lang w:eastAsia="zh-CN" w:bidi="ar"/>
        </w:rPr>
      </w:pP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3.部门绩效评价结果。</w:t>
      </w:r>
    </w:p>
    <w:p w14:paraId="1E86BF9E">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b w:val="0"/>
          <w:bCs w:val="0"/>
          <w:caps w:val="0"/>
          <w:color w:val="auto"/>
          <w:kern w:val="0"/>
          <w:sz w:val="32"/>
          <w:szCs w:val="32"/>
          <w:vertAlign w:val="baseline"/>
          <w:lang w:val="en-US" w:eastAsia="zh-CN" w:bidi="ar"/>
        </w:rPr>
      </w:pP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组织对“</w:t>
      </w:r>
      <w:r>
        <w:rPr>
          <w:rFonts w:hint="eastAsia" w:ascii="仿宋_GB2312" w:hAnsi="仿宋_GB2312" w:eastAsia="仿宋_GB2312" w:cs="仿宋_GB2312"/>
          <w:sz w:val="32"/>
          <w:szCs w:val="32"/>
        </w:rPr>
        <w:t>糖蔗高产高糖栽培技术培训费</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”等</w:t>
      </w:r>
      <w:r>
        <w:rPr>
          <w:rFonts w:hint="eastAsia" w:ascii="仿宋_GB2312" w:eastAsia="仿宋_GB2312" w:cs="仿宋_GB2312"/>
          <w:b w:val="0"/>
          <w:bCs w:val="0"/>
          <w:caps w:val="0"/>
          <w:color w:val="auto"/>
          <w:kern w:val="0"/>
          <w:sz w:val="32"/>
          <w:szCs w:val="32"/>
          <w:highlight w:val="none"/>
          <w:vertAlign w:val="baseline"/>
          <w:lang w:val="en-US" w:eastAsia="zh-CN" w:bidi="ar"/>
        </w:rPr>
        <w:t>1</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个重点项目进行了部门评价，评价结果为</w:t>
      </w:r>
      <w:r>
        <w:rPr>
          <w:rFonts w:hint="eastAsia" w:ascii="仿宋_GB2312" w:eastAsia="仿宋_GB2312" w:cs="仿宋_GB2312"/>
          <w:b w:val="0"/>
          <w:bCs w:val="0"/>
          <w:caps w:val="0"/>
          <w:color w:val="auto"/>
          <w:kern w:val="0"/>
          <w:sz w:val="32"/>
          <w:szCs w:val="32"/>
          <w:highlight w:val="none"/>
          <w:vertAlign w:val="baseline"/>
          <w:lang w:val="en-US" w:eastAsia="zh-CN" w:bidi="ar"/>
        </w:rPr>
        <w:t xml:space="preserve"> 一</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 xml:space="preserve"> 等</w:t>
      </w:r>
      <w:r>
        <w:rPr>
          <w:rFonts w:hint="eastAsia" w:ascii="仿宋_GB2312" w:eastAsia="仿宋_GB2312" w:cs="仿宋_GB2312"/>
          <w:b w:val="0"/>
          <w:bCs w:val="0"/>
          <w:caps w:val="0"/>
          <w:color w:val="auto"/>
          <w:kern w:val="0"/>
          <w:sz w:val="32"/>
          <w:szCs w:val="32"/>
          <w:highlight w:val="none"/>
          <w:vertAlign w:val="baseline"/>
          <w:lang w:val="en-US" w:eastAsia="zh-CN" w:bidi="ar"/>
        </w:rPr>
        <w:t>，</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涉及资金</w:t>
      </w:r>
      <w:r>
        <w:rPr>
          <w:rFonts w:hint="eastAsia" w:ascii="仿宋_GB2312" w:eastAsia="仿宋_GB2312" w:cs="仿宋_GB2312"/>
          <w:b w:val="0"/>
          <w:bCs w:val="0"/>
          <w:caps w:val="0"/>
          <w:color w:val="auto"/>
          <w:kern w:val="0"/>
          <w:sz w:val="32"/>
          <w:szCs w:val="32"/>
          <w:highlight w:val="none"/>
          <w:vertAlign w:val="baseline"/>
          <w:lang w:val="en-US" w:eastAsia="zh-CN" w:bidi="ar"/>
        </w:rPr>
        <w:t>2.5</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万元。从评价</w:t>
      </w:r>
      <w:r>
        <w:rPr>
          <w:rFonts w:hint="eastAsia" w:ascii="仿宋_GB2312" w:hAnsi="Times New Roman" w:eastAsia="仿宋_GB2312" w:cs="仿宋_GB2312"/>
          <w:b w:val="0"/>
          <w:bCs w:val="0"/>
          <w:caps w:val="0"/>
          <w:color w:val="auto"/>
          <w:kern w:val="0"/>
          <w:sz w:val="32"/>
          <w:szCs w:val="32"/>
          <w:vertAlign w:val="baseline"/>
          <w:lang w:val="en-US" w:eastAsia="zh-CN" w:bidi="ar"/>
        </w:rPr>
        <w:t>情况来看，在2023年底，已完成所在任务。</w:t>
      </w:r>
    </w:p>
    <w:p w14:paraId="496F2376">
      <w:pPr>
        <w:autoSpaceDE w:val="0"/>
        <w:autoSpaceDN w:val="0"/>
        <w:adjustRightInd w:val="0"/>
        <w:spacing w:line="560" w:lineRule="exact"/>
        <w:rPr>
          <w:rFonts w:hint="eastAsia" w:ascii="仿宋_GB2312" w:eastAsia="仿宋_GB2312" w:cs="仿宋_GB2312"/>
          <w:b/>
          <w:kern w:val="0"/>
          <w:sz w:val="32"/>
          <w:szCs w:val="32"/>
        </w:rPr>
      </w:pPr>
    </w:p>
    <w:p w14:paraId="511B1989">
      <w:pPr>
        <w:autoSpaceDE w:val="0"/>
        <w:autoSpaceDN w:val="0"/>
        <w:adjustRightInd w:val="0"/>
        <w:spacing w:line="560" w:lineRule="exact"/>
        <w:rPr>
          <w:rFonts w:hint="eastAsia" w:ascii="仿宋_GB2312" w:eastAsia="仿宋_GB2312" w:cs="仿宋_GB2312"/>
          <w:b/>
          <w:kern w:val="0"/>
          <w:sz w:val="32"/>
          <w:szCs w:val="32"/>
        </w:rPr>
      </w:pPr>
    </w:p>
    <w:p w14:paraId="7511D53E">
      <w:pPr>
        <w:autoSpaceDE w:val="0"/>
        <w:autoSpaceDN w:val="0"/>
        <w:adjustRightInd w:val="0"/>
        <w:spacing w:line="560" w:lineRule="exact"/>
        <w:rPr>
          <w:rFonts w:hint="eastAsia" w:ascii="仿宋_GB2312" w:eastAsia="仿宋_GB2312" w:cs="仿宋_GB2312"/>
          <w:b/>
          <w:kern w:val="0"/>
          <w:sz w:val="32"/>
          <w:szCs w:val="32"/>
        </w:rPr>
      </w:pPr>
    </w:p>
    <w:p w14:paraId="17A24F30">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right="0"/>
        <w:jc w:val="both"/>
        <w:outlineLvl w:val="9"/>
        <w:rPr>
          <w:rFonts w:hint="eastAsia" w:ascii="仿宋_GB2312" w:eastAsia="仿宋_GB2312" w:cs="仿宋_GB2312"/>
          <w:caps w:val="0"/>
          <w:color w:val="FF0000"/>
          <w:kern w:val="0"/>
          <w:sz w:val="32"/>
          <w:szCs w:val="32"/>
          <w:vertAlign w:val="baseline"/>
          <w:lang w:bidi="ar"/>
        </w:rPr>
      </w:pPr>
    </w:p>
    <w:p w14:paraId="7DC63947">
      <w:pPr>
        <w:autoSpaceDE w:val="0"/>
        <w:autoSpaceDN w:val="0"/>
        <w:adjustRightInd w:val="0"/>
        <w:spacing w:line="560" w:lineRule="exact"/>
        <w:rPr>
          <w:rFonts w:hint="eastAsia" w:ascii="仿宋_GB2312" w:eastAsia="仿宋_GB2312" w:cs="仿宋_GB2312"/>
          <w:b/>
          <w:color w:val="FF0000"/>
          <w:kern w:val="0"/>
          <w:sz w:val="32"/>
          <w:szCs w:val="32"/>
        </w:rPr>
      </w:pPr>
    </w:p>
    <w:p w14:paraId="42CBAD88">
      <w:pPr>
        <w:autoSpaceDE w:val="0"/>
        <w:autoSpaceDN w:val="0"/>
        <w:adjustRightInd w:val="0"/>
        <w:spacing w:line="560" w:lineRule="exact"/>
        <w:jc w:val="center"/>
        <w:rPr>
          <w:rFonts w:hint="eastAsia" w:ascii="黑体" w:hAnsi="黑体" w:eastAsia="黑体" w:cs="仿宋_GB2312"/>
          <w:kern w:val="0"/>
          <w:sz w:val="32"/>
          <w:szCs w:val="32"/>
        </w:rPr>
      </w:pPr>
    </w:p>
    <w:p w14:paraId="2732ED47">
      <w:pPr>
        <w:autoSpaceDE w:val="0"/>
        <w:autoSpaceDN w:val="0"/>
        <w:adjustRightInd w:val="0"/>
        <w:spacing w:line="560" w:lineRule="exact"/>
        <w:jc w:val="center"/>
        <w:rPr>
          <w:rFonts w:hint="eastAsia" w:ascii="黑体" w:hAnsi="黑体" w:eastAsia="黑体" w:cs="仿宋_GB2312"/>
          <w:kern w:val="0"/>
          <w:sz w:val="32"/>
          <w:szCs w:val="32"/>
        </w:rPr>
      </w:pPr>
    </w:p>
    <w:p w14:paraId="4B50E2AB">
      <w:pPr>
        <w:autoSpaceDE w:val="0"/>
        <w:autoSpaceDN w:val="0"/>
        <w:adjustRightInd w:val="0"/>
        <w:spacing w:line="560" w:lineRule="exact"/>
        <w:jc w:val="center"/>
        <w:rPr>
          <w:rFonts w:hint="eastAsia" w:ascii="黑体" w:hAnsi="黑体" w:eastAsia="黑体" w:cs="仿宋_GB2312"/>
          <w:kern w:val="0"/>
          <w:sz w:val="32"/>
          <w:szCs w:val="32"/>
        </w:rPr>
      </w:pPr>
    </w:p>
    <w:p w14:paraId="66B1BC75">
      <w:pPr>
        <w:autoSpaceDE w:val="0"/>
        <w:autoSpaceDN w:val="0"/>
        <w:adjustRightInd w:val="0"/>
        <w:spacing w:line="560" w:lineRule="exact"/>
        <w:jc w:val="center"/>
        <w:rPr>
          <w:rFonts w:hint="eastAsia" w:ascii="黑体" w:hAnsi="黑体" w:eastAsia="黑体" w:cs="仿宋_GB2312"/>
          <w:kern w:val="0"/>
          <w:sz w:val="32"/>
          <w:szCs w:val="32"/>
        </w:rPr>
      </w:pPr>
    </w:p>
    <w:p w14:paraId="013F0570">
      <w:pPr>
        <w:autoSpaceDE w:val="0"/>
        <w:autoSpaceDN w:val="0"/>
        <w:adjustRightInd w:val="0"/>
        <w:spacing w:line="560" w:lineRule="exact"/>
        <w:jc w:val="center"/>
        <w:rPr>
          <w:rFonts w:hint="eastAsia" w:ascii="黑体" w:hAnsi="黑体" w:eastAsia="黑体" w:cs="仿宋_GB2312"/>
          <w:kern w:val="0"/>
          <w:sz w:val="32"/>
          <w:szCs w:val="32"/>
        </w:rPr>
      </w:pPr>
    </w:p>
    <w:p w14:paraId="0393E4C1">
      <w:pPr>
        <w:autoSpaceDE w:val="0"/>
        <w:autoSpaceDN w:val="0"/>
        <w:adjustRightInd w:val="0"/>
        <w:spacing w:line="560" w:lineRule="exact"/>
        <w:jc w:val="center"/>
        <w:rPr>
          <w:rFonts w:hint="eastAsia" w:ascii="黑体" w:hAnsi="黑体" w:eastAsia="黑体" w:cs="仿宋_GB2312"/>
          <w:kern w:val="0"/>
          <w:sz w:val="32"/>
          <w:szCs w:val="32"/>
        </w:rPr>
      </w:pPr>
    </w:p>
    <w:p w14:paraId="7103B22C">
      <w:pPr>
        <w:autoSpaceDE w:val="0"/>
        <w:autoSpaceDN w:val="0"/>
        <w:adjustRightInd w:val="0"/>
        <w:spacing w:line="560" w:lineRule="exact"/>
        <w:jc w:val="center"/>
        <w:rPr>
          <w:rFonts w:hint="eastAsia" w:ascii="黑体" w:hAnsi="黑体" w:eastAsia="黑体" w:cs="仿宋_GB2312"/>
          <w:kern w:val="0"/>
          <w:sz w:val="32"/>
          <w:szCs w:val="32"/>
        </w:rPr>
      </w:pPr>
    </w:p>
    <w:p w14:paraId="02F0DD0F">
      <w:pPr>
        <w:autoSpaceDE w:val="0"/>
        <w:autoSpaceDN w:val="0"/>
        <w:adjustRightInd w:val="0"/>
        <w:spacing w:line="560" w:lineRule="exact"/>
        <w:jc w:val="center"/>
        <w:rPr>
          <w:rFonts w:hint="eastAsia" w:ascii="黑体" w:hAnsi="黑体" w:eastAsia="黑体" w:cs="仿宋_GB2312"/>
          <w:kern w:val="0"/>
          <w:sz w:val="32"/>
          <w:szCs w:val="32"/>
        </w:rPr>
      </w:pPr>
    </w:p>
    <w:p w14:paraId="714144CE">
      <w:pPr>
        <w:autoSpaceDE w:val="0"/>
        <w:autoSpaceDN w:val="0"/>
        <w:adjustRightInd w:val="0"/>
        <w:spacing w:line="560" w:lineRule="exact"/>
        <w:jc w:val="center"/>
        <w:rPr>
          <w:rFonts w:hint="eastAsia" w:ascii="黑体" w:hAnsi="黑体" w:eastAsia="黑体" w:cs="仿宋_GB2312"/>
          <w:kern w:val="0"/>
          <w:sz w:val="32"/>
          <w:szCs w:val="32"/>
        </w:rPr>
      </w:pPr>
    </w:p>
    <w:p w14:paraId="354E578B">
      <w:pPr>
        <w:autoSpaceDE w:val="0"/>
        <w:autoSpaceDN w:val="0"/>
        <w:adjustRightInd w:val="0"/>
        <w:spacing w:line="560" w:lineRule="exact"/>
        <w:jc w:val="center"/>
        <w:rPr>
          <w:rFonts w:hint="eastAsia" w:ascii="黑体" w:hAnsi="黑体" w:eastAsia="黑体" w:cs="仿宋_GB2312"/>
          <w:kern w:val="0"/>
          <w:sz w:val="32"/>
          <w:szCs w:val="32"/>
        </w:rPr>
      </w:pPr>
    </w:p>
    <w:p w14:paraId="35817339">
      <w:pPr>
        <w:autoSpaceDE w:val="0"/>
        <w:autoSpaceDN w:val="0"/>
        <w:adjustRightInd w:val="0"/>
        <w:spacing w:line="560" w:lineRule="exact"/>
        <w:jc w:val="center"/>
        <w:rPr>
          <w:rFonts w:hint="eastAsia" w:ascii="黑体" w:hAnsi="黑体" w:eastAsia="黑体" w:cs="仿宋_GB2312"/>
          <w:kern w:val="0"/>
          <w:sz w:val="32"/>
          <w:szCs w:val="32"/>
        </w:rPr>
      </w:pPr>
    </w:p>
    <w:p w14:paraId="5FFE489F">
      <w:pPr>
        <w:autoSpaceDE w:val="0"/>
        <w:autoSpaceDN w:val="0"/>
        <w:adjustRightInd w:val="0"/>
        <w:spacing w:line="560" w:lineRule="exact"/>
        <w:jc w:val="center"/>
        <w:rPr>
          <w:rFonts w:hint="eastAsia" w:ascii="黑体" w:hAnsi="黑体" w:eastAsia="黑体" w:cs="仿宋_GB2312"/>
          <w:kern w:val="0"/>
          <w:sz w:val="32"/>
          <w:szCs w:val="32"/>
        </w:rPr>
      </w:pPr>
    </w:p>
    <w:p w14:paraId="056BD911">
      <w:pPr>
        <w:autoSpaceDE w:val="0"/>
        <w:autoSpaceDN w:val="0"/>
        <w:adjustRightInd w:val="0"/>
        <w:spacing w:line="560" w:lineRule="exact"/>
        <w:jc w:val="center"/>
        <w:rPr>
          <w:rFonts w:hint="eastAsia" w:ascii="黑体" w:hAnsi="黑体" w:eastAsia="黑体" w:cs="仿宋_GB2312"/>
          <w:kern w:val="0"/>
          <w:sz w:val="32"/>
          <w:szCs w:val="32"/>
        </w:rPr>
      </w:pPr>
      <w:r>
        <w:rPr>
          <w:rFonts w:hint="eastAsia" w:ascii="黑体" w:hAnsi="黑体" w:eastAsia="黑体" w:cs="仿宋_GB2312"/>
          <w:kern w:val="0"/>
          <w:sz w:val="32"/>
          <w:szCs w:val="32"/>
        </w:rPr>
        <w:t>第四部分  名词解释</w:t>
      </w:r>
    </w:p>
    <w:p w14:paraId="2B27C6F1">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一、财政拨款收入：指自治区财政部门当年拨付的资金。 </w:t>
      </w:r>
    </w:p>
    <w:p w14:paraId="182AC94C">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14:paraId="2FC973C8">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14:paraId="76156AC3">
      <w:pPr>
        <w:spacing w:line="560" w:lineRule="exact"/>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14:paraId="0EA28561">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五、使用非财政拨款结余</w:t>
      </w:r>
      <w:r>
        <w:rPr>
          <w:rFonts w:hint="eastAsia" w:ascii="仿宋_GB2312" w:eastAsia="仿宋_GB2312"/>
          <w:sz w:val="32"/>
          <w:szCs w:val="32"/>
          <w:lang w:eastAsia="zh-CN"/>
        </w:rPr>
        <w:t>（含专用结余）</w:t>
      </w:r>
      <w:r>
        <w:rPr>
          <w:rFonts w:hint="eastAsia" w:ascii="仿宋_GB2312" w:eastAsia="仿宋_GB2312"/>
          <w:sz w:val="32"/>
          <w:szCs w:val="32"/>
        </w:rPr>
        <w:t xml:space="preserve">：指事业单位在当年的“财政拨款收入”“事业收入”“经营收入”“其他收入”不足以安排当年支出的情况下，使用非财政拨款结余、专用结余弥补本年度收支缺口的资金。 </w:t>
      </w:r>
    </w:p>
    <w:p w14:paraId="753F06C4">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14:paraId="22046D16">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14:paraId="3C1EA51C">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14:paraId="6E4BAAEC">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14:paraId="42160963">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14:paraId="60221C0A">
      <w:pPr>
        <w:spacing w:line="560" w:lineRule="exact"/>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14:paraId="0C51AF1C">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0F6BA22B">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D1190CE">
      <w:pPr>
        <w:rPr>
          <w:rFonts w:hint="default" w:eastAsiaTheme="minorEastAsia"/>
          <w:lang w:val="en-US" w:eastAsia="zh-CN"/>
        </w:rPr>
      </w:pPr>
    </w:p>
    <w:sectPr>
      <w:pgSz w:w="11906" w:h="16838"/>
      <w:pgMar w:top="1701" w:right="1474" w:bottom="124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ArialUnicodeMS">
    <w:altName w:val="方正小标宋简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31F66">
    <w:pPr>
      <w:pStyle w:val="2"/>
      <w:ind w:right="28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15</w:t>
    </w:r>
    <w:r>
      <w:rPr>
        <w:rFonts w:ascii="宋体" w:hAnsi="宋体"/>
        <w:sz w:val="28"/>
        <w:szCs w:val="28"/>
      </w:rPr>
      <w:fldChar w:fldCharType="end"/>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14458">
    <w:pPr>
      <w:pStyle w:val="2"/>
      <w:ind w:firstLine="420" w:firstLineChars="150"/>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0E0462"/>
    <w:multiLevelType w:val="singleLevel"/>
    <w:tmpl w:val="AB0E0462"/>
    <w:lvl w:ilvl="0" w:tentative="0">
      <w:start w:val="8"/>
      <w:numFmt w:val="chineseCounting"/>
      <w:suff w:val="nothing"/>
      <w:lvlText w:val="%1、"/>
      <w:lvlJc w:val="left"/>
      <w:rPr>
        <w:rFonts w:hint="eastAsia"/>
      </w:rPr>
    </w:lvl>
  </w:abstractNum>
  <w:abstractNum w:abstractNumId="1">
    <w:nsid w:val="CBBCC3C4"/>
    <w:multiLevelType w:val="singleLevel"/>
    <w:tmpl w:val="CBBCC3C4"/>
    <w:lvl w:ilvl="0" w:tentative="0">
      <w:start w:val="1"/>
      <w:numFmt w:val="decimal"/>
      <w:lvlText w:val="%1."/>
      <w:lvlJc w:val="left"/>
      <w:pPr>
        <w:tabs>
          <w:tab w:val="left" w:pos="312"/>
        </w:tabs>
      </w:pPr>
    </w:lvl>
  </w:abstractNum>
  <w:abstractNum w:abstractNumId="2">
    <w:nsid w:val="E9754243"/>
    <w:multiLevelType w:val="singleLevel"/>
    <w:tmpl w:val="E9754243"/>
    <w:lvl w:ilvl="0" w:tentative="0">
      <w:start w:val="1"/>
      <w:numFmt w:val="chineseCounting"/>
      <w:suff w:val="nothing"/>
      <w:lvlText w:val="%1、"/>
      <w:lvlJc w:val="left"/>
      <w:rPr>
        <w:rFonts w:hint="eastAsia"/>
      </w:rPr>
    </w:lvl>
  </w:abstractNum>
  <w:abstractNum w:abstractNumId="3">
    <w:nsid w:val="154C9441"/>
    <w:multiLevelType w:val="singleLevel"/>
    <w:tmpl w:val="154C9441"/>
    <w:lvl w:ilvl="0" w:tentative="0">
      <w:start w:val="1"/>
      <w:numFmt w:val="chineseCounting"/>
      <w:suff w:val="nothing"/>
      <w:lvlText w:val="（%1）"/>
      <w:lvlJc w:val="left"/>
      <w:rPr>
        <w:rFonts w:hint="eastAsia"/>
      </w:rPr>
    </w:lvl>
  </w:abstractNum>
  <w:abstractNum w:abstractNumId="4">
    <w:nsid w:val="4CB06500"/>
    <w:multiLevelType w:val="singleLevel"/>
    <w:tmpl w:val="4CB06500"/>
    <w:lvl w:ilvl="0" w:tentative="0">
      <w:start w:val="1"/>
      <w:numFmt w:val="chineseCounting"/>
      <w:suff w:val="nothing"/>
      <w:lvlText w:val="（%1）"/>
      <w:lvlJc w:val="left"/>
      <w:rPr>
        <w:rFonts w:hint="eastAsia"/>
      </w:rPr>
    </w:lvl>
  </w:abstractNum>
  <w:abstractNum w:abstractNumId="5">
    <w:nsid w:val="5614ECEA"/>
    <w:multiLevelType w:val="singleLevel"/>
    <w:tmpl w:val="5614ECEA"/>
    <w:lvl w:ilvl="0" w:tentative="0">
      <w:start w:val="7"/>
      <w:numFmt w:val="decimal"/>
      <w:suff w:val="space"/>
      <w:lvlText w:val="%1."/>
      <w:lvlJc w:val="left"/>
    </w:lvl>
  </w:abstractNum>
  <w:abstractNum w:abstractNumId="6">
    <w:nsid w:val="5DBA96A3"/>
    <w:multiLevelType w:val="singleLevel"/>
    <w:tmpl w:val="5DBA96A3"/>
    <w:lvl w:ilvl="0" w:tentative="0">
      <w:start w:val="2"/>
      <w:numFmt w:val="decimal"/>
      <w:suff w:val="nothing"/>
      <w:lvlText w:val="%1、"/>
      <w:lvlJc w:val="left"/>
      <w:pPr>
        <w:ind w:left="213" w:firstLine="0"/>
      </w:pPr>
    </w:lvl>
  </w:abstractNum>
  <w:num w:numId="1">
    <w:abstractNumId w:val="2"/>
  </w:num>
  <w:num w:numId="2">
    <w:abstractNumId w:val="6"/>
  </w:num>
  <w:num w:numId="3">
    <w:abstractNumId w:val="4"/>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yZTM0NWI2OTRiMzM2OTRjMjg0YzJmNDA3Y2Y1NDEifQ=="/>
  </w:docVars>
  <w:rsids>
    <w:rsidRoot w:val="788408D9"/>
    <w:rsid w:val="04191109"/>
    <w:rsid w:val="06112117"/>
    <w:rsid w:val="07770ECE"/>
    <w:rsid w:val="082B7E52"/>
    <w:rsid w:val="0C6C7CE4"/>
    <w:rsid w:val="174054EB"/>
    <w:rsid w:val="1BF277FE"/>
    <w:rsid w:val="1E780F3D"/>
    <w:rsid w:val="230753BA"/>
    <w:rsid w:val="260C1B78"/>
    <w:rsid w:val="290952E7"/>
    <w:rsid w:val="2FDE0A0C"/>
    <w:rsid w:val="33FA125E"/>
    <w:rsid w:val="375E5BEE"/>
    <w:rsid w:val="3B792006"/>
    <w:rsid w:val="40010BC8"/>
    <w:rsid w:val="43A90698"/>
    <w:rsid w:val="44C758E5"/>
    <w:rsid w:val="46186089"/>
    <w:rsid w:val="46CE3FE4"/>
    <w:rsid w:val="5353307E"/>
    <w:rsid w:val="5DCF4CD4"/>
    <w:rsid w:val="5E714A2E"/>
    <w:rsid w:val="65237000"/>
    <w:rsid w:val="6F2F1D36"/>
    <w:rsid w:val="70B26F83"/>
    <w:rsid w:val="74885488"/>
    <w:rsid w:val="74AE27E7"/>
    <w:rsid w:val="75E021D2"/>
    <w:rsid w:val="779F5868"/>
    <w:rsid w:val="77DC19B1"/>
    <w:rsid w:val="788408D9"/>
    <w:rsid w:val="7A1742C9"/>
    <w:rsid w:val="7B852963"/>
    <w:rsid w:val="7BA06143"/>
    <w:rsid w:val="7BD1589B"/>
    <w:rsid w:val="7C1528EF"/>
    <w:rsid w:val="7F556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农林水支出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2130104</c:v>
                </c:pt>
                <c:pt idx="1">
                  <c:v>2130111</c:v>
                </c:pt>
              </c:numCache>
            </c:numRef>
          </c:cat>
          <c:val>
            <c:numRef>
              <c:f>Sheet1!$B$2:$B$3</c:f>
              <c:numCache>
                <c:formatCode>#,##0.00</c:formatCode>
                <c:ptCount val="2"/>
                <c:pt idx="0">
                  <c:v>147.66</c:v>
                </c:pt>
                <c:pt idx="1">
                  <c:v>0</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manualLayout>
          <c:layoutTarget val="inner"/>
          <c:xMode val="edge"/>
          <c:yMode val="edge"/>
          <c:x val="0.0683155650319829"/>
          <c:y val="0.169453530026923"/>
          <c:w val="0.892351355186604"/>
          <c:h val="0.645616113744076"/>
        </c:manualLayout>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Sheet1!$A$2:$A$5</c:f>
              <c:strCache>
                <c:ptCount val="4"/>
                <c:pt idx="0">
                  <c:v>2080505</c:v>
                </c:pt>
                <c:pt idx="1">
                  <c:v>2080801</c:v>
                </c:pt>
                <c:pt idx="2">
                  <c:v>2089999</c:v>
                </c:pt>
                <c:pt idx="3">
                  <c:v>208x</c:v>
                </c:pt>
              </c:strCache>
            </c:strRef>
          </c:cat>
          <c:val>
            <c:numRef>
              <c:f>Sheet1!$B$2:$B$5</c:f>
              <c:numCache>
                <c:formatCode>General</c:formatCode>
                <c:ptCount val="4"/>
                <c:pt idx="0">
                  <c:v>18.08</c:v>
                </c:pt>
                <c:pt idx="1">
                  <c:v>0</c:v>
                </c:pt>
                <c:pt idx="2">
                  <c:v>0</c:v>
                </c:pt>
                <c:pt idx="3">
                  <c:v>0</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13.64</c:v>
                </c:pt>
                <c:pt idx="1">
                  <c:v>0</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其他</a:t>
            </a:r>
            <a:r>
              <a:rPr lang="en-US"/>
              <a:t>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22x</c:v>
                </c:pt>
              </c:strCache>
            </c:strRef>
          </c:cat>
          <c:val>
            <c:numRef>
              <c:f>Sheet1!$B$2:$B$3</c:f>
              <c:numCache>
                <c:formatCode>General</c:formatCode>
                <c:ptCount val="2"/>
                <c:pt idx="0">
                  <c:v>24.88</c:v>
                </c:pt>
                <c:pt idx="1">
                  <c:v>0</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manualLayout>
          <c:layoutTarget val="inner"/>
          <c:xMode val="edge"/>
          <c:yMode val="edge"/>
          <c:x val="0.0764296863913722"/>
          <c:y val="0.167061611374408"/>
          <c:w val="0.879733219809848"/>
          <c:h val="0.598815165876777"/>
        </c:manualLayout>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30101</c:v>
                </c:pt>
                <c:pt idx="1">
                  <c:v>30102</c:v>
                </c:pt>
                <c:pt idx="2">
                  <c:v>30103</c:v>
                </c:pt>
                <c:pt idx="3">
                  <c:v>30106</c:v>
                </c:pt>
                <c:pt idx="4">
                  <c:v>30107</c:v>
                </c:pt>
                <c:pt idx="5">
                  <c:v>30108</c:v>
                </c:pt>
                <c:pt idx="6">
                  <c:v>30109</c:v>
                </c:pt>
                <c:pt idx="7">
                  <c:v>30110</c:v>
                </c:pt>
                <c:pt idx="8">
                  <c:v>30111</c:v>
                </c:pt>
                <c:pt idx="9">
                  <c:v>30112</c:v>
                </c:pt>
                <c:pt idx="10">
                  <c:v>30113</c:v>
                </c:pt>
                <c:pt idx="11">
                  <c:v>30199</c:v>
                </c:pt>
              </c:numCache>
            </c:numRef>
          </c:cat>
          <c:val>
            <c:numRef>
              <c:f>Sheet1!$B$2:$B$13</c:f>
              <c:numCache>
                <c:formatCode>General</c:formatCode>
                <c:ptCount val="12"/>
                <c:pt idx="0">
                  <c:v>56.23</c:v>
                </c:pt>
                <c:pt idx="1">
                  <c:v>16.1</c:v>
                </c:pt>
                <c:pt idx="2">
                  <c:v>52.9</c:v>
                </c:pt>
                <c:pt idx="4">
                  <c:v>6.74</c:v>
                </c:pt>
                <c:pt idx="5">
                  <c:v>18.08</c:v>
                </c:pt>
                <c:pt idx="6">
                  <c:v>0</c:v>
                </c:pt>
                <c:pt idx="7">
                  <c:v>5.67</c:v>
                </c:pt>
                <c:pt idx="8">
                  <c:v>0</c:v>
                </c:pt>
                <c:pt idx="9">
                  <c:v>0.21</c:v>
                </c:pt>
                <c:pt idx="10">
                  <c:v>13.64</c:v>
                </c:pt>
                <c:pt idx="11">
                  <c:v>0.02</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商品和服务支出</a:t>
            </a:r>
            <a:endParaRPr lang="en-US" sz="1100"/>
          </a:p>
        </c:rich>
      </c:tx>
      <c:layout>
        <c:manualLayout>
          <c:xMode val="edge"/>
          <c:yMode val="edge"/>
          <c:x val="0.271108273023982"/>
          <c:y val="0.0213270142180095"/>
        </c:manualLayout>
      </c:layout>
      <c:overlay val="0"/>
      <c:spPr>
        <a:noFill/>
        <a:ln>
          <a:noFill/>
        </a:ln>
        <a:effectLst/>
      </c:spPr>
    </c:title>
    <c:autoTitleDeleted val="0"/>
    <c:plotArea>
      <c:layout>
        <c:manualLayout>
          <c:layoutTarget val="inner"/>
          <c:xMode val="edge"/>
          <c:yMode val="edge"/>
          <c:x val="0.0750106428267348"/>
          <c:y val="0.178909952606635"/>
          <c:w val="0.898878955583936"/>
          <c:h val="0.598420221169036"/>
        </c:manualLayout>
      </c:layout>
      <c:barChart>
        <c:barDir val="col"/>
        <c:grouping val="clustered"/>
        <c:varyColors val="0"/>
        <c:ser>
          <c:idx val="0"/>
          <c:order val="0"/>
          <c:tx>
            <c:strRef>
              <c:f>Sheet1!$C$1</c:f>
              <c:strCache>
                <c:ptCount val="1"/>
                <c:pt idx="0">
                  <c:v>系列 2</c:v>
                </c:pt>
              </c:strCache>
            </c:strRef>
          </c:tx>
          <c:spPr>
            <a:solidFill>
              <a:schemeClr val="accent1"/>
            </a:solidFill>
            <a:ln>
              <a:noFill/>
            </a:ln>
            <a:effectLst/>
          </c:spPr>
          <c:invertIfNegative val="0"/>
          <c:dLbls>
            <c:delete val="1"/>
          </c:dLbls>
          <c:cat>
            <c:numRef>
              <c:f>Sheet1!$A$2:$A$13</c:f>
              <c:numCache>
                <c:formatCode>General</c:formatCode>
                <c:ptCount val="12"/>
                <c:pt idx="0">
                  <c:v>30201</c:v>
                </c:pt>
                <c:pt idx="1">
                  <c:v>30205</c:v>
                </c:pt>
                <c:pt idx="2">
                  <c:v>30206</c:v>
                </c:pt>
                <c:pt idx="3">
                  <c:v>30207</c:v>
                </c:pt>
                <c:pt idx="4">
                  <c:v>30228</c:v>
                </c:pt>
                <c:pt idx="5">
                  <c:v>30239</c:v>
                </c:pt>
                <c:pt idx="6">
                  <c:v>30211</c:v>
                </c:pt>
              </c:numCache>
            </c:numRef>
          </c:cat>
          <c:val>
            <c:numRef>
              <c:f>Sheet1!$C$2:$C$13</c:f>
              <c:numCache>
                <c:formatCode>General</c:formatCode>
                <c:ptCount val="12"/>
                <c:pt idx="0">
                  <c:v>1.94</c:v>
                </c:pt>
                <c:pt idx="1">
                  <c:v>0.11</c:v>
                </c:pt>
                <c:pt idx="2">
                  <c:v>0.2</c:v>
                </c:pt>
                <c:pt idx="3">
                  <c:v>1.02</c:v>
                </c:pt>
                <c:pt idx="4">
                  <c:v>2.74</c:v>
                </c:pt>
                <c:pt idx="5">
                  <c:v>6.9</c:v>
                </c:pt>
                <c:pt idx="6">
                  <c:v>0.81</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Sheet1!$C$1</c:f>
              <c:strCache>
                <c:ptCount val="1"/>
                <c:pt idx="0">
                  <c:v>系列 2</c:v>
                </c:pt>
              </c:strCache>
            </c:strRef>
          </c:tx>
          <c:spPr>
            <a:solidFill>
              <a:schemeClr val="accent1"/>
            </a:solidFill>
            <a:ln>
              <a:noFill/>
            </a:ln>
            <a:effectLst/>
          </c:spPr>
          <c:invertIfNegative val="0"/>
          <c:dLbls>
            <c:delete val="1"/>
          </c:dLbls>
          <c:cat>
            <c:numRef>
              <c:f>Sheet1!$A$3:$A$14</c:f>
              <c:numCache>
                <c:formatCode>General</c:formatCode>
                <c:ptCount val="12"/>
                <c:pt idx="0">
                  <c:v>30302</c:v>
                </c:pt>
                <c:pt idx="1">
                  <c:v>30303</c:v>
                </c:pt>
                <c:pt idx="2">
                  <c:v>30304</c:v>
                </c:pt>
                <c:pt idx="3">
                  <c:v>30305</c:v>
                </c:pt>
                <c:pt idx="4">
                  <c:v>30306</c:v>
                </c:pt>
                <c:pt idx="5">
                  <c:v>30307</c:v>
                </c:pt>
                <c:pt idx="6">
                  <c:v>30308</c:v>
                </c:pt>
                <c:pt idx="7">
                  <c:v>30309</c:v>
                </c:pt>
                <c:pt idx="8">
                  <c:v>30310</c:v>
                </c:pt>
                <c:pt idx="9">
                  <c:v>30311</c:v>
                </c:pt>
                <c:pt idx="10">
                  <c:v>30399</c:v>
                </c:pt>
              </c:numCache>
            </c:numRef>
          </c:cat>
          <c:val>
            <c:numRef>
              <c:f>Sheet1!$C$3:$C$14</c:f>
              <c:numCache>
                <c:formatCode>General</c:formatCode>
                <c:ptCount val="12"/>
                <c:pt idx="0">
                  <c:v>0</c:v>
                </c:pt>
                <c:pt idx="1">
                  <c:v>0</c:v>
                </c:pt>
                <c:pt idx="2">
                  <c:v>0</c:v>
                </c:pt>
                <c:pt idx="3">
                  <c:v>16.38</c:v>
                </c:pt>
                <c:pt idx="4">
                  <c:v>0</c:v>
                </c:pt>
                <c:pt idx="5">
                  <c:v>0</c:v>
                </c:pt>
                <c:pt idx="6">
                  <c:v>0</c:v>
                </c:pt>
                <c:pt idx="7">
                  <c:v>0</c:v>
                </c:pt>
                <c:pt idx="8">
                  <c:v>0</c:v>
                </c:pt>
                <c:pt idx="9">
                  <c:v>0</c:v>
                </c:pt>
                <c:pt idx="10">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9631</Words>
  <Characters>12733</Characters>
  <Lines>0</Lines>
  <Paragraphs>0</Paragraphs>
  <TotalTime>7</TotalTime>
  <ScaleCrop>false</ScaleCrop>
  <LinksUpToDate>false</LinksUpToDate>
  <CharactersWithSpaces>13061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2024-12-20T08:20:00Z</dcterms:created>
  <dc:creator>Administrator</dc:creator>
  <cp:lastModifiedBy>Ran</cp:lastModifiedBy>
  <dcterms:modified xsi:type="dcterms:W3CDTF">2024-12-31T01:13:24Z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56A0C3655A9743D69348EA19205F45BE</vt:lpwstr>
  </property>
</Properties>
</file>