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环江毛南族自治县农村经济经营</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指导中心</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891" w:firstLineChars="800"/>
        <w:jc w:val="both"/>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hint="eastAsia" w:ascii="仿宋" w:hAnsi="仿宋" w:eastAsia="仿宋" w:cs="仿宋"/>
          <w:sz w:val="32"/>
          <w:szCs w:val="32"/>
          <w:highlight w:val="none"/>
          <w:lang w:val="en-US" w:eastAsia="zh-CN"/>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pPr>
        <w:spacing w:line="560" w:lineRule="exac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spacing w:line="560" w:lineRule="exact"/>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keepNext w:val="0"/>
        <w:keepLines w:val="0"/>
        <w:pageBreakBefore w:val="0"/>
        <w:widowControl w:val="0"/>
        <w:kinsoku/>
        <w:wordWrap/>
        <w:overflowPunct/>
        <w:topLinePunct w:val="0"/>
        <w:bidi w:val="0"/>
        <w:snapToGrid/>
        <w:spacing w:line="520" w:lineRule="exact"/>
        <w:jc w:val="both"/>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hint="default" w:ascii="仿宋" w:hAnsi="仿宋" w:eastAsia="方正小标宋简体" w:cs="仿宋"/>
          <w:sz w:val="32"/>
          <w:szCs w:val="32"/>
          <w:highlight w:val="none"/>
          <w:lang w:val="en-US" w:eastAsia="zh-CN"/>
        </w:rPr>
      </w:pPr>
      <w:r>
        <w:rPr>
          <w:rFonts w:hint="eastAsia" w:ascii="黑体" w:hAnsi="黑体" w:eastAsia="黑体" w:cs="黑体"/>
          <w:b/>
          <w:bCs/>
          <w:sz w:val="32"/>
          <w:szCs w:val="32"/>
          <w:highlight w:val="none"/>
        </w:rPr>
        <w:t>第一部分：</w:t>
      </w:r>
      <w:r>
        <w:rPr>
          <w:rFonts w:ascii="方正小标宋简体" w:hAnsi="方正小标宋简体" w:eastAsia="方正小标宋简体" w:cs="方正小标宋简体"/>
          <w:i w:val="0"/>
          <w:iCs w:val="0"/>
          <w:caps w:val="0"/>
          <w:color w:val="333333"/>
          <w:spacing w:val="0"/>
          <w:sz w:val="40"/>
          <w:szCs w:val="40"/>
          <w:shd w:val="clear" w:fill="FFFFFF"/>
        </w:rPr>
        <w:t>自治县农村经济经营指导中心</w:t>
      </w:r>
      <w:r>
        <w:rPr>
          <w:rFonts w:hint="eastAsia" w:ascii="方正小标宋简体" w:hAnsi="方正小标宋简体" w:eastAsia="方正小标宋简体" w:cs="方正小标宋简体"/>
          <w:i w:val="0"/>
          <w:iCs w:val="0"/>
          <w:caps w:val="0"/>
          <w:color w:val="333333"/>
          <w:spacing w:val="0"/>
          <w:sz w:val="40"/>
          <w:szCs w:val="40"/>
          <w:shd w:val="clear" w:fill="FFFFFF"/>
          <w:lang w:val="en-US" w:eastAsia="zh-CN"/>
        </w:rPr>
        <w:t>部门概况</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本部门职责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333333"/>
          <w:spacing w:val="0"/>
          <w:sz w:val="32"/>
          <w:szCs w:val="32"/>
          <w:shd w:val="clear" w:fill="FFFFFF"/>
        </w:rPr>
        <w:t>1、完善和创新农村经济经营体制方式，深入开展农村经济监测工作，指导农村各类合作经济的发展和管理；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333333"/>
          <w:spacing w:val="0"/>
          <w:sz w:val="32"/>
          <w:szCs w:val="32"/>
          <w:shd w:val="clear" w:fill="FFFFFF"/>
        </w:rPr>
        <w:t>2、负责农村集体经济组织的“三资”及农村财务管理；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333333"/>
          <w:spacing w:val="0"/>
          <w:sz w:val="32"/>
          <w:szCs w:val="32"/>
          <w:shd w:val="clear" w:fill="FFFFFF"/>
        </w:rPr>
        <w:t>3、规范完善农村土地承包责任制，负责农村土地承包合同纠纷的调解与仲裁；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333333"/>
          <w:spacing w:val="0"/>
          <w:sz w:val="32"/>
          <w:szCs w:val="32"/>
          <w:shd w:val="clear" w:fill="FFFFFF"/>
        </w:rPr>
        <w:t>4、引导规范农村土地流转，制定农村土地流转管理办法；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333333"/>
          <w:spacing w:val="0"/>
          <w:sz w:val="32"/>
          <w:szCs w:val="32"/>
          <w:shd w:val="clear" w:fill="FFFFFF"/>
        </w:rPr>
        <w:t>5、负责减轻农民负担的监督管理；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333333"/>
          <w:spacing w:val="0"/>
          <w:sz w:val="32"/>
          <w:szCs w:val="32"/>
          <w:shd w:val="clear" w:fill="FFFFFF"/>
        </w:rPr>
        <w:t>6、协调农村内部各种经济关系；围绕特色产业，大力培育农民专业合作经济组织、引进培育农产品加工龙头企业建设，提高农业组织化程度和生产效益，促进农业区域化、规模化、产业化发展；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333333"/>
          <w:spacing w:val="0"/>
          <w:sz w:val="32"/>
          <w:szCs w:val="32"/>
          <w:shd w:val="clear" w:fill="FFFFFF"/>
        </w:rPr>
        <w:t>7、负责农村经济收益分配和农村合作经济发展情况的调查与统计等。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6"/>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8、完成县委、县府及上级业务主管部门布置的其他各项工作任务。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kern w:val="0"/>
          <w:sz w:val="32"/>
          <w:szCs w:val="32"/>
          <w:lang w:val="en-US" w:eastAsia="zh-CN"/>
        </w:rPr>
        <w:t>自治县</w:t>
      </w:r>
      <w:r>
        <w:rPr>
          <w:rFonts w:hint="eastAsia" w:ascii="仿宋" w:hAnsi="仿宋" w:eastAsia="仿宋" w:cs="仿宋"/>
          <w:kern w:val="0"/>
          <w:sz w:val="32"/>
          <w:szCs w:val="32"/>
        </w:rPr>
        <w:t>农经</w:t>
      </w:r>
      <w:r>
        <w:rPr>
          <w:rFonts w:hint="eastAsia" w:ascii="仿宋" w:hAnsi="仿宋" w:eastAsia="仿宋" w:cs="仿宋"/>
          <w:kern w:val="0"/>
          <w:sz w:val="32"/>
          <w:szCs w:val="32"/>
          <w:lang w:val="en-US" w:eastAsia="zh-CN"/>
        </w:rPr>
        <w:t>中心</w:t>
      </w:r>
      <w:r>
        <w:rPr>
          <w:rFonts w:hint="eastAsia" w:ascii="仿宋" w:hAnsi="仿宋" w:eastAsia="仿宋" w:cs="仿宋"/>
          <w:sz w:val="32"/>
          <w:szCs w:val="32"/>
        </w:rPr>
        <w:t>属于财政全额拨款的参照公务员管理的事业单位，</w:t>
      </w:r>
      <w:r>
        <w:rPr>
          <w:rFonts w:hint="eastAsia" w:ascii="仿宋" w:hAnsi="仿宋" w:eastAsia="仿宋" w:cs="仿宋"/>
          <w:kern w:val="0"/>
          <w:sz w:val="32"/>
          <w:szCs w:val="32"/>
        </w:rPr>
        <w:t>根据工作的基本职能，设有办公室和农经综合股两个</w:t>
      </w:r>
      <w:r>
        <w:rPr>
          <w:rFonts w:hint="eastAsia" w:ascii="仿宋" w:hAnsi="仿宋" w:eastAsia="仿宋" w:cs="仿宋"/>
          <w:kern w:val="0"/>
          <w:sz w:val="32"/>
          <w:szCs w:val="32"/>
          <w:lang w:eastAsia="zh-CN"/>
        </w:rPr>
        <w:t>，</w:t>
      </w:r>
      <w:r>
        <w:rPr>
          <w:rFonts w:hint="eastAsia" w:ascii="仿宋" w:hAnsi="仿宋" w:eastAsia="仿宋" w:cs="仿宋"/>
          <w:i w:val="0"/>
          <w:iCs w:val="0"/>
          <w:caps w:val="0"/>
          <w:color w:val="333333"/>
          <w:spacing w:val="0"/>
          <w:sz w:val="32"/>
          <w:szCs w:val="32"/>
          <w:shd w:val="clear" w:fill="FFFFFF"/>
        </w:rPr>
        <w:t>人员编制总数为8人，其中行政编制0人，事业编制8人，机关后勤服务中心聘用人员控制数0人。实有财政供养人数</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人，其中行政在职0人，事业在职</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人，离退休人员</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人（其中离休0人）。编外在职实有人数（政府</w:t>
      </w:r>
      <w:r>
        <w:rPr>
          <w:rFonts w:hint="eastAsia" w:ascii="仿宋" w:hAnsi="仿宋" w:eastAsia="仿宋" w:cs="仿宋"/>
          <w:i w:val="0"/>
          <w:iCs w:val="0"/>
          <w:caps w:val="0"/>
          <w:color w:val="333333"/>
          <w:spacing w:val="0"/>
          <w:sz w:val="32"/>
          <w:szCs w:val="32"/>
          <w:shd w:val="clear" w:fill="FFFFFF"/>
          <w:lang w:val="en-US" w:eastAsia="zh-CN"/>
        </w:rPr>
        <w:t>购</w:t>
      </w:r>
      <w:r>
        <w:rPr>
          <w:rFonts w:hint="eastAsia" w:ascii="仿宋" w:hAnsi="仿宋" w:eastAsia="仿宋" w:cs="仿宋"/>
          <w:i w:val="0"/>
          <w:iCs w:val="0"/>
          <w:caps w:val="0"/>
          <w:color w:val="333333"/>
          <w:spacing w:val="0"/>
          <w:sz w:val="32"/>
          <w:szCs w:val="32"/>
          <w:shd w:val="clear" w:fill="FFFFFF"/>
        </w:rPr>
        <w:t>买人员）</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人。</w:t>
      </w:r>
    </w:p>
    <w:p>
      <w:pPr>
        <w:jc w:val="both"/>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p>
    <w:p>
      <w:pPr>
        <w:ind w:firstLine="640" w:firstLineChars="200"/>
        <w:jc w:val="both"/>
        <w:rPr>
          <w:rFonts w:hint="eastAsia" w:ascii="宋体" w:hAnsi="宋体" w:eastAsia="宋体" w:cs="宋体"/>
          <w:sz w:val="44"/>
          <w:szCs w:val="44"/>
          <w:highlight w:val="none"/>
        </w:rPr>
      </w:pPr>
      <w:r>
        <w:rPr>
          <w:rFonts w:hint="eastAsia" w:ascii="黑体" w:hAnsi="黑体" w:eastAsia="黑体" w:cs="黑体"/>
          <w:sz w:val="32"/>
          <w:szCs w:val="32"/>
          <w:highlight w:val="none"/>
        </w:rPr>
        <w:t>第二部分：</w:t>
      </w:r>
      <w:r>
        <w:rPr>
          <w:rFonts w:hint="eastAsia" w:ascii="宋体" w:hAnsi="宋体" w:eastAsia="宋体" w:cs="宋体"/>
          <w:i w:val="0"/>
          <w:iCs w:val="0"/>
          <w:caps w:val="0"/>
          <w:color w:val="333333"/>
          <w:spacing w:val="0"/>
          <w:sz w:val="44"/>
          <w:szCs w:val="44"/>
          <w:shd w:val="clear" w:fill="FFFFFF"/>
        </w:rPr>
        <w:t>自治县农村经济经营指导中</w:t>
      </w:r>
      <w:r>
        <w:rPr>
          <w:rFonts w:hint="eastAsia" w:ascii="宋体" w:hAnsi="宋体" w:eastAsia="宋体" w:cs="宋体"/>
          <w:i w:val="0"/>
          <w:iCs w:val="0"/>
          <w:caps w:val="0"/>
          <w:color w:val="333333"/>
          <w:spacing w:val="0"/>
          <w:sz w:val="44"/>
          <w:szCs w:val="44"/>
          <w:shd w:val="clear" w:fill="FFFFFF"/>
          <w:lang w:val="en-US" w:eastAsia="zh-CN"/>
        </w:rPr>
        <w:t>心</w:t>
      </w:r>
      <w:r>
        <w:rPr>
          <w:rFonts w:hint="eastAsia" w:ascii="宋体" w:hAnsi="宋体" w:eastAsia="宋体" w:cs="宋体"/>
          <w:sz w:val="44"/>
          <w:szCs w:val="44"/>
          <w:highlight w:val="none"/>
        </w:rPr>
        <w:t>202</w:t>
      </w:r>
      <w:r>
        <w:rPr>
          <w:rFonts w:hint="eastAsia" w:ascii="宋体" w:hAnsi="宋体" w:eastAsia="宋体" w:cs="宋体"/>
          <w:sz w:val="44"/>
          <w:szCs w:val="44"/>
          <w:highlight w:val="none"/>
          <w:lang w:val="en-US" w:eastAsia="zh-CN"/>
        </w:rPr>
        <w:t>3</w:t>
      </w:r>
      <w:r>
        <w:rPr>
          <w:rFonts w:hint="eastAsia" w:ascii="宋体" w:hAnsi="宋体" w:eastAsia="宋体" w:cs="宋体"/>
          <w:sz w:val="44"/>
          <w:szCs w:val="44"/>
          <w:highlight w:val="none"/>
        </w:rPr>
        <w:t>年度部门决算报表</w:t>
      </w:r>
    </w:p>
    <w:p>
      <w:pPr>
        <w:jc w:val="both"/>
        <w:rPr>
          <w:rFonts w:hint="eastAsia" w:ascii="黑体" w:hAnsi="黑体" w:eastAsia="黑体" w:cs="黑体"/>
          <w:sz w:val="32"/>
          <w:szCs w:val="32"/>
          <w:highlight w:val="none"/>
        </w:rPr>
      </w:pPr>
    </w:p>
    <w:p>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表一：收入支出决算总表</w:t>
      </w:r>
    </w:p>
    <w:tbl>
      <w:tblPr>
        <w:tblStyle w:val="8"/>
        <w:tblW w:w="14070" w:type="dxa"/>
        <w:tblInd w:w="0" w:type="dxa"/>
        <w:shd w:val="clear" w:color="auto" w:fill="auto"/>
        <w:tblLayout w:type="fixed"/>
        <w:tblCellMar>
          <w:top w:w="0" w:type="dxa"/>
          <w:left w:w="0" w:type="dxa"/>
          <w:bottom w:w="0" w:type="dxa"/>
          <w:right w:w="0" w:type="dxa"/>
        </w:tblCellMar>
      </w:tblPr>
      <w:tblGrid>
        <w:gridCol w:w="4651"/>
        <w:gridCol w:w="616"/>
        <w:gridCol w:w="1768"/>
        <w:gridCol w:w="3330"/>
        <w:gridCol w:w="470"/>
        <w:gridCol w:w="3235"/>
      </w:tblGrid>
      <w:tr>
        <w:tblPrEx>
          <w:tblLayout w:type="fixed"/>
          <w:tblCellMar>
            <w:top w:w="0" w:type="dxa"/>
            <w:left w:w="0" w:type="dxa"/>
            <w:bottom w:w="0" w:type="dxa"/>
            <w:right w:w="0" w:type="dxa"/>
          </w:tblCellMar>
        </w:tblPrEx>
        <w:trPr>
          <w:trHeight w:val="300"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6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23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23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2,680,653.69</w:t>
            </w: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r>
      <w:tr>
        <w:tblPrEx>
          <w:shd w:val="clear" w:color="auto" w:fill="auto"/>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131,632.34</w:t>
            </w: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65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r>
      <w:tr>
        <w:tblPrEx>
          <w:tblLayout w:type="fixed"/>
          <w:tblCellMar>
            <w:top w:w="0" w:type="dxa"/>
            <w:left w:w="0" w:type="dxa"/>
            <w:bottom w:w="0" w:type="dxa"/>
            <w:right w:w="0" w:type="dxa"/>
          </w:tblCellMar>
        </w:tblPrEx>
        <w:trPr>
          <w:trHeight w:val="300" w:hRule="atLeast"/>
        </w:trPr>
        <w:tc>
          <w:tcPr>
            <w:tcW w:w="14070" w:type="dxa"/>
            <w:gridSpan w:val="6"/>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tblPrEx>
          <w:tblLayout w:type="fixed"/>
          <w:tblCellMar>
            <w:top w:w="0" w:type="dxa"/>
            <w:left w:w="0" w:type="dxa"/>
            <w:bottom w:w="0" w:type="dxa"/>
            <w:right w:w="0" w:type="dxa"/>
          </w:tblCellMar>
        </w:tblPrEx>
        <w:trPr>
          <w:trHeight w:val="300" w:hRule="atLeast"/>
        </w:trPr>
        <w:tc>
          <w:tcPr>
            <w:tcW w:w="14070"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pPr>
        <w:jc w:val="both"/>
        <w:rPr>
          <w:rFonts w:hint="eastAsia" w:ascii="黑体" w:hAnsi="黑体" w:eastAsia="黑体" w:cs="黑体"/>
          <w:sz w:val="32"/>
          <w:szCs w:val="32"/>
          <w:highlight w:val="none"/>
        </w:rPr>
      </w:pPr>
    </w:p>
    <w:p>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表二：收入决算表</w:t>
      </w:r>
    </w:p>
    <w:p>
      <w:pPr>
        <w:jc w:val="both"/>
        <w:rPr>
          <w:rFonts w:hint="eastAsia" w:ascii="黑体" w:hAnsi="黑体" w:eastAsia="黑体" w:cs="黑体"/>
          <w:sz w:val="32"/>
          <w:szCs w:val="32"/>
          <w:highlight w:val="none"/>
        </w:rPr>
      </w:pPr>
    </w:p>
    <w:tbl>
      <w:tblPr>
        <w:tblStyle w:val="8"/>
        <w:tblW w:w="13988" w:type="dxa"/>
        <w:tblInd w:w="0" w:type="dxa"/>
        <w:shd w:val="clear" w:color="auto" w:fill="auto"/>
        <w:tblLayout w:type="fixed"/>
        <w:tblCellMar>
          <w:top w:w="0" w:type="dxa"/>
          <w:left w:w="0" w:type="dxa"/>
          <w:bottom w:w="0" w:type="dxa"/>
          <w:right w:w="0" w:type="dxa"/>
        </w:tblCellMar>
      </w:tblPr>
      <w:tblGrid>
        <w:gridCol w:w="979"/>
        <w:gridCol w:w="2956"/>
        <w:gridCol w:w="1649"/>
        <w:gridCol w:w="1650"/>
        <w:gridCol w:w="1410"/>
        <w:gridCol w:w="1036"/>
        <w:gridCol w:w="1436"/>
        <w:gridCol w:w="1436"/>
        <w:gridCol w:w="1436"/>
      </w:tblGrid>
      <w:tr>
        <w:tblPrEx>
          <w:shd w:val="clear" w:color="auto" w:fill="auto"/>
          <w:tblLayout w:type="fixed"/>
          <w:tblCellMar>
            <w:top w:w="0" w:type="dxa"/>
            <w:left w:w="0" w:type="dxa"/>
            <w:bottom w:w="0" w:type="dxa"/>
            <w:right w:w="0" w:type="dxa"/>
          </w:tblCellMar>
        </w:tblPrEx>
        <w:trPr>
          <w:trHeight w:val="300" w:hRule="atLeast"/>
        </w:trPr>
        <w:tc>
          <w:tcPr>
            <w:tcW w:w="3935"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0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956"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956"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956"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5" w:hRule="atLeast"/>
        </w:trPr>
        <w:tc>
          <w:tcPr>
            <w:tcW w:w="3935"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49"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3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405" w:hRule="atLeast"/>
        </w:trPr>
        <w:tc>
          <w:tcPr>
            <w:tcW w:w="3935"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3,011,964.15</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3,011,964.15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1,082,283.69</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1,082,283.69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农村合作经济</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1,598,370.00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1,598,370.00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131,632.34</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131,632.34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3988" w:type="dxa"/>
            <w:gridSpan w:val="9"/>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jc w:val="both"/>
        <w:rPr>
          <w:rFonts w:hint="eastAsia" w:ascii="黑体" w:hAnsi="黑体" w:eastAsia="黑体" w:cs="黑体"/>
          <w:sz w:val="32"/>
          <w:szCs w:val="32"/>
          <w:highlight w:val="none"/>
        </w:rPr>
      </w:pPr>
    </w:p>
    <w:p>
      <w:pPr>
        <w:jc w:val="both"/>
        <w:rPr>
          <w:rFonts w:hint="eastAsia" w:ascii="黑体" w:hAnsi="黑体" w:eastAsia="黑体" w:cs="黑体"/>
          <w:sz w:val="32"/>
          <w:szCs w:val="32"/>
          <w:highlight w:val="none"/>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表三：支出决算表</w:t>
      </w:r>
    </w:p>
    <w:p>
      <w:pPr>
        <w:rPr>
          <w:rFonts w:hint="eastAsia" w:ascii="黑体" w:hAnsi="黑体" w:eastAsia="黑体" w:cs="黑体"/>
          <w:sz w:val="32"/>
          <w:szCs w:val="32"/>
          <w:highlight w:val="none"/>
          <w:lang w:val="en-US" w:eastAsia="zh-CN"/>
        </w:rPr>
      </w:pPr>
    </w:p>
    <w:tbl>
      <w:tblPr>
        <w:tblStyle w:val="8"/>
        <w:tblW w:w="13988" w:type="dxa"/>
        <w:tblInd w:w="0" w:type="dxa"/>
        <w:shd w:val="clear" w:color="auto" w:fill="auto"/>
        <w:tblLayout w:type="fixed"/>
        <w:tblCellMar>
          <w:top w:w="0" w:type="dxa"/>
          <w:left w:w="0" w:type="dxa"/>
          <w:bottom w:w="0" w:type="dxa"/>
          <w:right w:w="0" w:type="dxa"/>
        </w:tblCellMar>
      </w:tblPr>
      <w:tblGrid>
        <w:gridCol w:w="881"/>
        <w:gridCol w:w="3497"/>
        <w:gridCol w:w="1602"/>
        <w:gridCol w:w="1601"/>
        <w:gridCol w:w="1723"/>
        <w:gridCol w:w="1481"/>
        <w:gridCol w:w="1601"/>
        <w:gridCol w:w="1602"/>
      </w:tblGrid>
      <w:tr>
        <w:tblPrEx>
          <w:shd w:val="clear" w:color="auto" w:fill="auto"/>
          <w:tblLayout w:type="fixed"/>
          <w:tblCellMar>
            <w:top w:w="0" w:type="dxa"/>
            <w:left w:w="0" w:type="dxa"/>
            <w:bottom w:w="0" w:type="dxa"/>
            <w:right w:w="0" w:type="dxa"/>
          </w:tblCellMar>
        </w:tblPrEx>
        <w:trPr>
          <w:trHeight w:val="300" w:hRule="atLeast"/>
        </w:trPr>
        <w:tc>
          <w:tcPr>
            <w:tcW w:w="437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00"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497"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497"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497"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437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02"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1"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0" w:hRule="atLeast"/>
        </w:trPr>
        <w:tc>
          <w:tcPr>
            <w:tcW w:w="4378"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3,011,964.15</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1,220,143.61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1,791,820.54</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1,082,283.69</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987,548.82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94,734.87</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农村合作经济</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1,598,370.00</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1,598,370.00</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131,632.34</w:t>
            </w: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32,916.67</w:t>
            </w:r>
          </w:p>
        </w:tc>
        <w:tc>
          <w:tcPr>
            <w:tcW w:w="17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98,715.67</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13988"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表四：财政拨款收入支出决算总表</w:t>
      </w:r>
    </w:p>
    <w:tbl>
      <w:tblPr>
        <w:tblStyle w:val="8"/>
        <w:tblW w:w="13988" w:type="dxa"/>
        <w:tblInd w:w="0" w:type="dxa"/>
        <w:shd w:val="clear" w:color="auto" w:fill="auto"/>
        <w:tblLayout w:type="fixed"/>
        <w:tblCellMar>
          <w:top w:w="0" w:type="dxa"/>
          <w:left w:w="0" w:type="dxa"/>
          <w:bottom w:w="0" w:type="dxa"/>
          <w:right w:w="0" w:type="dxa"/>
        </w:tblCellMar>
      </w:tblPr>
      <w:tblGrid>
        <w:gridCol w:w="2757"/>
        <w:gridCol w:w="481"/>
        <w:gridCol w:w="1536"/>
        <w:gridCol w:w="3493"/>
        <w:gridCol w:w="424"/>
        <w:gridCol w:w="1395"/>
        <w:gridCol w:w="1566"/>
        <w:gridCol w:w="997"/>
        <w:gridCol w:w="1339"/>
      </w:tblGrid>
      <w:tr>
        <w:tblPrEx>
          <w:shd w:val="clear" w:color="auto" w:fill="auto"/>
          <w:tblLayout w:type="fixed"/>
          <w:tblCellMar>
            <w:top w:w="0" w:type="dxa"/>
            <w:left w:w="0" w:type="dxa"/>
            <w:bottom w:w="0" w:type="dxa"/>
            <w:right w:w="0" w:type="dxa"/>
          </w:tblCellMar>
        </w:tblPrEx>
        <w:trPr>
          <w:trHeight w:val="300" w:hRule="atLeast"/>
        </w:trPr>
        <w:tc>
          <w:tcPr>
            <w:tcW w:w="4774"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214" w:type="dxa"/>
            <w:gridSpan w:val="6"/>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555" w:hRule="atLeast"/>
        </w:trPr>
        <w:tc>
          <w:tcPr>
            <w:tcW w:w="275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9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财政拨款</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算财政拨款</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预算财政拨款</w:t>
            </w:r>
          </w:p>
        </w:tc>
      </w:tr>
      <w:tr>
        <w:tblPrEx>
          <w:tblLayout w:type="fixed"/>
          <w:tblCellMar>
            <w:top w:w="0" w:type="dxa"/>
            <w:left w:w="0" w:type="dxa"/>
            <w:bottom w:w="0" w:type="dxa"/>
            <w:right w:w="0" w:type="dxa"/>
          </w:tblCellMar>
        </w:tblPrEx>
        <w:trPr>
          <w:trHeight w:val="555" w:hRule="atLeast"/>
        </w:trPr>
        <w:tc>
          <w:tcPr>
            <w:tcW w:w="275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49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2,680,653.69</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2,680,653.69</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131,632.34</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131,632.34</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2757"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81"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349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3,011,964.15</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12649"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339" w:type="dxa"/>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r>
    </w:tbl>
    <w:p>
      <w:pPr>
        <w:jc w:val="left"/>
        <w:rPr>
          <w:rFonts w:hint="default" w:ascii="仿宋" w:hAnsi="仿宋" w:eastAsia="仿宋" w:cs="仿宋"/>
          <w:sz w:val="24"/>
          <w:highlight w:val="none"/>
          <w:lang w:val="en-US" w:eastAsia="zh-CN"/>
        </w:rPr>
      </w:pPr>
    </w:p>
    <w:p>
      <w:pPr>
        <w:jc w:val="center"/>
        <w:rPr>
          <w:rFonts w:ascii="仿宋" w:hAnsi="仿宋" w:eastAsia="仿宋" w:cs="仿宋"/>
          <w:sz w:val="24"/>
          <w:highlight w:val="none"/>
        </w:rPr>
      </w:pPr>
    </w:p>
    <w:p>
      <w:pPr>
        <w:jc w:val="left"/>
        <w:rPr>
          <w:rFonts w:ascii="仿宋" w:hAnsi="仿宋" w:eastAsia="仿宋" w:cs="仿宋"/>
          <w:sz w:val="24"/>
          <w:highlight w:val="none"/>
        </w:rPr>
      </w:pPr>
      <w:r>
        <w:rPr>
          <w:rFonts w:hint="eastAsia" w:ascii="黑体" w:hAnsi="黑体" w:eastAsia="黑体" w:cs="黑体"/>
          <w:sz w:val="32"/>
          <w:szCs w:val="32"/>
          <w:highlight w:val="none"/>
          <w:lang w:val="en-US" w:eastAsia="zh-CN"/>
        </w:rPr>
        <w:t>表五：一般公共预算财政拨款支出决算表</w:t>
      </w:r>
      <w:r>
        <w:rPr>
          <w:rFonts w:ascii="仿宋" w:hAnsi="仿宋" w:eastAsia="仿宋" w:cs="仿宋"/>
          <w:sz w:val="24"/>
          <w:highlight w:val="none"/>
        </w:rPr>
        <w:br w:type="page"/>
      </w:r>
    </w:p>
    <w:tbl>
      <w:tblPr>
        <w:tblStyle w:val="8"/>
        <w:tblW w:w="14760" w:type="dxa"/>
        <w:tblInd w:w="0" w:type="dxa"/>
        <w:shd w:val="clear" w:color="auto" w:fill="auto"/>
        <w:tblLayout w:type="fixed"/>
        <w:tblCellMar>
          <w:top w:w="0" w:type="dxa"/>
          <w:left w:w="0" w:type="dxa"/>
          <w:bottom w:w="0" w:type="dxa"/>
          <w:right w:w="0" w:type="dxa"/>
        </w:tblCellMar>
      </w:tblPr>
      <w:tblGrid>
        <w:gridCol w:w="990"/>
        <w:gridCol w:w="3930"/>
        <w:gridCol w:w="3000"/>
        <w:gridCol w:w="2880"/>
        <w:gridCol w:w="3960"/>
      </w:tblGrid>
      <w:tr>
        <w:tblPrEx>
          <w:tblLayout w:type="fixed"/>
          <w:tblCellMar>
            <w:top w:w="0" w:type="dxa"/>
            <w:left w:w="0" w:type="dxa"/>
            <w:bottom w:w="0" w:type="dxa"/>
            <w:right w:w="0"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00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6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405"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3,011,964.15</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1,220,143.61</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1,791,820.54</w:t>
            </w:r>
          </w:p>
        </w:tc>
      </w:tr>
      <w:tr>
        <w:tblPrEx>
          <w:shd w:val="clear" w:color="auto" w:fill="auto"/>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106,801.44</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1,082,283.69</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987,548.82</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94,734.87</w:t>
            </w:r>
          </w:p>
        </w:tc>
      </w:tr>
      <w:tr>
        <w:tblPrEx>
          <w:shd w:val="clear" w:color="auto" w:fill="auto"/>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农村合作经济</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1,598,370.00</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1,598,370.00</w:t>
            </w:r>
          </w:p>
        </w:tc>
      </w:tr>
      <w:tr>
        <w:tblPrEx>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79,764.00</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131,632.34</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32,916.67</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98,715.67</w:t>
            </w:r>
          </w:p>
        </w:tc>
      </w:tr>
      <w:tr>
        <w:tblPrEx>
          <w:tblLayout w:type="fixed"/>
          <w:tblCellMar>
            <w:top w:w="0" w:type="dxa"/>
            <w:left w:w="0" w:type="dxa"/>
            <w:bottom w:w="0" w:type="dxa"/>
            <w:right w:w="0" w:type="dxa"/>
          </w:tblCellMar>
        </w:tblPrEx>
        <w:trPr>
          <w:trHeight w:val="300" w:hRule="atLeast"/>
        </w:trPr>
        <w:tc>
          <w:tcPr>
            <w:tcW w:w="14760" w:type="dxa"/>
            <w:gridSpan w:val="5"/>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表六：一般公共预算财政拨款基本支出决算明细表 </w:t>
      </w:r>
    </w:p>
    <w:tbl>
      <w:tblPr>
        <w:tblStyle w:val="8"/>
        <w:tblW w:w="13988" w:type="dxa"/>
        <w:tblInd w:w="0" w:type="dxa"/>
        <w:shd w:val="clear" w:color="auto" w:fill="auto"/>
        <w:tblLayout w:type="fixed"/>
        <w:tblCellMar>
          <w:top w:w="0" w:type="dxa"/>
          <w:left w:w="0" w:type="dxa"/>
          <w:bottom w:w="0" w:type="dxa"/>
          <w:right w:w="0" w:type="dxa"/>
        </w:tblCellMar>
      </w:tblPr>
      <w:tblGrid>
        <w:gridCol w:w="1144"/>
        <w:gridCol w:w="2098"/>
        <w:gridCol w:w="1361"/>
        <w:gridCol w:w="1146"/>
        <w:gridCol w:w="1650"/>
        <w:gridCol w:w="1239"/>
        <w:gridCol w:w="1206"/>
        <w:gridCol w:w="2783"/>
        <w:gridCol w:w="1361"/>
      </w:tblGrid>
      <w:tr>
        <w:tblPrEx>
          <w:shd w:val="clear" w:color="auto" w:fill="auto"/>
          <w:tblLayout w:type="fixed"/>
          <w:tblCellMar>
            <w:top w:w="0" w:type="dxa"/>
            <w:left w:w="0" w:type="dxa"/>
            <w:bottom w:w="0" w:type="dxa"/>
            <w:right w:w="0" w:type="dxa"/>
          </w:tblCellMar>
        </w:tblPrEx>
        <w:trPr>
          <w:trHeight w:val="300" w:hRule="atLeast"/>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385" w:type="dxa"/>
            <w:gridSpan w:val="6"/>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0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783"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783"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1,061,160.53</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84,804.08</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220,824.00</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662.23</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257,047.00</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188,573.92</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23,088.00</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383.40</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117,273.53</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3,853.77</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11,040.00</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32,947.53</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7,952.61</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80,868.00</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132,441.94</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74,179.00</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74,179.00</w:t>
            </w: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5,700.00</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13,112.68</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49,500.00</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098"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65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552.00</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3242"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1,135,339.53</w:t>
            </w:r>
          </w:p>
        </w:tc>
        <w:tc>
          <w:tcPr>
            <w:tcW w:w="8024" w:type="dxa"/>
            <w:gridSpan w:val="5"/>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84,804.08</w:t>
            </w:r>
          </w:p>
        </w:tc>
      </w:tr>
      <w:tr>
        <w:tblPrEx>
          <w:tblLayout w:type="fixed"/>
          <w:tblCellMar>
            <w:top w:w="0" w:type="dxa"/>
            <w:left w:w="0" w:type="dxa"/>
            <w:bottom w:w="0" w:type="dxa"/>
            <w:right w:w="0" w:type="dxa"/>
          </w:tblCellMar>
        </w:tblPrEx>
        <w:trPr>
          <w:trHeight w:val="300" w:hRule="atLeast"/>
        </w:trPr>
        <w:tc>
          <w:tcPr>
            <w:tcW w:w="13988" w:type="dxa"/>
            <w:gridSpan w:val="9"/>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表七：政府性基金预算财政拨款收入支出决算表</w:t>
      </w:r>
    </w:p>
    <w:tbl>
      <w:tblPr>
        <w:tblStyle w:val="8"/>
        <w:tblW w:w="14119" w:type="dxa"/>
        <w:tblInd w:w="0" w:type="dxa"/>
        <w:shd w:val="clear" w:color="auto" w:fill="auto"/>
        <w:tblLayout w:type="fixed"/>
        <w:tblCellMar>
          <w:top w:w="0" w:type="dxa"/>
          <w:left w:w="0" w:type="dxa"/>
          <w:bottom w:w="0" w:type="dxa"/>
          <w:right w:w="0" w:type="dxa"/>
        </w:tblCellMar>
      </w:tblPr>
      <w:tblGrid>
        <w:gridCol w:w="990"/>
        <w:gridCol w:w="3930"/>
        <w:gridCol w:w="1680"/>
        <w:gridCol w:w="1680"/>
        <w:gridCol w:w="1680"/>
        <w:gridCol w:w="1680"/>
        <w:gridCol w:w="1680"/>
        <w:gridCol w:w="799"/>
      </w:tblGrid>
      <w:tr>
        <w:tblPrEx>
          <w:shd w:val="clear" w:color="auto" w:fill="auto"/>
          <w:tblLayout w:type="fixed"/>
          <w:tblCellMar>
            <w:top w:w="0" w:type="dxa"/>
            <w:left w:w="0" w:type="dxa"/>
            <w:bottom w:w="0" w:type="dxa"/>
            <w:right w:w="0"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99"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4119" w:type="dxa"/>
            <w:gridSpan w:val="8"/>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本部门无政府性基金预算，也没有政府性基金的支出，故本表无数据。</w:t>
      </w:r>
    </w:p>
    <w:p>
      <w:pPr>
        <w:ind w:firstLine="640" w:firstLineChars="200"/>
        <w:rPr>
          <w:rFonts w:hint="eastAsia" w:ascii="黑体" w:hAnsi="黑体" w:eastAsia="黑体" w:cs="黑体"/>
          <w:sz w:val="32"/>
          <w:szCs w:val="32"/>
          <w:highlight w:val="none"/>
          <w:lang w:val="en-US" w:eastAsia="zh-CN"/>
        </w:rPr>
      </w:pPr>
    </w:p>
    <w:p>
      <w:pPr>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表八：国有资本经营预算财政拨款支出决算表</w:t>
      </w:r>
    </w:p>
    <w:tbl>
      <w:tblPr>
        <w:tblStyle w:val="8"/>
        <w:tblW w:w="12165" w:type="dxa"/>
        <w:tblInd w:w="0" w:type="dxa"/>
        <w:shd w:val="clear" w:color="auto" w:fill="auto"/>
        <w:tblLayout w:type="fixed"/>
        <w:tblCellMar>
          <w:top w:w="0" w:type="dxa"/>
          <w:left w:w="0" w:type="dxa"/>
          <w:bottom w:w="0" w:type="dxa"/>
          <w:right w:w="0" w:type="dxa"/>
        </w:tblCellMar>
      </w:tblPr>
      <w:tblGrid>
        <w:gridCol w:w="990"/>
        <w:gridCol w:w="3930"/>
        <w:gridCol w:w="2280"/>
        <w:gridCol w:w="2280"/>
        <w:gridCol w:w="2685"/>
      </w:tblGrid>
      <w:tr>
        <w:tblPrEx>
          <w:shd w:val="clear" w:color="auto" w:fill="auto"/>
          <w:tblLayout w:type="fixed"/>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2165" w:type="dxa"/>
            <w:gridSpan w:val="5"/>
            <w:tcBorders>
              <w:top w:val="single" w:color="000000" w:sz="4" w:space="0"/>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pPr>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本部门无国有资本经营预算，也没有国有资本经营的支出，故本表无数据。</w:t>
      </w: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表九：财政拨款“三公”经费支出决算表</w:t>
      </w:r>
    </w:p>
    <w:tbl>
      <w:tblPr>
        <w:tblStyle w:val="8"/>
        <w:tblW w:w="13988" w:type="dxa"/>
        <w:tblInd w:w="0" w:type="dxa"/>
        <w:shd w:val="clear" w:color="auto" w:fill="auto"/>
        <w:tblLayout w:type="fixed"/>
        <w:tblCellMar>
          <w:top w:w="0" w:type="dxa"/>
          <w:left w:w="0" w:type="dxa"/>
          <w:bottom w:w="0" w:type="dxa"/>
          <w:right w:w="0" w:type="dxa"/>
        </w:tblCellMar>
      </w:tblPr>
      <w:tblGrid>
        <w:gridCol w:w="1166"/>
        <w:gridCol w:w="1165"/>
        <w:gridCol w:w="1166"/>
        <w:gridCol w:w="1165"/>
        <w:gridCol w:w="1166"/>
        <w:gridCol w:w="1166"/>
        <w:gridCol w:w="1166"/>
        <w:gridCol w:w="1166"/>
        <w:gridCol w:w="1166"/>
        <w:gridCol w:w="1166"/>
        <w:gridCol w:w="1165"/>
        <w:gridCol w:w="1165"/>
      </w:tblGrid>
      <w:tr>
        <w:tblPrEx>
          <w:shd w:val="clear" w:color="auto" w:fill="auto"/>
          <w:tblLayout w:type="fixed"/>
          <w:tblCellMar>
            <w:top w:w="0" w:type="dxa"/>
            <w:left w:w="0" w:type="dxa"/>
            <w:bottom w:w="0" w:type="dxa"/>
            <w:right w:w="0" w:type="dxa"/>
          </w:tblCellMar>
        </w:tblPrEx>
        <w:trPr>
          <w:trHeight w:val="300" w:hRule="atLeast"/>
        </w:trPr>
        <w:tc>
          <w:tcPr>
            <w:tcW w:w="6994" w:type="dxa"/>
            <w:gridSpan w:val="6"/>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600" w:hRule="atLeast"/>
        </w:trPr>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7" w:type="dxa"/>
            <w:gridSpan w:val="3"/>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Layout w:type="fixed"/>
          <w:tblCellMar>
            <w:top w:w="0" w:type="dxa"/>
            <w:left w:w="0" w:type="dxa"/>
            <w:bottom w:w="0" w:type="dxa"/>
            <w:right w:w="0" w:type="dxa"/>
          </w:tblCellMar>
        </w:tblPrEx>
        <w:trPr>
          <w:trHeight w:val="600" w:hRule="atLeast"/>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65" w:type="dxa"/>
            <w:tcBorders>
              <w:top w:val="single" w:color="000000" w:sz="4" w:space="0"/>
              <w:left w:val="single" w:color="000000" w:sz="4" w:space="0"/>
              <w:bottom w:val="single" w:color="000000" w:sz="4" w:space="0"/>
              <w:right w:val="single" w:color="000000" w:sz="4" w:space="0"/>
            </w:tcBorders>
            <w:shd w:val="clear" w:color="auto" w:fill="F1F1F1"/>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0" w:type="dxa"/>
            <w:bottom w:w="0" w:type="dxa"/>
            <w:right w:w="0" w:type="dxa"/>
          </w:tblCellMar>
        </w:tblPrEx>
        <w:trPr>
          <w:trHeight w:val="300" w:hRule="atLeast"/>
        </w:trPr>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5" w:hRule="atLeast"/>
        </w:trPr>
        <w:tc>
          <w:tcPr>
            <w:tcW w:w="13988" w:type="dxa"/>
            <w:gridSpan w:val="12"/>
            <w:vMerge w:val="restart"/>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Layout w:type="fixed"/>
          <w:tblCellMar>
            <w:top w:w="0" w:type="dxa"/>
            <w:left w:w="0" w:type="dxa"/>
            <w:bottom w:w="0" w:type="dxa"/>
            <w:right w:w="0" w:type="dxa"/>
          </w:tblCellMar>
        </w:tblPrEx>
        <w:trPr>
          <w:trHeight w:val="555" w:hRule="atLeast"/>
        </w:trPr>
        <w:tc>
          <w:tcPr>
            <w:tcW w:w="13988" w:type="dxa"/>
            <w:gridSpan w:val="12"/>
            <w:vMerge w:val="continue"/>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bl>
    <w:p>
      <w:pPr>
        <w:ind w:firstLine="240" w:firstLineChars="100"/>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r>
        <w:rPr>
          <w:rFonts w:hint="eastAsia" w:asciiTheme="minorEastAsia" w:hAnsiTheme="minorEastAsia" w:eastAsiaTheme="minorEastAsia" w:cstheme="minorEastAsia"/>
          <w:sz w:val="24"/>
          <w:szCs w:val="24"/>
          <w:highlight w:val="none"/>
          <w:lang w:val="en-US" w:eastAsia="zh-CN"/>
        </w:rPr>
        <w:t>本部门无财政拨款“三公”经费预算，也无财政拨款“三公”经费的支出，故本表无数据。</w:t>
      </w:r>
      <w:r>
        <w:rPr>
          <w:rFonts w:ascii="仿宋" w:hAnsi="仿宋" w:eastAsia="仿宋" w:cs="仿宋"/>
          <w:sz w:val="30"/>
          <w:szCs w:val="30"/>
          <w:highlight w:val="none"/>
        </w:rPr>
        <w:br w:type="page"/>
      </w:r>
    </w:p>
    <w:p>
      <w:pPr>
        <w:jc w:val="left"/>
        <w:rPr>
          <w:rFonts w:ascii="仿宋" w:hAnsi="仿宋" w:eastAsia="仿宋" w:cs="仿宋"/>
          <w:sz w:val="24"/>
          <w:highlight w:val="none"/>
        </w:rPr>
      </w:pPr>
    </w:p>
    <w:p>
      <w:pPr>
        <w:jc w:val="center"/>
        <w:rPr>
          <w:rFonts w:hint="eastAsia" w:ascii="黑体" w:hAnsi="黑体" w:eastAsia="黑体" w:cs="黑体"/>
          <w:b/>
          <w:bCs/>
          <w:sz w:val="32"/>
          <w:u w:color="auto"/>
          <w:lang w:val="en-US" w:eastAsia="zh-CN"/>
        </w:rPr>
      </w:pPr>
      <w:r>
        <w:rPr>
          <w:rFonts w:hint="eastAsia" w:ascii="黑体" w:hAnsi="黑体" w:eastAsia="黑体" w:cs="黑体"/>
          <w:b/>
          <w:bCs/>
          <w:sz w:val="32"/>
          <w:szCs w:val="32"/>
          <w:highlight w:val="none"/>
        </w:rPr>
        <w:t>第三部分：</w:t>
      </w:r>
      <w:r>
        <w:rPr>
          <w:rFonts w:hint="eastAsia" w:ascii="黑体" w:hAnsi="黑体" w:eastAsia="黑体" w:cs="黑体"/>
          <w:b/>
          <w:bCs/>
          <w:sz w:val="32"/>
          <w:u w:color="auto"/>
          <w:lang w:val="en-US" w:eastAsia="zh-CN"/>
        </w:rPr>
        <w:t>环江毛南族自治县农村经济经营指导中心</w:t>
      </w:r>
    </w:p>
    <w:p>
      <w:pPr>
        <w:jc w:val="center"/>
        <w:rPr>
          <w:rFonts w:ascii="仿宋" w:hAnsi="仿宋" w:eastAsia="仿宋" w:cs="仿宋"/>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3</w:t>
      </w:r>
      <w:r>
        <w:rPr>
          <w:rFonts w:hint="eastAsia" w:ascii="黑体" w:hAnsi="黑体" w:eastAsia="黑体" w:cs="黑体"/>
          <w:b/>
          <w:bCs/>
          <w:sz w:val="32"/>
          <w:szCs w:val="32"/>
          <w:highlight w:val="none"/>
        </w:rPr>
        <w:t>年度部门决算情况说明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301.20万元</w:t>
      </w:r>
      <w:r>
        <w:rPr>
          <w:rFonts w:hint="eastAsia" w:ascii="仿宋" w:hAnsi="仿宋" w:eastAsia="仿宋" w:cs="仿宋"/>
          <w:sz w:val="32"/>
          <w:u w:color="auto"/>
          <w:lang w:val="en-US" w:eastAsia="zh-CN"/>
        </w:rPr>
        <w:t>606.07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304.87</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下降50.30</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301.20</w:t>
      </w:r>
      <w:r>
        <w:rPr>
          <w:rFonts w:hint="eastAsia" w:ascii="仿宋" w:hAnsi="仿宋" w:eastAsia="仿宋" w:cs="仿宋"/>
          <w:sz w:val="32"/>
          <w:szCs w:val="32"/>
          <w:highlight w:val="none"/>
        </w:rPr>
        <w:t>万元。收入具体情况如下。</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301.20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kern w:val="0"/>
          <w:sz w:val="32"/>
          <w:szCs w:val="32"/>
        </w:rPr>
        <w:t>为</w:t>
      </w:r>
      <w:r>
        <w:rPr>
          <w:rFonts w:hint="eastAsia" w:ascii="仿宋" w:hAnsi="仿宋" w:eastAsia="仿宋" w:cs="仿宋"/>
          <w:kern w:val="0"/>
          <w:sz w:val="32"/>
          <w:szCs w:val="32"/>
          <w:lang w:val="en-US" w:eastAsia="zh-CN"/>
        </w:rPr>
        <w:t>自治县</w:t>
      </w:r>
      <w:r>
        <w:rPr>
          <w:rFonts w:hint="eastAsia" w:ascii="仿宋" w:hAnsi="仿宋" w:eastAsia="仿宋" w:cs="仿宋"/>
          <w:kern w:val="0"/>
          <w:sz w:val="32"/>
          <w:szCs w:val="32"/>
        </w:rPr>
        <w:t>本级财政当年拨付的资金</w:t>
      </w:r>
      <w:r>
        <w:rPr>
          <w:rFonts w:hint="eastAsia" w:ascii="仿宋" w:hAnsi="仿宋" w:eastAsia="仿宋" w:cs="仿宋"/>
          <w:kern w:val="2"/>
          <w:sz w:val="32"/>
          <w:szCs w:val="32"/>
          <w:highlight w:val="none"/>
          <w:lang w:val="en-US" w:eastAsia="zh-CN" w:bidi="ar"/>
        </w:rPr>
        <w:t>。较2022年度决算数</w:t>
      </w:r>
      <w:r>
        <w:rPr>
          <w:rFonts w:hint="eastAsia" w:ascii="仿宋" w:hAnsi="仿宋" w:eastAsia="仿宋" w:cs="仿宋"/>
          <w:sz w:val="32"/>
          <w:u w:color="auto"/>
          <w:lang w:val="en-US" w:eastAsia="zh-CN"/>
        </w:rPr>
        <w:t>减少304.87</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下降50.30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主要原因：2022年度财政追加拨款用于农村土地承包管理的工作经费及2023年上级补助资金拨入较2022年有减少。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val="en-US" w:eastAsia="zh-CN"/>
        </w:rPr>
        <w:t>自治县</w:t>
      </w:r>
      <w:r>
        <w:rPr>
          <w:rFonts w:hint="eastAsia" w:ascii="仿宋_GB2312" w:eastAsia="仿宋_GB2312" w:cs="仿宋_GB2312"/>
          <w:kern w:val="0"/>
          <w:sz w:val="32"/>
          <w:szCs w:val="32"/>
        </w:rPr>
        <w:t>本级财政当年拨付的资金。</w:t>
      </w:r>
      <w:r>
        <w:rPr>
          <w:rFonts w:hint="eastAsia" w:ascii="仿宋" w:hAnsi="仿宋" w:eastAsia="仿宋" w:cs="仿宋"/>
          <w:kern w:val="2"/>
          <w:sz w:val="32"/>
          <w:szCs w:val="32"/>
          <w:highlight w:val="none"/>
          <w:lang w:val="en-US" w:eastAsia="zh-CN" w:bidi="ar"/>
        </w:rPr>
        <w:t>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4.事业收入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6.其他收入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主要原因是：本单位没有该收入。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_GB2312" w:eastAsia="仿宋_GB2312" w:cs="仿宋_GB2312"/>
          <w:kern w:val="0"/>
          <w:sz w:val="32"/>
          <w:szCs w:val="32"/>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主要原因：跨年度实施的</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 w:hAnsi="仿宋" w:eastAsia="仿宋" w:cs="仿宋"/>
          <w:sz w:val="32"/>
          <w:szCs w:val="32"/>
          <w:highlight w:val="none"/>
        </w:rPr>
      </w:pPr>
      <w:r>
        <w:drawing>
          <wp:anchor distT="0" distB="0" distL="114300" distR="114300" simplePos="0" relativeHeight="251658240" behindDoc="1" locked="0" layoutInCell="1" allowOverlap="1">
            <wp:simplePos x="0" y="0"/>
            <wp:positionH relativeFrom="column">
              <wp:posOffset>271145</wp:posOffset>
            </wp:positionH>
            <wp:positionV relativeFrom="paragraph">
              <wp:posOffset>238125</wp:posOffset>
            </wp:positionV>
            <wp:extent cx="4866640" cy="2876550"/>
            <wp:effectExtent l="4445" t="4445" r="571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301.20</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301.20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u w:color="auto"/>
          <w:lang w:val="en-US" w:eastAsia="zh-CN"/>
        </w:rPr>
        <w:t>304.87</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下降50.30</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sz w:val="32"/>
          <w:szCs w:val="32"/>
          <w:highlight w:val="none"/>
        </w:rPr>
        <w:t>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 xml:space="preserve">一般公共服务支出 </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1.31万元</w:t>
      </w:r>
      <w:r>
        <w:rPr>
          <w:rFonts w:hint="eastAsia" w:ascii="仿宋" w:hAnsi="仿宋" w:eastAsia="仿宋" w:cs="仿宋"/>
          <w:sz w:val="32"/>
          <w:szCs w:val="32"/>
          <w:lang w:val="en-US" w:eastAsia="zh-CN"/>
        </w:rPr>
        <w:t>，主要用于工会经费支出，较2022年减少2.95万元，下降69.25%，主要原因是2022年支出数包括有其他工资福利支出和工会经费支出，而2023年支出数只有工会经费支出。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both"/>
        <w:textAlignment w:val="auto"/>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社会保障和就业支出</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208类）10.68万元，</w:t>
      </w:r>
      <w:r>
        <w:rPr>
          <w:rFonts w:hint="eastAsia" w:ascii="仿宋" w:hAnsi="仿宋" w:eastAsia="仿宋" w:cs="仿宋_GB2312"/>
          <w:kern w:val="0"/>
          <w:sz w:val="32"/>
          <w:szCs w:val="32"/>
        </w:rPr>
        <w:t>主要用于按国家规定发放行政事业单位单位基本养老保险的等方面的支出，较20</w:t>
      </w:r>
      <w:r>
        <w:rPr>
          <w:rFonts w:hint="eastAsia" w:ascii="仿宋" w:hAnsi="仿宋" w:eastAsia="仿宋" w:cs="仿宋_GB2312"/>
          <w:kern w:val="0"/>
          <w:sz w:val="32"/>
          <w:szCs w:val="32"/>
          <w:lang w:val="en-US" w:eastAsia="zh-CN"/>
        </w:rPr>
        <w:t>22</w:t>
      </w:r>
      <w:r>
        <w:rPr>
          <w:rFonts w:hint="eastAsia" w:ascii="仿宋" w:hAnsi="仿宋" w:eastAsia="仿宋" w:cs="仿宋_GB2312"/>
          <w:kern w:val="0"/>
          <w:sz w:val="32"/>
          <w:szCs w:val="32"/>
        </w:rPr>
        <w:t>年度决算数</w:t>
      </w:r>
      <w:r>
        <w:rPr>
          <w:rFonts w:hint="eastAsia" w:ascii="仿宋" w:hAnsi="仿宋" w:eastAsia="仿宋" w:cs="仿宋_GB2312"/>
          <w:kern w:val="0"/>
          <w:sz w:val="32"/>
          <w:szCs w:val="32"/>
          <w:lang w:val="en-US" w:eastAsia="zh-CN"/>
        </w:rPr>
        <w:t>减少1.33</w:t>
      </w:r>
      <w:r>
        <w:rPr>
          <w:rFonts w:hint="eastAsia" w:ascii="仿宋" w:hAnsi="仿宋" w:eastAsia="仿宋" w:cs="仿宋_GB2312"/>
          <w:kern w:val="0"/>
          <w:sz w:val="32"/>
          <w:szCs w:val="32"/>
        </w:rPr>
        <w:t>万元，</w:t>
      </w:r>
      <w:r>
        <w:rPr>
          <w:rFonts w:hint="eastAsia" w:ascii="仿宋" w:hAnsi="仿宋" w:eastAsia="仿宋" w:cs="仿宋_GB2312"/>
          <w:kern w:val="0"/>
          <w:sz w:val="32"/>
          <w:szCs w:val="32"/>
          <w:lang w:val="en-US" w:eastAsia="zh-CN"/>
        </w:rPr>
        <w:t>下降11.07</w:t>
      </w:r>
      <w:r>
        <w:rPr>
          <w:rFonts w:hint="eastAsia" w:ascii="仿宋" w:hAnsi="仿宋" w:eastAsia="仿宋" w:cs="仿宋_GB2312"/>
          <w:kern w:val="0"/>
          <w:sz w:val="32"/>
          <w:szCs w:val="32"/>
        </w:rPr>
        <w:t>%，主要原因是</w:t>
      </w:r>
      <w:r>
        <w:rPr>
          <w:rFonts w:hint="eastAsia" w:ascii="仿宋" w:hAnsi="仿宋" w:eastAsia="仿宋" w:cs="仿宋_GB2312"/>
          <w:kern w:val="0"/>
          <w:sz w:val="32"/>
          <w:szCs w:val="32"/>
          <w:lang w:val="en-US" w:eastAsia="zh-CN"/>
        </w:rPr>
        <w:t>基数调整，基数总体比2022年低</w:t>
      </w:r>
      <w:r>
        <w:rPr>
          <w:rFonts w:hint="eastAsia" w:ascii="仿宋" w:hAnsi="仿宋" w:eastAsia="仿宋" w:cs="仿宋_GB2312"/>
          <w:kern w:val="0"/>
          <w:sz w:val="32"/>
          <w:szCs w:val="32"/>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rPr>
        <w:t>.农林水支出</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213类）268.07万元</w:t>
      </w:r>
      <w:r>
        <w:rPr>
          <w:rFonts w:hint="eastAsia" w:ascii="仿宋" w:hAnsi="仿宋" w:eastAsia="仿宋" w:cs="仿宋_GB2312"/>
          <w:kern w:val="0"/>
          <w:sz w:val="32"/>
          <w:szCs w:val="32"/>
        </w:rPr>
        <w:t>，</w:t>
      </w:r>
      <w:r>
        <w:rPr>
          <w:rFonts w:hint="eastAsia" w:ascii="仿宋" w:hAnsi="仿宋" w:eastAsia="仿宋" w:cs="仿宋_GB2312"/>
          <w:kern w:val="0"/>
          <w:sz w:val="32"/>
          <w:szCs w:val="32"/>
          <w:lang w:val="en-US" w:eastAsia="zh-CN"/>
        </w:rPr>
        <w:t>主要用于</w:t>
      </w:r>
      <w:r>
        <w:rPr>
          <w:rFonts w:hint="eastAsia" w:ascii="仿宋" w:hAnsi="仿宋" w:eastAsia="仿宋" w:cs="仿宋"/>
          <w:bCs/>
          <w:color w:val="333333"/>
          <w:sz w:val="32"/>
          <w:szCs w:val="32"/>
          <w:shd w:val="clear" w:color="auto" w:fill="FFFFFF"/>
          <w:lang w:val="en-US" w:eastAsia="zh-CN"/>
        </w:rPr>
        <w:t>为</w:t>
      </w:r>
      <w:r>
        <w:rPr>
          <w:rFonts w:hint="eastAsia" w:ascii="仿宋" w:hAnsi="仿宋" w:eastAsia="仿宋" w:cs="仿宋"/>
          <w:bCs/>
          <w:color w:val="333333"/>
          <w:sz w:val="32"/>
          <w:szCs w:val="32"/>
          <w:shd w:val="clear" w:color="auto" w:fill="FFFFFF"/>
        </w:rPr>
        <w:t>确保</w:t>
      </w:r>
      <w:r>
        <w:rPr>
          <w:rFonts w:hint="eastAsia" w:ascii="仿宋" w:hAnsi="仿宋" w:eastAsia="仿宋" w:cs="仿宋"/>
          <w:kern w:val="0"/>
          <w:sz w:val="32"/>
          <w:szCs w:val="32"/>
        </w:rPr>
        <w:t>日常运转发生的基本支出</w:t>
      </w:r>
      <w:r>
        <w:rPr>
          <w:rFonts w:hint="eastAsia" w:ascii="仿宋" w:hAnsi="仿宋" w:eastAsia="仿宋" w:cs="仿宋"/>
          <w:kern w:val="0"/>
          <w:sz w:val="32"/>
          <w:szCs w:val="32"/>
          <w:lang w:val="en-US" w:eastAsia="zh-CN"/>
        </w:rPr>
        <w:t>及农村合作经济地专项支出。</w:t>
      </w:r>
      <w:r>
        <w:rPr>
          <w:rFonts w:hint="eastAsia" w:ascii="仿宋" w:hAnsi="仿宋" w:eastAsia="仿宋" w:cs="仿宋_GB2312"/>
          <w:kern w:val="0"/>
          <w:sz w:val="32"/>
          <w:szCs w:val="32"/>
          <w:lang w:val="en-US" w:eastAsia="zh-CN"/>
        </w:rPr>
        <w:t>较2022年减少296.26</w:t>
      </w:r>
      <w:r>
        <w:rPr>
          <w:rFonts w:hint="eastAsia" w:ascii="仿宋" w:hAnsi="仿宋" w:eastAsia="仿宋" w:cs="仿宋_GB2312"/>
          <w:kern w:val="0"/>
          <w:sz w:val="32"/>
          <w:szCs w:val="32"/>
        </w:rPr>
        <w:t>万元，同比</w:t>
      </w:r>
      <w:r>
        <w:rPr>
          <w:rFonts w:hint="eastAsia" w:ascii="仿宋" w:hAnsi="仿宋" w:eastAsia="仿宋" w:cs="仿宋_GB2312"/>
          <w:kern w:val="0"/>
          <w:sz w:val="32"/>
          <w:szCs w:val="32"/>
          <w:lang w:val="en-US" w:eastAsia="zh-CN"/>
        </w:rPr>
        <w:t>下降52.50</w:t>
      </w:r>
      <w:r>
        <w:rPr>
          <w:rFonts w:hint="eastAsia" w:ascii="仿宋" w:hAnsi="仿宋" w:eastAsia="仿宋" w:cs="仿宋_GB2312"/>
          <w:kern w:val="0"/>
          <w:sz w:val="32"/>
          <w:szCs w:val="32"/>
        </w:rPr>
        <w:t>%，</w:t>
      </w:r>
      <w:r>
        <w:rPr>
          <w:rFonts w:hint="eastAsia" w:ascii="仿宋" w:hAnsi="仿宋" w:eastAsia="仿宋" w:cs="仿宋_GB2312"/>
          <w:kern w:val="0"/>
          <w:sz w:val="32"/>
          <w:szCs w:val="32"/>
          <w:lang w:val="en-US" w:eastAsia="zh-CN"/>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2022年度财政追加拨款用于农村土地承包管理的工作经费及2023年上级补助资金拨入较2022年有减少。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4</w:t>
      </w:r>
      <w:r>
        <w:rPr>
          <w:rFonts w:hint="eastAsia" w:ascii="仿宋" w:hAnsi="仿宋" w:eastAsia="仿宋" w:cs="仿宋_GB2312"/>
          <w:kern w:val="0"/>
          <w:sz w:val="32"/>
          <w:szCs w:val="32"/>
        </w:rPr>
        <w:t>.住房保障支出</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221类）7.98万元</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主要用于按照国家政策规定向职工发放的住房公积金、提租补贴、购房补贴等住房改革方面的支出。较20</w:t>
      </w:r>
      <w:r>
        <w:rPr>
          <w:rFonts w:hint="eastAsia" w:ascii="仿宋" w:hAnsi="仿宋" w:eastAsia="仿宋" w:cs="仿宋_GB2312"/>
          <w:kern w:val="0"/>
          <w:sz w:val="32"/>
          <w:szCs w:val="32"/>
          <w:lang w:val="en-US" w:eastAsia="zh-CN"/>
        </w:rPr>
        <w:t>22</w:t>
      </w:r>
      <w:r>
        <w:rPr>
          <w:rFonts w:hint="eastAsia" w:ascii="仿宋" w:hAnsi="仿宋" w:eastAsia="仿宋" w:cs="仿宋_GB2312"/>
          <w:kern w:val="0"/>
          <w:sz w:val="32"/>
          <w:szCs w:val="32"/>
        </w:rPr>
        <w:t>年度决算数</w:t>
      </w:r>
      <w:r>
        <w:rPr>
          <w:rFonts w:hint="eastAsia" w:ascii="仿宋" w:hAnsi="仿宋" w:eastAsia="仿宋" w:cs="仿宋_GB2312"/>
          <w:kern w:val="0"/>
          <w:sz w:val="32"/>
          <w:szCs w:val="32"/>
          <w:lang w:val="en-US" w:eastAsia="zh-CN"/>
        </w:rPr>
        <w:t>增加0.15</w:t>
      </w:r>
      <w:r>
        <w:rPr>
          <w:rFonts w:hint="eastAsia" w:ascii="仿宋" w:hAnsi="仿宋" w:eastAsia="仿宋" w:cs="仿宋_GB2312"/>
          <w:kern w:val="0"/>
          <w:sz w:val="32"/>
          <w:szCs w:val="32"/>
        </w:rPr>
        <w:t>万元，</w:t>
      </w:r>
      <w:r>
        <w:rPr>
          <w:rFonts w:hint="eastAsia" w:ascii="仿宋_GB2312" w:hAnsi="黑体" w:eastAsia="仿宋_GB2312" w:cs="仿宋_GB2312"/>
          <w:kern w:val="0"/>
          <w:sz w:val="32"/>
          <w:szCs w:val="32"/>
          <w:lang w:val="en-US" w:eastAsia="zh-CN"/>
        </w:rPr>
        <w:t>增长1.92</w:t>
      </w:r>
      <w:r>
        <w:rPr>
          <w:rFonts w:hint="eastAsia" w:ascii="仿宋_GB2312" w:hAnsi="黑体" w:eastAsia="仿宋_GB2312" w:cs="仿宋_GB2312"/>
          <w:kern w:val="0"/>
          <w:sz w:val="32"/>
          <w:szCs w:val="32"/>
        </w:rPr>
        <w:t>%</w:t>
      </w:r>
      <w:r>
        <w:rPr>
          <w:rFonts w:hint="eastAsia" w:ascii="仿宋" w:hAnsi="仿宋" w:eastAsia="仿宋" w:cs="仿宋_GB2312"/>
          <w:kern w:val="0"/>
          <w:sz w:val="32"/>
          <w:szCs w:val="32"/>
        </w:rPr>
        <w:t>，主要原因是</w:t>
      </w:r>
      <w:r>
        <w:rPr>
          <w:rFonts w:hint="eastAsia" w:ascii="仿宋" w:hAnsi="仿宋" w:eastAsia="仿宋" w:cs="仿宋_GB2312"/>
          <w:kern w:val="0"/>
          <w:sz w:val="32"/>
          <w:szCs w:val="32"/>
          <w:lang w:val="en-US" w:eastAsia="zh-CN"/>
        </w:rPr>
        <w:t>基数调整</w:t>
      </w:r>
      <w:r>
        <w:rPr>
          <w:rFonts w:hint="eastAsia" w:ascii="仿宋" w:hAnsi="仿宋" w:eastAsia="仿宋" w:cs="仿宋_GB2312"/>
          <w:kern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其他支出</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229类）13.16万元</w:t>
      </w:r>
      <w:r>
        <w:rPr>
          <w:rFonts w:hint="eastAsia" w:ascii="仿宋" w:hAnsi="仿宋" w:eastAsia="仿宋" w:cs="仿宋"/>
          <w:color w:val="000000" w:themeColor="text1"/>
          <w:kern w:val="0"/>
          <w:sz w:val="32"/>
          <w:szCs w:val="32"/>
          <w14:textFill>
            <w14:solidFill>
              <w14:schemeClr w14:val="tx1"/>
            </w14:solidFill>
          </w14:textFill>
        </w:rPr>
        <w:t>，为按自治县规定评定的</w:t>
      </w:r>
      <w:r>
        <w:rPr>
          <w:rFonts w:hint="eastAsia" w:ascii="仿宋" w:hAnsi="仿宋" w:eastAsia="仿宋" w:cs="仿宋"/>
          <w:color w:val="000000" w:themeColor="text1"/>
          <w:sz w:val="31"/>
          <w:szCs w:val="31"/>
          <w:shd w:val="clear" w:color="auto" w:fill="FFFFFF"/>
          <w14:textFill>
            <w14:solidFill>
              <w14:schemeClr w14:val="tx1"/>
            </w14:solidFill>
          </w14:textFill>
        </w:rPr>
        <w:t>绩效考评奖</w:t>
      </w:r>
      <w:r>
        <w:rPr>
          <w:rFonts w:hint="eastAsia" w:ascii="仿宋" w:hAnsi="仿宋" w:eastAsia="仿宋" w:cs="仿宋"/>
          <w:color w:val="000000" w:themeColor="text1"/>
          <w:kern w:val="0"/>
          <w:sz w:val="32"/>
          <w:szCs w:val="32"/>
          <w14:textFill>
            <w14:solidFill>
              <w14:schemeClr w14:val="tx1"/>
            </w14:solidFill>
          </w14:textFill>
        </w:rPr>
        <w:t>支出。较20</w:t>
      </w:r>
      <w:r>
        <w:rPr>
          <w:rFonts w:hint="eastAsia" w:ascii="仿宋" w:hAnsi="仿宋" w:eastAsia="仿宋" w:cs="仿宋"/>
          <w:color w:val="000000" w:themeColor="text1"/>
          <w:kern w:val="0"/>
          <w:sz w:val="32"/>
          <w:szCs w:val="32"/>
          <w:lang w:val="en-US" w:eastAsia="zh-CN"/>
          <w14:textFill>
            <w14:solidFill>
              <w14:schemeClr w14:val="tx1"/>
            </w14:solidFill>
          </w14:textFill>
        </w:rPr>
        <w:t>22</w:t>
      </w:r>
      <w:r>
        <w:rPr>
          <w:rFonts w:hint="eastAsia" w:ascii="仿宋" w:hAnsi="仿宋" w:eastAsia="仿宋" w:cs="仿宋"/>
          <w:color w:val="000000" w:themeColor="text1"/>
          <w:kern w:val="0"/>
          <w:sz w:val="32"/>
          <w:szCs w:val="32"/>
          <w14:textFill>
            <w14:solidFill>
              <w14:schemeClr w14:val="tx1"/>
            </w14:solidFill>
          </w14:textFill>
        </w:rPr>
        <w:t>年度决算数</w:t>
      </w:r>
      <w:r>
        <w:rPr>
          <w:rFonts w:hint="eastAsia" w:ascii="仿宋" w:hAnsi="仿宋" w:eastAsia="仿宋" w:cs="仿宋"/>
          <w:color w:val="000000" w:themeColor="text1"/>
          <w:kern w:val="0"/>
          <w:sz w:val="32"/>
          <w:szCs w:val="32"/>
          <w:lang w:val="en-US" w:eastAsia="zh-CN"/>
          <w14:textFill>
            <w14:solidFill>
              <w14:schemeClr w14:val="tx1"/>
            </w14:solidFill>
          </w14:textFill>
        </w:rPr>
        <w:t>减少4.47</w:t>
      </w:r>
      <w:r>
        <w:rPr>
          <w:rFonts w:hint="eastAsia" w:ascii="仿宋" w:hAnsi="仿宋" w:eastAsia="仿宋" w:cs="仿宋"/>
          <w:color w:val="000000" w:themeColor="text1"/>
          <w:kern w:val="0"/>
          <w:sz w:val="32"/>
          <w:szCs w:val="32"/>
          <w14:textFill>
            <w14:solidFill>
              <w14:schemeClr w14:val="tx1"/>
            </w14:solidFill>
          </w14:textFill>
        </w:rPr>
        <w:t>万元，</w:t>
      </w:r>
      <w:r>
        <w:rPr>
          <w:rFonts w:hint="eastAsia" w:ascii="仿宋" w:hAnsi="仿宋" w:eastAsia="仿宋" w:cs="仿宋"/>
          <w:color w:val="000000" w:themeColor="text1"/>
          <w:kern w:val="0"/>
          <w:sz w:val="32"/>
          <w:szCs w:val="32"/>
          <w:lang w:val="en-US" w:eastAsia="zh-CN"/>
          <w14:textFill>
            <w14:solidFill>
              <w14:schemeClr w14:val="tx1"/>
            </w14:solidFill>
          </w14:textFill>
        </w:rPr>
        <w:t>下降25.35</w:t>
      </w:r>
      <w:r>
        <w:rPr>
          <w:rFonts w:hint="eastAsia" w:ascii="仿宋" w:hAnsi="仿宋" w:eastAsia="仿宋" w:cs="仿宋"/>
          <w:color w:val="000000" w:themeColor="text1"/>
          <w:kern w:val="0"/>
          <w:sz w:val="32"/>
          <w:szCs w:val="32"/>
          <w14:textFill>
            <w14:solidFill>
              <w14:schemeClr w14:val="tx1"/>
            </w14:solidFill>
          </w14:textFill>
        </w:rPr>
        <w:t>%，主要原因是</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2023年绩效考评奖支出减少</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20" w:firstLineChars="200"/>
        <w:jc w:val="both"/>
        <w:textAlignment w:val="auto"/>
        <w:rPr>
          <w:rFonts w:hint="default" w:ascii="仿宋" w:hAnsi="仿宋" w:eastAsia="仿宋_GB2312" w:cs="仿宋"/>
          <w:sz w:val="32"/>
          <w:szCs w:val="32"/>
          <w:highlight w:val="none"/>
          <w:lang w:val="en-US"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：本年无结余分配。</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主要原因是：本年无结转和结余。</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anchor distT="0" distB="0" distL="114300" distR="114300" simplePos="0" relativeHeight="251659264" behindDoc="1" locked="0" layoutInCell="1" allowOverlap="1">
            <wp:simplePos x="0" y="0"/>
            <wp:positionH relativeFrom="column">
              <wp:posOffset>87630</wp:posOffset>
            </wp:positionH>
            <wp:positionV relativeFrom="paragraph">
              <wp:posOffset>19050</wp:posOffset>
            </wp:positionV>
            <wp:extent cx="5403215" cy="3089275"/>
            <wp:effectExtent l="4445" t="4445" r="21590" b="11430"/>
            <wp:wrapNone/>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301.20万元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减少304.87</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下降50.30</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122.01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179.18</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111.86</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301.20</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269.27</w:t>
      </w:r>
      <w:r>
        <w:rPr>
          <w:rFonts w:ascii="仿宋" w:hAnsi="仿宋" w:eastAsia="仿宋" w:cs="仿宋"/>
          <w:sz w:val="32"/>
          <w:u w:color="auto"/>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Cs/>
          <w:kern w:val="0"/>
          <w:sz w:val="32"/>
          <w:szCs w:val="32"/>
          <w:lang w:val="en-US" w:eastAsia="zh-CN"/>
        </w:rPr>
        <w:t>（一）一</w:t>
      </w:r>
      <w:r>
        <w:rPr>
          <w:rFonts w:hint="eastAsia" w:ascii="仿宋" w:hAnsi="仿宋" w:eastAsia="仿宋" w:cs="仿宋"/>
          <w:sz w:val="32"/>
          <w:szCs w:val="32"/>
          <w:lang w:val="en-US" w:eastAsia="zh-CN"/>
        </w:rPr>
        <w:t>般公共服务支出（201类）年初预算为1.31万元，支出决算1.31万元，完成年初预算的100%，预决算无差异。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pPr w:leftFromText="180" w:rightFromText="180" w:vertAnchor="text" w:horzAnchor="page" w:tblpX="1864" w:tblpY="366"/>
        <w:tblOverlap w:val="never"/>
        <w:tblW w:w="8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职工工会经费单位部分支出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18"/>
                <w:szCs w:val="18"/>
                <w:highlight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rPr>
        <w:drawing>
          <wp:anchor distT="0" distB="0" distL="114300" distR="114300" simplePos="0" relativeHeight="251660288" behindDoc="1" locked="0" layoutInCell="1" allowOverlap="1">
            <wp:simplePos x="0" y="0"/>
            <wp:positionH relativeFrom="column">
              <wp:posOffset>223520</wp:posOffset>
            </wp:positionH>
            <wp:positionV relativeFrom="paragraph">
              <wp:posOffset>3175</wp:posOffset>
            </wp:positionV>
            <wp:extent cx="4474845" cy="3034030"/>
            <wp:effectExtent l="4445" t="4445" r="16510" b="9525"/>
            <wp:wrapNone/>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bCs/>
          <w:kern w:val="0"/>
          <w:sz w:val="32"/>
          <w:szCs w:val="32"/>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cs="仿宋"/>
          <w:bCs/>
          <w:kern w:val="0"/>
          <w:sz w:val="32"/>
          <w:szCs w:val="32"/>
          <w:lang w:val="en-US" w:eastAsia="zh-CN"/>
        </w:rPr>
        <w:t>10.49万元</w:t>
      </w:r>
      <w:r>
        <w:rPr>
          <w:rFonts w:hint="eastAsia" w:ascii="仿宋" w:hAnsi="仿宋" w:eastAsia="仿宋" w:cs="仿宋"/>
          <w:bCs/>
          <w:kern w:val="0"/>
          <w:sz w:val="32"/>
          <w:szCs w:val="32"/>
        </w:rPr>
        <w:t>，支出决算为</w:t>
      </w:r>
      <w:r>
        <w:rPr>
          <w:rFonts w:hint="eastAsia" w:ascii="仿宋" w:hAnsi="仿宋" w:eastAsia="仿宋" w:cs="仿宋"/>
          <w:bCs/>
          <w:kern w:val="0"/>
          <w:sz w:val="32"/>
          <w:szCs w:val="32"/>
          <w:lang w:val="en-US" w:eastAsia="zh-CN"/>
        </w:rPr>
        <w:t>10.68</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101.81</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预决算差异</w:t>
      </w:r>
      <w:r>
        <w:rPr>
          <w:rFonts w:hint="eastAsia" w:ascii="仿宋" w:hAnsi="仿宋" w:eastAsia="仿宋" w:cs="仿宋_GB2312"/>
          <w:kern w:val="0"/>
          <w:sz w:val="32"/>
          <w:szCs w:val="32"/>
        </w:rPr>
        <w:t>原因是</w:t>
      </w:r>
      <w:r>
        <w:rPr>
          <w:rFonts w:hint="eastAsia" w:ascii="仿宋" w:hAnsi="仿宋" w:eastAsia="仿宋" w:cs="仿宋_GB2312"/>
          <w:kern w:val="0"/>
          <w:sz w:val="32"/>
          <w:szCs w:val="32"/>
          <w:lang w:val="en-US" w:eastAsia="zh-CN"/>
        </w:rPr>
        <w:t>基数调整</w:t>
      </w:r>
      <w:r>
        <w:rPr>
          <w:rFonts w:hint="eastAsia" w:ascii="仿宋" w:hAnsi="仿宋" w:eastAsia="仿宋" w:cs="仿宋"/>
          <w:bCs/>
          <w:kern w:val="0"/>
          <w:sz w:val="32"/>
          <w:szCs w:val="32"/>
        </w:rPr>
        <w:t>。</w:t>
      </w:r>
    </w:p>
    <w:p>
      <w:pPr>
        <w:jc w:val="left"/>
        <w:rPr>
          <w:rFonts w:hint="eastAsia" w:ascii="仿宋" w:hAnsi="仿宋" w:eastAsia="仿宋" w:cs="仿宋"/>
          <w:bCs/>
          <w:kern w:val="0"/>
          <w:sz w:val="32"/>
          <w:szCs w:val="32"/>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101.81%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bCs/>
                <w:color w:val="333333"/>
                <w:sz w:val="20"/>
                <w:szCs w:val="20"/>
                <w:shd w:val="clear" w:color="auto" w:fill="FFFFFF"/>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000000" w:themeColor="text1"/>
                <w:sz w:val="20"/>
                <w:szCs w:val="20"/>
                <w:highlight w:val="none"/>
                <w:lang w:val="en-US" w:eastAsia="zh-CN"/>
                <w14:textFill>
                  <w14:solidFill>
                    <w14:schemeClr w14:val="tx1"/>
                  </w14:solidFill>
                </w14:textFill>
              </w:rPr>
              <w:t>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cs="仿宋"/>
          <w:bCs/>
          <w:kern w:val="0"/>
          <w:sz w:val="32"/>
          <w:szCs w:val="32"/>
        </w:rPr>
      </w:pPr>
      <w:r>
        <w:rPr>
          <w:rFonts w:hint="eastAsia" w:ascii="仿宋" w:hAnsi="仿宋" w:eastAsia="仿宋" w:cs="仿宋"/>
          <w:sz w:val="32"/>
          <w:szCs w:val="32"/>
          <w:highlight w:val="none"/>
        </w:rPr>
        <w:drawing>
          <wp:anchor distT="0" distB="0" distL="114300" distR="114300" simplePos="0" relativeHeight="251661312" behindDoc="1" locked="0" layoutInCell="1" allowOverlap="1">
            <wp:simplePos x="0" y="0"/>
            <wp:positionH relativeFrom="column">
              <wp:posOffset>271145</wp:posOffset>
            </wp:positionH>
            <wp:positionV relativeFrom="paragraph">
              <wp:posOffset>-2949575</wp:posOffset>
            </wp:positionV>
            <wp:extent cx="4474845" cy="3215640"/>
            <wp:effectExtent l="4445" t="4445" r="16510" b="18415"/>
            <wp:wrapNone/>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bCs/>
          <w:kern w:val="0"/>
          <w:sz w:val="32"/>
          <w:szCs w:val="32"/>
          <w:lang w:val="en-US" w:eastAsia="zh-CN"/>
        </w:rPr>
      </w:pPr>
      <w:bookmarkStart w:id="1" w:name="OLE_LINK2"/>
      <w:bookmarkEnd w:id="1"/>
      <w:r>
        <w:rPr>
          <w:rFonts w:hint="eastAsia" w:ascii="仿宋" w:hAnsi="仿宋" w:eastAsia="仿宋" w:cs="仿宋"/>
          <w:bCs/>
          <w:kern w:val="0"/>
          <w:sz w:val="32"/>
          <w:szCs w:val="32"/>
          <w:lang w:val="en-US" w:eastAsia="zh-CN"/>
        </w:rPr>
        <w:t>（三）农林水支出---</w:t>
      </w:r>
      <w:r>
        <w:rPr>
          <w:rFonts w:hint="eastAsia" w:ascii="仿宋" w:hAnsi="仿宋" w:eastAsia="仿宋" w:cs="仿宋"/>
          <w:bCs/>
          <w:kern w:val="0"/>
          <w:sz w:val="32"/>
          <w:szCs w:val="32"/>
        </w:rPr>
        <w:t>事业运行（</w:t>
      </w:r>
      <w:r>
        <w:rPr>
          <w:rFonts w:hint="eastAsia" w:ascii="仿宋" w:hAnsi="仿宋" w:eastAsia="仿宋" w:cs="仿宋"/>
          <w:bCs/>
          <w:kern w:val="0"/>
          <w:sz w:val="32"/>
          <w:szCs w:val="32"/>
          <w:lang w:val="en-US" w:eastAsia="zh-CN"/>
        </w:rPr>
        <w:t>213</w:t>
      </w:r>
      <w:r>
        <w:rPr>
          <w:rFonts w:hint="eastAsia" w:ascii="仿宋" w:hAnsi="仿宋" w:eastAsia="仿宋" w:cs="仿宋"/>
          <w:bCs/>
          <w:kern w:val="0"/>
          <w:sz w:val="32"/>
          <w:szCs w:val="32"/>
        </w:rPr>
        <w:t>项）支出年初预算为</w:t>
      </w:r>
      <w:r>
        <w:rPr>
          <w:rFonts w:hint="eastAsia" w:ascii="仿宋" w:hAnsi="仿宋" w:eastAsia="仿宋" w:cs="仿宋"/>
          <w:bCs/>
          <w:kern w:val="0"/>
          <w:sz w:val="32"/>
          <w:szCs w:val="32"/>
          <w:lang w:val="en-US" w:eastAsia="zh-CN"/>
        </w:rPr>
        <w:t>83.55万元</w:t>
      </w:r>
      <w:r>
        <w:rPr>
          <w:rFonts w:hint="eastAsia" w:ascii="仿宋" w:hAnsi="仿宋" w:eastAsia="仿宋" w:cs="仿宋"/>
          <w:bCs/>
          <w:kern w:val="0"/>
          <w:sz w:val="32"/>
          <w:szCs w:val="32"/>
        </w:rPr>
        <w:t>，支出决算为</w:t>
      </w:r>
      <w:r>
        <w:rPr>
          <w:rFonts w:hint="eastAsia" w:ascii="仿宋" w:hAnsi="仿宋" w:eastAsia="仿宋" w:cs="仿宋"/>
          <w:bCs/>
          <w:kern w:val="0"/>
          <w:sz w:val="32"/>
          <w:szCs w:val="32"/>
          <w:lang w:val="en-US" w:eastAsia="zh-CN"/>
        </w:rPr>
        <w:t>268.07万元</w:t>
      </w:r>
      <w:r>
        <w:rPr>
          <w:rFonts w:hint="eastAsia" w:ascii="仿宋" w:hAnsi="仿宋" w:eastAsia="仿宋" w:cs="仿宋"/>
          <w:bCs/>
          <w:kern w:val="0"/>
          <w:sz w:val="32"/>
          <w:szCs w:val="32"/>
        </w:rPr>
        <w:t>，完成年初预算的</w:t>
      </w:r>
      <w:r>
        <w:rPr>
          <w:rFonts w:hint="eastAsia" w:ascii="仿宋" w:hAnsi="仿宋" w:eastAsia="仿宋" w:cs="仿宋"/>
          <w:bCs/>
          <w:kern w:val="0"/>
          <w:sz w:val="32"/>
          <w:szCs w:val="32"/>
          <w:lang w:val="en-US" w:eastAsia="zh-CN"/>
        </w:rPr>
        <w:t>320.85</w:t>
      </w:r>
      <w:r>
        <w:rPr>
          <w:rFonts w:hint="eastAsia" w:ascii="仿宋" w:hAnsi="仿宋" w:eastAsia="仿宋" w:cs="仿宋"/>
          <w:bCs/>
          <w:kern w:val="0"/>
          <w:sz w:val="32"/>
          <w:szCs w:val="32"/>
        </w:rPr>
        <w:t xml:space="preserve"> %。</w:t>
      </w:r>
      <w:r>
        <w:rPr>
          <w:rFonts w:hint="eastAsia" w:ascii="仿宋" w:hAnsi="仿宋" w:eastAsia="仿宋" w:cs="仿宋"/>
          <w:bCs/>
          <w:kern w:val="0"/>
          <w:sz w:val="32"/>
          <w:szCs w:val="32"/>
          <w:lang w:val="en-US" w:eastAsia="zh-CN"/>
        </w:rPr>
        <w:t>预决算差异</w:t>
      </w:r>
      <w:r>
        <w:rPr>
          <w:rFonts w:hint="eastAsia" w:ascii="仿宋" w:hAnsi="仿宋" w:eastAsia="仿宋" w:cs="仿宋"/>
          <w:bCs/>
          <w:kern w:val="0"/>
          <w:sz w:val="32"/>
          <w:szCs w:val="32"/>
        </w:rPr>
        <w:t>主要</w:t>
      </w:r>
      <w:r>
        <w:rPr>
          <w:rFonts w:hint="eastAsia" w:ascii="仿宋" w:hAnsi="仿宋" w:eastAsia="仿宋" w:cs="仿宋"/>
          <w:bCs/>
          <w:kern w:val="0"/>
          <w:sz w:val="32"/>
          <w:szCs w:val="32"/>
          <w:lang w:val="en-US" w:eastAsia="zh-CN"/>
        </w:rPr>
        <w:t>原因是：上级专项补助资金年初无预算。</w:t>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83.55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108.23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129.54%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rPr>
              <w:t>根据国家规定的基本工资和津补贴标准等安排的人员经费支出，确保</w:t>
            </w:r>
            <w:r>
              <w:rPr>
                <w:rFonts w:hint="eastAsia" w:asciiTheme="minorEastAsia" w:hAnsiTheme="minorEastAsia" w:cstheme="minorEastAsia"/>
                <w:kern w:val="0"/>
                <w:sz w:val="20"/>
                <w:szCs w:val="20"/>
                <w:lang w:val="en-US" w:eastAsia="zh-CN"/>
              </w:rPr>
              <w:t>水果中心</w:t>
            </w:r>
            <w:r>
              <w:rPr>
                <w:rFonts w:hint="eastAsia" w:asciiTheme="minorEastAsia" w:hAnsiTheme="minorEastAsia" w:eastAsiaTheme="minorEastAsia" w:cstheme="minorEastAsia"/>
                <w:kern w:val="0"/>
                <w:sz w:val="20"/>
                <w:szCs w:val="20"/>
              </w:rPr>
              <w:t>机关正常运转的办公费、印刷费、水电费、培训费、差旅费、会议费等日常公用经费支出</w:t>
            </w:r>
            <w:r>
              <w:rPr>
                <w:rFonts w:hint="eastAsia" w:asciiTheme="minorEastAsia" w:hAnsiTheme="minorEastAsia" w:cstheme="minorEastAsia"/>
                <w:kern w:val="0"/>
                <w:sz w:val="20"/>
                <w:szCs w:val="20"/>
                <w:lang w:val="en-US" w:eastAsia="zh-CN"/>
              </w:rPr>
              <w:t>及水果培训经费等</w:t>
            </w:r>
            <w:r>
              <w:rPr>
                <w:rFonts w:hint="eastAsia" w:asciiTheme="minorEastAsia" w:hAnsiTheme="minorEastAsia" w:eastAsiaTheme="minorEastAsia" w:cstheme="minorEastAsia"/>
                <w:kern w:val="0"/>
                <w:sz w:val="20"/>
                <w:szCs w:val="20"/>
              </w:rPr>
              <w:t>。</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cstheme="minorEastAsia"/>
                <w:color w:val="auto"/>
                <w:sz w:val="20"/>
                <w:szCs w:val="20"/>
                <w:highlight w:val="none"/>
                <w:lang w:val="en-US" w:eastAsia="zh-CN"/>
              </w:rPr>
              <w:t>上级下达的专项资金无预算。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2130124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农村合作经济</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159.84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18"/>
                <w:szCs w:val="18"/>
                <w:lang w:val="en-US" w:eastAsia="zh-CN"/>
              </w:rPr>
              <w:t>农村合作经济支出，如：生态种养专业合作社等项目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83.55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268.07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r>
        <w:rPr>
          <w:rFonts w:hint="eastAsia" w:ascii="仿宋" w:hAnsi="仿宋" w:eastAsia="仿宋" w:cs="仿宋"/>
          <w:sz w:val="32"/>
          <w:szCs w:val="32"/>
          <w:highlight w:val="none"/>
        </w:rPr>
        <w:drawing>
          <wp:anchor distT="0" distB="0" distL="114300" distR="114300" simplePos="0" relativeHeight="251662336" behindDoc="1" locked="0" layoutInCell="1" allowOverlap="1">
            <wp:simplePos x="0" y="0"/>
            <wp:positionH relativeFrom="column">
              <wp:posOffset>356870</wp:posOffset>
            </wp:positionH>
            <wp:positionV relativeFrom="paragraph">
              <wp:posOffset>41275</wp:posOffset>
            </wp:positionV>
            <wp:extent cx="4474845" cy="2940050"/>
            <wp:effectExtent l="4445" t="4445" r="16510" b="8255"/>
            <wp:wrapNone/>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both"/>
        <w:textAlignment w:val="auto"/>
        <w:rPr>
          <w:rFonts w:hint="eastAsia" w:ascii="仿宋" w:hAnsi="仿宋" w:eastAsia="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320" w:firstLineChars="100"/>
        <w:jc w:val="both"/>
        <w:textAlignment w:val="auto"/>
        <w:rPr>
          <w:rFonts w:hint="eastAsia" w:ascii="仿宋" w:hAnsi="仿宋" w:eastAsia="仿宋" w:cs="仿宋_GB2312"/>
          <w:kern w:val="0"/>
          <w:sz w:val="32"/>
          <w:szCs w:val="32"/>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w:t>
      </w:r>
      <w:r>
        <w:rPr>
          <w:rFonts w:hint="eastAsia" w:ascii="仿宋" w:hAnsi="仿宋" w:eastAsia="仿宋" w:cs="仿宋"/>
          <w:bCs/>
          <w:kern w:val="0"/>
          <w:sz w:val="32"/>
          <w:szCs w:val="32"/>
        </w:rPr>
        <w:t>年初预算为</w:t>
      </w:r>
      <w:r>
        <w:rPr>
          <w:rFonts w:hint="eastAsia" w:ascii="仿宋" w:hAnsi="仿宋" w:eastAsia="仿宋" w:cs="仿宋"/>
          <w:bCs/>
          <w:kern w:val="0"/>
          <w:sz w:val="32"/>
          <w:szCs w:val="32"/>
          <w:lang w:val="en-US" w:eastAsia="zh-CN"/>
        </w:rPr>
        <w:t>7.87</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7.98</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101.40</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预决算差异</w:t>
      </w:r>
      <w:r>
        <w:rPr>
          <w:rFonts w:hint="eastAsia" w:ascii="仿宋" w:hAnsi="仿宋" w:eastAsia="仿宋" w:cs="仿宋"/>
          <w:bCs/>
          <w:kern w:val="0"/>
          <w:sz w:val="32"/>
          <w:szCs w:val="32"/>
        </w:rPr>
        <w:t>主</w:t>
      </w:r>
      <w:r>
        <w:rPr>
          <w:rFonts w:hint="eastAsia" w:ascii="仿宋" w:hAnsi="仿宋" w:eastAsia="仿宋" w:cs="仿宋_GB2312"/>
          <w:kern w:val="0"/>
          <w:sz w:val="32"/>
          <w:szCs w:val="32"/>
        </w:rPr>
        <w:t>要原因是</w:t>
      </w:r>
      <w:r>
        <w:rPr>
          <w:rFonts w:hint="eastAsia" w:ascii="仿宋" w:hAnsi="仿宋" w:eastAsia="仿宋" w:cs="仿宋_GB2312"/>
          <w:kern w:val="0"/>
          <w:sz w:val="32"/>
          <w:szCs w:val="32"/>
          <w:lang w:val="en-US" w:eastAsia="zh-CN"/>
        </w:rPr>
        <w:t>基数调整</w:t>
      </w:r>
      <w:r>
        <w:rPr>
          <w:rFonts w:hint="eastAsia" w:ascii="仿宋" w:hAnsi="仿宋" w:eastAsia="仿宋"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7.98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101.40%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rPr>
              <w:t>按照国家政策规定向职工发放的住房公积金方面的支出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7.98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numId w:val="0"/>
        </w:numPr>
        <w:suppressLineNumbers w:val="0"/>
        <w:kinsoku/>
        <w:wordWrap/>
        <w:overflowPunct/>
        <w:topLinePunct w:val="0"/>
        <w:bidi w:val="0"/>
        <w:snapToGrid/>
        <w:spacing w:before="0" w:beforeAutospacing="0" w:after="0" w:afterAutospacing="0" w:line="560" w:lineRule="exact"/>
        <w:ind w:leftChars="200" w:right="0" w:rightChars="0"/>
        <w:jc w:val="both"/>
        <w:textAlignment w:val="auto"/>
        <w:rPr>
          <w:rFonts w:hint="eastAsia" w:ascii="仿宋" w:hAnsi="仿宋" w:eastAsia="仿宋" w:cs="仿宋_GB2312"/>
          <w:kern w:val="0"/>
          <w:sz w:val="32"/>
          <w:szCs w:val="32"/>
        </w:rPr>
      </w:pPr>
    </w:p>
    <w:p>
      <w:pPr>
        <w:keepNext w:val="0"/>
        <w:keepLines w:val="0"/>
        <w:pageBreakBefore w:val="0"/>
        <w:widowControl w:val="0"/>
        <w:numPr>
          <w:numId w:val="0"/>
        </w:numPr>
        <w:suppressLineNumbers w:val="0"/>
        <w:kinsoku/>
        <w:wordWrap/>
        <w:overflowPunct/>
        <w:topLinePunct w:val="0"/>
        <w:bidi w:val="0"/>
        <w:snapToGrid/>
        <w:spacing w:before="0" w:beforeAutospacing="0" w:after="0" w:afterAutospacing="0" w:line="560" w:lineRule="exact"/>
        <w:ind w:leftChars="200" w:right="0" w:rightChars="0"/>
        <w:jc w:val="both"/>
        <w:textAlignment w:val="auto"/>
        <w:rPr>
          <w:rFonts w:hint="eastAsia" w:ascii="仿宋" w:hAnsi="仿宋" w:eastAsia="仿宋" w:cs="仿宋_GB2312"/>
          <w:kern w:val="0"/>
          <w:sz w:val="32"/>
          <w:szCs w:val="32"/>
        </w:rPr>
      </w:pPr>
      <w:r>
        <w:rPr>
          <w:rFonts w:hint="eastAsia" w:ascii="仿宋" w:hAnsi="仿宋" w:eastAsia="仿宋" w:cs="仿宋"/>
          <w:sz w:val="32"/>
          <w:szCs w:val="32"/>
          <w:highlight w:val="none"/>
        </w:rPr>
        <w:drawing>
          <wp:anchor distT="0" distB="0" distL="114300" distR="114300" simplePos="0" relativeHeight="251663360" behindDoc="1" locked="0" layoutInCell="1" allowOverlap="1">
            <wp:simplePos x="0" y="0"/>
            <wp:positionH relativeFrom="column">
              <wp:posOffset>280670</wp:posOffset>
            </wp:positionH>
            <wp:positionV relativeFrom="paragraph">
              <wp:posOffset>53975</wp:posOffset>
            </wp:positionV>
            <wp:extent cx="4474845" cy="2302510"/>
            <wp:effectExtent l="4445" t="4445" r="16510" b="17145"/>
            <wp:wrapNone/>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numPr>
          <w:numId w:val="0"/>
        </w:numPr>
        <w:suppressLineNumbers w:val="0"/>
        <w:kinsoku/>
        <w:wordWrap/>
        <w:overflowPunct/>
        <w:topLinePunct w:val="0"/>
        <w:bidi w:val="0"/>
        <w:snapToGrid/>
        <w:spacing w:before="0" w:beforeAutospacing="0" w:after="0" w:afterAutospacing="0" w:line="560" w:lineRule="exact"/>
        <w:ind w:leftChars="200" w:right="0" w:rightChars="0"/>
        <w:jc w:val="both"/>
        <w:textAlignment w:val="auto"/>
        <w:rPr>
          <w:rFonts w:hint="eastAsia" w:ascii="仿宋" w:hAnsi="仿宋" w:eastAsia="仿宋" w:cs="仿宋_GB2312"/>
          <w:kern w:val="0"/>
          <w:sz w:val="32"/>
          <w:szCs w:val="32"/>
        </w:rPr>
      </w:pPr>
    </w:p>
    <w:p>
      <w:pPr>
        <w:keepNext w:val="0"/>
        <w:keepLines w:val="0"/>
        <w:pageBreakBefore w:val="0"/>
        <w:widowControl w:val="0"/>
        <w:numPr>
          <w:numId w:val="0"/>
        </w:numPr>
        <w:suppressLineNumbers w:val="0"/>
        <w:kinsoku/>
        <w:wordWrap/>
        <w:overflowPunct/>
        <w:topLinePunct w:val="0"/>
        <w:bidi w:val="0"/>
        <w:snapToGrid/>
        <w:spacing w:before="0" w:beforeAutospacing="0" w:after="0" w:afterAutospacing="0" w:line="560" w:lineRule="exact"/>
        <w:ind w:leftChars="200" w:right="0" w:rightChars="0"/>
        <w:jc w:val="both"/>
        <w:textAlignment w:val="auto"/>
        <w:rPr>
          <w:rFonts w:hint="eastAsia" w:ascii="仿宋" w:hAnsi="仿宋" w:eastAsia="仿宋" w:cs="仿宋_GB2312"/>
          <w:kern w:val="0"/>
          <w:sz w:val="32"/>
          <w:szCs w:val="32"/>
        </w:rPr>
      </w:pPr>
    </w:p>
    <w:p>
      <w:pPr>
        <w:keepNext w:val="0"/>
        <w:keepLines w:val="0"/>
        <w:pageBreakBefore w:val="0"/>
        <w:widowControl w:val="0"/>
        <w:numPr>
          <w:numId w:val="0"/>
        </w:numPr>
        <w:suppressLineNumbers w:val="0"/>
        <w:kinsoku/>
        <w:wordWrap/>
        <w:overflowPunct/>
        <w:topLinePunct w:val="0"/>
        <w:bidi w:val="0"/>
        <w:snapToGrid/>
        <w:spacing w:before="0" w:beforeAutospacing="0" w:after="0" w:afterAutospacing="0" w:line="560" w:lineRule="exact"/>
        <w:ind w:leftChars="200" w:right="0" w:rightChars="0"/>
        <w:jc w:val="both"/>
        <w:textAlignment w:val="auto"/>
        <w:rPr>
          <w:rFonts w:hint="eastAsia" w:ascii="仿宋" w:hAnsi="仿宋" w:eastAsia="仿宋" w:cs="仿宋_GB2312"/>
          <w:kern w:val="0"/>
          <w:sz w:val="32"/>
          <w:szCs w:val="32"/>
        </w:rPr>
      </w:pPr>
    </w:p>
    <w:p>
      <w:pPr>
        <w:keepNext w:val="0"/>
        <w:keepLines w:val="0"/>
        <w:pageBreakBefore w:val="0"/>
        <w:widowControl w:val="0"/>
        <w:numPr>
          <w:numId w:val="0"/>
        </w:numPr>
        <w:suppressLineNumbers w:val="0"/>
        <w:kinsoku/>
        <w:wordWrap/>
        <w:overflowPunct/>
        <w:topLinePunct w:val="0"/>
        <w:bidi w:val="0"/>
        <w:snapToGrid/>
        <w:spacing w:before="0" w:beforeAutospacing="0" w:after="0" w:afterAutospacing="0" w:line="560" w:lineRule="exact"/>
        <w:ind w:leftChars="200" w:right="0" w:rightChars="0"/>
        <w:jc w:val="both"/>
        <w:textAlignment w:val="auto"/>
        <w:rPr>
          <w:rFonts w:hint="eastAsia" w:ascii="仿宋" w:hAnsi="仿宋" w:eastAsia="仿宋" w:cs="仿宋_GB2312"/>
          <w:kern w:val="0"/>
          <w:sz w:val="32"/>
          <w:szCs w:val="32"/>
        </w:rPr>
      </w:pPr>
    </w:p>
    <w:p>
      <w:pPr>
        <w:keepNext w:val="0"/>
        <w:keepLines w:val="0"/>
        <w:pageBreakBefore w:val="0"/>
        <w:widowControl w:val="0"/>
        <w:numPr>
          <w:numId w:val="0"/>
        </w:numPr>
        <w:suppressLineNumbers w:val="0"/>
        <w:kinsoku/>
        <w:wordWrap/>
        <w:overflowPunct/>
        <w:topLinePunct w:val="0"/>
        <w:bidi w:val="0"/>
        <w:snapToGrid/>
        <w:spacing w:before="0" w:beforeAutospacing="0" w:after="0" w:afterAutospacing="0" w:line="560" w:lineRule="exact"/>
        <w:ind w:leftChars="200" w:right="0" w:rightChars="0"/>
        <w:jc w:val="both"/>
        <w:textAlignment w:val="auto"/>
        <w:rPr>
          <w:rFonts w:hint="eastAsia" w:ascii="仿宋" w:hAnsi="仿宋" w:eastAsia="仿宋" w:cs="仿宋_GB2312"/>
          <w:kern w:val="0"/>
          <w:sz w:val="32"/>
          <w:szCs w:val="32"/>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eastAsia="仿宋"/>
          <w:color w:val="FF0000"/>
          <w:highlight w:val="yellow"/>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五）其他</w:t>
      </w:r>
      <w:r>
        <w:rPr>
          <w:rFonts w:hint="eastAsia" w:ascii="仿宋" w:hAnsi="仿宋" w:eastAsia="仿宋"/>
          <w:sz w:val="32"/>
          <w:szCs w:val="32"/>
          <w:highlight w:val="none"/>
        </w:rPr>
        <w:t>支出</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8.64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13.16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152.31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预决算差异</w:t>
      </w:r>
      <w:r>
        <w:rPr>
          <w:rFonts w:hint="eastAsia" w:ascii="仿宋" w:hAnsi="仿宋" w:eastAsia="仿宋"/>
          <w:color w:val="000000" w:themeColor="text1"/>
          <w:sz w:val="32"/>
          <w:szCs w:val="32"/>
          <w:highlight w:val="none"/>
          <w:lang w:val="en-US" w:eastAsia="zh-CN"/>
          <w14:textFill>
            <w14:solidFill>
              <w14:schemeClr w14:val="tx1"/>
            </w14:solidFill>
          </w14:textFill>
        </w:rPr>
        <w:t>的原因是：年内支付的部分绩效考评奖无预算。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8"/>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152.31%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kern w:val="0"/>
                <w:sz w:val="20"/>
                <w:szCs w:val="20"/>
                <w:lang w:val="en-US" w:eastAsia="zh-CN"/>
              </w:rPr>
              <w:t>本部门及所属事业单位人员的年终绩效奖金</w:t>
            </w:r>
            <w:r>
              <w:rPr>
                <w:rFonts w:hint="eastAsia" w:asciiTheme="minorEastAsia" w:hAnsiTheme="minorEastAsia" w:cstheme="minorEastAsia"/>
                <w:kern w:val="0"/>
                <w:sz w:val="20"/>
                <w:szCs w:val="20"/>
                <w:lang w:val="en-US" w:eastAsia="zh-CN"/>
              </w:rPr>
              <w:t>和伙食补助</w:t>
            </w:r>
            <w:r>
              <w:rPr>
                <w:rFonts w:hint="eastAsia" w:asciiTheme="minorEastAsia" w:hAnsiTheme="minorEastAsia" w:eastAsiaTheme="minorEastAsia" w:cstheme="minorEastAsia"/>
                <w:kern w:val="0"/>
                <w:sz w:val="20"/>
                <w:szCs w:val="20"/>
              </w:rPr>
              <w:t>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年内支付的部分绩效考评奖无预算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p>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r>
        <w:rPr>
          <w:rFonts w:hint="eastAsia" w:ascii="仿宋" w:hAnsi="仿宋" w:eastAsia="仿宋" w:cs="仿宋"/>
          <w:sz w:val="32"/>
          <w:szCs w:val="32"/>
          <w:highlight w:val="none"/>
        </w:rPr>
        <w:drawing>
          <wp:anchor distT="0" distB="0" distL="114300" distR="114300" simplePos="0" relativeHeight="251664384" behindDoc="1" locked="0" layoutInCell="1" allowOverlap="1">
            <wp:simplePos x="0" y="0"/>
            <wp:positionH relativeFrom="column">
              <wp:posOffset>528955</wp:posOffset>
            </wp:positionH>
            <wp:positionV relativeFrom="paragraph">
              <wp:posOffset>33020</wp:posOffset>
            </wp:positionV>
            <wp:extent cx="4045585" cy="1732280"/>
            <wp:effectExtent l="4445" t="4445" r="7620" b="15875"/>
            <wp:wrapNone/>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p>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p>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p>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p>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p>
    <w:p>
      <w:pPr>
        <w:keepNext w:val="0"/>
        <w:keepLines w:val="0"/>
        <w:pageBreakBefore w:val="0"/>
        <w:widowControl w:val="0"/>
        <w:kinsoku/>
        <w:wordWrap/>
        <w:overflowPunct/>
        <w:topLinePunct w:val="0"/>
        <w:bidi w:val="0"/>
        <w:snapToGrid/>
        <w:spacing w:line="560" w:lineRule="exact"/>
        <w:jc w:val="both"/>
        <w:textAlignment w:val="auto"/>
        <w:rPr>
          <w:rFonts w:ascii="仿宋" w:hAnsi="仿宋" w:eastAsia="仿宋"/>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_GB2312"/>
          <w:kern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122.01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113.53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8.48</w:t>
      </w:r>
      <w:r>
        <w:rPr>
          <w:rFonts w:hint="default" w:ascii="仿宋_GB2312" w:hAnsi="微软雅黑" w:eastAsia="仿宋_GB2312" w:cs="仿宋_GB2312"/>
          <w:i w:val="0"/>
          <w:iCs w:val="0"/>
          <w:caps w:val="0"/>
          <w:color w:val="000000"/>
          <w:spacing w:val="0"/>
          <w:sz w:val="31"/>
          <w:szCs w:val="31"/>
          <w:highlight w:val="none"/>
          <w:shd w:val="clear" w:color="auto" w:fill="FFFFFF"/>
        </w:rPr>
        <w:t>元，</w:t>
      </w:r>
      <w:r>
        <w:rPr>
          <w:rFonts w:hint="eastAsia" w:ascii="仿宋" w:hAnsi="仿宋" w:eastAsia="仿宋" w:cs="仿宋"/>
          <w:sz w:val="32"/>
          <w:szCs w:val="32"/>
          <w:highlight w:val="none"/>
        </w:rPr>
        <w:t>支出具体情况如下：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106.12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124.09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bCs/>
          <w:kern w:val="0"/>
          <w:sz w:val="32"/>
          <w:szCs w:val="32"/>
        </w:rPr>
        <w:t>预决算差异主要是：</w:t>
      </w:r>
      <w:r>
        <w:rPr>
          <w:rFonts w:hint="eastAsia" w:ascii="仿宋_GB2312" w:eastAsia="仿宋_GB2312"/>
          <w:bCs/>
          <w:kern w:val="0"/>
          <w:sz w:val="32"/>
          <w:szCs w:val="32"/>
        </w:rPr>
        <w:t>发</w:t>
      </w:r>
      <w:r>
        <w:rPr>
          <w:rFonts w:hint="eastAsia" w:ascii="仿宋_GB2312" w:hAnsi="仿宋_GB2312" w:eastAsia="仿宋_GB2312" w:cs="仿宋_GB2312"/>
          <w:kern w:val="0"/>
          <w:sz w:val="32"/>
          <w:szCs w:val="32"/>
        </w:rPr>
        <w:t>放的职工绩效考评奖</w:t>
      </w:r>
      <w:r>
        <w:rPr>
          <w:rFonts w:hint="eastAsia" w:ascii="仿宋_GB2312" w:hAnsi="仿宋_GB2312" w:eastAsia="仿宋_GB2312" w:cs="仿宋_GB2312"/>
          <w:kern w:val="0"/>
          <w:sz w:val="32"/>
          <w:szCs w:val="32"/>
          <w:lang w:val="en-US" w:eastAsia="zh-CN"/>
        </w:rPr>
        <w:t>部分</w:t>
      </w:r>
      <w:r>
        <w:rPr>
          <w:rFonts w:hint="eastAsia" w:ascii="仿宋_GB2312" w:hAnsi="仿宋_GB2312" w:eastAsia="仿宋_GB2312" w:cs="仿宋_GB2312"/>
          <w:kern w:val="0"/>
          <w:sz w:val="32"/>
          <w:szCs w:val="32"/>
        </w:rPr>
        <w:t>没有列入年初预算</w:t>
      </w:r>
      <w:r>
        <w:rPr>
          <w:rFonts w:hint="eastAsia" w:ascii="仿宋_GB2312" w:eastAsia="仿宋_GB2312"/>
          <w:bCs/>
          <w:kern w:val="0"/>
          <w:sz w:val="32"/>
          <w:szCs w:val="32"/>
        </w:rPr>
        <w:t>。</w:t>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22.08万元，30102津贴补贴25.70万元，30103奖金18.86万元，30106伙食补助费0.00万元，30107绩效工资2.31万元，30108机关事业单位基本养老保险缴费11.73万元，30110职工基本医疗保险缴费3.29万元，30112其他社会保障缴费0.81万元，30113住房公积金8.09万元，30199其他工资福利支出13.24万元。</w:t>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anchor distT="0" distB="0" distL="114300" distR="114300" simplePos="0" relativeHeight="251665408" behindDoc="1" locked="0" layoutInCell="1" allowOverlap="1">
            <wp:simplePos x="0" y="0"/>
            <wp:positionH relativeFrom="column">
              <wp:posOffset>4445</wp:posOffset>
            </wp:positionH>
            <wp:positionV relativeFrom="paragraph">
              <wp:posOffset>180975</wp:posOffset>
            </wp:positionV>
            <wp:extent cx="5170170" cy="2939415"/>
            <wp:effectExtent l="4445" t="4445" r="6985" b="8890"/>
            <wp:wrapNone/>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rPr>
          <w:rFonts w:hint="eastAsia" w:ascii="仿宋_GB2312" w:eastAsia="仿宋_GB2312"/>
          <w:bCs/>
          <w:kern w:val="0"/>
          <w:sz w:val="32"/>
          <w:szCs w:val="32"/>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8.48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92.68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bCs/>
          <w:kern w:val="0"/>
          <w:sz w:val="32"/>
          <w:szCs w:val="32"/>
        </w:rPr>
        <w:t>预决算差异主要是：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本单位贯彻落实厉行节约的有关规定，控制开支，不铺张浪费。</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30201办公费0.07万元，30205水费0.40万元，30206电费0.39万元，30207邮电费1.10万元，30226劳务费0.57万元，30228工会经费1.31万元，30239其他交通费用 4.95万元。</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anchor distT="0" distB="0" distL="114300" distR="114300" simplePos="0" relativeHeight="251666432" behindDoc="1" locked="0" layoutInCell="1" allowOverlap="1">
            <wp:simplePos x="0" y="0"/>
            <wp:positionH relativeFrom="column">
              <wp:posOffset>5080</wp:posOffset>
            </wp:positionH>
            <wp:positionV relativeFrom="paragraph">
              <wp:posOffset>319405</wp:posOffset>
            </wp:positionV>
            <wp:extent cx="5083175" cy="3434715"/>
            <wp:effectExtent l="4445" t="4445" r="17780" b="8890"/>
            <wp:wrapNone/>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Cs/>
          <w:kern w:val="0"/>
          <w:sz w:val="32"/>
          <w:szCs w:val="32"/>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7.42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bCs/>
          <w:kern w:val="0"/>
          <w:sz w:val="32"/>
          <w:szCs w:val="32"/>
        </w:rPr>
        <w:t>预决算</w:t>
      </w:r>
      <w:r>
        <w:rPr>
          <w:rFonts w:hint="eastAsia" w:ascii="仿宋" w:hAnsi="仿宋" w:eastAsia="仿宋"/>
          <w:bCs/>
          <w:kern w:val="0"/>
          <w:sz w:val="32"/>
          <w:szCs w:val="32"/>
          <w:lang w:val="en-US" w:eastAsia="zh-CN"/>
        </w:rPr>
        <w:t>无</w:t>
      </w:r>
      <w:r>
        <w:rPr>
          <w:rFonts w:hint="eastAsia" w:ascii="仿宋" w:hAnsi="仿宋" w:eastAsia="仿宋"/>
          <w:bCs/>
          <w:kern w:val="0"/>
          <w:sz w:val="32"/>
          <w:szCs w:val="32"/>
        </w:rPr>
        <w:t>差异</w:t>
      </w:r>
      <w:r>
        <w:rPr>
          <w:rFonts w:hint="eastAsia" w:ascii="仿宋" w:hAnsi="仿宋" w:eastAsia="仿宋"/>
          <w:bCs/>
          <w:kern w:val="0"/>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bCs/>
          <w:kern w:val="0"/>
          <w:sz w:val="32"/>
          <w:szCs w:val="32"/>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30301离休费0万元，30302退休费0万元，30305生活补助7.42万元。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drawing>
          <wp:anchor distT="0" distB="0" distL="114300" distR="114300" simplePos="0" relativeHeight="251667456" behindDoc="1" locked="0" layoutInCell="1" allowOverlap="1">
            <wp:simplePos x="0" y="0"/>
            <wp:positionH relativeFrom="column">
              <wp:posOffset>410845</wp:posOffset>
            </wp:positionH>
            <wp:positionV relativeFrom="paragraph">
              <wp:posOffset>-2949575</wp:posOffset>
            </wp:positionV>
            <wp:extent cx="4474845" cy="3215640"/>
            <wp:effectExtent l="4445" t="4445" r="16510" b="18415"/>
            <wp:wrapNone/>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主要原因是：本单位无该项支出年初预算及支出。</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drawing>
          <wp:anchor distT="0" distB="0" distL="114300" distR="114300" simplePos="0" relativeHeight="251668480" behindDoc="1" locked="0" layoutInCell="1" allowOverlap="1">
            <wp:simplePos x="0" y="0"/>
            <wp:positionH relativeFrom="column">
              <wp:posOffset>4445</wp:posOffset>
            </wp:positionH>
            <wp:positionV relativeFrom="paragraph">
              <wp:posOffset>330200</wp:posOffset>
            </wp:positionV>
            <wp:extent cx="5160010" cy="2834640"/>
            <wp:effectExtent l="4445" t="4445" r="17145" b="18415"/>
            <wp:wrapNone/>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highlight w:val="none"/>
          <w:lang w:eastAsia="zh-CN"/>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主要原因是：本单位无该项支出年初预算及支出。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anchor distT="0" distB="0" distL="114300" distR="114300" simplePos="0" relativeHeight="251669504" behindDoc="1" locked="0" layoutInCell="1" allowOverlap="1">
            <wp:simplePos x="0" y="0"/>
            <wp:positionH relativeFrom="column">
              <wp:posOffset>-5080</wp:posOffset>
            </wp:positionH>
            <wp:positionV relativeFrom="paragraph">
              <wp:posOffset>234950</wp:posOffset>
            </wp:positionV>
            <wp:extent cx="5179695" cy="2758440"/>
            <wp:effectExtent l="4445" t="4445" r="16510" b="18415"/>
            <wp:wrapNone/>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bookmarkStart w:id="4" w:name="_GoBack"/>
      <w:bookmarkEnd w:id="4"/>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六）</w:t>
      </w:r>
      <w:r>
        <w:rPr>
          <w:rFonts w:hint="eastAsia" w:ascii="仿宋" w:hAnsi="仿宋" w:eastAsia="仿宋" w:cs="仿宋_GB2312"/>
          <w:kern w:val="0"/>
          <w:sz w:val="32"/>
          <w:szCs w:val="32"/>
        </w:rPr>
        <w:t>其他支出</w:t>
      </w:r>
      <w:r>
        <w:rPr>
          <w:rFonts w:hint="eastAsia" w:ascii="仿宋" w:hAnsi="仿宋" w:eastAsia="仿宋" w:cs="仿宋"/>
          <w:bCs/>
          <w:kern w:val="0"/>
          <w:sz w:val="32"/>
          <w:szCs w:val="32"/>
        </w:rPr>
        <w:t xml:space="preserve"> 0 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w:t>
      </w:r>
      <w:r>
        <w:rPr>
          <w:rFonts w:hint="eastAsia" w:ascii="仿宋" w:hAnsi="仿宋" w:eastAsia="仿宋" w:cs="仿宋"/>
          <w:sz w:val="32"/>
          <w:szCs w:val="32"/>
          <w:highlight w:val="none"/>
          <w:lang w:val="en-US" w:eastAsia="zh-CN"/>
        </w:rPr>
        <w:t>无</w:t>
      </w:r>
      <w:r>
        <w:rPr>
          <w:rFonts w:hint="eastAsia" w:ascii="仿宋" w:hAnsi="仿宋" w:eastAsia="仿宋" w:cs="仿宋"/>
          <w:sz w:val="32"/>
          <w:szCs w:val="32"/>
          <w:highlight w:val="none"/>
        </w:rPr>
        <w:t>差异</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主要原因是：本单位无该项支出年初预算及支出。</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widowControl w:val="0"/>
        <w:numPr>
          <w:numId w:val="0"/>
        </w:numPr>
        <w:kinsoku/>
        <w:wordWrap/>
        <w:overflowPunct/>
        <w:topLinePunct w:val="0"/>
        <w:bidi w:val="0"/>
        <w:snapToGrid/>
        <w:spacing w:line="560" w:lineRule="exact"/>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drawing>
          <wp:anchor distT="0" distB="0" distL="114300" distR="114300" simplePos="0" relativeHeight="251670528" behindDoc="1" locked="0" layoutInCell="1" allowOverlap="1">
            <wp:simplePos x="0" y="0"/>
            <wp:positionH relativeFrom="column">
              <wp:posOffset>4445</wp:posOffset>
            </wp:positionH>
            <wp:positionV relativeFrom="paragraph">
              <wp:posOffset>-2949575</wp:posOffset>
            </wp:positionV>
            <wp:extent cx="5217795" cy="3158490"/>
            <wp:effectExtent l="4445" t="5080" r="16510" b="17780"/>
            <wp:wrapNone/>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FF0000"/>
          <w:sz w:val="32"/>
          <w:szCs w:val="32"/>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本</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单位</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故本段落无表述。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bookmarkStart w:id="2" w:name="PO_part3A5B1C1DiffReason1"/>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本</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单位</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安排的支出，故本段落无表述。</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减少0.35</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_GB2312"/>
          <w:kern w:val="0"/>
          <w:sz w:val="32"/>
          <w:szCs w:val="32"/>
        </w:rPr>
        <w:t>认真贯彻落实中央“八项规定”精神和厉行节约要求，严控和压缩“三公”经费相关支出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14:textFill>
            <w14:solidFill>
              <w14:schemeClr w14:val="tx1"/>
            </w14:solidFill>
          </w14:textFill>
        </w:rPr>
        <w:t>主要原因是</w:t>
      </w:r>
      <w:bookmarkStart w:id="3" w:name="PO_part3A6B2IncReason1"/>
      <w:r>
        <w:rPr>
          <w:rFonts w:hint="eastAsia" w:ascii="仿宋" w:hAnsi="仿宋" w:eastAsia="仿宋" w:cs="仿宋"/>
          <w:color w:val="000000" w:themeColor="text1"/>
          <w:sz w:val="32"/>
          <w:szCs w:val="32"/>
          <w14:textFill>
            <w14:solidFill>
              <w14:schemeClr w14:val="tx1"/>
            </w14:solidFill>
          </w14:textFill>
        </w:rPr>
        <w:t>本部门无公务用车购置</w:t>
      </w:r>
      <w:bookmarkEnd w:id="3"/>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本部门无公务用车。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FF0000"/>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u w:color="auto"/>
          <w:lang w:val="en-US" w:eastAsia="zh-CN"/>
          <w14:textFill>
            <w14:solidFill>
              <w14:schemeClr w14:val="tx1"/>
            </w14:solidFill>
          </w14:textFill>
        </w:rPr>
        <w:t>本</w:t>
      </w:r>
      <w:r>
        <w:rPr>
          <w:rFonts w:hint="eastAsia" w:ascii="仿宋" w:hAnsi="仿宋" w:eastAsia="仿宋" w:cs="仿宋"/>
          <w:color w:val="000000" w:themeColor="text1"/>
          <w:sz w:val="32"/>
          <w:u w:color="auto"/>
          <w:lang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及</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0个</w:t>
      </w:r>
      <w:r>
        <w:rPr>
          <w:rFonts w:hint="eastAsia" w:ascii="仿宋" w:hAnsi="仿宋" w:eastAsia="仿宋" w:cs="仿宋"/>
          <w:color w:val="000000" w:themeColor="text1"/>
          <w:sz w:val="32"/>
          <w:szCs w:val="32"/>
          <w:highlight w:val="none"/>
          <w14:textFill>
            <w14:solidFill>
              <w14:schemeClr w14:val="tx1"/>
            </w14:solidFill>
          </w14:textFill>
        </w:rPr>
        <w:t>所属单位开支财政拨款的公务用车保有量为</w:t>
      </w:r>
      <w:r>
        <w:rPr>
          <w:rFonts w:ascii="仿宋" w:hAnsi="仿宋" w:eastAsia="仿宋" w:cs="仿宋"/>
          <w:color w:val="000000" w:themeColor="text1"/>
          <w:sz w:val="32"/>
          <w:u w:color="auto"/>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辆，全年运行费支出</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平均每辆</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 xml:space="preserve">  万元</w:t>
      </w:r>
      <w:r>
        <w:rPr>
          <w:rFonts w:hint="eastAsia" w:ascii="仿宋" w:hAnsi="仿宋" w:eastAsia="仿宋" w:cs="仿宋"/>
          <w:color w:val="FF0000"/>
          <w:sz w:val="32"/>
          <w:szCs w:val="32"/>
          <w:highlight w:val="none"/>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ascii="仿宋" w:hAnsi="仿宋" w:eastAsia="仿宋" w:cs="仿宋"/>
          <w:bCs/>
          <w:color w:val="FF0000"/>
          <w:kern w:val="0"/>
          <w:sz w:val="32"/>
          <w:szCs w:val="32"/>
          <w:u w:val="singl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减少0.35</w:t>
      </w:r>
      <w:r>
        <w:rPr>
          <w:rFonts w:hint="eastAsia" w:ascii="仿宋" w:hAnsi="仿宋" w:eastAsia="仿宋" w:cs="仿宋"/>
          <w:sz w:val="32"/>
          <w:szCs w:val="32"/>
          <w:highlight w:val="none"/>
        </w:rPr>
        <w:t>万元，</w:t>
      </w:r>
      <w:r>
        <w:rPr>
          <w:rFonts w:hint="eastAsia" w:ascii="仿宋" w:hAnsi="仿宋" w:eastAsia="仿宋" w:cs="仿宋"/>
          <w:bCs/>
          <w:spacing w:val="6"/>
          <w:kern w:val="0"/>
          <w:sz w:val="32"/>
          <w:szCs w:val="32"/>
        </w:rPr>
        <w:t>主要原因是：认真贯彻落实中央“八项规定”精神和厉行节约要求，严控和压缩“三公”经费相关支</w:t>
      </w:r>
      <w:r>
        <w:rPr>
          <w:rFonts w:hint="eastAsia" w:ascii="仿宋" w:hAnsi="仿宋" w:eastAsia="仿宋" w:cs="仿宋"/>
          <w:bCs/>
          <w:kern w:val="0"/>
          <w:sz w:val="32"/>
          <w:szCs w:val="32"/>
        </w:rPr>
        <w:t>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8.48万元</w:t>
      </w:r>
      <w:r>
        <w:rPr>
          <w:rFonts w:hint="eastAsia" w:ascii="仿宋" w:hAnsi="仿宋" w:eastAsia="仿宋" w:cs="仿宋"/>
          <w:sz w:val="32"/>
          <w:szCs w:val="32"/>
          <w:highlight w:val="none"/>
        </w:rPr>
        <w:t>，比年初预算数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0.67</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7.32</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val="en-US" w:eastAsia="zh-CN"/>
        </w:rPr>
        <w:t>减少1.88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下降18.15</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kern w:val="0"/>
          <w:sz w:val="32"/>
          <w:szCs w:val="32"/>
        </w:rPr>
        <w:t>主要原因是：</w:t>
      </w:r>
      <w:r>
        <w:rPr>
          <w:rFonts w:hint="eastAsia" w:ascii="仿宋" w:hAnsi="仿宋" w:eastAsia="仿宋" w:cs="仿宋"/>
          <w:kern w:val="0"/>
          <w:sz w:val="32"/>
          <w:szCs w:val="32"/>
          <w:lang w:val="en-US" w:eastAsia="zh-CN"/>
        </w:rPr>
        <w:t>落实过紧日子要求压减</w:t>
      </w:r>
      <w:r>
        <w:rPr>
          <w:rFonts w:hint="eastAsia" w:ascii="仿宋" w:hAnsi="仿宋" w:eastAsia="仿宋" w:cs="仿宋"/>
          <w:i w:val="0"/>
          <w:iCs w:val="0"/>
          <w:caps w:val="0"/>
          <w:color w:val="333333"/>
          <w:spacing w:val="0"/>
          <w:sz w:val="32"/>
          <w:szCs w:val="32"/>
          <w:shd w:val="clear" w:fill="FFFFFF"/>
          <w:lang w:val="en-US" w:eastAsia="zh-CN"/>
        </w:rPr>
        <w:t>定额商品和服务支出的支出。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仿宋" w:hAnsi="仿宋" w:eastAsia="仿宋" w:cs="仿宋"/>
          <w:b/>
          <w:bCs/>
          <w:kern w:val="0"/>
          <w:sz w:val="32"/>
          <w:szCs w:val="32"/>
        </w:rPr>
      </w:pPr>
      <w:r>
        <w:rPr>
          <w:rFonts w:hint="eastAsia" w:ascii="仿宋" w:hAnsi="仿宋" w:eastAsia="仿宋" w:cs="仿宋"/>
          <w:b/>
          <w:bCs/>
          <w:kern w:val="0"/>
          <w:sz w:val="32"/>
          <w:szCs w:val="32"/>
        </w:rPr>
        <w:t>（二）政府采购支出情况说明。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年度本部门政府采购支出总额0万元，其中：政府采购货</w:t>
      </w:r>
      <w:r>
        <w:rPr>
          <w:rFonts w:hint="eastAsia" w:ascii="仿宋" w:hAnsi="仿宋" w:eastAsia="仿宋" w:cs="仿宋"/>
          <w:spacing w:val="-3"/>
          <w:kern w:val="0"/>
          <w:sz w:val="32"/>
          <w:szCs w:val="32"/>
        </w:rPr>
        <w:t xml:space="preserve">物支出 0 万元、政府采购工程支出  0万元、政府采购服务支出0 </w:t>
      </w:r>
      <w:r>
        <w:rPr>
          <w:rFonts w:hint="eastAsia" w:ascii="仿宋" w:hAnsi="仿宋" w:eastAsia="仿宋" w:cs="仿宋"/>
          <w:kern w:val="0"/>
          <w:sz w:val="32"/>
          <w:szCs w:val="32"/>
        </w:rPr>
        <w:t>万元，授予中小企业合同金额 0 万元，占政府采购支出总额的 0 %，其中：授予小微企业合同金额 0万元，占政府采购支出总额的 0 %。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仿宋" w:hAnsi="仿宋" w:eastAsia="仿宋" w:cs="仿宋"/>
          <w:b/>
          <w:bCs/>
          <w:kern w:val="0"/>
          <w:sz w:val="32"/>
          <w:szCs w:val="32"/>
        </w:rPr>
      </w:pPr>
      <w:r>
        <w:rPr>
          <w:rFonts w:hint="eastAsia" w:ascii="仿宋" w:hAnsi="仿宋" w:eastAsia="仿宋" w:cs="仿宋"/>
          <w:b/>
          <w:bCs/>
          <w:kern w:val="0"/>
          <w:sz w:val="32"/>
          <w:szCs w:val="32"/>
        </w:rPr>
        <w:t>（三）国有资产占用情况说明。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111.86</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301.20</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等。从自评情况来看，2023年度我部门年初预算111.86万元，调整后预算315.68万元，实际支出301.20万元，预算执行率95.41%，整体支出主要产出指标和效果目标均达到预期的目标。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182.47</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12</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32.63</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149.84</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14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182.47</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%。自评发现的主要问题及原因：财政资金紧张无法及时支付项目款。</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（2）部分重点项目绩效自评情况：根据年初设定的绩效目标，14个项目自评得分为93.46分，一等，项目全年预算数为</w:t>
      </w:r>
      <w:r>
        <w:rPr>
          <w:rFonts w:hint="eastAsia" w:ascii="仿宋_GB2312" w:eastAsia="仿宋_GB2312" w:cs="仿宋_GB2312"/>
          <w:kern w:val="0"/>
          <w:sz w:val="32"/>
          <w:szCs w:val="32"/>
          <w:lang w:val="en-US" w:eastAsia="zh-CN"/>
        </w:rPr>
        <w:t>196.81</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182.47</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92.71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%。项目绩效目标完成情况：全年项目支出</w:t>
      </w:r>
      <w:r>
        <w:rPr>
          <w:rFonts w:hint="eastAsia" w:ascii="仿宋" w:hAnsi="仿宋" w:eastAsia="仿宋" w:cs="仿宋"/>
          <w:kern w:val="0"/>
          <w:sz w:val="32"/>
          <w:szCs w:val="32"/>
        </w:rPr>
        <w:t>绩效情况理想，达到项目申请时设定的各项绩效目标。社会公众或服务对象满意度达9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%以上。</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自评发现的主要问题及原因：财政资金紧张无法及时支付项目款。</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 w:hAnsi="仿宋" w:eastAsia="仿宋" w:cs="仿宋"/>
          <w:color w:val="000000" w:themeColor="text1"/>
          <w:kern w:val="0"/>
          <w:sz w:val="32"/>
          <w:szCs w:val="32"/>
          <w:u w:val="single"/>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组织对</w:t>
      </w:r>
      <w:r>
        <w:rPr>
          <w:rFonts w:hint="eastAsia" w:ascii="仿宋" w:hAnsi="仿宋" w:eastAsia="仿宋" w:cs="仿宋"/>
          <w:color w:val="000000" w:themeColor="text1"/>
          <w:sz w:val="32"/>
          <w:szCs w:val="32"/>
          <w14:textFill>
            <w14:solidFill>
              <w14:schemeClr w14:val="tx1"/>
            </w14:solidFill>
          </w14:textFill>
        </w:rPr>
        <w:t>“农村产权流转交易信息平台工作经费”</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等1个重点项目进行了部门评价，评价结果为一等，涉及资金2万元。</w:t>
      </w:r>
      <w:r>
        <w:rPr>
          <w:rFonts w:hint="eastAsia" w:ascii="仿宋" w:hAnsi="仿宋" w:eastAsia="仿宋" w:cs="仿宋"/>
          <w:color w:val="000000" w:themeColor="text1"/>
          <w:kern w:val="0"/>
          <w:sz w:val="32"/>
          <w:szCs w:val="32"/>
          <w:lang w:val="en-US" w:eastAsia="zh-CN"/>
          <w14:textFill>
            <w14:solidFill>
              <w14:schemeClr w14:val="tx1"/>
            </w14:solidFill>
          </w14:textFill>
        </w:rPr>
        <w:t>农村产权流转交易信息平台运行正常开展，</w:t>
      </w:r>
      <w:r>
        <w:rPr>
          <w:rFonts w:hint="eastAsia" w:ascii="仿宋" w:hAnsi="仿宋" w:eastAsia="仿宋" w:cs="仿宋"/>
          <w:i w:val="0"/>
          <w:iCs w:val="0"/>
          <w:caps w:val="0"/>
          <w:color w:val="000000" w:themeColor="text1"/>
          <w:spacing w:val="0"/>
          <w:sz w:val="32"/>
          <w:szCs w:val="32"/>
          <w14:textFill>
            <w14:solidFill>
              <w14:schemeClr w14:val="tx1"/>
            </w14:solidFill>
          </w14:textFill>
        </w:rPr>
        <w:t>盘活</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了</w:t>
      </w:r>
      <w:r>
        <w:rPr>
          <w:rFonts w:hint="eastAsia" w:ascii="仿宋" w:hAnsi="仿宋" w:eastAsia="仿宋" w:cs="仿宋"/>
          <w:i w:val="0"/>
          <w:iCs w:val="0"/>
          <w:caps w:val="0"/>
          <w:color w:val="000000" w:themeColor="text1"/>
          <w:spacing w:val="0"/>
          <w:sz w:val="32"/>
          <w:szCs w:val="32"/>
          <w14:textFill>
            <w14:solidFill>
              <w14:schemeClr w14:val="tx1"/>
            </w14:solidFill>
          </w14:textFill>
        </w:rPr>
        <w:t>农村资源要素，解决</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了</w:t>
      </w:r>
      <w:r>
        <w:rPr>
          <w:rFonts w:hint="eastAsia" w:ascii="仿宋" w:hAnsi="仿宋" w:eastAsia="仿宋" w:cs="仿宋"/>
          <w:i w:val="0"/>
          <w:iCs w:val="0"/>
          <w:caps w:val="0"/>
          <w:color w:val="000000" w:themeColor="text1"/>
          <w:spacing w:val="0"/>
          <w:sz w:val="32"/>
          <w:szCs w:val="32"/>
          <w14:textFill>
            <w14:solidFill>
              <w14:schemeClr w14:val="tx1"/>
            </w14:solidFill>
          </w14:textFill>
        </w:rPr>
        <w:t>土地资源流动难、农户融资难贷款难、产业转型升级难等问题，在阳光、规范、有序的运作机制下，助力农民增收创收，壮大集体经济，推动农业产业向集约化、规模化、高效化发展。</w:t>
      </w:r>
      <w:r>
        <w:rPr>
          <w:rFonts w:ascii="仿宋" w:hAnsi="仿宋" w:eastAsia="仿宋" w:cs="宋体"/>
          <w:color w:val="000000" w:themeColor="text1"/>
          <w:sz w:val="32"/>
          <w:szCs w:val="32"/>
          <w14:textFill>
            <w14:solidFill>
              <w14:schemeClr w14:val="tx1"/>
            </w14:solidFill>
          </w14:textFill>
        </w:rPr>
        <w:t>从评价情况来看，</w:t>
      </w:r>
      <w:r>
        <w:rPr>
          <w:rFonts w:hint="eastAsia" w:ascii="仿宋" w:hAnsi="仿宋" w:eastAsia="仿宋" w:cs="宋体"/>
          <w:color w:val="000000" w:themeColor="text1"/>
          <w:sz w:val="32"/>
          <w:szCs w:val="32"/>
          <w:lang w:val="en-US" w:eastAsia="zh-CN"/>
          <w14:textFill>
            <w14:solidFill>
              <w14:schemeClr w14:val="tx1"/>
            </w14:solidFill>
          </w14:textFill>
        </w:rPr>
        <w:t>达到了年初设定的绩效目标</w:t>
      </w:r>
      <w:r>
        <w:rPr>
          <w:rFonts w:hint="eastAsia" w:ascii="仿宋" w:hAnsi="仿宋" w:eastAsia="仿宋" w:cs="宋体"/>
          <w:color w:val="000000" w:themeColor="text1"/>
          <w:sz w:val="32"/>
          <w:szCs w:val="32"/>
          <w14:textFill>
            <w14:solidFill>
              <w14:schemeClr w14:val="tx1"/>
            </w14:solidFill>
          </w14:textFill>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default"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4.财政绩效评价结果。无。</w:t>
      </w:r>
    </w:p>
    <w:p>
      <w:pPr>
        <w:keepNext w:val="0"/>
        <w:keepLines w:val="0"/>
        <w:pageBreakBefore w:val="0"/>
        <w:widowControl w:val="0"/>
        <w:kinsoku/>
        <w:wordWrap/>
        <w:overflowPunct/>
        <w:topLinePunct w:val="0"/>
        <w:bidi w:val="0"/>
        <w:snapToGrid/>
        <w:spacing w:line="560" w:lineRule="exact"/>
        <w:jc w:val="both"/>
        <w:textAlignment w:val="auto"/>
        <w:rPr>
          <w:rFonts w:hint="eastAsia" w:ascii="仿宋" w:hAnsi="仿宋" w:eastAsia="仿宋" w:cs="仿宋"/>
          <w:sz w:val="32"/>
          <w:szCs w:val="32"/>
          <w:highlight w:val="none"/>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20" w:lineRule="exact"/>
        <w:jc w:val="both"/>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5D266"/>
    <w:multiLevelType w:val="singleLevel"/>
    <w:tmpl w:val="B2A5D266"/>
    <w:lvl w:ilvl="0" w:tentative="0">
      <w:start w:val="1"/>
      <w:numFmt w:val="chineseCounting"/>
      <w:suff w:val="nothing"/>
      <w:lvlText w:val="（%1）"/>
      <w:lvlJc w:val="left"/>
      <w:rPr>
        <w:rFonts w:hint="eastAsia"/>
      </w:rPr>
    </w:lvl>
  </w:abstractNum>
  <w:abstractNum w:abstractNumId="1">
    <w:nsid w:val="E95F4BA8"/>
    <w:multiLevelType w:val="singleLevel"/>
    <w:tmpl w:val="E95F4BA8"/>
    <w:lvl w:ilvl="0" w:tentative="0">
      <w:start w:val="2"/>
      <w:numFmt w:val="chineseCounting"/>
      <w:suff w:val="nothing"/>
      <w:lvlText w:val="（%1）"/>
      <w:lvlJc w:val="left"/>
      <w:rPr>
        <w:rFonts w:hint="eastAsia"/>
      </w:rPr>
    </w:lvl>
  </w:abstractNum>
  <w:abstractNum w:abstractNumId="2">
    <w:nsid w:val="FFC97760"/>
    <w:multiLevelType w:val="singleLevel"/>
    <w:tmpl w:val="FFC97760"/>
    <w:lvl w:ilvl="0" w:tentative="0">
      <w:start w:val="1"/>
      <w:numFmt w:val="chineseCounting"/>
      <w:suff w:val="nothing"/>
      <w:lvlText w:val="（%1）"/>
      <w:lvlJc w:val="left"/>
      <w:rPr>
        <w:rFonts w:hint="eastAsia"/>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OWIyNDIyOTA4MDc3NmEwN2QxM2NkODgwZjJjNz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539E5"/>
    <w:rsid w:val="004C4D73"/>
    <w:rsid w:val="004D7D0E"/>
    <w:rsid w:val="005234F5"/>
    <w:rsid w:val="00531745"/>
    <w:rsid w:val="00574196"/>
    <w:rsid w:val="00607E2C"/>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520AD4"/>
    <w:rsid w:val="025E71B9"/>
    <w:rsid w:val="02891317"/>
    <w:rsid w:val="02E0291A"/>
    <w:rsid w:val="03F45283"/>
    <w:rsid w:val="04845710"/>
    <w:rsid w:val="049C0298"/>
    <w:rsid w:val="04A86A46"/>
    <w:rsid w:val="04E54546"/>
    <w:rsid w:val="057421F6"/>
    <w:rsid w:val="05992762"/>
    <w:rsid w:val="059A170D"/>
    <w:rsid w:val="06F04D75"/>
    <w:rsid w:val="074C7501"/>
    <w:rsid w:val="07B0770E"/>
    <w:rsid w:val="086170E5"/>
    <w:rsid w:val="089A2F9E"/>
    <w:rsid w:val="0942143F"/>
    <w:rsid w:val="096F2D25"/>
    <w:rsid w:val="09AE104F"/>
    <w:rsid w:val="0A5539C8"/>
    <w:rsid w:val="0AB75B61"/>
    <w:rsid w:val="0AD266B7"/>
    <w:rsid w:val="0B07496E"/>
    <w:rsid w:val="0D024318"/>
    <w:rsid w:val="0D100297"/>
    <w:rsid w:val="0D202B45"/>
    <w:rsid w:val="0DD11704"/>
    <w:rsid w:val="0F8D4C87"/>
    <w:rsid w:val="0F97013F"/>
    <w:rsid w:val="0F9C4F66"/>
    <w:rsid w:val="10505FAA"/>
    <w:rsid w:val="105F7E7E"/>
    <w:rsid w:val="118A052F"/>
    <w:rsid w:val="11E56B5B"/>
    <w:rsid w:val="120B6A97"/>
    <w:rsid w:val="12296A8F"/>
    <w:rsid w:val="125C77AB"/>
    <w:rsid w:val="126E6E81"/>
    <w:rsid w:val="135724C7"/>
    <w:rsid w:val="14CB726E"/>
    <w:rsid w:val="15896863"/>
    <w:rsid w:val="16825D1F"/>
    <w:rsid w:val="17E92249"/>
    <w:rsid w:val="183C6BEA"/>
    <w:rsid w:val="185D6DC8"/>
    <w:rsid w:val="18A0245E"/>
    <w:rsid w:val="18A95B52"/>
    <w:rsid w:val="18CC6F80"/>
    <w:rsid w:val="18D304F1"/>
    <w:rsid w:val="190A1E25"/>
    <w:rsid w:val="19F32577"/>
    <w:rsid w:val="19F45B80"/>
    <w:rsid w:val="1B0706AD"/>
    <w:rsid w:val="1B0C078D"/>
    <w:rsid w:val="1B2B31E2"/>
    <w:rsid w:val="1B4C295A"/>
    <w:rsid w:val="1B771B24"/>
    <w:rsid w:val="1B973C63"/>
    <w:rsid w:val="1BA1001E"/>
    <w:rsid w:val="1BAC34A3"/>
    <w:rsid w:val="1BDC2F07"/>
    <w:rsid w:val="1C174A5E"/>
    <w:rsid w:val="1D317259"/>
    <w:rsid w:val="1E664F5B"/>
    <w:rsid w:val="1EB34BE1"/>
    <w:rsid w:val="1F8D2F8E"/>
    <w:rsid w:val="20545B48"/>
    <w:rsid w:val="207B7F33"/>
    <w:rsid w:val="215E639F"/>
    <w:rsid w:val="21EC3183"/>
    <w:rsid w:val="225E72CD"/>
    <w:rsid w:val="2444319B"/>
    <w:rsid w:val="246E2F77"/>
    <w:rsid w:val="24727A07"/>
    <w:rsid w:val="254B4E2B"/>
    <w:rsid w:val="25894803"/>
    <w:rsid w:val="26005081"/>
    <w:rsid w:val="26843140"/>
    <w:rsid w:val="26996FA3"/>
    <w:rsid w:val="26F32ECB"/>
    <w:rsid w:val="270F0029"/>
    <w:rsid w:val="272833E6"/>
    <w:rsid w:val="27EA0D61"/>
    <w:rsid w:val="282C2B17"/>
    <w:rsid w:val="283D7C94"/>
    <w:rsid w:val="28C52164"/>
    <w:rsid w:val="28D546A9"/>
    <w:rsid w:val="28E96434"/>
    <w:rsid w:val="29480E03"/>
    <w:rsid w:val="2983634D"/>
    <w:rsid w:val="2AC87744"/>
    <w:rsid w:val="2B1B5486"/>
    <w:rsid w:val="2B1C6459"/>
    <w:rsid w:val="2BB02055"/>
    <w:rsid w:val="2C575A56"/>
    <w:rsid w:val="2CD54A3F"/>
    <w:rsid w:val="2CF4464C"/>
    <w:rsid w:val="2F257714"/>
    <w:rsid w:val="2F3275E5"/>
    <w:rsid w:val="2F4B7B43"/>
    <w:rsid w:val="2F8D2D99"/>
    <w:rsid w:val="2FD55C94"/>
    <w:rsid w:val="30886F2F"/>
    <w:rsid w:val="30AA08EF"/>
    <w:rsid w:val="30D23D1C"/>
    <w:rsid w:val="31221CF5"/>
    <w:rsid w:val="312C2F1C"/>
    <w:rsid w:val="31400178"/>
    <w:rsid w:val="31B32047"/>
    <w:rsid w:val="31D64A55"/>
    <w:rsid w:val="31DB6675"/>
    <w:rsid w:val="31EF6757"/>
    <w:rsid w:val="321E3342"/>
    <w:rsid w:val="32724AF9"/>
    <w:rsid w:val="327759C8"/>
    <w:rsid w:val="32E02DC9"/>
    <w:rsid w:val="330579E5"/>
    <w:rsid w:val="33185FE3"/>
    <w:rsid w:val="33220F3C"/>
    <w:rsid w:val="33AF3596"/>
    <w:rsid w:val="34EE2E36"/>
    <w:rsid w:val="362A5644"/>
    <w:rsid w:val="36777241"/>
    <w:rsid w:val="36EF17B7"/>
    <w:rsid w:val="3771460A"/>
    <w:rsid w:val="38A951DB"/>
    <w:rsid w:val="38B31605"/>
    <w:rsid w:val="39003F4F"/>
    <w:rsid w:val="39A86BCF"/>
    <w:rsid w:val="3B642097"/>
    <w:rsid w:val="3B8C4BDA"/>
    <w:rsid w:val="3C07002B"/>
    <w:rsid w:val="3C3851D9"/>
    <w:rsid w:val="3D0D152A"/>
    <w:rsid w:val="3D3C6302"/>
    <w:rsid w:val="3DCF5C09"/>
    <w:rsid w:val="3DF62756"/>
    <w:rsid w:val="3E5E498D"/>
    <w:rsid w:val="3EC03F51"/>
    <w:rsid w:val="3EEB5B4A"/>
    <w:rsid w:val="3F1B7587"/>
    <w:rsid w:val="40434E6E"/>
    <w:rsid w:val="40463B9F"/>
    <w:rsid w:val="4094595D"/>
    <w:rsid w:val="40B23D27"/>
    <w:rsid w:val="41E57B4F"/>
    <w:rsid w:val="41F1209C"/>
    <w:rsid w:val="432F26F6"/>
    <w:rsid w:val="436E4BAD"/>
    <w:rsid w:val="43880F63"/>
    <w:rsid w:val="441C5A6F"/>
    <w:rsid w:val="444C5F56"/>
    <w:rsid w:val="44B6427D"/>
    <w:rsid w:val="44C44FCC"/>
    <w:rsid w:val="44CC7369"/>
    <w:rsid w:val="457F5108"/>
    <w:rsid w:val="45820F9A"/>
    <w:rsid w:val="46134C94"/>
    <w:rsid w:val="4635249F"/>
    <w:rsid w:val="46951B6B"/>
    <w:rsid w:val="46E8431C"/>
    <w:rsid w:val="47046C8A"/>
    <w:rsid w:val="470F3A5A"/>
    <w:rsid w:val="47797308"/>
    <w:rsid w:val="479C41CC"/>
    <w:rsid w:val="47B55423"/>
    <w:rsid w:val="48A514C5"/>
    <w:rsid w:val="49201905"/>
    <w:rsid w:val="496E2094"/>
    <w:rsid w:val="49A34401"/>
    <w:rsid w:val="4A290164"/>
    <w:rsid w:val="4A3E30AB"/>
    <w:rsid w:val="4A4C107D"/>
    <w:rsid w:val="4AC14DAC"/>
    <w:rsid w:val="4B7532DB"/>
    <w:rsid w:val="4CA94729"/>
    <w:rsid w:val="4CBD074C"/>
    <w:rsid w:val="4D154C85"/>
    <w:rsid w:val="4E1539B8"/>
    <w:rsid w:val="4EC8553A"/>
    <w:rsid w:val="4F1A71A7"/>
    <w:rsid w:val="4F231246"/>
    <w:rsid w:val="508F4E24"/>
    <w:rsid w:val="51461E90"/>
    <w:rsid w:val="51463753"/>
    <w:rsid w:val="51801902"/>
    <w:rsid w:val="52553A93"/>
    <w:rsid w:val="53521F8B"/>
    <w:rsid w:val="53855E5F"/>
    <w:rsid w:val="53E22F47"/>
    <w:rsid w:val="54294E14"/>
    <w:rsid w:val="54522FF8"/>
    <w:rsid w:val="55450629"/>
    <w:rsid w:val="554E04A7"/>
    <w:rsid w:val="55674E3F"/>
    <w:rsid w:val="55FB3BD1"/>
    <w:rsid w:val="56692963"/>
    <w:rsid w:val="568B0F48"/>
    <w:rsid w:val="5786217B"/>
    <w:rsid w:val="59337A15"/>
    <w:rsid w:val="59805DD4"/>
    <w:rsid w:val="59810274"/>
    <w:rsid w:val="5BF6301D"/>
    <w:rsid w:val="5C553181"/>
    <w:rsid w:val="5C731FEE"/>
    <w:rsid w:val="5CA96A00"/>
    <w:rsid w:val="5CB521A5"/>
    <w:rsid w:val="5CEC790B"/>
    <w:rsid w:val="5CF730BC"/>
    <w:rsid w:val="5D611CB6"/>
    <w:rsid w:val="5D843B43"/>
    <w:rsid w:val="5E0A74B6"/>
    <w:rsid w:val="5E483985"/>
    <w:rsid w:val="5E5F0DCE"/>
    <w:rsid w:val="5EE97ACF"/>
    <w:rsid w:val="5F266D60"/>
    <w:rsid w:val="5FA40A7B"/>
    <w:rsid w:val="5FD56D29"/>
    <w:rsid w:val="5FE575B3"/>
    <w:rsid w:val="5FEC7F3F"/>
    <w:rsid w:val="60F74BC3"/>
    <w:rsid w:val="617D3BF8"/>
    <w:rsid w:val="61841F6A"/>
    <w:rsid w:val="623007A9"/>
    <w:rsid w:val="6302449F"/>
    <w:rsid w:val="632911B5"/>
    <w:rsid w:val="637D7558"/>
    <w:rsid w:val="644F19AC"/>
    <w:rsid w:val="64F42F38"/>
    <w:rsid w:val="650115BD"/>
    <w:rsid w:val="652708A2"/>
    <w:rsid w:val="656D3272"/>
    <w:rsid w:val="65AA4920"/>
    <w:rsid w:val="65AF469F"/>
    <w:rsid w:val="65EF66C5"/>
    <w:rsid w:val="66203AE4"/>
    <w:rsid w:val="667B0635"/>
    <w:rsid w:val="67694F1E"/>
    <w:rsid w:val="67B155F4"/>
    <w:rsid w:val="68225670"/>
    <w:rsid w:val="68485396"/>
    <w:rsid w:val="6890498C"/>
    <w:rsid w:val="68936AC4"/>
    <w:rsid w:val="68966F60"/>
    <w:rsid w:val="68D11CB8"/>
    <w:rsid w:val="68EF10CD"/>
    <w:rsid w:val="69597934"/>
    <w:rsid w:val="696F57E1"/>
    <w:rsid w:val="6A5A758C"/>
    <w:rsid w:val="6B117A23"/>
    <w:rsid w:val="6B964DDC"/>
    <w:rsid w:val="6BB95E35"/>
    <w:rsid w:val="6C783074"/>
    <w:rsid w:val="6D354F37"/>
    <w:rsid w:val="6D5B50DE"/>
    <w:rsid w:val="6D9E65C6"/>
    <w:rsid w:val="6DA81947"/>
    <w:rsid w:val="6EB10FA9"/>
    <w:rsid w:val="6EB66DE2"/>
    <w:rsid w:val="6ED3075F"/>
    <w:rsid w:val="6F2A2D4B"/>
    <w:rsid w:val="6F7F67EB"/>
    <w:rsid w:val="6F8A0C1E"/>
    <w:rsid w:val="6FCB5100"/>
    <w:rsid w:val="703F45D4"/>
    <w:rsid w:val="70B57718"/>
    <w:rsid w:val="715D6546"/>
    <w:rsid w:val="71BE069E"/>
    <w:rsid w:val="71E24444"/>
    <w:rsid w:val="71FD54E2"/>
    <w:rsid w:val="72CC7D1F"/>
    <w:rsid w:val="73953409"/>
    <w:rsid w:val="73E069A3"/>
    <w:rsid w:val="74037BE4"/>
    <w:rsid w:val="76566E77"/>
    <w:rsid w:val="76625077"/>
    <w:rsid w:val="76A54D29"/>
    <w:rsid w:val="76F1396B"/>
    <w:rsid w:val="78104AA8"/>
    <w:rsid w:val="783E2823"/>
    <w:rsid w:val="784A49A4"/>
    <w:rsid w:val="78B075F9"/>
    <w:rsid w:val="78C77DBD"/>
    <w:rsid w:val="78E257C5"/>
    <w:rsid w:val="794B35BE"/>
    <w:rsid w:val="79C570F9"/>
    <w:rsid w:val="79F214FA"/>
    <w:rsid w:val="7A442CBE"/>
    <w:rsid w:val="7A8471EF"/>
    <w:rsid w:val="7A963FED"/>
    <w:rsid w:val="7AA708D1"/>
    <w:rsid w:val="7B0A3A31"/>
    <w:rsid w:val="7B3360ED"/>
    <w:rsid w:val="7B5319F3"/>
    <w:rsid w:val="7BDF037E"/>
    <w:rsid w:val="7BF50948"/>
    <w:rsid w:val="7C2D4566"/>
    <w:rsid w:val="7C891CCD"/>
    <w:rsid w:val="7CE66A78"/>
    <w:rsid w:val="7D23564C"/>
    <w:rsid w:val="7D5E062D"/>
    <w:rsid w:val="7DDA27CB"/>
    <w:rsid w:val="7DF76CD8"/>
    <w:rsid w:val="7E3E1D33"/>
    <w:rsid w:val="7E8E69B7"/>
    <w:rsid w:val="7F4D308E"/>
    <w:rsid w:val="7F5E0D51"/>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Emphasis"/>
    <w:basedOn w:val="6"/>
    <w:qFormat/>
    <w:uiPriority w:val="0"/>
    <w:rPr>
      <w:i/>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paragraph" w:customStyle="1" w:styleId="12">
    <w:name w:val="summary ml"/>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195;&#29702;&#21333;&#20301;&#26448;&#26009;\2024&#24180;&#24037;&#20316;\0.&#19978;&#25253;&#36130;&#25919;&#23616;&#26448;&#26009;\32.&#65288;20241220&#65289;2023&#24180;&#24230;&#20915;&#31639;&#20844;&#24320;\&#20195;&#29702;&#21333;&#20301;\&#20892;&#32463;&#20013;&#24515;\&#29615;&#27743;&#27611;&#21335;&#26063;&#33258;&#27835;&#21439;&#20892;&#26449;&#32463;&#27982;&#32463;&#33829;&#25351;&#23548;&#20013;&#24515;.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multiLvlStrRef>
              <c:f>'[环江毛南族自治县农村经济经营指导中心.xlsx]财政拨款收入支出决算总表 公开04表'!$A$5:$B$7</c:f>
              <c:multiLvlStrCache>
                <c:ptCount val="3"/>
                <c:lvl>
                  <c:pt idx="0">
                    <c:v>1</c:v>
                  </c:pt>
                  <c:pt idx="1">
                    <c:v>2</c:v>
                  </c:pt>
                  <c:pt idx="2">
                    <c:v>3</c:v>
                  </c:pt>
                </c:lvl>
                <c:lvl>
                  <c:pt idx="0">
                    <c:v>一、一般公共预算财政拨款</c:v>
                  </c:pt>
                  <c:pt idx="1">
                    <c:v>二、政府性基金预算财政拨款</c:v>
                  </c:pt>
                  <c:pt idx="2">
                    <c:v>三、国有资本经营预算财政拨款</c:v>
                  </c:pt>
                </c:lvl>
              </c:multiLvlStrCache>
            </c:multiLvlStrRef>
          </c:cat>
          <c:val>
            <c:numRef>
              <c:f>'[环江毛南族自治县农村经济经营指导中心.xlsx]财政拨款收入支出决算总表 公开04表'!$C$5:$C$7</c:f>
              <c:numCache>
                <c:formatCode>#,##0.00</c:formatCode>
                <c:ptCount val="3"/>
                <c:pt idx="0">
                  <c:v>3011964.15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7.42</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manualLayout>
          <c:layoutTarget val="inner"/>
          <c:xMode val="edge"/>
          <c:yMode val="edge"/>
          <c:x val="0.0809254245631307"/>
          <c:y val="0.163562281722934"/>
          <c:w val="0.912306177701206"/>
          <c:h val="0.605820721769499"/>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Sheet1!$B$2:$B$6</c:f>
              <c:numCache>
                <c:formatCode>General</c:formatCode>
                <c:ptCount val="5"/>
                <c:pt idx="0">
                  <c:v>4.26</c:v>
                </c:pt>
                <c:pt idx="1">
                  <c:v>12.01</c:v>
                </c:pt>
                <c:pt idx="2">
                  <c:v>564.33</c:v>
                </c:pt>
                <c:pt idx="3">
                  <c:v>7.83</c:v>
                </c:pt>
                <c:pt idx="4">
                  <c:v>17.63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农林水支出</c:v>
                </c:pt>
                <c:pt idx="3">
                  <c:v>住房保障支出</c:v>
                </c:pt>
                <c:pt idx="4">
                  <c:v>其他支出</c:v>
                </c:pt>
              </c:strCache>
            </c:strRef>
          </c:cat>
          <c:val>
            <c:numRef>
              <c:f>Sheet1!$C$2:$C$6</c:f>
              <c:numCache>
                <c:formatCode>General</c:formatCode>
                <c:ptCount val="5"/>
                <c:pt idx="0">
                  <c:v>1.31</c:v>
                </c:pt>
                <c:pt idx="1">
                  <c:v>10.68</c:v>
                </c:pt>
                <c:pt idx="2">
                  <c:v>268.07</c:v>
                </c:pt>
                <c:pt idx="3">
                  <c:v>7.98</c:v>
                </c:pt>
                <c:pt idx="4">
                  <c:v>13.16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manualLayout>
          <c:xMode val="edge"/>
          <c:yMode val="edge"/>
          <c:x val="0.30630055342699"/>
          <c:y val="0.03554502369668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Sheet1!$A$2:$A$10</c:f>
              <c:strCache>
                <c:ptCount val="9"/>
                <c:pt idx="0">
                  <c:v>2012999</c:v>
                </c:pt>
                <c:pt idx="8">
                  <c:v>201x</c:v>
                </c:pt>
              </c:strCache>
            </c:strRef>
          </c:cat>
          <c:val>
            <c:numRef>
              <c:f>Sheet1!$B$2:$B$10</c:f>
              <c:numCache>
                <c:formatCode>General</c:formatCode>
                <c:ptCount val="9"/>
                <c:pt idx="0">
                  <c:v>1.31</c:v>
                </c:pt>
                <c:pt idx="8">
                  <c:v>1.31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3">
                  <c:v>208x</c:v>
                </c:pt>
              </c:strCache>
            </c:strRef>
          </c:cat>
          <c:val>
            <c:numRef>
              <c:f>Sheet1!$B$2:$B$5</c:f>
              <c:numCache>
                <c:formatCode>General</c:formatCode>
                <c:ptCount val="4"/>
                <c:pt idx="0">
                  <c:v>10.68</c:v>
                </c:pt>
                <c:pt idx="3">
                  <c:v>10.68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农林水</a:t>
            </a:r>
            <a:r>
              <a:rPr lang="en-US"/>
              <a:t>支出</a:t>
            </a:r>
            <a:endParaRPr lang="en-US" sz="1100"/>
          </a:p>
        </c:rich>
      </c:tx>
      <c:layout/>
      <c:overlay val="0"/>
      <c:spPr>
        <a:noFill/>
        <a:ln>
          <a:noFill/>
        </a:ln>
        <a:effectLst/>
      </c:spPr>
    </c:title>
    <c:autoTitleDeleted val="0"/>
    <c:plotArea>
      <c:layout>
        <c:manualLayout>
          <c:layoutTarget val="inner"/>
          <c:xMode val="edge"/>
          <c:yMode val="edge"/>
          <c:x val="0.0764296863913722"/>
          <c:y val="0.17239336492891"/>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2130104</c:v>
                </c:pt>
                <c:pt idx="1">
                  <c:v>2130124</c:v>
                </c:pt>
                <c:pt idx="2">
                  <c:v>0</c:v>
                </c:pt>
                <c:pt idx="3">
                  <c:v>213x</c:v>
                </c:pt>
              </c:strCache>
            </c:strRef>
          </c:cat>
          <c:val>
            <c:numRef>
              <c:f>Sheet1!$B$2:$B$5</c:f>
              <c:numCache>
                <c:formatCode>General</c:formatCode>
                <c:ptCount val="4"/>
                <c:pt idx="0">
                  <c:v>108.23</c:v>
                </c:pt>
                <c:pt idx="1">
                  <c:v>159.84</c:v>
                </c:pt>
                <c:pt idx="2">
                  <c:v>0</c:v>
                </c:pt>
                <c:pt idx="3">
                  <c:v>268.07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住房保障</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7.98</c:v>
                </c:pt>
                <c:pt idx="1">
                  <c:v>7.98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manualLayout>
          <c:xMode val="edge"/>
          <c:yMode val="edge"/>
          <c:x val="0.335816659571449"/>
          <c:y val="0.023696682464455"/>
        </c:manualLayout>
      </c:layout>
      <c:overlay val="0"/>
      <c:spPr>
        <a:noFill/>
        <a:ln>
          <a:noFill/>
        </a:ln>
        <a:effectLst/>
      </c:spPr>
    </c:title>
    <c:autoTitleDeleted val="0"/>
    <c:plotArea>
      <c:layout>
        <c:manualLayout>
          <c:layoutTarget val="inner"/>
          <c:xMode val="edge"/>
          <c:yMode val="edge"/>
          <c:x val="0.0677735206470839"/>
          <c:y val="0.175452246644622"/>
          <c:w val="0.905264651624805"/>
          <c:h val="0.459910523244505"/>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13.16</c:v>
                </c:pt>
                <c:pt idx="1">
                  <c:v>13.16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22.08</c:v>
                </c:pt>
                <c:pt idx="1">
                  <c:v>25.7</c:v>
                </c:pt>
                <c:pt idx="2">
                  <c:v>18.86</c:v>
                </c:pt>
                <c:pt idx="3">
                  <c:v>0</c:v>
                </c:pt>
                <c:pt idx="4">
                  <c:v>2.31</c:v>
                </c:pt>
                <c:pt idx="5">
                  <c:v>11.73</c:v>
                </c:pt>
                <c:pt idx="6">
                  <c:v>0</c:v>
                </c:pt>
                <c:pt idx="7">
                  <c:v>3.29</c:v>
                </c:pt>
                <c:pt idx="8">
                  <c:v>0</c:v>
                </c:pt>
                <c:pt idx="9">
                  <c:v>0.81</c:v>
                </c:pt>
                <c:pt idx="10">
                  <c:v>8.09</c:v>
                </c:pt>
                <c:pt idx="11">
                  <c:v>0</c:v>
                </c:pt>
                <c:pt idx="12">
                  <c:v>13.24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manualLayout>
          <c:layoutTarget val="inner"/>
          <c:xMode val="edge"/>
          <c:yMode val="edge"/>
          <c:x val="0.0740173123314886"/>
          <c:y val="0.160545023696682"/>
          <c:w val="0.887111603760198"/>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0.07</c:v>
                </c:pt>
                <c:pt idx="1">
                  <c:v>0</c:v>
                </c:pt>
                <c:pt idx="2">
                  <c:v>0</c:v>
                </c:pt>
                <c:pt idx="3">
                  <c:v>0</c:v>
                </c:pt>
                <c:pt idx="4">
                  <c:v>0.04</c:v>
                </c:pt>
                <c:pt idx="5">
                  <c:v>0.39</c:v>
                </c:pt>
                <c:pt idx="6">
                  <c:v>1.1</c:v>
                </c:pt>
                <c:pt idx="7">
                  <c:v>0</c:v>
                </c:pt>
                <c:pt idx="8">
                  <c:v>0</c:v>
                </c:pt>
                <c:pt idx="9">
                  <c:v>0</c:v>
                </c:pt>
                <c:pt idx="10">
                  <c:v>0</c:v>
                </c:pt>
                <c:pt idx="11">
                  <c:v>0</c:v>
                </c:pt>
                <c:pt idx="12">
                  <c:v>0</c:v>
                </c:pt>
                <c:pt idx="13">
                  <c:v>0</c:v>
                </c:pt>
                <c:pt idx="14">
                  <c:v>0</c:v>
                </c:pt>
                <c:pt idx="15">
                  <c:v>0</c:v>
                </c:pt>
                <c:pt idx="16">
                  <c:v>0</c:v>
                </c:pt>
                <c:pt idx="17">
                  <c:v>0</c:v>
                </c:pt>
                <c:pt idx="18">
                  <c:v>0</c:v>
                </c:pt>
                <c:pt idx="19">
                  <c:v>0.57</c:v>
                </c:pt>
                <c:pt idx="20">
                  <c:v>0</c:v>
                </c:pt>
                <c:pt idx="21">
                  <c:v>1.31</c:v>
                </c:pt>
                <c:pt idx="22">
                  <c:v>0</c:v>
                </c:pt>
                <c:pt idx="23">
                  <c:v>0</c:v>
                </c:pt>
                <c:pt idx="24">
                  <c:v>4.95</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TotalTime>
  <ScaleCrop>false</ScaleCrop>
  <LinksUpToDate>false</LinksUpToDate>
  <CharactersWithSpaces>14005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2024-12-25T12:57:14Z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4773DAD2CD474615ABA50A0F94E242EE_13</vt:lpwstr>
  </property>
</Properties>
</file>