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环江</w:t>
      </w:r>
      <w:r>
        <w:rPr>
          <w:rFonts w:hint="eastAsia" w:ascii="黑体" w:hAnsi="黑体" w:eastAsia="黑体" w:cs="黑体"/>
          <w:b/>
          <w:bCs/>
          <w:sz w:val="52"/>
          <w:szCs w:val="52"/>
          <w:highlight w:val="none"/>
        </w:rPr>
        <w:t>毛南族自治县文化馆</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2023</w:t>
      </w:r>
      <w:r>
        <w:rPr>
          <w:rFonts w:hint="eastAsia" w:ascii="黑体" w:hAnsi="黑体" w:eastAsia="黑体" w:cs="黑体"/>
          <w:b/>
          <w:bCs/>
          <w:sz w:val="52"/>
          <w:szCs w:val="52"/>
          <w:highlight w:val="none"/>
        </w:rPr>
        <w:t>年</w:t>
      </w:r>
      <w:r>
        <w:rPr>
          <w:rFonts w:hint="eastAsia" w:ascii="黑体" w:hAnsi="黑体" w:eastAsia="黑体" w:cs="黑体"/>
          <w:b/>
          <w:bCs/>
          <w:sz w:val="52"/>
          <w:szCs w:val="52"/>
          <w:highlight w:val="none"/>
          <w:lang w:eastAsia="zh-CN"/>
        </w:rPr>
        <w:t>度</w:t>
      </w:r>
      <w:r>
        <w:rPr>
          <w:rFonts w:hint="eastAsia" w:ascii="黑体" w:hAnsi="黑体" w:eastAsia="黑体" w:cs="黑体"/>
          <w:b/>
          <w:bCs/>
          <w:sz w:val="52"/>
          <w:szCs w:val="52"/>
          <w:highlight w:val="none"/>
        </w:rPr>
        <w:t>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spacing w:line="560" w:lineRule="exact"/>
        <w:ind w:firstLine="645"/>
        <w:jc w:val="center"/>
        <w:rPr>
          <w:rFonts w:hint="eastAsia" w:ascii="仿宋_GB2312" w:hAnsi="Times New Roman" w:eastAsia="仿宋_GB2312" w:cs="Times New Roman"/>
          <w:b w:val="0"/>
          <w:sz w:val="32"/>
          <w:szCs w:val="32"/>
          <w:lang w:val="en-US" w:eastAsia="zh-CN"/>
        </w:rPr>
      </w:pPr>
      <w:r>
        <w:rPr>
          <w:rFonts w:hint="eastAsia" w:ascii="仿宋_GB2312" w:hAnsi="Times New Roman" w:eastAsia="仿宋_GB2312" w:cs="Times New Roman"/>
          <w:b w:val="0"/>
          <w:sz w:val="32"/>
          <w:szCs w:val="32"/>
          <w:lang w:val="en-US" w:eastAsia="zh-CN"/>
        </w:rPr>
        <w:t>2024年12月3日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环江毛南族自治县文化馆</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环江毛南族自治县文化馆</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环江毛南族自治县文化馆</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环江毛南族自治县文化馆</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0"/>
        <w:jc w:val="left"/>
        <w:rPr>
          <w:rFonts w:hint="eastAsia" w:ascii="仿宋" w:hAnsi="仿宋" w:eastAsia="仿宋" w:cs="仿宋"/>
          <w:color w:val="FF0000"/>
          <w:sz w:val="32"/>
          <w:szCs w:val="32"/>
          <w:lang w:val="en-US" w:eastAsia="zh-CN"/>
        </w:rPr>
      </w:pPr>
      <w:r>
        <w:rPr>
          <w:rFonts w:hint="eastAsia" w:ascii="仿宋" w:hAnsi="仿宋" w:eastAsia="仿宋" w:cs="仿宋"/>
          <w:sz w:val="32"/>
          <w:szCs w:val="32"/>
          <w:lang w:eastAsia="zh-CN"/>
        </w:rPr>
        <w:t>组织群众文化活动，繁荣群众文化事业，文化宣传；文艺活动组织；文艺创作培训；业余创作团体管理；业余文艺创作组织；村级文化室业务指导；群众文艺理论研究；文化交流。</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numPr>
          <w:ilvl w:val="0"/>
          <w:numId w:val="0"/>
        </w:num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环江毛南族自治县文化馆财政全额拨款副科级单位事业单位。</w:t>
      </w:r>
    </w:p>
    <w:p>
      <w:pPr>
        <w:ind w:firstLine="640" w:firstLineChars="200"/>
        <w:jc w:val="left"/>
        <w:rPr>
          <w:rFonts w:hint="eastAsia" w:ascii="仿宋" w:hAnsi="仿宋" w:eastAsia="仿宋" w:cs="仿宋"/>
          <w:sz w:val="32"/>
          <w:szCs w:val="32"/>
        </w:rPr>
      </w:pP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ind w:firstLine="2240" w:firstLineChars="700"/>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环江毛南族自治县文化馆</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spacing w:line="240" w:lineRule="auto"/>
        <w:ind w:left="0"/>
        <w:jc w:val="both"/>
        <w:rPr>
          <w:rFonts w:hint="eastAsia" w:ascii="仿宋_GB2312" w:eastAsia="仿宋_GB2312"/>
          <w:sz w:val="32"/>
          <w:szCs w:val="32"/>
        </w:rPr>
      </w:pPr>
      <w:r>
        <w:rPr>
          <w:rFonts w:hint="eastAsia" w:ascii="仿宋_GB2312" w:eastAsia="仿宋_GB2312"/>
          <w:sz w:val="32"/>
          <w:szCs w:val="32"/>
        </w:rPr>
        <w:t>表一：收入支出决算总表</w:t>
      </w:r>
    </w:p>
    <w:tbl>
      <w:tblPr>
        <w:tblStyle w:val="6"/>
        <w:tblW w:w="13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27"/>
        <w:gridCol w:w="751"/>
        <w:gridCol w:w="976"/>
        <w:gridCol w:w="3667"/>
        <w:gridCol w:w="1173"/>
        <w:gridCol w:w="2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460" w:type="dxa"/>
            <w:gridSpan w:val="6"/>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83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902"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部门：环江毛南族自治县文化馆</w:t>
            </w: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83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902"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8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190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8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902" w:type="dxa"/>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214.69</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一、一般公共服务支出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二、外交支出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三、国防支出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四、上级补助收入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四、公共安全支出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五、事业收入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五、教育支出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六、经营收入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六、科学技术支出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七、附属单位上缴收入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七、文化旅游体育与传媒支出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八、其他收入</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八、社会保障和就业支出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九、卫生健康支出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十、节能环保支出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十一、城乡社区支出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十二、农林水支出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十三、交通运输支出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十四、资源勘探工业信息等支出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十五、商业服务业等支出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十六、金融支出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十七、援助其他地区支出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十八、自然资源海洋气象等支出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十九、住房保障支出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二十、粮油物资储备支出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二十一、国有资本经营预算支出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二十二、灾害防治及应急管理支出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二十三、其他支出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二十四、债务还本支出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二十五、债务付息支出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二十六、抗疫特别国债安排的支出</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本年收入合计</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214.69</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本年支出合计</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结余分配</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年初结转和结余</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年末结转和结余</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214.69</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837"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2.本套报表金额单位转换时可能存在尾数误差。</w:t>
            </w:r>
          </w:p>
        </w:tc>
      </w:tr>
    </w:tbl>
    <w:p>
      <w:pPr>
        <w:spacing w:line="240" w:lineRule="auto"/>
        <w:ind w:left="0"/>
        <w:rPr>
          <w:rFonts w:hint="eastAsia" w:ascii="仿宋_GB2312" w:eastAsia="仿宋_GB2312"/>
          <w:sz w:val="32"/>
          <w:szCs w:val="32"/>
        </w:rPr>
      </w:pPr>
      <w:r>
        <w:rPr>
          <w:rFonts w:hint="eastAsia" w:ascii="仿宋_GB2312" w:eastAsia="仿宋_GB2312"/>
          <w:sz w:val="32"/>
          <w:szCs w:val="32"/>
        </w:rPr>
        <w:br w:type="page"/>
      </w:r>
      <w:r>
        <w:rPr>
          <w:rFonts w:hint="eastAsia" w:ascii="仿宋_GB2312" w:eastAsia="仿宋_GB2312"/>
          <w:sz w:val="32"/>
          <w:szCs w:val="32"/>
        </w:rPr>
        <w:t>表二：收入决算表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
        <w:gridCol w:w="369"/>
        <w:gridCol w:w="473"/>
        <w:gridCol w:w="3144"/>
        <w:gridCol w:w="2849"/>
        <w:gridCol w:w="1298"/>
        <w:gridCol w:w="984"/>
        <w:gridCol w:w="811"/>
        <w:gridCol w:w="811"/>
        <w:gridCol w:w="1151"/>
        <w:gridCol w:w="1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5" w:hRule="atLeast"/>
        </w:trPr>
        <w:tc>
          <w:tcPr>
            <w:tcW w:w="5000" w:type="pct"/>
            <w:gridSpan w:val="11"/>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0"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67"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109"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004"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347"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286"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286"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406"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673" w:type="pct"/>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41" w:type="pct"/>
            <w:gridSpan w:val="5"/>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部门：环江毛南族自治县文化馆</w:t>
            </w:r>
          </w:p>
        </w:tc>
        <w:tc>
          <w:tcPr>
            <w:tcW w:w="458"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47"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286"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286"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406" w:type="pct"/>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673" w:type="pct"/>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536"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本年收入合计</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财政拨款收入</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上级补助收入</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事业收入</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经营收入</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附属单位上缴收入</w:t>
            </w: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427"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1109"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427"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09"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427"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109"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536"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1004" w:type="pct"/>
            <w:tcBorders>
              <w:top w:val="single" w:color="000000" w:sz="4" w:space="0"/>
              <w:left w:val="single" w:color="000000" w:sz="4" w:space="0"/>
              <w:bottom w:val="nil"/>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58" w:type="pct"/>
            <w:tcBorders>
              <w:top w:val="single" w:color="000000" w:sz="4" w:space="0"/>
              <w:left w:val="single" w:color="000000" w:sz="4" w:space="0"/>
              <w:bottom w:val="nil"/>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47"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8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8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0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73"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536"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214.69</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214.69</w:t>
            </w:r>
          </w:p>
        </w:tc>
        <w:tc>
          <w:tcPr>
            <w:tcW w:w="347" w:type="pct"/>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6"/>
                <w:szCs w:val="16"/>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6"/>
                <w:szCs w:val="16"/>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6"/>
                <w:szCs w:val="16"/>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6"/>
                <w:szCs w:val="16"/>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42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2012999</w:t>
            </w:r>
          </w:p>
        </w:tc>
        <w:tc>
          <w:tcPr>
            <w:tcW w:w="110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其他群众团体事务支出</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347" w:type="pct"/>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2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2070109</w:t>
            </w:r>
          </w:p>
        </w:tc>
        <w:tc>
          <w:tcPr>
            <w:tcW w:w="110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群众文化</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84.26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84.26</w:t>
            </w:r>
          </w:p>
        </w:tc>
        <w:tc>
          <w:tcPr>
            <w:tcW w:w="347" w:type="pct"/>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2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2070199</w:t>
            </w:r>
          </w:p>
        </w:tc>
        <w:tc>
          <w:tcPr>
            <w:tcW w:w="110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其他文化和旅游支出</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99.99</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99.99</w:t>
            </w:r>
          </w:p>
        </w:tc>
        <w:tc>
          <w:tcPr>
            <w:tcW w:w="347" w:type="pct"/>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2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2080505</w:t>
            </w:r>
          </w:p>
        </w:tc>
        <w:tc>
          <w:tcPr>
            <w:tcW w:w="110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10.27</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10.27</w:t>
            </w:r>
          </w:p>
        </w:tc>
        <w:tc>
          <w:tcPr>
            <w:tcW w:w="347" w:type="pct"/>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42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2210201</w:t>
            </w:r>
          </w:p>
        </w:tc>
        <w:tc>
          <w:tcPr>
            <w:tcW w:w="110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347" w:type="pct"/>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2299999</w:t>
            </w:r>
          </w:p>
        </w:tc>
        <w:tc>
          <w:tcPr>
            <w:tcW w:w="110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11.27</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11.27</w:t>
            </w:r>
          </w:p>
        </w:tc>
        <w:tc>
          <w:tcPr>
            <w:tcW w:w="347" w:type="pct"/>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000" w:type="pct"/>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注：本表反映部门本年度取得的各项收入情况。</w:t>
            </w:r>
          </w:p>
        </w:tc>
      </w:tr>
    </w:tbl>
    <w:p>
      <w:pPr>
        <w:spacing w:line="240" w:lineRule="auto"/>
        <w:ind w:left="0"/>
        <w:jc w:val="left"/>
        <w:rPr>
          <w:rFonts w:hint="eastAsia" w:ascii="仿宋_GB2312" w:eastAsia="仿宋_GB2312"/>
          <w:sz w:val="32"/>
          <w:szCs w:val="32"/>
        </w:rPr>
      </w:pPr>
    </w:p>
    <w:p>
      <w:pPr>
        <w:spacing w:line="240" w:lineRule="auto"/>
        <w:ind w:left="0"/>
        <w:jc w:val="left"/>
        <w:rPr>
          <w:rFonts w:hint="eastAsia" w:ascii="仿宋_GB2312" w:eastAsia="仿宋_GB2312"/>
          <w:sz w:val="32"/>
          <w:szCs w:val="32"/>
        </w:rPr>
      </w:pPr>
    </w:p>
    <w:p>
      <w:pPr>
        <w:spacing w:line="240" w:lineRule="auto"/>
        <w:ind w:left="0"/>
        <w:jc w:val="left"/>
        <w:rPr>
          <w:rFonts w:hint="eastAsia" w:ascii="仿宋_GB2312" w:eastAsia="仿宋_GB2312"/>
          <w:sz w:val="32"/>
          <w:szCs w:val="32"/>
        </w:rPr>
      </w:pPr>
      <w:r>
        <w:rPr>
          <w:rFonts w:hint="eastAsia" w:ascii="仿宋_GB2312" w:eastAsia="仿宋_GB2312"/>
          <w:sz w:val="32"/>
          <w:szCs w:val="32"/>
        </w:rPr>
        <w:t>表三：支出决算表</w:t>
      </w:r>
    </w:p>
    <w:tbl>
      <w:tblPr>
        <w:tblStyle w:val="6"/>
        <w:tblW w:w="13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00"/>
        <w:gridCol w:w="309"/>
        <w:gridCol w:w="2974"/>
        <w:gridCol w:w="1019"/>
        <w:gridCol w:w="913"/>
        <w:gridCol w:w="1019"/>
        <w:gridCol w:w="595"/>
        <w:gridCol w:w="595"/>
        <w:gridCol w:w="2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3780" w:type="dxa"/>
            <w:gridSpan w:val="9"/>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部门：环江毛南族自治县文化馆</w:t>
            </w: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本年支出合计</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基本支出</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项目支出</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上缴上级支出</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经营支出</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96"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科目名称</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9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499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栏次</w:t>
            </w:r>
          </w:p>
        </w:tc>
        <w:tc>
          <w:tcPr>
            <w:tcW w:w="888" w:type="dxa"/>
            <w:tcBorders>
              <w:top w:val="single" w:color="000000" w:sz="4" w:space="0"/>
              <w:left w:val="single" w:color="000000" w:sz="4" w:space="0"/>
              <w:bottom w:val="nil"/>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796" w:type="dxa"/>
            <w:tcBorders>
              <w:top w:val="single" w:color="000000" w:sz="4" w:space="0"/>
              <w:left w:val="single" w:color="000000" w:sz="4" w:space="0"/>
              <w:bottom w:val="nil"/>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888" w:type="dxa"/>
            <w:tcBorders>
              <w:top w:val="single" w:color="000000" w:sz="4" w:space="0"/>
              <w:left w:val="single" w:color="000000" w:sz="4" w:space="0"/>
              <w:bottom w:val="nil"/>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88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121.87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2012999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2070109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18.87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2070199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2210201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2299999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注：本表反映部门本年度各项支出情况。</w:t>
            </w:r>
          </w:p>
        </w:tc>
      </w:tr>
    </w:tbl>
    <w:p>
      <w:pPr>
        <w:rPr>
          <w:rFonts w:hint="eastAsia" w:ascii="仿宋_GB2312" w:eastAsia="仿宋_GB2312"/>
          <w:sz w:val="32"/>
          <w:szCs w:val="32"/>
        </w:rPr>
      </w:pPr>
      <w:r>
        <w:rPr>
          <w:rFonts w:hint="eastAsia" w:ascii="仿宋_GB2312" w:eastAsia="仿宋_GB2312"/>
          <w:sz w:val="32"/>
          <w:szCs w:val="32"/>
        </w:rPr>
        <w:br w:type="page"/>
      </w:r>
    </w:p>
    <w:p>
      <w:pPr>
        <w:spacing w:line="240" w:lineRule="auto"/>
        <w:ind w:left="0"/>
        <w:jc w:val="left"/>
        <w:rPr>
          <w:rFonts w:hint="eastAsia" w:ascii="仿宋_GB2312" w:eastAsia="仿宋_GB2312"/>
          <w:sz w:val="32"/>
          <w:szCs w:val="32"/>
        </w:rPr>
      </w:pPr>
      <w:r>
        <w:rPr>
          <w:rFonts w:hint="eastAsia" w:ascii="仿宋_GB2312" w:eastAsia="仿宋_GB2312"/>
          <w:sz w:val="32"/>
          <w:szCs w:val="32"/>
        </w:rPr>
        <w:t>表四：财政拨款收入支出决算总表</w:t>
      </w:r>
    </w:p>
    <w:tbl>
      <w:tblPr>
        <w:tblStyle w:val="6"/>
        <w:tblW w:w="13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0"/>
        <w:gridCol w:w="1075"/>
        <w:gridCol w:w="1536"/>
        <w:gridCol w:w="2689"/>
        <w:gridCol w:w="1090"/>
        <w:gridCol w:w="1183"/>
        <w:gridCol w:w="1295"/>
        <w:gridCol w:w="978"/>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3780" w:type="dxa"/>
            <w:gridSpan w:val="9"/>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299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07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53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268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09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183"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9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922" w:type="dxa"/>
            <w:gridSpan w:val="2"/>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01" w:type="dxa"/>
            <w:gridSpan w:val="3"/>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部门：环江毛南族自治县文化馆</w:t>
            </w:r>
          </w:p>
        </w:tc>
        <w:tc>
          <w:tcPr>
            <w:tcW w:w="268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09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183"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9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922" w:type="dxa"/>
            <w:gridSpan w:val="2"/>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0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收     入</w:t>
            </w:r>
          </w:p>
        </w:tc>
        <w:tc>
          <w:tcPr>
            <w:tcW w:w="8179"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9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行次</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金额</w:t>
            </w:r>
          </w:p>
        </w:tc>
        <w:tc>
          <w:tcPr>
            <w:tcW w:w="2689"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行次</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一般公共预算</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财政拨款</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政府性基金预</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算财政拨款</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国有资本经营</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栏次</w:t>
            </w:r>
          </w:p>
        </w:tc>
        <w:tc>
          <w:tcPr>
            <w:tcW w:w="10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536" w:type="dxa"/>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26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栏次</w:t>
            </w:r>
          </w:p>
        </w:tc>
        <w:tc>
          <w:tcPr>
            <w:tcW w:w="10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183" w:type="dxa"/>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295" w:type="dxa"/>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一、一般公共预算财政拨款</w:t>
            </w: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214.69</w:t>
            </w: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一、一般公共服务支出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二、政府性基金预算财政拨款</w:t>
            </w: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二、外交支出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三、国有资本经营预算财政拨款</w:t>
            </w: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三、国防支出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四、公共安全支出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五、教育支出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六、科学技术支出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38</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七、文化旅游体育与传媒支出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184.25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184.25</w:t>
            </w: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八、社会保障和就业支出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10.27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10.27</w:t>
            </w: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九、卫生健康支出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十、节能环保支出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十一、城乡社区支出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十二、农林水支出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十三、交通运输支出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十四、资源勘探工业信息等支出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十五、商业服务业等支出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十六、金融支出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48</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十七、援助其他地区支出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49</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十八、自然资源海洋气象等支出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十九、住房保障支出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7.7</w:t>
            </w: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二十、粮油物资储备支出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二十一、国有资本经营预算支出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二十二、灾害防治及应急管理支出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二十三、其他支出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11.27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11.27</w:t>
            </w: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二十四、债务还本支出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二十五、债务付息支出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二十六、抗疫特别国债安排的支出</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58</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本年收入合计</w:t>
            </w: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27</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214.69</w:t>
            </w: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本年支出合计</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59</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214.69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214.69</w:t>
            </w: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年初财政拨款结转和结余</w:t>
            </w: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28</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年末财政拨款结转和结余</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一般公共预算财政拨款</w:t>
            </w: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29</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政府性基金预算财政拨款</w:t>
            </w: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国有资本经营预算财政拨款</w:t>
            </w: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1075"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214.69</w:t>
            </w:r>
          </w:p>
        </w:tc>
        <w:tc>
          <w:tcPr>
            <w:tcW w:w="2689" w:type="dxa"/>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1090" w:type="dxa"/>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214.69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214.69</w:t>
            </w:r>
          </w:p>
        </w:tc>
        <w:tc>
          <w:tcPr>
            <w:tcW w:w="97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80" w:type="dxa"/>
            <w:gridSpan w:val="9"/>
            <w:tcBorders>
              <w:top w:val="single" w:color="000000" w:sz="4" w:space="0"/>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注：本表反映部门本年度一般公共预算财政拨款、政府性基金预算财政拨款和国有资本经营预算财政拨款的总收支和年末结转结余情况。</w:t>
            </w:r>
          </w:p>
        </w:tc>
      </w:tr>
    </w:tbl>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spacing w:line="240" w:lineRule="auto"/>
        <w:ind w:left="0"/>
        <w:rPr>
          <w:rFonts w:hint="eastAsia" w:ascii="仿宋_GB2312" w:eastAsia="仿宋_GB2312"/>
          <w:sz w:val="32"/>
          <w:szCs w:val="32"/>
        </w:rPr>
      </w:pPr>
      <w:r>
        <w:rPr>
          <w:rFonts w:hint="eastAsia" w:ascii="仿宋_GB2312" w:eastAsia="仿宋_GB2312"/>
          <w:sz w:val="32"/>
          <w:szCs w:val="32"/>
        </w:rPr>
        <w:t>表五：一般公共预算财政拨款支出决算表</w:t>
      </w:r>
    </w:p>
    <w:tbl>
      <w:tblPr>
        <w:tblStyle w:val="6"/>
        <w:tblW w:w="13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570"/>
        <w:gridCol w:w="570"/>
        <w:gridCol w:w="6494"/>
        <w:gridCol w:w="1859"/>
        <w:gridCol w:w="1677"/>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3720" w:type="dxa"/>
            <w:gridSpan w:val="7"/>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70"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70"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494"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859"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部门：环江毛南族自治县文化馆</w:t>
            </w: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16" w:type="dxa"/>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71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59"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71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71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r>
        <w:rPr>
          <w:rFonts w:hint="eastAsia" w:ascii="仿宋_GB2312" w:eastAsia="仿宋_GB2312"/>
          <w:sz w:val="32"/>
          <w:szCs w:val="32"/>
        </w:rPr>
        <w:br w:type="page"/>
      </w:r>
      <w:r>
        <w:rPr>
          <w:rFonts w:hint="eastAsia" w:ascii="仿宋_GB2312" w:eastAsia="仿宋_GB2312"/>
          <w:sz w:val="32"/>
          <w:szCs w:val="32"/>
        </w:rPr>
        <w:t>表六：一般公共预算财政拨款基本支出决算明细表</w:t>
      </w:r>
    </w:p>
    <w:tbl>
      <w:tblPr>
        <w:tblStyle w:val="6"/>
        <w:tblW w:w="13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1"/>
        <w:gridCol w:w="2895"/>
        <w:gridCol w:w="741"/>
        <w:gridCol w:w="741"/>
        <w:gridCol w:w="2033"/>
        <w:gridCol w:w="654"/>
        <w:gridCol w:w="741"/>
        <w:gridCol w:w="3584"/>
        <w:gridCol w:w="1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3880" w:type="dxa"/>
            <w:gridSpan w:val="9"/>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一般公共预算财政拨款基本支出决算</w:t>
            </w:r>
            <w:r>
              <w:rPr>
                <w:rStyle w:val="12"/>
                <w:lang w:val="en-US" w:eastAsia="zh-CN" w:bidi="ar"/>
              </w:rPr>
              <w:t>明细</w:t>
            </w:r>
            <w:r>
              <w:rPr>
                <w:rFonts w:hint="default" w:ascii="华文中宋" w:hAnsi="华文中宋" w:eastAsia="华文中宋" w:cs="华文中宋"/>
                <w:i w:val="0"/>
                <w:iCs w:val="0"/>
                <w:color w:val="000000"/>
                <w:kern w:val="0"/>
                <w:sz w:val="44"/>
                <w:szCs w:val="44"/>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41"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895"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41"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41"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033"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54"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741"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3584"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0" w:type="auto"/>
            <w:gridSpan w:val="4"/>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部门：环江毛南族自治县文化馆</w:t>
            </w:r>
          </w:p>
        </w:tc>
        <w:tc>
          <w:tcPr>
            <w:tcW w:w="0" w:type="auto"/>
            <w:tcBorders>
              <w:top w:val="nil"/>
              <w:left w:val="nil"/>
              <w:bottom w:val="nil"/>
              <w:right w:val="nil"/>
            </w:tcBorders>
            <w:noWrap/>
            <w:vAlign w:val="center"/>
          </w:tcPr>
          <w:p>
            <w:pPr>
              <w:keepNext w:val="0"/>
              <w:keepLines w:val="0"/>
              <w:suppressLineNumbers w:val="0"/>
              <w:spacing w:before="0" w:beforeAutospacing="0" w:after="0" w:afterAutospacing="0"/>
              <w:ind w:left="0" w:right="0"/>
              <w:rPr>
                <w:rFonts w:hint="eastAsia" w:ascii="Arial" w:hAnsi="Arial" w:eastAsia="宋体" w:cs="Arial"/>
                <w:i w:val="0"/>
                <w:iCs w:val="0"/>
                <w:color w:val="000000"/>
                <w:sz w:val="20"/>
                <w:szCs w:val="20"/>
                <w:u w:val="none"/>
              </w:rPr>
            </w:pPr>
          </w:p>
        </w:tc>
        <w:tc>
          <w:tcPr>
            <w:tcW w:w="0" w:type="auto"/>
            <w:tcBorders>
              <w:top w:val="nil"/>
              <w:left w:val="nil"/>
              <w:bottom w:val="nil"/>
              <w:right w:val="nil"/>
            </w:tcBorders>
            <w:noWrap/>
            <w:vAlign w:val="center"/>
          </w:tcPr>
          <w:p>
            <w:pPr>
              <w:keepNext w:val="0"/>
              <w:keepLines w:val="0"/>
              <w:suppressLineNumbers w:val="0"/>
              <w:spacing w:before="0" w:beforeAutospacing="0" w:after="0" w:afterAutospacing="0"/>
              <w:ind w:left="0" w:right="0"/>
              <w:rPr>
                <w:rFonts w:hint="default" w:ascii="Arial" w:hAnsi="Arial" w:eastAsia="宋体" w:cs="Arial"/>
                <w:i w:val="0"/>
                <w:iCs w:val="0"/>
                <w:color w:val="000000"/>
                <w:sz w:val="20"/>
                <w:szCs w:val="20"/>
                <w:u w:val="none"/>
              </w:rPr>
            </w:pPr>
          </w:p>
        </w:tc>
        <w:tc>
          <w:tcPr>
            <w:tcW w:w="0" w:type="auto"/>
            <w:tcBorders>
              <w:top w:val="nil"/>
              <w:left w:val="nil"/>
              <w:bottom w:val="nil"/>
              <w:right w:val="nil"/>
            </w:tcBorders>
            <w:noWrap/>
            <w:vAlign w:val="center"/>
          </w:tcPr>
          <w:p>
            <w:pPr>
              <w:keepNext w:val="0"/>
              <w:keepLines w:val="0"/>
              <w:suppressLineNumbers w:val="0"/>
              <w:spacing w:before="0" w:beforeAutospacing="0" w:after="0" w:afterAutospacing="0"/>
              <w:ind w:left="0" w:right="0"/>
              <w:rPr>
                <w:rFonts w:hint="default" w:ascii="Arial" w:hAnsi="Arial" w:eastAsia="宋体" w:cs="Arial"/>
                <w:i w:val="0"/>
                <w:iCs w:val="0"/>
                <w:color w:val="000000"/>
                <w:sz w:val="20"/>
                <w:szCs w:val="20"/>
                <w:u w:val="none"/>
              </w:rPr>
            </w:pPr>
          </w:p>
        </w:tc>
        <w:tc>
          <w:tcPr>
            <w:tcW w:w="0" w:type="auto"/>
            <w:tcBorders>
              <w:top w:val="nil"/>
              <w:left w:val="nil"/>
              <w:bottom w:val="nil"/>
              <w:right w:val="nil"/>
            </w:tcBorders>
            <w:noWrap/>
            <w:vAlign w:val="center"/>
          </w:tcPr>
          <w:p>
            <w:pPr>
              <w:keepNext w:val="0"/>
              <w:keepLines w:val="0"/>
              <w:suppressLineNumbers w:val="0"/>
              <w:spacing w:before="0" w:beforeAutospacing="0" w:after="0" w:afterAutospacing="0"/>
              <w:ind w:left="0" w:right="0"/>
              <w:rPr>
                <w:rFonts w:hint="default" w:ascii="Arial" w:hAnsi="Arial" w:eastAsia="宋体" w:cs="Arial"/>
                <w:i w:val="0"/>
                <w:iCs w:val="0"/>
                <w:color w:val="000000"/>
                <w:sz w:val="20"/>
                <w:szCs w:val="20"/>
                <w:u w:val="none"/>
              </w:rPr>
            </w:pPr>
          </w:p>
        </w:tc>
        <w:tc>
          <w:tcPr>
            <w:tcW w:w="0" w:type="auto"/>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科目代码</w:t>
            </w:r>
          </w:p>
        </w:tc>
        <w:tc>
          <w:tcPr>
            <w:tcW w:w="289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科目名称</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决算数</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科目代码</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科目名称</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决算数</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科目代码</w:t>
            </w:r>
          </w:p>
        </w:tc>
        <w:tc>
          <w:tcPr>
            <w:tcW w:w="358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科目名称</w:t>
            </w:r>
          </w:p>
        </w:tc>
        <w:tc>
          <w:tcPr>
            <w:tcW w:w="175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358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87.88</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2.63</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30101</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29.32</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30201</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0.5</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30102</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2.43</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30202</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30103</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22.77</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30203</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30106</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30204</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30107</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11.15</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30205</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0.09</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30108</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10.27</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30206</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0.34</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30109</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30207</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0.1</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30110</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3.82</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30208</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30111</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30209</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30112</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0.42</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30211</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30113</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7.7</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30212</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30114</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30213</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30199</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30214</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2.31</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30215</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30301</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30216</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30302</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30217</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30303</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30218</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30304</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30224</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30305</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2.31</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30225</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30306</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30226</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30307</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30227</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30308</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30228</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30309</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30229</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30310</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30231</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0.4</w:t>
            </w: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30311</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30239</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30399</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30240</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30299</w:t>
            </w:r>
          </w:p>
        </w:tc>
        <w:tc>
          <w:tcPr>
            <w:tcW w:w="0" w:type="auto"/>
            <w:tcBorders>
              <w:top w:val="single" w:color="000000" w:sz="4" w:space="0"/>
              <w:left w:val="single" w:color="000000" w:sz="4" w:space="0"/>
              <w:bottom w:val="single" w:color="000000" w:sz="4" w:space="0"/>
              <w:right w:val="nil"/>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90.2</w:t>
            </w:r>
          </w:p>
        </w:tc>
        <w:tc>
          <w:tcPr>
            <w:tcW w:w="0" w:type="auto"/>
            <w:gridSpan w:val="5"/>
            <w:tcBorders>
              <w:top w:val="single" w:color="000000" w:sz="4" w:space="0"/>
              <w:left w:val="nil"/>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注：本表反映部门本年度一般公共预算财政拨款基本支出明细情况。</w:t>
            </w:r>
          </w:p>
        </w:tc>
      </w:tr>
    </w:tbl>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spacing w:line="240" w:lineRule="auto"/>
        <w:ind w:left="0"/>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tbl>
      <w:tblPr>
        <w:tblStyle w:val="6"/>
        <w:tblW w:w="13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9"/>
        <w:gridCol w:w="587"/>
        <w:gridCol w:w="514"/>
        <w:gridCol w:w="1800"/>
        <w:gridCol w:w="2192"/>
        <w:gridCol w:w="1362"/>
        <w:gridCol w:w="886"/>
        <w:gridCol w:w="1362"/>
        <w:gridCol w:w="1544"/>
        <w:gridCol w:w="2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13780" w:type="dxa"/>
            <w:gridSpan w:val="10"/>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3" w:hRule="atLeast"/>
        </w:trPr>
        <w:tc>
          <w:tcPr>
            <w:tcW w:w="639"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87"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4"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00"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192"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62"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86"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62"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544"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894"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部门：环江毛南族自治县文化馆</w:t>
            </w:r>
          </w:p>
        </w:tc>
        <w:tc>
          <w:tcPr>
            <w:tcW w:w="1362"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86"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62"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544"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894"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年初结转和结余</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本年收入</w:t>
            </w:r>
          </w:p>
        </w:tc>
        <w:tc>
          <w:tcPr>
            <w:tcW w:w="3792" w:type="dxa"/>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本年支出</w:t>
            </w:r>
          </w:p>
        </w:tc>
        <w:tc>
          <w:tcPr>
            <w:tcW w:w="289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4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科目名称</w:t>
            </w: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小计</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基本支出</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项目支出</w:t>
            </w:r>
          </w:p>
        </w:tc>
        <w:tc>
          <w:tcPr>
            <w:tcW w:w="289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89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4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289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289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2"/>
                <w:szCs w:val="12"/>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2"/>
                <w:szCs w:val="12"/>
                <w:u w:val="none"/>
              </w:rPr>
            </w:pPr>
          </w:p>
        </w:tc>
        <w:tc>
          <w:tcPr>
            <w:tcW w:w="2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2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3780" w:type="dxa"/>
            <w:gridSpan w:val="10"/>
            <w:tcBorders>
              <w:top w:val="single" w:color="000000" w:sz="4" w:space="0"/>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注：本表反映部门本年度政府性基金预算财政拨款收入、支出及结转和结余情况。</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本部门2023年度没有政府性基金预算财政拨款收入，也没有政府性基金预算财政拨款安排的支出，故本表无数据</w:t>
            </w:r>
          </w:p>
        </w:tc>
      </w:tr>
    </w:tbl>
    <w:p>
      <w:pPr>
        <w:spacing w:line="240" w:lineRule="auto"/>
        <w:ind w:left="0"/>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spacing w:line="240" w:lineRule="auto"/>
        <w:ind w:left="0"/>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tbl>
      <w:tblPr>
        <w:tblStyle w:val="6"/>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31"/>
        <w:gridCol w:w="455"/>
        <w:gridCol w:w="455"/>
        <w:gridCol w:w="2058"/>
        <w:gridCol w:w="831"/>
        <w:gridCol w:w="1962"/>
        <w:gridCol w:w="2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940" w:type="dxa"/>
            <w:gridSpan w:val="7"/>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431"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55"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55"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58"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31"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962"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748"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部门：环江毛南族自治县文化馆</w:t>
            </w:r>
          </w:p>
        </w:tc>
        <w:tc>
          <w:tcPr>
            <w:tcW w:w="455"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55"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58"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31"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962"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748"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41" w:type="dxa"/>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341"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748"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341"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4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341"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4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3940" w:type="dxa"/>
            <w:gridSpan w:val="7"/>
            <w:tcBorders>
              <w:top w:val="single" w:color="000000" w:sz="4" w:space="0"/>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本部门2023年度没有国有资本经营预算财政拨款收入，也没有国有资本经营预算财政拨款安排的支出，故本表无数据。</w:t>
            </w:r>
          </w:p>
        </w:tc>
      </w:tr>
    </w:tbl>
    <w:p>
      <w:pPr>
        <w:spacing w:line="240" w:lineRule="auto"/>
        <w:ind w:left="0"/>
        <w:rPr>
          <w:rFonts w:hint="eastAsia" w:ascii="仿宋_GB2312" w:eastAsia="仿宋_GB2312"/>
          <w:sz w:val="32"/>
          <w:szCs w:val="32"/>
        </w:rPr>
      </w:pPr>
    </w:p>
    <w:p>
      <w:pPr>
        <w:spacing w:line="240" w:lineRule="auto"/>
        <w:ind w:left="0"/>
        <w:rPr>
          <w:rFonts w:hint="eastAsia" w:ascii="仿宋_GB2312" w:eastAsia="仿宋_GB2312"/>
          <w:sz w:val="32"/>
          <w:szCs w:val="32"/>
        </w:rPr>
      </w:pPr>
      <w:r>
        <w:rPr>
          <w:rFonts w:hint="eastAsia" w:ascii="仿宋_GB2312" w:eastAsia="仿宋_GB2312"/>
          <w:sz w:val="32"/>
          <w:szCs w:val="32"/>
        </w:rPr>
        <w:br w:type="page"/>
      </w:r>
      <w:r>
        <w:rPr>
          <w:rFonts w:hint="eastAsia" w:ascii="仿宋_GB2312" w:eastAsia="仿宋_GB2312"/>
          <w:sz w:val="32"/>
          <w:szCs w:val="32"/>
        </w:rPr>
        <w:t>表九：财政拨款安排的“三公”经费支出决算表</w:t>
      </w:r>
    </w:p>
    <w:tbl>
      <w:tblPr>
        <w:tblStyle w:val="6"/>
        <w:tblW w:w="13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2"/>
        <w:gridCol w:w="1206"/>
        <w:gridCol w:w="650"/>
        <w:gridCol w:w="1181"/>
        <w:gridCol w:w="1504"/>
        <w:gridCol w:w="858"/>
        <w:gridCol w:w="868"/>
        <w:gridCol w:w="1301"/>
        <w:gridCol w:w="868"/>
        <w:gridCol w:w="1164"/>
        <w:gridCol w:w="1581"/>
        <w:gridCol w:w="1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3800" w:type="dxa"/>
            <w:gridSpan w:val="12"/>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882"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206"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50"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181"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504"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58"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68"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01"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68"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164"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581"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737"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部门：环江毛南族自治县文化馆</w:t>
            </w:r>
          </w:p>
        </w:tc>
        <w:tc>
          <w:tcPr>
            <w:tcW w:w="858"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68"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01"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68"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164"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581" w:type="dxa"/>
            <w:tcBorders>
              <w:top w:val="nil"/>
              <w:left w:val="nil"/>
              <w:bottom w:val="nil"/>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737"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281" w:type="dxa"/>
            <w:gridSpan w:val="6"/>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预算数</w:t>
            </w:r>
          </w:p>
        </w:tc>
        <w:tc>
          <w:tcPr>
            <w:tcW w:w="7519" w:type="dxa"/>
            <w:gridSpan w:val="6"/>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因公出国（境）费</w:t>
            </w:r>
          </w:p>
        </w:tc>
        <w:tc>
          <w:tcPr>
            <w:tcW w:w="3335" w:type="dxa"/>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公务用车购置及运行维护费</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公务接待费</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1301"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因公出国（境）费</w:t>
            </w:r>
          </w:p>
        </w:tc>
        <w:tc>
          <w:tcPr>
            <w:tcW w:w="3613" w:type="dxa"/>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公务用车购置及运行维护费</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小计</w:t>
            </w:r>
          </w:p>
        </w:tc>
        <w:tc>
          <w:tcPr>
            <w:tcW w:w="1181"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公务用车购置费</w:t>
            </w:r>
          </w:p>
        </w:tc>
        <w:tc>
          <w:tcPr>
            <w:tcW w:w="150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公务用车运行维护费</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小计</w:t>
            </w:r>
          </w:p>
        </w:tc>
        <w:tc>
          <w:tcPr>
            <w:tcW w:w="116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公务用车购置费</w:t>
            </w:r>
          </w:p>
        </w:tc>
        <w:tc>
          <w:tcPr>
            <w:tcW w:w="1581"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公务用车运行维护费</w:t>
            </w: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82"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181"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150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85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1301"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w:t>
            </w:r>
          </w:p>
        </w:tc>
        <w:tc>
          <w:tcPr>
            <w:tcW w:w="86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w:t>
            </w:r>
          </w:p>
        </w:tc>
        <w:tc>
          <w:tcPr>
            <w:tcW w:w="1164"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581"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w:t>
            </w:r>
          </w:p>
        </w:tc>
        <w:tc>
          <w:tcPr>
            <w:tcW w:w="1737"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0.40</w:t>
            </w:r>
          </w:p>
        </w:tc>
        <w:tc>
          <w:tcPr>
            <w:tcW w:w="1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3800" w:type="dxa"/>
            <w:gridSpan w:val="12"/>
            <w:tcBorders>
              <w:top w:val="single" w:color="000000" w:sz="4" w:space="0"/>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环江毛南族自治县文化馆</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214.69</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214.69</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66.66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45.03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214.69</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66.66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45.03</w:t>
      </w:r>
      <w:r>
        <w:rPr>
          <w:rFonts w:hint="eastAsia" w:ascii="仿宋_GB2312" w:hAnsi="黑体" w:eastAsia="仿宋_GB2312" w:cs="仿宋_GB2312"/>
          <w:color w:val="auto"/>
          <w:kern w:val="0"/>
          <w:sz w:val="32"/>
          <w:szCs w:val="32"/>
        </w:rPr>
        <w:t>%，主要原因是</w:t>
      </w:r>
      <w:r>
        <w:rPr>
          <w:rFonts w:hint="eastAsia" w:ascii="仿宋" w:hAnsi="仿宋" w:eastAsia="仿宋" w:cs="仿宋"/>
          <w:color w:val="auto"/>
          <w:kern w:val="2"/>
          <w:sz w:val="32"/>
          <w:szCs w:val="32"/>
          <w:highlight w:val="none"/>
          <w:lang w:val="en-US" w:eastAsia="zh-CN" w:bidi="ar"/>
        </w:rPr>
        <w:t>本年度开展文化活动增多。</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w:t>
      </w:r>
      <w:r>
        <w:rPr>
          <w:rFonts w:ascii="仿宋" w:hAnsi="仿宋" w:eastAsia="仿宋" w:cs="仿宋"/>
          <w:color w:val="auto"/>
          <w:sz w:val="32"/>
          <w:u w:color="auto"/>
        </w:rPr>
        <w:t>长0%</w:t>
      </w:r>
      <w:r>
        <w:rPr>
          <w:rFonts w:hint="eastAsia" w:ascii="仿宋" w:hAnsi="仿宋" w:eastAsia="仿宋" w:cs="仿宋"/>
          <w:color w:val="auto"/>
          <w:kern w:val="2"/>
          <w:sz w:val="32"/>
          <w:szCs w:val="32"/>
          <w:highlight w:val="none"/>
          <w:lang w:val="en-US" w:eastAsia="zh-CN" w:bidi="ar"/>
        </w:rPr>
        <w:t>，主要原因：本单位没有政府性基金预算财政拨款收入。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w:t>
      </w:r>
      <w:r>
        <w:rPr>
          <w:rFonts w:hint="eastAsia" w:ascii="仿宋" w:hAnsi="仿宋" w:eastAsia="仿宋" w:cs="仿宋"/>
          <w:kern w:val="2"/>
          <w:sz w:val="32"/>
          <w:szCs w:val="32"/>
          <w:highlight w:val="none"/>
          <w:lang w:val="en-US" w:eastAsia="zh-CN" w:bidi="ar"/>
        </w:rPr>
        <w:t>国有资本经营预算财政拨款</w:t>
      </w:r>
      <w:r>
        <w:rPr>
          <w:rFonts w:hint="eastAsia" w:ascii="仿宋" w:hAnsi="仿宋" w:eastAsia="仿宋" w:cs="仿宋"/>
          <w:color w:val="auto"/>
          <w:kern w:val="2"/>
          <w:sz w:val="32"/>
          <w:szCs w:val="32"/>
          <w:highlight w:val="none"/>
          <w:lang w:val="en-US" w:eastAsia="zh-CN" w:bidi="ar"/>
        </w:rPr>
        <w:t>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861560" cy="3505835"/>
            <wp:effectExtent l="4445" t="4445" r="10795" b="13970"/>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 w:hAnsi="仿宋" w:eastAsia="仿宋" w:cs="仿宋"/>
          <w:sz w:val="32"/>
          <w:szCs w:val="32"/>
          <w:highlight w:val="none"/>
        </w:rPr>
        <w:t>（二）</w:t>
      </w: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214.69</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214.69</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66.66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45.03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_GB2312" w:eastAsia="仿宋_GB2312" w:cs="仿宋_GB2312"/>
          <w:kern w:val="0"/>
          <w:sz w:val="32"/>
          <w:szCs w:val="32"/>
        </w:rPr>
        <w:t>）</w:t>
      </w:r>
      <w:r>
        <w:rPr>
          <w:rFonts w:hint="default" w:ascii="仿宋_GB2312" w:eastAsia="仿宋_GB2312" w:cs="仿宋_GB2312"/>
          <w:kern w:val="0"/>
          <w:sz w:val="32"/>
          <w:szCs w:val="32"/>
          <w:lang w:val="en-US"/>
        </w:rPr>
        <w:t>1.2</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支付</w:t>
      </w:r>
      <w:r>
        <w:rPr>
          <w:rFonts w:hint="eastAsia" w:ascii="仿宋_GB2312" w:hAnsi="Times New Roman" w:eastAsia="仿宋_GB2312" w:cs="仿宋_GB2312"/>
          <w:i w:val="0"/>
          <w:iCs w:val="0"/>
          <w:caps w:val="0"/>
          <w:spacing w:val="0"/>
          <w:kern w:val="0"/>
          <w:sz w:val="32"/>
          <w:szCs w:val="32"/>
          <w:shd w:val="clear" w:color="auto" w:fill="auto"/>
          <w:lang w:eastAsia="zh-CN"/>
        </w:rPr>
        <w:t>工会经费。</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0.16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11.76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紧跟中央政策过紧日子，支出减少</w:t>
      </w:r>
      <w:r>
        <w:rPr>
          <w:rFonts w:hint="eastAsia" w:ascii="仿宋_GB2312" w:hAnsi="黑体" w:eastAsia="仿宋_GB2312" w:cs="仿宋_GB2312"/>
          <w:kern w:val="0"/>
          <w:sz w:val="32"/>
          <w:szCs w:val="32"/>
        </w:rPr>
        <w:t>。</w:t>
      </w:r>
    </w:p>
    <w:p>
      <w:pPr>
        <w:keepNext w:val="0"/>
        <w:keepLines w:val="0"/>
        <w:widowControl w:val="0"/>
        <w:numPr>
          <w:ilvl w:val="0"/>
          <w:numId w:val="1"/>
        </w:numPr>
        <w:suppressLineNumbers w:val="0"/>
        <w:spacing w:before="0" w:beforeAutospacing="0" w:after="0" w:afterAutospacing="0"/>
        <w:ind w:left="0" w:right="0" w:firstLine="620" w:firstLineChars="200"/>
        <w:jc w:val="left"/>
        <w:rPr>
          <w:rFonts w:hint="eastAsia" w:ascii="仿宋" w:hAnsi="仿宋" w:eastAsia="仿宋" w:cs="仿宋"/>
          <w:color w:val="000000"/>
          <w:kern w:val="2"/>
          <w:sz w:val="32"/>
          <w:szCs w:val="32"/>
          <w:highlight w:val="none"/>
          <w:lang w:val="en-US" w:eastAsia="zh-CN" w:bidi="ar"/>
        </w:rPr>
      </w:pPr>
      <w:r>
        <w:rPr>
          <w:rFonts w:hint="eastAsia" w:ascii="仿宋_GB2312" w:hAnsi="宋体" w:eastAsia="仿宋_GB2312" w:cs="仿宋_GB2312"/>
          <w:i w:val="0"/>
          <w:iCs w:val="0"/>
          <w:caps w:val="0"/>
          <w:color w:val="333333"/>
          <w:spacing w:val="0"/>
          <w:sz w:val="31"/>
          <w:szCs w:val="31"/>
          <w:shd w:val="clear" w:color="auto" w:fill="FFFFFF"/>
        </w:rPr>
        <w:t>文化旅游体育与传媒支出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207</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184.25</w:t>
      </w:r>
      <w:r>
        <w:rPr>
          <w:rFonts w:hint="eastAsia" w:ascii="仿宋" w:hAnsi="仿宋" w:eastAsia="仿宋" w:cs="仿宋"/>
          <w:sz w:val="32"/>
          <w:szCs w:val="32"/>
          <w:highlight w:val="none"/>
        </w:rPr>
        <w:t>万元：</w:t>
      </w:r>
      <w:r>
        <w:rPr>
          <w:rFonts w:hint="eastAsia" w:ascii="仿宋" w:hAnsi="仿宋" w:eastAsia="仿宋" w:cs="仿宋"/>
          <w:color w:val="000000"/>
          <w:sz w:val="32"/>
          <w:szCs w:val="32"/>
          <w:highlight w:val="none"/>
        </w:rPr>
        <w:t>主要用于</w:t>
      </w:r>
      <w:r>
        <w:rPr>
          <w:rFonts w:hint="eastAsia" w:ascii="仿宋" w:hAnsi="仿宋" w:eastAsia="仿宋" w:cs="仿宋"/>
          <w:color w:val="000000"/>
          <w:sz w:val="32"/>
          <w:szCs w:val="32"/>
          <w:highlight w:val="none"/>
          <w:lang w:eastAsia="zh-CN"/>
        </w:rPr>
        <w:t>：</w:t>
      </w:r>
      <w:r>
        <w:rPr>
          <w:rFonts w:ascii="仿宋_GB2312" w:hAnsi="宋体" w:eastAsia="仿宋_GB2312" w:cs="仿宋_GB2312"/>
          <w:i w:val="0"/>
          <w:iCs w:val="0"/>
          <w:caps w:val="0"/>
          <w:color w:val="333333"/>
          <w:spacing w:val="0"/>
          <w:sz w:val="31"/>
          <w:szCs w:val="31"/>
          <w:shd w:val="clear" w:color="auto" w:fill="FFFFFF"/>
        </w:rPr>
        <w:t>主要用于本部门</w:t>
      </w:r>
      <w:r>
        <w:rPr>
          <w:rFonts w:hint="eastAsia" w:ascii="仿宋_GB2312" w:hAnsi="宋体" w:eastAsia="仿宋_GB2312" w:cs="仿宋_GB2312"/>
          <w:i w:val="0"/>
          <w:iCs w:val="0"/>
          <w:caps w:val="0"/>
          <w:color w:val="333333"/>
          <w:spacing w:val="0"/>
          <w:sz w:val="31"/>
          <w:szCs w:val="31"/>
          <w:shd w:val="clear" w:color="auto" w:fill="FFFFFF"/>
          <w:lang w:eastAsia="zh-CN"/>
        </w:rPr>
        <w:t>人员经费及</w:t>
      </w:r>
      <w:r>
        <w:rPr>
          <w:rFonts w:ascii="仿宋_GB2312" w:hAnsi="宋体" w:eastAsia="仿宋_GB2312" w:cs="仿宋_GB2312"/>
          <w:i w:val="0"/>
          <w:iCs w:val="0"/>
          <w:caps w:val="0"/>
          <w:color w:val="333333"/>
          <w:spacing w:val="0"/>
          <w:sz w:val="31"/>
          <w:szCs w:val="31"/>
          <w:shd w:val="clear" w:color="auto" w:fill="FFFFFF"/>
        </w:rPr>
        <w:t>为保证日常运转发生的基本支出和为完成各项工作任务、保障单位事业发展</w:t>
      </w:r>
      <w:r>
        <w:rPr>
          <w:rFonts w:hint="eastAsia" w:ascii="仿宋_GB2312" w:hAnsi="宋体" w:eastAsia="仿宋_GB2312" w:cs="仿宋_GB2312"/>
          <w:i w:val="0"/>
          <w:iCs w:val="0"/>
          <w:caps w:val="0"/>
          <w:color w:val="333333"/>
          <w:spacing w:val="0"/>
          <w:sz w:val="31"/>
          <w:szCs w:val="31"/>
          <w:shd w:val="clear" w:color="auto" w:fill="FFFFFF"/>
          <w:lang w:eastAsia="zh-CN"/>
        </w:rPr>
        <w:t>及</w:t>
      </w:r>
      <w:r>
        <w:rPr>
          <w:rFonts w:hint="eastAsia" w:ascii="仿宋" w:hAnsi="仿宋" w:eastAsia="仿宋" w:cs="仿宋"/>
          <w:color w:val="auto"/>
          <w:sz w:val="32"/>
          <w:szCs w:val="32"/>
          <w:highlight w:val="none"/>
          <w:lang w:val="en-US" w:eastAsia="zh-CN"/>
        </w:rPr>
        <w:t>群众文化活动</w:t>
      </w:r>
      <w:r>
        <w:rPr>
          <w:rFonts w:ascii="仿宋_GB2312" w:hAnsi="宋体" w:eastAsia="仿宋_GB2312" w:cs="仿宋_GB2312"/>
          <w:i w:val="0"/>
          <w:iCs w:val="0"/>
          <w:caps w:val="0"/>
          <w:color w:val="333333"/>
          <w:spacing w:val="0"/>
          <w:sz w:val="31"/>
          <w:szCs w:val="31"/>
          <w:shd w:val="clear" w:color="auto" w:fill="FFFFFF"/>
        </w:rPr>
        <w:t>而发生的项目支出。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68.92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59.76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kern w:val="2"/>
          <w:sz w:val="32"/>
          <w:szCs w:val="32"/>
          <w:highlight w:val="none"/>
          <w:lang w:val="en-US" w:eastAsia="zh-CN" w:bidi="ar"/>
        </w:rPr>
        <w:t>主要原因是：2023年度开展活动比2022年多。</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2"/>
          <w:szCs w:val="32"/>
          <w:highlight w:val="none"/>
          <w:lang w:val="en-US"/>
        </w:rPr>
      </w:pPr>
      <w:r>
        <w:rPr>
          <w:rFonts w:hint="eastAsia" w:ascii="仿宋_GB2312" w:hAnsi="宋体" w:eastAsia="仿宋_GB2312" w:cs="仿宋_GB2312"/>
          <w:i w:val="0"/>
          <w:iCs w:val="0"/>
          <w:caps w:val="0"/>
          <w:color w:val="333333"/>
          <w:spacing w:val="0"/>
          <w:sz w:val="31"/>
          <w:szCs w:val="31"/>
          <w:shd w:val="clear" w:color="auto" w:fill="FFFFFF"/>
          <w:lang w:val="en-US" w:eastAsia="zh-CN"/>
        </w:rPr>
        <w:t>3.</w:t>
      </w:r>
      <w:r>
        <w:rPr>
          <w:rFonts w:ascii="仿宋_GB2312" w:hAnsi="宋体" w:eastAsia="仿宋_GB2312" w:cs="仿宋_GB2312"/>
          <w:i w:val="0"/>
          <w:iCs w:val="0"/>
          <w:caps w:val="0"/>
          <w:color w:val="333333"/>
          <w:spacing w:val="0"/>
          <w:sz w:val="31"/>
          <w:szCs w:val="31"/>
          <w:shd w:val="clear" w:color="auto" w:fill="FFFFFF"/>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10.27</w:t>
      </w:r>
      <w:r>
        <w:rPr>
          <w:rFonts w:hint="eastAsia" w:ascii="仿宋" w:hAnsi="仿宋" w:eastAsia="仿宋" w:cs="仿宋"/>
          <w:sz w:val="32"/>
          <w:szCs w:val="32"/>
          <w:highlight w:val="none"/>
        </w:rPr>
        <w:t>万元：</w:t>
      </w:r>
      <w:r>
        <w:rPr>
          <w:rFonts w:hint="eastAsia" w:ascii="仿宋" w:hAnsi="仿宋" w:eastAsia="仿宋" w:cs="仿宋"/>
          <w:color w:val="000000"/>
          <w:sz w:val="32"/>
          <w:szCs w:val="32"/>
          <w:highlight w:val="none"/>
        </w:rPr>
        <w:t>主要用于</w:t>
      </w:r>
      <w:r>
        <w:rPr>
          <w:rFonts w:hint="eastAsia" w:ascii="仿宋" w:hAnsi="仿宋" w:eastAsia="仿宋" w:cs="仿宋"/>
          <w:color w:val="000000"/>
          <w:sz w:val="32"/>
          <w:szCs w:val="32"/>
          <w:highlight w:val="none"/>
          <w:lang w:eastAsia="zh-CN"/>
        </w:rPr>
        <w:t>：</w:t>
      </w:r>
      <w:r>
        <w:rPr>
          <w:rFonts w:ascii="仿宋_GB2312" w:hAnsi="宋体" w:eastAsia="仿宋_GB2312" w:cs="仿宋_GB2312"/>
          <w:i w:val="0"/>
          <w:iCs w:val="0"/>
          <w:caps w:val="0"/>
          <w:color w:val="333333"/>
          <w:spacing w:val="0"/>
          <w:sz w:val="31"/>
          <w:szCs w:val="31"/>
          <w:shd w:val="clear" w:color="auto" w:fill="FFFFFF"/>
        </w:rPr>
        <w:t>主要用于机关事业单位基本养老保险缴费支出。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减少</w:t>
      </w:r>
      <w:r>
        <w:rPr>
          <w:rFonts w:hint="eastAsia" w:ascii="仿宋" w:hAnsi="仿宋" w:eastAsia="仿宋" w:cs="仿宋"/>
          <w:sz w:val="32"/>
          <w:szCs w:val="32"/>
          <w:highlight w:val="none"/>
          <w:lang w:val="en-US" w:eastAsia="zh-CN" w:bidi="ar"/>
        </w:rPr>
        <w:t>0.13</w:t>
      </w:r>
      <w:r>
        <w:rPr>
          <w:rFonts w:hint="eastAsia" w:ascii="仿宋" w:hAnsi="仿宋" w:eastAsia="仿宋" w:cs="仿宋"/>
          <w:sz w:val="32"/>
          <w:szCs w:val="32"/>
          <w:highlight w:val="none"/>
        </w:rPr>
        <w:t>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1.28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kern w:val="2"/>
          <w:sz w:val="32"/>
          <w:szCs w:val="32"/>
          <w:highlight w:val="none"/>
          <w:lang w:val="en-US" w:eastAsia="zh-CN" w:bidi="ar"/>
        </w:rPr>
        <w:t>主要原因是：人员减少，养老保险支出减少。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kern w:val="2"/>
          <w:sz w:val="32"/>
          <w:szCs w:val="32"/>
          <w:highlight w:val="none"/>
          <w:lang w:val="en-US" w:eastAsia="zh-CN" w:bidi="ar"/>
        </w:rPr>
      </w:pPr>
      <w:r>
        <w:rPr>
          <w:rFonts w:hint="eastAsia" w:ascii="仿宋" w:hAnsi="仿宋" w:eastAsia="仿宋" w:cs="仿宋"/>
          <w:sz w:val="32"/>
          <w:szCs w:val="32"/>
          <w:highlight w:val="none"/>
        </w:rPr>
        <w:t>4</w:t>
      </w:r>
      <w:r>
        <w:rPr>
          <w:rFonts w:ascii="仿宋" w:hAnsi="仿宋" w:eastAsia="仿宋" w:cs="仿宋"/>
          <w:sz w:val="32"/>
        </w:rPr>
        <w:t>.</w:t>
      </w:r>
      <w:r>
        <w:rPr>
          <w:rFonts w:ascii="仿宋_GB2312" w:hAnsi="宋体" w:eastAsia="仿宋_GB2312" w:cs="仿宋_GB2312"/>
          <w:i w:val="0"/>
          <w:iCs w:val="0"/>
          <w:caps w:val="0"/>
          <w:color w:val="333333"/>
          <w:spacing w:val="0"/>
          <w:sz w:val="31"/>
          <w:szCs w:val="31"/>
          <w:shd w:val="clear" w:color="auto" w:fill="FFFFFF"/>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7.7</w:t>
      </w:r>
      <w:r>
        <w:rPr>
          <w:rFonts w:hint="eastAsia" w:ascii="仿宋" w:hAnsi="仿宋" w:eastAsia="仿宋" w:cs="仿宋"/>
          <w:sz w:val="32"/>
          <w:szCs w:val="32"/>
          <w:highlight w:val="none"/>
        </w:rPr>
        <w:t>万元：</w:t>
      </w:r>
      <w:r>
        <w:rPr>
          <w:rFonts w:hint="eastAsia" w:ascii="仿宋" w:hAnsi="仿宋" w:eastAsia="仿宋" w:cs="仿宋"/>
          <w:color w:val="000000"/>
          <w:sz w:val="32"/>
          <w:szCs w:val="32"/>
          <w:highlight w:val="none"/>
        </w:rPr>
        <w:t>主要用于</w:t>
      </w:r>
      <w:r>
        <w:rPr>
          <w:rFonts w:hint="eastAsia" w:ascii="仿宋" w:hAnsi="仿宋" w:eastAsia="仿宋" w:cs="仿宋"/>
          <w:color w:val="000000"/>
          <w:sz w:val="32"/>
          <w:szCs w:val="32"/>
          <w:highlight w:val="none"/>
          <w:lang w:eastAsia="zh-CN"/>
        </w:rPr>
        <w:t>：</w:t>
      </w:r>
      <w:r>
        <w:rPr>
          <w:rFonts w:ascii="仿宋_GB2312" w:hAnsi="宋体" w:eastAsia="仿宋_GB2312" w:cs="仿宋_GB2312"/>
          <w:i w:val="0"/>
          <w:iCs w:val="0"/>
          <w:caps w:val="0"/>
          <w:color w:val="333333"/>
          <w:spacing w:val="0"/>
          <w:sz w:val="31"/>
          <w:szCs w:val="31"/>
          <w:shd w:val="clear" w:color="auto" w:fill="FFFFFF"/>
        </w:rPr>
        <w:t>主要用于按照国家政策规定向职工发放的住房公积金、提租补贴、购房补贴等住房改革方面的支出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0.91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增加</w:t>
      </w:r>
      <w:r>
        <w:rPr>
          <w:rFonts w:hint="eastAsia" w:ascii="仿宋_GB2312" w:hAnsi="黑体" w:eastAsia="仿宋_GB2312" w:cs="仿宋_GB2312"/>
          <w:kern w:val="0"/>
          <w:sz w:val="32"/>
          <w:szCs w:val="32"/>
          <w:lang w:val="en-US" w:eastAsia="zh-CN"/>
        </w:rPr>
        <w:t>8.97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eastAsia="zh-CN" w:bidi="ar"/>
        </w:rPr>
        <w:t>，</w:t>
      </w:r>
      <w:r>
        <w:rPr>
          <w:rFonts w:hint="eastAsia" w:ascii="仿宋" w:hAnsi="仿宋" w:eastAsia="仿宋" w:cs="仿宋"/>
          <w:color w:val="000000"/>
          <w:kern w:val="2"/>
          <w:sz w:val="32"/>
          <w:szCs w:val="32"/>
          <w:highlight w:val="none"/>
          <w:lang w:val="en-US" w:eastAsia="zh-CN" w:bidi="ar"/>
        </w:rPr>
        <w:t>主要原因是：人员减少。</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 w:hAnsi="仿宋" w:eastAsia="仿宋" w:cs="仿宋"/>
          <w:color w:val="000000"/>
          <w:kern w:val="2"/>
          <w:sz w:val="32"/>
          <w:szCs w:val="32"/>
          <w:highlight w:val="none"/>
          <w:lang w:val="en-US" w:eastAsia="zh-CN" w:bidi="ar"/>
        </w:rPr>
        <w:t>5.</w:t>
      </w:r>
      <w:r>
        <w:rPr>
          <w:rFonts w:ascii="仿宋_GB2312" w:hAnsi="宋体" w:eastAsia="仿宋_GB2312" w:cs="仿宋_GB2312"/>
          <w:i w:val="0"/>
          <w:iCs w:val="0"/>
          <w:caps w:val="0"/>
          <w:color w:val="333333"/>
          <w:spacing w:val="0"/>
          <w:sz w:val="31"/>
          <w:szCs w:val="31"/>
          <w:shd w:val="clear" w:color="auto" w:fill="FFFFFF"/>
        </w:rPr>
        <w:t>其他支出</w:t>
      </w:r>
      <w:r>
        <w:rPr>
          <w:rFonts w:hint="eastAsia" w:ascii="仿宋_GB2312" w:hAnsi="宋体" w:eastAsia="仿宋_GB2312" w:cs="仿宋_GB2312"/>
          <w:i w:val="0"/>
          <w:iCs w:val="0"/>
          <w:caps w:val="0"/>
          <w:color w:val="333333"/>
          <w:spacing w:val="0"/>
          <w:sz w:val="31"/>
          <w:szCs w:val="31"/>
          <w:shd w:val="clear" w:color="auto" w:fill="FFFFFF"/>
          <w:lang w:eastAsia="zh-CN"/>
        </w:rPr>
        <w:t>（</w:t>
      </w:r>
      <w:r>
        <w:rPr>
          <w:rFonts w:hint="eastAsia" w:ascii="仿宋_GB2312" w:hAnsi="宋体" w:eastAsia="仿宋_GB2312" w:cs="仿宋_GB2312"/>
          <w:i w:val="0"/>
          <w:iCs w:val="0"/>
          <w:caps w:val="0"/>
          <w:color w:val="333333"/>
          <w:spacing w:val="0"/>
          <w:sz w:val="31"/>
          <w:szCs w:val="31"/>
          <w:shd w:val="clear" w:color="auto" w:fill="FFFFFF"/>
          <w:lang w:val="en-US" w:eastAsia="zh-CN"/>
        </w:rPr>
        <w:t>229类</w:t>
      </w:r>
      <w:r>
        <w:rPr>
          <w:rFonts w:hint="eastAsia" w:ascii="仿宋_GB2312" w:hAnsi="宋体" w:eastAsia="仿宋_GB2312" w:cs="仿宋_GB2312"/>
          <w:i w:val="0"/>
          <w:iCs w:val="0"/>
          <w:caps w:val="0"/>
          <w:color w:val="333333"/>
          <w:spacing w:val="0"/>
          <w:sz w:val="31"/>
          <w:szCs w:val="31"/>
          <w:shd w:val="clear" w:color="auto" w:fill="FFFFFF"/>
          <w:lang w:eastAsia="zh-CN"/>
        </w:rPr>
        <w:t>）</w:t>
      </w:r>
      <w:r>
        <w:rPr>
          <w:rFonts w:hint="eastAsia" w:ascii="仿宋_GB2312" w:hAnsi="宋体" w:eastAsia="仿宋_GB2312" w:cs="仿宋_GB2312"/>
          <w:i w:val="0"/>
          <w:iCs w:val="0"/>
          <w:caps w:val="0"/>
          <w:color w:val="333333"/>
          <w:spacing w:val="0"/>
          <w:sz w:val="31"/>
          <w:szCs w:val="31"/>
          <w:shd w:val="clear" w:color="auto" w:fill="FFFFFF"/>
          <w:lang w:val="en-US" w:eastAsia="zh-CN"/>
        </w:rPr>
        <w:t>11.27万元，</w:t>
      </w:r>
      <w:r>
        <w:rPr>
          <w:rFonts w:ascii="仿宋_GB2312" w:hAnsi="宋体" w:eastAsia="仿宋_GB2312" w:cs="仿宋_GB2312"/>
          <w:i w:val="0"/>
          <w:iCs w:val="0"/>
          <w:caps w:val="0"/>
          <w:color w:val="333333"/>
          <w:spacing w:val="0"/>
          <w:sz w:val="31"/>
          <w:szCs w:val="31"/>
          <w:shd w:val="clear" w:color="auto" w:fill="FFFFFF"/>
        </w:rPr>
        <w:t>主要用于年终绩效考评奖</w:t>
      </w:r>
      <w:r>
        <w:rPr>
          <w:rFonts w:hint="eastAsia" w:ascii="仿宋_GB2312" w:hAnsi="宋体" w:eastAsia="仿宋_GB2312" w:cs="仿宋_GB2312"/>
          <w:i w:val="0"/>
          <w:iCs w:val="0"/>
          <w:caps w:val="0"/>
          <w:color w:val="333333"/>
          <w:spacing w:val="0"/>
          <w:sz w:val="31"/>
          <w:szCs w:val="31"/>
          <w:shd w:val="clear" w:color="auto" w:fill="FFFFFF"/>
          <w:lang w:val="en-US" w:eastAsia="zh-CN"/>
        </w:rPr>
        <w:t>支出</w:t>
      </w:r>
      <w:r>
        <w:rPr>
          <w:rFonts w:ascii="仿宋_GB2312" w:hAnsi="宋体" w:eastAsia="仿宋_GB2312" w:cs="仿宋_GB2312"/>
          <w:i w:val="0"/>
          <w:iCs w:val="0"/>
          <w:caps w:val="0"/>
          <w:color w:val="333333"/>
          <w:spacing w:val="0"/>
          <w:sz w:val="31"/>
          <w:szCs w:val="31"/>
          <w:shd w:val="clear" w:color="auto" w:fill="FFFFFF"/>
        </w:rPr>
        <w:t>。较202</w:t>
      </w:r>
      <w:r>
        <w:rPr>
          <w:rFonts w:hint="eastAsia" w:ascii="仿宋_GB2312" w:hAnsi="宋体" w:eastAsia="仿宋_GB2312" w:cs="仿宋_GB2312"/>
          <w:i w:val="0"/>
          <w:iCs w:val="0"/>
          <w:caps w:val="0"/>
          <w:color w:val="333333"/>
          <w:spacing w:val="0"/>
          <w:sz w:val="31"/>
          <w:szCs w:val="31"/>
          <w:shd w:val="clear" w:color="auto" w:fill="FFFFFF"/>
          <w:lang w:val="en-US" w:eastAsia="zh-CN"/>
        </w:rPr>
        <w:t>2</w:t>
      </w:r>
      <w:r>
        <w:rPr>
          <w:rFonts w:ascii="仿宋_GB2312" w:hAnsi="宋体" w:eastAsia="仿宋_GB2312" w:cs="仿宋_GB2312"/>
          <w:i w:val="0"/>
          <w:iCs w:val="0"/>
          <w:caps w:val="0"/>
          <w:color w:val="333333"/>
          <w:spacing w:val="0"/>
          <w:sz w:val="31"/>
          <w:szCs w:val="31"/>
          <w:shd w:val="clear" w:color="auto" w:fill="FFFFFF"/>
        </w:rPr>
        <w:t>年度决算数</w:t>
      </w:r>
      <w:r>
        <w:rPr>
          <w:rFonts w:hint="eastAsia" w:ascii="仿宋_GB2312" w:hAnsi="宋体" w:eastAsia="仿宋_GB2312" w:cs="仿宋_GB2312"/>
          <w:i w:val="0"/>
          <w:iCs w:val="0"/>
          <w:caps w:val="0"/>
          <w:color w:val="333333"/>
          <w:spacing w:val="0"/>
          <w:sz w:val="31"/>
          <w:szCs w:val="31"/>
          <w:shd w:val="clear" w:color="auto" w:fill="FFFFFF"/>
          <w:lang w:eastAsia="zh-CN"/>
        </w:rPr>
        <w:t>减少</w:t>
      </w:r>
      <w:r>
        <w:rPr>
          <w:rFonts w:hint="eastAsia" w:ascii="仿宋_GB2312" w:hAnsi="宋体" w:eastAsia="仿宋_GB2312" w:cs="仿宋_GB2312"/>
          <w:i w:val="0"/>
          <w:iCs w:val="0"/>
          <w:caps w:val="0"/>
          <w:color w:val="333333"/>
          <w:spacing w:val="0"/>
          <w:sz w:val="31"/>
          <w:szCs w:val="31"/>
          <w:shd w:val="clear" w:color="auto" w:fill="FFFFFF"/>
          <w:lang w:val="en-US" w:eastAsia="zh-CN"/>
        </w:rPr>
        <w:t>3.14</w:t>
      </w:r>
      <w:r>
        <w:rPr>
          <w:rFonts w:ascii="仿宋_GB2312" w:hAnsi="宋体" w:eastAsia="仿宋_GB2312" w:cs="仿宋_GB2312"/>
          <w:i w:val="0"/>
          <w:iCs w:val="0"/>
          <w:caps w:val="0"/>
          <w:color w:val="333333"/>
          <w:spacing w:val="0"/>
          <w:sz w:val="31"/>
          <w:szCs w:val="31"/>
          <w:shd w:val="clear" w:color="auto" w:fill="FFFFFF"/>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21.79</w:t>
      </w:r>
      <w:r>
        <w:rPr>
          <w:rFonts w:ascii="仿宋_GB2312" w:hAnsi="宋体" w:eastAsia="仿宋_GB2312" w:cs="仿宋_GB2312"/>
          <w:i w:val="0"/>
          <w:iCs w:val="0"/>
          <w:caps w:val="0"/>
          <w:color w:val="333333"/>
          <w:spacing w:val="0"/>
          <w:sz w:val="31"/>
          <w:szCs w:val="31"/>
          <w:shd w:val="clear" w:color="auto" w:fill="FFFFFF"/>
        </w:rPr>
        <w:t>%，主要原因是</w:t>
      </w:r>
      <w:r>
        <w:rPr>
          <w:rFonts w:hint="eastAsia" w:ascii="仿宋_GB2312" w:hAnsi="宋体" w:eastAsia="仿宋_GB2312" w:cs="仿宋_GB2312"/>
          <w:i w:val="0"/>
          <w:iCs w:val="0"/>
          <w:caps w:val="0"/>
          <w:color w:val="333333"/>
          <w:spacing w:val="0"/>
          <w:sz w:val="31"/>
          <w:szCs w:val="31"/>
          <w:shd w:val="clear" w:color="auto" w:fill="FFFFFF"/>
          <w:lang w:eastAsia="zh-CN"/>
        </w:rPr>
        <w:t>：人员减少</w:t>
      </w:r>
      <w:r>
        <w:rPr>
          <w:rFonts w:hint="eastAsia" w:ascii="仿宋" w:hAnsi="仿宋" w:eastAsia="仿宋" w:cs="仿宋"/>
          <w:color w:val="000000"/>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_GB2312" w:cs="仿宋"/>
          <w:color w:val="000000"/>
          <w:sz w:val="32"/>
          <w:szCs w:val="32"/>
          <w:highlight w:val="none"/>
          <w:lang w:val="en-US" w:eastAsia="zh-CN" w:bidi="ar"/>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 xml:space="preserve">.结余分配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主要原因是</w:t>
      </w:r>
      <w:r>
        <w:rPr>
          <w:rFonts w:hint="eastAsia" w:ascii="仿宋" w:hAnsi="仿宋" w:eastAsia="仿宋" w:cs="仿宋"/>
          <w:color w:val="000000"/>
          <w:kern w:val="2"/>
          <w:sz w:val="32"/>
          <w:szCs w:val="32"/>
          <w:highlight w:val="none"/>
          <w:lang w:val="en-US" w:eastAsia="zh-CN" w:bidi="ar"/>
        </w:rPr>
        <w:t>：本单位无结余分配资金。</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 w:hAnsi="仿宋" w:eastAsia="仿宋" w:cs="仿宋"/>
          <w:color w:val="000000"/>
          <w:kern w:val="2"/>
          <w:sz w:val="32"/>
          <w:szCs w:val="32"/>
          <w:highlight w:val="none"/>
          <w:lang w:val="en-US" w:eastAsia="zh-CN" w:bidi="ar"/>
        </w:rPr>
        <w:t>主要原因是：本单位无年末结转和结余资金。</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689475" cy="2346960"/>
            <wp:effectExtent l="4445" t="4445" r="11430" b="1079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 xml:space="preserve"> 年度</w:t>
      </w:r>
      <w:bookmarkStart w:id="0" w:name="OLE_LINK1"/>
      <w:r>
        <w:rPr>
          <w:rFonts w:hint="eastAsia" w:ascii="黑体" w:hAnsi="黑体" w:eastAsia="黑体" w:cs="黑体"/>
          <w:sz w:val="32"/>
          <w:szCs w:val="32"/>
          <w:highlight w:val="none"/>
        </w:rPr>
        <w:t>一般公共预算财政拨款支出决算情况</w:t>
      </w:r>
      <w:bookmarkEnd w:id="0"/>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文化馆</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default" w:ascii="仿宋_GB2312" w:eastAsia="仿宋_GB2312" w:cs="仿宋_GB2312"/>
          <w:kern w:val="0"/>
          <w:sz w:val="32"/>
          <w:szCs w:val="32"/>
          <w:lang w:val="en-US"/>
        </w:rPr>
        <w:t>214.69</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66.66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45.03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default" w:ascii="仿宋_GB2312" w:eastAsia="仿宋_GB2312" w:cs="仿宋_GB2312"/>
          <w:kern w:val="0"/>
          <w:sz w:val="32"/>
          <w:szCs w:val="32"/>
          <w:lang w:val="en-US"/>
        </w:rPr>
        <w:t>92.83</w:t>
      </w:r>
      <w:r>
        <w:rPr>
          <w:rFonts w:hint="eastAsia" w:ascii="仿宋_GB2312" w:eastAsia="仿宋_GB2312" w:cs="仿宋_GB2312"/>
          <w:kern w:val="0"/>
          <w:sz w:val="32"/>
          <w:szCs w:val="32"/>
        </w:rPr>
        <w:t>万元，项目支出</w:t>
      </w:r>
      <w:r>
        <w:rPr>
          <w:rFonts w:hint="default" w:ascii="仿宋_GB2312" w:eastAsia="仿宋_GB2312" w:cs="仿宋_GB2312"/>
          <w:kern w:val="0"/>
          <w:sz w:val="32"/>
          <w:szCs w:val="32"/>
          <w:lang w:val="en-US"/>
        </w:rPr>
        <w:t>121.87</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 w:hAnsi="仿宋" w:eastAsia="仿宋" w:cs="仿宋"/>
          <w:sz w:val="32"/>
          <w:szCs w:val="32"/>
          <w:highlight w:val="none"/>
        </w:rPr>
        <w:t>环江毛南族自治县</w:t>
      </w:r>
      <w:r>
        <w:rPr>
          <w:rFonts w:hint="eastAsia" w:ascii="仿宋" w:hAnsi="仿宋" w:eastAsia="仿宋" w:cs="仿宋"/>
          <w:sz w:val="32"/>
          <w:szCs w:val="32"/>
          <w:highlight w:val="none"/>
          <w:lang w:eastAsia="zh-CN"/>
        </w:rPr>
        <w:t>文化馆</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218.80</w:t>
      </w:r>
      <w:r>
        <w:rPr>
          <w:rFonts w:hint="eastAsia" w:ascii="仿宋_GB2312" w:hAnsi="黑体" w:eastAsia="仿宋_GB2312" w:cs="仿宋_GB2312"/>
          <w:kern w:val="0"/>
          <w:sz w:val="32"/>
          <w:szCs w:val="32"/>
        </w:rPr>
        <w:t>万元，支出决算为</w:t>
      </w:r>
      <w:r>
        <w:rPr>
          <w:rFonts w:hint="default" w:ascii="仿宋_GB2312" w:eastAsia="仿宋_GB2312" w:cs="仿宋_GB2312"/>
          <w:kern w:val="0"/>
          <w:sz w:val="32"/>
          <w:szCs w:val="32"/>
          <w:lang w:val="en-US"/>
        </w:rPr>
        <w:t>214.69</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98.12</w:t>
      </w:r>
      <w:r>
        <w:rPr>
          <w:rFonts w:hint="eastAsia" w:ascii="仿宋_GB2312" w:hAnsi="黑体" w:eastAsia="仿宋_GB2312" w:cs="仿宋_GB2312"/>
          <w:kern w:val="0"/>
          <w:sz w:val="32"/>
          <w:szCs w:val="32"/>
        </w:rPr>
        <w:t>%。</w:t>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cs="仿宋"/>
          <w:sz w:val="32"/>
          <w:szCs w:val="32"/>
          <w:highlight w:val="none"/>
          <w:lang w:eastAsia="zh-CN"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年初预算为</w:t>
      </w:r>
      <w:r>
        <w:rPr>
          <w:rFonts w:hint="eastAsia" w:ascii="仿宋" w:hAnsi="仿宋" w:eastAsia="仿宋" w:cs="仿宋"/>
          <w:sz w:val="32"/>
          <w:szCs w:val="32"/>
          <w:highlight w:val="none"/>
          <w:lang w:val="en-US" w:eastAsia="zh-CN" w:bidi="ar"/>
        </w:rPr>
        <w:t>1.2</w:t>
      </w:r>
      <w:r>
        <w:rPr>
          <w:rFonts w:hint="eastAsia" w:ascii="仿宋" w:hAnsi="仿宋" w:eastAsia="仿宋" w:cs="仿宋"/>
          <w:sz w:val="32"/>
          <w:szCs w:val="32"/>
          <w:highlight w:val="none"/>
        </w:rPr>
        <w:t>万元</w:t>
      </w:r>
      <w:r>
        <w:rPr>
          <w:rFonts w:hint="eastAsia" w:ascii="仿宋" w:hAnsi="仿宋" w:eastAsia="仿宋"/>
          <w:sz w:val="32"/>
          <w:szCs w:val="32"/>
          <w:highlight w:val="none"/>
        </w:rPr>
        <w:t>，支出决算为</w:t>
      </w:r>
      <w:r>
        <w:rPr>
          <w:rFonts w:hint="eastAsia" w:ascii="仿宋" w:hAnsi="仿宋" w:eastAsia="仿宋" w:cs="仿宋"/>
          <w:sz w:val="32"/>
          <w:szCs w:val="32"/>
          <w:highlight w:val="none"/>
          <w:lang w:val="en-US" w:eastAsia="zh-CN" w:bidi="ar"/>
        </w:rPr>
        <w:t>1.2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单位工会经费的支出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_GB2312" w:hAnsi="宋体" w:eastAsia="仿宋_GB2312" w:cs="仿宋_GB2312"/>
          <w:i w:val="0"/>
          <w:iCs w:val="0"/>
          <w:caps w:val="0"/>
          <w:color w:val="333333"/>
          <w:spacing w:val="0"/>
          <w:sz w:val="31"/>
          <w:szCs w:val="31"/>
          <w:shd w:val="clear" w:color="auto" w:fill="FFFFFF"/>
        </w:rPr>
        <w:t>文化旅游体育与传媒支出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207</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年初预算为</w:t>
      </w:r>
      <w:r>
        <w:rPr>
          <w:rFonts w:hint="eastAsia" w:ascii="仿宋" w:hAnsi="仿宋" w:eastAsia="仿宋" w:cs="仿宋"/>
          <w:sz w:val="32"/>
          <w:szCs w:val="32"/>
          <w:highlight w:val="none"/>
          <w:lang w:val="en-US" w:eastAsia="zh-CN" w:bidi="ar"/>
        </w:rPr>
        <w:t>83.66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sz w:val="32"/>
          <w:szCs w:val="32"/>
          <w:highlight w:val="none"/>
        </w:rPr>
        <w:t>支出决算为</w:t>
      </w:r>
      <w:r>
        <w:rPr>
          <w:rFonts w:hint="eastAsia" w:ascii="仿宋" w:hAnsi="仿宋" w:eastAsia="仿宋" w:cs="仿宋"/>
          <w:sz w:val="32"/>
          <w:szCs w:val="32"/>
          <w:highlight w:val="none"/>
          <w:lang w:val="en-US" w:eastAsia="zh-CN" w:bidi="ar"/>
        </w:rPr>
        <w:t>184.25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220.24</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原因是：活动增加，年中追加经费较多</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2070109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群众文化</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64.87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2"/>
                <w:szCs w:val="12"/>
                <w:u w:val="none"/>
                <w:lang w:val="en-US" w:eastAsia="zh-CN" w:bidi="ar"/>
              </w:rPr>
              <w:t>84.26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129.89%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用于开展群众活动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auto"/>
                <w:sz w:val="15"/>
                <w:szCs w:val="15"/>
                <w:highlight w:val="none"/>
                <w:lang w:val="en-US" w:eastAsia="zh-CN"/>
              </w:rPr>
            </w:pPr>
            <w:r>
              <w:rPr>
                <w:rFonts w:hint="eastAsia" w:ascii="仿宋" w:hAnsi="仿宋" w:eastAsia="仿宋"/>
                <w:color w:val="auto"/>
                <w:sz w:val="15"/>
                <w:szCs w:val="15"/>
                <w:highlight w:val="none"/>
                <w:lang w:val="en-US" w:eastAsia="zh-CN"/>
              </w:rPr>
              <w:t>活动增加，年中追加经费较多。</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2070199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其他文化和旅游支出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19.79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2"/>
                <w:szCs w:val="12"/>
                <w:u w:val="none"/>
                <w:lang w:val="en-US" w:eastAsia="zh-CN" w:bidi="ar"/>
              </w:rPr>
              <w:t>99.99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505.26%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用于开展群众活动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上级拨款，无年初预算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83.66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184.25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rPr>
        <w:t>（208</w:t>
      </w:r>
      <w:r>
        <w:rPr>
          <w:rFonts w:hint="eastAsia" w:ascii="仿宋" w:hAnsi="仿宋" w:eastAsia="仿宋"/>
          <w:sz w:val="32"/>
          <w:szCs w:val="32"/>
          <w:highlight w:val="none"/>
        </w:rPr>
        <w:t>类）年初预算为</w:t>
      </w:r>
      <w:r>
        <w:rPr>
          <w:rFonts w:hint="eastAsia" w:ascii="仿宋" w:hAnsi="仿宋" w:eastAsia="仿宋" w:cs="仿宋"/>
          <w:sz w:val="32"/>
          <w:szCs w:val="32"/>
          <w:highlight w:val="none"/>
          <w:lang w:val="en-US" w:eastAsia="zh-CN" w:bidi="ar"/>
        </w:rPr>
        <w:t>9.63</w:t>
      </w:r>
      <w:r>
        <w:rPr>
          <w:rFonts w:hint="eastAsia" w:ascii="仿宋" w:hAnsi="仿宋" w:eastAsia="仿宋"/>
          <w:sz w:val="32"/>
          <w:szCs w:val="32"/>
          <w:highlight w:val="none"/>
        </w:rPr>
        <w:t>万元，支出决算为</w:t>
      </w:r>
      <w:r>
        <w:rPr>
          <w:rFonts w:hint="eastAsia" w:ascii="仿宋" w:hAnsi="仿宋" w:eastAsia="仿宋" w:cs="仿宋"/>
          <w:sz w:val="32"/>
          <w:szCs w:val="32"/>
          <w:highlight w:val="none"/>
          <w:lang w:val="en-US" w:eastAsia="zh-CN" w:bidi="ar"/>
        </w:rPr>
        <w:t>10.27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106.65</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原因是：基数调增，经费支出增多</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106.65%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用于职工养老保险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仿宋" w:hAnsi="仿宋" w:eastAsia="仿宋"/>
                <w:color w:val="000000"/>
                <w:sz w:val="32"/>
                <w:szCs w:val="32"/>
                <w:highlight w:val="none"/>
                <w:lang w:val="en-US" w:eastAsia="zh-CN"/>
              </w:rPr>
              <w:t>基数调增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768600"/>
            <wp:effectExtent l="4445" t="4445" r="16510" b="825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hint="eastAsia" w:ascii="仿宋" w:hAnsi="仿宋" w:eastAsia="仿宋"/>
          <w:color w:val="auto"/>
          <w:sz w:val="32"/>
          <w:szCs w:val="32"/>
          <w:highlight w:val="none"/>
        </w:rPr>
      </w:pPr>
      <w:r>
        <w:rPr>
          <w:rFonts w:ascii="仿宋_GB2312" w:hAnsi="宋体" w:eastAsia="仿宋_GB2312" w:cs="仿宋_GB2312"/>
          <w:i w:val="0"/>
          <w:iCs w:val="0"/>
          <w:caps w:val="0"/>
          <w:color w:val="333333"/>
          <w:spacing w:val="0"/>
          <w:sz w:val="31"/>
          <w:szCs w:val="31"/>
          <w:shd w:val="clear" w:color="auto" w:fill="FFFFFF"/>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年初预算为</w:t>
      </w:r>
      <w:r>
        <w:rPr>
          <w:rFonts w:hint="eastAsia" w:ascii="仿宋" w:hAnsi="仿宋" w:eastAsia="仿宋" w:cs="仿宋"/>
          <w:sz w:val="32"/>
          <w:szCs w:val="32"/>
          <w:highlight w:val="none"/>
          <w:lang w:val="en-US" w:eastAsia="zh-CN" w:bidi="ar"/>
        </w:rPr>
        <w:t>7.2</w:t>
      </w:r>
      <w:r>
        <w:rPr>
          <w:rFonts w:hint="eastAsia" w:ascii="仿宋" w:hAnsi="仿宋" w:eastAsia="仿宋" w:cs="仿宋"/>
          <w:sz w:val="32"/>
          <w:szCs w:val="32"/>
          <w:highlight w:val="none"/>
        </w:rPr>
        <w:t>万元</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7.7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106.94</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sz w:val="32"/>
          <w:szCs w:val="32"/>
          <w:highlight w:val="none"/>
        </w:rPr>
        <w:t>预决算</w:t>
      </w:r>
      <w:r>
        <w:rPr>
          <w:rFonts w:hint="eastAsia" w:ascii="仿宋" w:hAnsi="仿宋" w:eastAsia="仿宋"/>
          <w:color w:val="000000"/>
          <w:sz w:val="32"/>
          <w:szCs w:val="32"/>
          <w:highlight w:val="none"/>
          <w:lang w:val="en-US" w:eastAsia="zh-CN"/>
        </w:rPr>
        <w:t>存有</w:t>
      </w:r>
      <w:r>
        <w:rPr>
          <w:rFonts w:hint="eastAsia" w:ascii="仿宋" w:hAnsi="仿宋" w:eastAsia="仿宋"/>
          <w:color w:val="000000"/>
          <w:sz w:val="32"/>
          <w:szCs w:val="32"/>
          <w:highlight w:val="none"/>
        </w:rPr>
        <w:t>差异</w:t>
      </w:r>
      <w:r>
        <w:rPr>
          <w:rFonts w:hint="eastAsia" w:ascii="仿宋" w:hAnsi="仿宋" w:eastAsia="仿宋"/>
          <w:color w:val="000000"/>
          <w:sz w:val="32"/>
          <w:szCs w:val="32"/>
          <w:highlight w:val="none"/>
          <w:lang w:val="en-US" w:eastAsia="zh-CN"/>
        </w:rPr>
        <w:t>原因是：基数调增，经费支出增多</w:t>
      </w:r>
      <w:r>
        <w:rPr>
          <w:rFonts w:hint="eastAsia" w:ascii="仿宋" w:hAnsi="仿宋" w:eastAsia="仿宋"/>
          <w:sz w:val="32"/>
          <w:szCs w:val="32"/>
          <w:highlight w:val="none"/>
        </w:rPr>
        <w:t>。</w:t>
      </w: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106.94%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用于职工住房公积金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sz w:val="32"/>
                <w:szCs w:val="32"/>
                <w:highlight w:val="none"/>
                <w:lang w:val="en-US" w:eastAsia="zh-CN"/>
              </w:rPr>
              <w:t>基数调增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615565"/>
            <wp:effectExtent l="4445" t="4445" r="16510" b="8890"/>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hint="eastAsia" w:ascii="仿宋" w:hAnsi="仿宋" w:eastAsia="仿宋" w:cs="仿宋"/>
          <w:color w:val="auto"/>
          <w:kern w:val="2"/>
          <w:sz w:val="32"/>
          <w:szCs w:val="32"/>
          <w:highlight w:val="none"/>
          <w:lang w:val="en-US" w:eastAsia="zh-CN" w:bidi="ar"/>
        </w:rPr>
      </w:pPr>
      <w:r>
        <w:rPr>
          <w:rFonts w:ascii="仿宋_GB2312" w:hAnsi="宋体" w:eastAsia="仿宋_GB2312" w:cs="仿宋_GB2312"/>
          <w:i w:val="0"/>
          <w:iCs w:val="0"/>
          <w:caps w:val="0"/>
          <w:color w:val="333333"/>
          <w:spacing w:val="0"/>
          <w:sz w:val="31"/>
          <w:szCs w:val="31"/>
          <w:shd w:val="clear" w:color="auto" w:fill="FFFFFF"/>
        </w:rPr>
        <w:t>其他支出</w:t>
      </w:r>
      <w:r>
        <w:rPr>
          <w:rFonts w:hint="eastAsia" w:ascii="仿宋_GB2312" w:hAnsi="宋体" w:eastAsia="仿宋_GB2312" w:cs="仿宋_GB2312"/>
          <w:i w:val="0"/>
          <w:iCs w:val="0"/>
          <w:caps w:val="0"/>
          <w:color w:val="333333"/>
          <w:spacing w:val="0"/>
          <w:sz w:val="31"/>
          <w:szCs w:val="31"/>
          <w:shd w:val="clear" w:color="auto" w:fill="FFFFFF"/>
          <w:lang w:eastAsia="zh-CN"/>
        </w:rPr>
        <w:t>（</w:t>
      </w:r>
      <w:r>
        <w:rPr>
          <w:rFonts w:hint="eastAsia" w:ascii="仿宋_GB2312" w:hAnsi="宋体" w:eastAsia="仿宋_GB2312" w:cs="仿宋_GB2312"/>
          <w:i w:val="0"/>
          <w:iCs w:val="0"/>
          <w:caps w:val="0"/>
          <w:color w:val="333333"/>
          <w:spacing w:val="0"/>
          <w:sz w:val="31"/>
          <w:szCs w:val="31"/>
          <w:shd w:val="clear" w:color="auto" w:fill="FFFFFF"/>
          <w:lang w:val="en-US" w:eastAsia="zh-CN"/>
        </w:rPr>
        <w:t>229类</w:t>
      </w:r>
      <w:r>
        <w:rPr>
          <w:rFonts w:hint="eastAsia" w:ascii="仿宋_GB2312" w:hAnsi="宋体" w:eastAsia="仿宋_GB2312" w:cs="仿宋_GB2312"/>
          <w:i w:val="0"/>
          <w:iCs w:val="0"/>
          <w:caps w:val="0"/>
          <w:color w:val="333333"/>
          <w:spacing w:val="0"/>
          <w:sz w:val="31"/>
          <w:szCs w:val="31"/>
          <w:shd w:val="clear" w:color="auto" w:fill="FFFFFF"/>
          <w:lang w:eastAsia="zh-CN"/>
        </w:rPr>
        <w:t>）</w:t>
      </w:r>
      <w:r>
        <w:rPr>
          <w:rFonts w:hint="eastAsia" w:ascii="仿宋" w:hAnsi="仿宋" w:eastAsia="仿宋" w:cs="仿宋"/>
          <w:sz w:val="32"/>
          <w:szCs w:val="32"/>
          <w:highlight w:val="none"/>
          <w:lang w:eastAsia="zh-CN"/>
        </w:rPr>
        <w:t>年初预算为</w:t>
      </w:r>
      <w:r>
        <w:rPr>
          <w:rFonts w:hint="eastAsia" w:ascii="仿宋_GB2312" w:hAnsi="宋体" w:eastAsia="仿宋_GB2312" w:cs="仿宋_GB2312"/>
          <w:i w:val="0"/>
          <w:iCs w:val="0"/>
          <w:caps w:val="0"/>
          <w:color w:val="333333"/>
          <w:spacing w:val="0"/>
          <w:sz w:val="31"/>
          <w:szCs w:val="31"/>
          <w:shd w:val="clear" w:color="auto" w:fill="FFFFFF"/>
          <w:lang w:val="en-US" w:eastAsia="zh-CN"/>
        </w:rPr>
        <w:t>0万元，</w:t>
      </w:r>
      <w:r>
        <w:rPr>
          <w:rFonts w:hint="eastAsia" w:ascii="仿宋" w:hAnsi="仿宋" w:eastAsia="仿宋"/>
          <w:sz w:val="32"/>
          <w:szCs w:val="32"/>
          <w:highlight w:val="none"/>
        </w:rPr>
        <w:t>支出决算为</w:t>
      </w:r>
      <w:r>
        <w:rPr>
          <w:rFonts w:hint="eastAsia" w:ascii="仿宋_GB2312" w:hAnsi="宋体" w:eastAsia="仿宋_GB2312" w:cs="仿宋_GB2312"/>
          <w:i w:val="0"/>
          <w:iCs w:val="0"/>
          <w:caps w:val="0"/>
          <w:color w:val="333333"/>
          <w:spacing w:val="0"/>
          <w:sz w:val="31"/>
          <w:szCs w:val="31"/>
          <w:shd w:val="clear" w:color="auto" w:fill="FFFFFF"/>
          <w:lang w:val="en-US" w:eastAsia="zh-CN"/>
        </w:rPr>
        <w:t>11.27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sz w:val="32"/>
          <w:szCs w:val="32"/>
          <w:highlight w:val="none"/>
          <w:lang w:val="en-US" w:eastAsia="zh-CN"/>
        </w:rPr>
        <w:t>原因是：其他支出为奖励性补贴，年初预算时无预算</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用于职工奖励性补贴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年初无预算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92.83</w:t>
      </w:r>
      <w:r>
        <w:rPr>
          <w:rFonts w:hint="eastAsia" w:ascii="仿宋_GB2312" w:eastAsia="仿宋_GB2312" w:cs="仿宋_GB2312"/>
          <w:kern w:val="0"/>
          <w:sz w:val="32"/>
          <w:szCs w:val="32"/>
        </w:rPr>
        <w:t>万元</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90.2</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2.63</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numPr>
          <w:ilvl w:val="0"/>
          <w:numId w:val="3"/>
        </w:numPr>
        <w:autoSpaceDE w:val="0"/>
        <w:autoSpaceDN w:val="0"/>
        <w:adjustRightInd w:val="0"/>
        <w:spacing w:line="560" w:lineRule="exact"/>
        <w:ind w:firstLine="640" w:firstLineChars="200"/>
        <w:jc w:val="both"/>
        <w:rPr>
          <w:rFonts w:hint="eastAsia" w:ascii="仿宋_GB2312" w:eastAsia="仿宋_GB2312"/>
          <w:bCs/>
          <w:kern w:val="0"/>
          <w:sz w:val="32"/>
          <w:szCs w:val="32"/>
          <w:lang w:eastAsia="zh-CN"/>
        </w:rPr>
      </w:pPr>
      <w:r>
        <w:rPr>
          <w:rFonts w:hint="eastAsia" w:ascii="仿宋_GB2312" w:eastAsia="仿宋_GB2312"/>
          <w:bCs/>
          <w:kern w:val="0"/>
          <w:sz w:val="32"/>
          <w:szCs w:val="32"/>
        </w:rPr>
        <w:t>工资福利支出</w:t>
      </w:r>
      <w:r>
        <w:rPr>
          <w:rFonts w:hint="default" w:ascii="仿宋_GB2312" w:eastAsia="仿宋_GB2312" w:cs="仿宋_GB2312"/>
          <w:kern w:val="0"/>
          <w:sz w:val="32"/>
          <w:szCs w:val="32"/>
          <w:lang w:val="en-US"/>
        </w:rPr>
        <w:t>87.88</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145.42</w:t>
      </w:r>
      <w:r>
        <w:rPr>
          <w:rFonts w:hint="eastAsia" w:ascii="仿宋_GB2312" w:eastAsia="仿宋_GB2312"/>
          <w:bCs/>
          <w:kern w:val="0"/>
          <w:sz w:val="32"/>
          <w:szCs w:val="32"/>
        </w:rPr>
        <w:t xml:space="preserve"> %</w:t>
      </w:r>
      <w:r>
        <w:rPr>
          <w:rFonts w:hint="eastAsia" w:ascii="仿宋_GB2312" w:eastAsia="仿宋_GB2312"/>
          <w:bCs/>
          <w:kern w:val="0"/>
          <w:sz w:val="32"/>
          <w:szCs w:val="32"/>
          <w:lang w:eastAsia="zh-CN"/>
        </w:rPr>
        <w:t>，</w:t>
      </w:r>
      <w:r>
        <w:rPr>
          <w:rFonts w:hint="eastAsia" w:ascii="仿宋" w:hAnsi="仿宋" w:eastAsia="仿宋" w:cs="仿宋"/>
          <w:color w:val="000000"/>
          <w:kern w:val="2"/>
          <w:sz w:val="32"/>
          <w:szCs w:val="32"/>
          <w:highlight w:val="none"/>
          <w:lang w:val="en-US" w:eastAsia="zh-CN" w:bidi="ar"/>
        </w:rPr>
        <w:t>主要原因是：职工工资福利增加</w:t>
      </w:r>
      <w:r>
        <w:rPr>
          <w:rFonts w:hint="eastAsia" w:ascii="仿宋_GB2312" w:eastAsia="仿宋_GB2312"/>
          <w:bCs/>
          <w:kern w:val="0"/>
          <w:sz w:val="32"/>
          <w:szCs w:val="32"/>
        </w:rPr>
        <w:t>。</w:t>
      </w:r>
      <w:r>
        <w:rPr>
          <w:rFonts w:hint="eastAsia" w:ascii="仿宋_GB2312" w:eastAsia="仿宋_GB2312"/>
          <w:bCs/>
          <w:kern w:val="0"/>
          <w:sz w:val="32"/>
          <w:szCs w:val="32"/>
          <w:lang w:eastAsia="zh-CN"/>
        </w:rPr>
        <w:t>支出具体情况如下：30101基本工资29.32万元、30102津贴补贴2.43万元、30103奖金22.77万元、30107绩效工资11.15万元、30108机关事业单位基本养老保险缴费10.27万元、30110职工基本医疗保险缴费3.82万元、30112其他社会保障缴费0.42万元、30113住房公积金7.7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numPr>
          <w:ilvl w:val="0"/>
          <w:numId w:val="4"/>
        </w:numPr>
        <w:autoSpaceDE w:val="0"/>
        <w:autoSpaceDN w:val="0"/>
        <w:adjustRightInd w:val="0"/>
        <w:spacing w:line="560" w:lineRule="exact"/>
        <w:ind w:firstLine="640" w:firstLineChars="200"/>
        <w:jc w:val="both"/>
        <w:rPr>
          <w:rFonts w:hint="eastAsia" w:ascii="仿宋_GB2312" w:eastAsia="仿宋_GB2312"/>
          <w:bCs/>
          <w:kern w:val="0"/>
          <w:sz w:val="32"/>
          <w:szCs w:val="32"/>
          <w:lang w:eastAsia="zh-CN"/>
        </w:rPr>
      </w:pPr>
      <w:r>
        <w:rPr>
          <w:rFonts w:hint="eastAsia" w:ascii="仿宋_GB2312" w:eastAsia="仿宋_GB2312"/>
          <w:bCs/>
          <w:kern w:val="0"/>
          <w:sz w:val="32"/>
          <w:szCs w:val="32"/>
        </w:rPr>
        <w:t>商品和服务支出</w:t>
      </w:r>
      <w:r>
        <w:rPr>
          <w:rFonts w:hint="default" w:ascii="仿宋_GB2312" w:eastAsia="仿宋_GB2312" w:cs="仿宋_GB2312"/>
          <w:kern w:val="0"/>
          <w:sz w:val="32"/>
          <w:szCs w:val="32"/>
          <w:lang w:val="en-US"/>
        </w:rPr>
        <w:t>2.63</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73.26</w:t>
      </w:r>
      <w:r>
        <w:rPr>
          <w:rFonts w:hint="eastAsia" w:ascii="仿宋_GB2312" w:eastAsia="仿宋_GB2312"/>
          <w:bCs/>
          <w:kern w:val="0"/>
          <w:sz w:val="32"/>
          <w:szCs w:val="32"/>
        </w:rPr>
        <w:t>%</w:t>
      </w:r>
      <w:r>
        <w:rPr>
          <w:rFonts w:hint="eastAsia" w:ascii="仿宋_GB2312" w:eastAsia="仿宋_GB2312"/>
          <w:bCs/>
          <w:kern w:val="0"/>
          <w:sz w:val="32"/>
          <w:szCs w:val="32"/>
          <w:lang w:eastAsia="zh-CN"/>
        </w:rPr>
        <w:t>，</w:t>
      </w:r>
      <w:r>
        <w:rPr>
          <w:rFonts w:hint="eastAsia" w:ascii="仿宋" w:hAnsi="仿宋" w:eastAsia="仿宋" w:cs="仿宋"/>
          <w:color w:val="000000"/>
          <w:kern w:val="2"/>
          <w:sz w:val="32"/>
          <w:szCs w:val="32"/>
          <w:highlight w:val="none"/>
          <w:lang w:val="en-US" w:eastAsia="zh-CN" w:bidi="ar"/>
        </w:rPr>
        <w:t>主要原因是：</w:t>
      </w:r>
      <w:r>
        <w:rPr>
          <w:rFonts w:hint="eastAsia" w:ascii="仿宋" w:hAnsi="仿宋" w:eastAsia="仿宋" w:cs="仿宋"/>
          <w:color w:val="auto"/>
          <w:kern w:val="2"/>
          <w:sz w:val="32"/>
          <w:szCs w:val="32"/>
          <w:highlight w:val="none"/>
          <w:lang w:val="en-US" w:eastAsia="zh-CN" w:bidi="ar"/>
        </w:rPr>
        <w:t>部分项目未能支付</w:t>
      </w:r>
      <w:r>
        <w:rPr>
          <w:rFonts w:hint="eastAsia" w:ascii="仿宋_GB2312" w:eastAsia="仿宋_GB2312"/>
          <w:bCs/>
          <w:kern w:val="0"/>
          <w:sz w:val="32"/>
          <w:szCs w:val="32"/>
        </w:rPr>
        <w:t>。</w:t>
      </w:r>
      <w:r>
        <w:rPr>
          <w:rFonts w:hint="eastAsia" w:ascii="仿宋_GB2312" w:eastAsia="仿宋_GB2312"/>
          <w:bCs/>
          <w:kern w:val="0"/>
          <w:sz w:val="32"/>
          <w:szCs w:val="32"/>
          <w:lang w:eastAsia="zh-CN"/>
        </w:rPr>
        <w:t>支出具体情况如下：</w:t>
      </w:r>
      <w:r>
        <w:rPr>
          <w:rFonts w:hint="eastAsia" w:ascii="仿宋_GB2312" w:eastAsia="仿宋_GB2312"/>
          <w:bCs/>
          <w:kern w:val="0"/>
          <w:sz w:val="32"/>
          <w:szCs w:val="32"/>
        </w:rPr>
        <w:t>30201办公费0.5万元、30205水费0.09万元、30206电费0.34万元、30207邮电费0.1万元、30228工会经费1.2万元、30231公务用车运行维护费0.4万元</w:t>
      </w:r>
      <w:r>
        <w:rPr>
          <w:rFonts w:hint="eastAsia" w:ascii="仿宋_GB2312" w:eastAsia="仿宋_GB2312"/>
          <w:bCs/>
          <w:kern w:val="0"/>
          <w:sz w:val="32"/>
          <w:szCs w:val="32"/>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0"/>
        </w:numPr>
        <w:suppressLineNumbers w:val="0"/>
        <w:spacing w:before="0" w:beforeAutospacing="0" w:after="0" w:afterAutospacing="0"/>
        <w:ind w:left="420" w:leftChars="0" w:right="0" w:firstLine="320" w:firstLineChars="100"/>
        <w:jc w:val="left"/>
        <w:rPr>
          <w:rFonts w:ascii="仿宋" w:hAnsi="仿宋" w:eastAsia="仿宋" w:cs="仿宋"/>
          <w:color w:val="00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lang w:val="en-US" w:eastAsia="zh-CN"/>
        </w:rPr>
        <w:t>2.31</w:t>
      </w:r>
      <w:r>
        <w:rPr>
          <w:rFonts w:ascii="仿宋" w:hAnsi="仿宋" w:eastAsia="仿宋" w:cs="仿宋"/>
          <w:sz w:val="32"/>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154</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kern w:val="2"/>
          <w:sz w:val="32"/>
          <w:szCs w:val="32"/>
          <w:highlight w:val="none"/>
          <w:lang w:val="en-US" w:eastAsia="zh-CN" w:bidi="ar"/>
        </w:rPr>
        <w:t>主要原因是：遗嘱补助发放标准提高，增加退休人员。</w:t>
      </w:r>
    </w:p>
    <w:p>
      <w:pPr>
        <w:autoSpaceDE/>
        <w:autoSpaceDN/>
        <w:adjustRightInd/>
        <w:spacing w:line="240" w:lineRule="auto"/>
        <w:ind w:firstLine="0" w:firstLineChars="0"/>
        <w:jc w:val="left"/>
        <w:rPr>
          <w:rFonts w:hint="eastAsia" w:ascii="仿宋_GB2312" w:eastAsia="仿宋_GB2312"/>
          <w:bCs/>
          <w:kern w:val="0"/>
          <w:sz w:val="32"/>
          <w:szCs w:val="32"/>
          <w:lang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w:t>
      </w:r>
      <w:r>
        <w:rPr>
          <w:rFonts w:hint="eastAsia" w:ascii="仿宋" w:hAnsi="仿宋" w:eastAsia="仿宋" w:cs="仿宋"/>
          <w:sz w:val="32"/>
          <w:lang w:val="en-US" w:eastAsia="zh-CN"/>
        </w:rPr>
        <w:t>2.31</w:t>
      </w:r>
      <w:r>
        <w:rPr>
          <w:rFonts w:hint="eastAsia" w:ascii="仿宋" w:hAnsi="仿宋" w:eastAsia="仿宋" w:cs="仿宋"/>
          <w:sz w:val="32"/>
          <w:szCs w:val="32"/>
          <w:highlight w:val="none"/>
          <w:lang w:val="en-US" w:eastAsia="zh-CN"/>
        </w:rPr>
        <w:t>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5"/>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w:t>
      </w:r>
      <w:r>
        <w:rPr>
          <w:rFonts w:hint="eastAsia" w:ascii="仿宋" w:hAnsi="仿宋" w:eastAsia="仿宋" w:cs="仿宋"/>
          <w:sz w:val="32"/>
          <w:szCs w:val="32"/>
          <w:highlight w:val="none"/>
        </w:rPr>
        <w:t>债务利息及费用支出</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5"/>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w:t>
      </w:r>
      <w:r>
        <w:rPr>
          <w:rFonts w:hint="eastAsia" w:ascii="仿宋" w:hAnsi="仿宋" w:eastAsia="仿宋" w:cs="仿宋"/>
          <w:color w:val="auto"/>
          <w:sz w:val="32"/>
          <w:szCs w:val="32"/>
          <w:highlight w:val="none"/>
        </w:rPr>
        <w:t>资本性支出</w:t>
      </w:r>
      <w:r>
        <w:rPr>
          <w:rFonts w:hint="eastAsia" w:ascii="仿宋" w:hAnsi="仿宋" w:eastAsia="仿宋" w:cs="仿宋"/>
          <w:color w:val="auto"/>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5"/>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主要原因是：本单位无其他支出。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环江毛南族自治县文化馆</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环江毛南族自治县文化馆</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环江毛南族自治县文化馆</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环江毛南族自治县文化馆</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环江毛南族自治县文化馆</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1" w:name="PO_part3A5B1C1DiffReason1"/>
      <w:r>
        <w:rPr>
          <w:rFonts w:hint="eastAsia" w:ascii="仿宋_GB2312" w:hAnsi="Times New Roman" w:eastAsia="仿宋_GB2312" w:cs="Times New Roman"/>
          <w:color w:val="auto"/>
          <w:sz w:val="32"/>
          <w:szCs w:val="32"/>
        </w:rPr>
        <w:t>环江毛南族自治县文化馆</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1"/>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年度财政拨款安排的“三公”经费支出 </w:t>
      </w:r>
      <w:r>
        <w:rPr>
          <w:rFonts w:hint="default" w:ascii="仿宋_GB2312" w:eastAsia="仿宋_GB2312" w:cs="仿宋_GB2312"/>
          <w:kern w:val="0"/>
          <w:sz w:val="32"/>
          <w:szCs w:val="32"/>
          <w:lang w:val="en-US"/>
        </w:rPr>
        <w:t>0.4</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default" w:ascii="仿宋_GB2312" w:eastAsia="仿宋_GB2312" w:cs="仿宋_GB2312"/>
          <w:kern w:val="0"/>
          <w:sz w:val="32"/>
          <w:szCs w:val="32"/>
          <w:lang w:val="en-US"/>
        </w:rPr>
        <w:t>0.4</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numPr>
          <w:ilvl w:val="0"/>
          <w:numId w:val="6"/>
        </w:num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r>
        <w:rPr>
          <w:rFonts w:hint="eastAsia" w:ascii="仿宋_GB2312" w:eastAsia="仿宋_GB2312" w:cs="仿宋_GB2312"/>
          <w:kern w:val="0"/>
          <w:sz w:val="32"/>
          <w:szCs w:val="32"/>
        </w:rPr>
        <w:t>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与上年一致，根据往年来看也无因公出国（境）费支出，故年初不做预算。</w:t>
      </w:r>
      <w:r>
        <w:rPr>
          <w:rFonts w:hint="eastAsia" w:ascii="仿宋_GB2312" w:eastAsia="仿宋_GB2312" w:cs="仿宋_GB2312"/>
          <w:kern w:val="0"/>
          <w:sz w:val="32"/>
          <w:szCs w:val="32"/>
        </w:rPr>
        <w:t>全年使用财政拨款安排</w:t>
      </w:r>
      <w:r>
        <w:rPr>
          <w:rFonts w:hint="eastAsia" w:ascii="仿宋_GB2312" w:hAnsi="黑体" w:eastAsia="仿宋_GB2312"/>
          <w:bCs/>
          <w:color w:val="000000"/>
          <w:sz w:val="32"/>
          <w:szCs w:val="32"/>
        </w:rPr>
        <w:t>机关、</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个所属单位出国团组</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个，累计</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人次。</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default" w:ascii="仿宋_GB2312" w:eastAsia="仿宋_GB2312" w:cs="仿宋_GB2312"/>
          <w:kern w:val="0"/>
          <w:sz w:val="32"/>
          <w:szCs w:val="32"/>
          <w:lang w:val="en-US"/>
        </w:rPr>
        <w:t>0.4</w:t>
      </w:r>
      <w:r>
        <w:rPr>
          <w:rFonts w:hint="eastAsia" w:ascii="仿宋_GB2312" w:eastAsia="仿宋_GB2312" w:cs="仿宋_GB2312"/>
          <w:kern w:val="0"/>
          <w:sz w:val="32"/>
          <w:szCs w:val="32"/>
        </w:rPr>
        <w:t>万元。其中：公务用车运行费支出</w:t>
      </w:r>
      <w:r>
        <w:rPr>
          <w:rFonts w:hint="eastAsia" w:ascii="仿宋_GB2312" w:eastAsia="仿宋_GB2312" w:cs="仿宋_GB2312"/>
          <w:kern w:val="0"/>
          <w:sz w:val="32"/>
          <w:szCs w:val="32"/>
          <w:lang w:val="en-US" w:eastAsia="zh-CN"/>
        </w:rPr>
        <w:t>0.4</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r>
        <w:rPr>
          <w:rFonts w:hint="eastAsia" w:ascii="仿宋" w:hAnsi="仿宋" w:eastAsia="仿宋" w:cs="仿宋"/>
          <w:kern w:val="2"/>
          <w:sz w:val="32"/>
          <w:szCs w:val="32"/>
          <w:highlight w:val="none"/>
          <w:lang w:val="en-US" w:eastAsia="zh-CN" w:bidi="ar-SA"/>
        </w:rPr>
        <w:t>。购置了0辆公务用车</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0.4</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42.11</w:t>
      </w: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w:t>
      </w:r>
      <w:r>
        <w:rPr>
          <w:rFonts w:hint="eastAsia" w:ascii="仿宋_GB2312" w:hAnsi="Times New Roman" w:eastAsia="仿宋_GB2312" w:cs="Times New Roman"/>
          <w:color w:val="000000"/>
          <w:sz w:val="32"/>
          <w:szCs w:val="32"/>
        </w:rPr>
        <w:t>环江毛南族自治县</w:t>
      </w:r>
      <w:r>
        <w:rPr>
          <w:rFonts w:hint="eastAsia" w:ascii="仿宋_GB2312" w:hAnsi="Times New Roman" w:eastAsia="仿宋_GB2312" w:cs="Times New Roman"/>
          <w:color w:val="000000"/>
          <w:sz w:val="32"/>
          <w:szCs w:val="32"/>
          <w:lang w:eastAsia="zh-CN"/>
        </w:rPr>
        <w:t>文化馆</w:t>
      </w:r>
      <w:r>
        <w:rPr>
          <w:rFonts w:hint="eastAsia" w:ascii="仿宋_GB2312" w:hAnsi="黑体" w:eastAsia="仿宋_GB2312"/>
          <w:bCs/>
          <w:color w:val="000000"/>
          <w:sz w:val="32"/>
          <w:szCs w:val="32"/>
        </w:rPr>
        <w:t>、</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个所属单位开支财政拨款的公务用车保有量为</w:t>
      </w:r>
      <w:r>
        <w:rPr>
          <w:rFonts w:hint="eastAsia" w:ascii="仿宋_GB2312" w:eastAsia="仿宋_GB2312" w:cs="仿宋_GB2312"/>
          <w:kern w:val="0"/>
          <w:sz w:val="32"/>
          <w:szCs w:val="32"/>
          <w:lang w:val="en-US" w:eastAsia="zh-CN"/>
        </w:rPr>
        <w:t>1</w:t>
      </w:r>
      <w:r>
        <w:rPr>
          <w:rFonts w:hint="eastAsia" w:ascii="仿宋_GB2312" w:hAnsi="黑体" w:eastAsia="仿宋_GB2312"/>
          <w:bCs/>
          <w:color w:val="000000"/>
          <w:sz w:val="32"/>
          <w:szCs w:val="32"/>
        </w:rPr>
        <w:t xml:space="preserve"> 辆，全年运行费支出</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万元，平均每辆</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 w:hAnsi="仿宋" w:eastAsia="仿宋" w:cs="仿宋"/>
          <w:kern w:val="2"/>
          <w:sz w:val="32"/>
          <w:szCs w:val="32"/>
          <w:highlight w:val="none"/>
          <w:lang w:val="en-US" w:eastAsia="zh-CN" w:bidi="ar-SA"/>
        </w:rPr>
        <w:t>2023年度本部门没有“三公”经费收支，也没有“三公”经费的支出，故无数据。</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eastAsia" w:ascii="仿宋" w:hAnsi="仿宋" w:eastAsia="仿宋" w:cs="仿宋"/>
          <w:color w:val="auto"/>
          <w:sz w:val="32"/>
          <w:szCs w:val="32"/>
          <w:highlight w:val="none"/>
          <w:lang w:eastAsia="zh-CN"/>
        </w:rPr>
        <w:t>未及时支付，</w:t>
      </w:r>
      <w:r>
        <w:rPr>
          <w:rFonts w:hint="eastAsia" w:ascii="仿宋" w:hAnsi="仿宋" w:eastAsia="仿宋" w:cs="仿宋"/>
          <w:color w:val="auto"/>
          <w:sz w:val="32"/>
          <w:szCs w:val="32"/>
          <w:highlight w:val="none"/>
        </w:rPr>
        <w:t>落实过紧日子要求压减支出</w:t>
      </w:r>
      <w:r>
        <w:rPr>
          <w:rFonts w:hint="eastAsia" w:ascii="仿宋" w:hAnsi="仿宋" w:eastAsia="仿宋" w:cs="仿宋"/>
          <w:color w:val="auto"/>
          <w:sz w:val="32"/>
          <w:szCs w:val="32"/>
          <w:highlight w:val="none"/>
          <w:lang w:eastAsia="zh-CN"/>
        </w:rPr>
        <w:t>。</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1</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1</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1.项目支出绩效自评结果。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16</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126.98</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16</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126.98</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640" w:firstLineChars="200"/>
        <w:jc w:val="left"/>
        <w:outlineLvl w:val="9"/>
        <w:rPr>
          <w:rFonts w:hint="eastAsia" w:ascii="仿宋" w:hAnsi="仿宋" w:eastAsia="仿宋" w:cs="仿宋"/>
          <w:color w:val="000000"/>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14</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124.23</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87.5</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97.83</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2</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2.74</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12.5</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2.17</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eastAsia" w:ascii="仿宋" w:hAnsi="仿宋" w:eastAsia="仿宋" w:cs="仿宋"/>
          <w:color w:val="000000"/>
          <w:sz w:val="32"/>
          <w:szCs w:val="32"/>
        </w:rPr>
        <w:t>一是</w:t>
      </w:r>
      <w:r>
        <w:rPr>
          <w:rFonts w:hint="eastAsia" w:ascii="仿宋" w:hAnsi="仿宋" w:eastAsia="仿宋" w:cs="仿宋"/>
          <w:color w:val="000000"/>
          <w:sz w:val="32"/>
          <w:szCs w:val="32"/>
          <w:lang w:eastAsia="zh-CN"/>
        </w:rPr>
        <w:t>业务开展不及时</w:t>
      </w:r>
      <w:r>
        <w:rPr>
          <w:rFonts w:hint="eastAsia" w:ascii="仿宋" w:hAnsi="仿宋" w:eastAsia="仿宋" w:cs="仿宋"/>
          <w:color w:val="000000"/>
          <w:sz w:val="32"/>
          <w:szCs w:val="32"/>
        </w:rPr>
        <w:t>；二是</w:t>
      </w:r>
      <w:r>
        <w:rPr>
          <w:rFonts w:hint="eastAsia" w:ascii="仿宋" w:hAnsi="仿宋" w:eastAsia="仿宋" w:cs="仿宋"/>
          <w:color w:val="000000"/>
          <w:sz w:val="32"/>
          <w:szCs w:val="32"/>
          <w:lang w:eastAsia="zh-CN"/>
        </w:rPr>
        <w:t>部分业务开展后未能及时支付</w:t>
      </w:r>
      <w:r>
        <w:rPr>
          <w:rFonts w:hint="eastAsia" w:ascii="仿宋" w:hAnsi="仿宋" w:eastAsia="仿宋" w:cs="仿宋"/>
          <w:color w:val="000000"/>
          <w:sz w:val="32"/>
          <w:szCs w:val="32"/>
        </w:rPr>
        <w:t>。下一步改进措施：一是</w:t>
      </w:r>
      <w:r>
        <w:rPr>
          <w:rFonts w:hint="eastAsia" w:ascii="仿宋" w:hAnsi="仿宋" w:eastAsia="仿宋" w:cs="仿宋"/>
          <w:color w:val="000000"/>
          <w:sz w:val="32"/>
          <w:szCs w:val="32"/>
          <w:lang w:eastAsia="zh-CN"/>
        </w:rPr>
        <w:t>完善各项业务的开展计划</w:t>
      </w:r>
      <w:r>
        <w:rPr>
          <w:rFonts w:hint="eastAsia" w:ascii="仿宋" w:hAnsi="仿宋" w:eastAsia="仿宋" w:cs="仿宋"/>
          <w:color w:val="000000"/>
          <w:sz w:val="32"/>
          <w:szCs w:val="32"/>
        </w:rPr>
        <w:t>；二是</w:t>
      </w:r>
      <w:r>
        <w:rPr>
          <w:rFonts w:hint="eastAsia" w:ascii="仿宋" w:hAnsi="仿宋" w:eastAsia="仿宋" w:cs="仿宋"/>
          <w:color w:val="000000"/>
          <w:sz w:val="32"/>
          <w:szCs w:val="32"/>
          <w:lang w:eastAsia="zh-CN"/>
        </w:rPr>
        <w:t>业务开展后及时支付款项</w:t>
      </w:r>
    </w:p>
    <w:p>
      <w:pPr>
        <w:numPr>
          <w:ilvl w:val="0"/>
          <w:numId w:val="7"/>
        </w:numPr>
        <w:ind w:firstLine="640" w:firstLineChars="200"/>
        <w:jc w:val="left"/>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部分重点项目绩效自评情况：根据年初设定的绩效目标，</w:t>
      </w:r>
      <w:r>
        <w:rPr>
          <w:rFonts w:hint="eastAsia" w:ascii="仿宋" w:hAnsi="仿宋" w:eastAsia="仿宋" w:cs="仿宋"/>
          <w:color w:val="000000"/>
          <w:sz w:val="32"/>
          <w:szCs w:val="32"/>
          <w:lang w:val="en-US" w:eastAsia="zh-CN"/>
        </w:rPr>
        <w:t>民族服装经费项目</w:t>
      </w:r>
      <w:r>
        <w:rPr>
          <w:rFonts w:hint="eastAsia" w:ascii="仿宋" w:hAnsi="仿宋" w:eastAsia="仿宋" w:cs="仿宋"/>
          <w:color w:val="000000"/>
          <w:sz w:val="32"/>
          <w:szCs w:val="32"/>
        </w:rPr>
        <w:t>自评得分为</w:t>
      </w:r>
      <w:r>
        <w:rPr>
          <w:rFonts w:hint="eastAsia" w:ascii="仿宋" w:hAnsi="仿宋" w:eastAsia="仿宋" w:cs="仿宋"/>
          <w:color w:val="00000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，一等，项目全年预算数为</w:t>
      </w:r>
      <w:r>
        <w:rPr>
          <w:rFonts w:hint="eastAsia" w:ascii="仿宋_GB2312" w:eastAsia="仿宋_GB2312" w:cs="仿宋_GB2312"/>
          <w:kern w:val="0"/>
          <w:sz w:val="32"/>
          <w:szCs w:val="32"/>
          <w:lang w:val="en-US" w:eastAsia="zh-CN"/>
        </w:rPr>
        <w:t>12.4</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12.4</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%。项目绩效目标完成情况：一是完成</w:t>
      </w:r>
      <w:r>
        <w:rPr>
          <w:rFonts w:hint="eastAsia" w:ascii="仿宋_GB2312" w:hAnsi="Times New Roman" w:eastAsia="仿宋_GB2312" w:cs="仿宋_GB2312"/>
          <w:i w:val="0"/>
          <w:iCs w:val="0"/>
          <w:caps w:val="0"/>
          <w:color w:val="auto"/>
          <w:spacing w:val="0"/>
          <w:kern w:val="0"/>
          <w:sz w:val="32"/>
          <w:szCs w:val="32"/>
          <w:shd w:val="clear" w:color="auto" w:fill="auto"/>
          <w:lang w:bidi="ar"/>
        </w:rPr>
        <w:t>民族服装</w:t>
      </w:r>
      <w:r>
        <w:rPr>
          <w:rFonts w:hint="eastAsia" w:ascii="仿宋_GB2312" w:hAnsi="Times New Roman" w:eastAsia="仿宋_GB2312" w:cs="仿宋_GB2312"/>
          <w:i w:val="0"/>
          <w:iCs w:val="0"/>
          <w:caps w:val="0"/>
          <w:color w:val="auto"/>
          <w:spacing w:val="0"/>
          <w:kern w:val="0"/>
          <w:sz w:val="32"/>
          <w:szCs w:val="32"/>
          <w:shd w:val="clear" w:color="auto" w:fill="auto"/>
          <w:lang w:eastAsia="zh-CN" w:bidi="ar"/>
        </w:rPr>
        <w:t>制作</w:t>
      </w:r>
      <w:r>
        <w:rPr>
          <w:rFonts w:hint="eastAsia" w:ascii="仿宋_GB2312" w:hAnsi="Times New Roman" w:eastAsia="仿宋_GB2312" w:cs="仿宋_GB2312"/>
          <w:i w:val="0"/>
          <w:iCs w:val="0"/>
          <w:caps w:val="0"/>
          <w:color w:val="auto"/>
          <w:spacing w:val="0"/>
          <w:kern w:val="0"/>
          <w:sz w:val="32"/>
          <w:szCs w:val="32"/>
          <w:shd w:val="clear" w:color="auto" w:fill="auto"/>
          <w:lang w:val="en-US" w:eastAsia="zh-CN" w:bidi="ar"/>
        </w:rPr>
        <w:t>140套</w:t>
      </w:r>
      <w:r>
        <w:rPr>
          <w:rFonts w:hint="eastAsia" w:ascii="仿宋_GB2312" w:hAnsi="Times New Roman" w:eastAsia="仿宋_GB2312" w:cs="仿宋_GB2312"/>
          <w:b w:val="0"/>
          <w:bCs w:val="0"/>
          <w:caps w:val="0"/>
          <w:color w:val="auto"/>
          <w:kern w:val="0"/>
          <w:sz w:val="32"/>
          <w:szCs w:val="32"/>
          <w:vertAlign w:val="baseline"/>
          <w:lang w:val="en-US" w:eastAsia="zh-CN" w:bidi="ar"/>
        </w:rPr>
        <w:t>；二是</w:t>
      </w:r>
      <w:r>
        <w:rPr>
          <w:rFonts w:hint="eastAsia" w:ascii="仿宋_GB2312" w:hAnsi="Times New Roman" w:eastAsia="仿宋_GB2312" w:cs="仿宋_GB2312"/>
          <w:i w:val="0"/>
          <w:iCs w:val="0"/>
          <w:caps w:val="0"/>
          <w:color w:val="auto"/>
          <w:spacing w:val="0"/>
          <w:kern w:val="0"/>
          <w:sz w:val="32"/>
          <w:szCs w:val="32"/>
          <w:shd w:val="clear" w:color="auto" w:fill="auto"/>
          <w:lang w:eastAsia="zh-CN" w:bidi="ar"/>
        </w:rPr>
        <w:t>及时支付经费</w:t>
      </w:r>
      <w:r>
        <w:rPr>
          <w:rFonts w:hint="eastAsia" w:ascii="仿宋_GB2312" w:hAnsi="Times New Roman" w:eastAsia="仿宋_GB2312" w:cs="仿宋_GB2312"/>
          <w:i w:val="0"/>
          <w:iCs w:val="0"/>
          <w:caps w:val="0"/>
          <w:color w:val="auto"/>
          <w:spacing w:val="0"/>
          <w:kern w:val="0"/>
          <w:sz w:val="32"/>
          <w:szCs w:val="32"/>
          <w:shd w:val="clear" w:color="auto" w:fill="auto"/>
          <w:lang w:val="en-US" w:eastAsia="zh-CN" w:bidi="ar"/>
        </w:rPr>
        <w:t>；三是</w:t>
      </w:r>
      <w:r>
        <w:rPr>
          <w:rFonts w:hint="eastAsia" w:ascii="仿宋_GB2312" w:hAnsi="Times New Roman" w:eastAsia="仿宋_GB2312" w:cs="仿宋_GB2312"/>
          <w:i w:val="0"/>
          <w:iCs w:val="0"/>
          <w:caps w:val="0"/>
          <w:color w:val="auto"/>
          <w:spacing w:val="0"/>
          <w:kern w:val="0"/>
          <w:sz w:val="32"/>
          <w:szCs w:val="32"/>
          <w:shd w:val="clear" w:color="auto" w:fill="auto"/>
          <w:lang w:bidi="ar"/>
        </w:rPr>
        <w:t>提高群众业余文化生活</w:t>
      </w:r>
      <w:r>
        <w:rPr>
          <w:rFonts w:hint="eastAsia" w:ascii="仿宋_GB2312" w:hAnsi="Times New Roman" w:eastAsia="仿宋_GB2312" w:cs="仿宋_GB2312"/>
          <w:b w:val="0"/>
          <w:bCs w:val="0"/>
          <w:caps w:val="0"/>
          <w:color w:val="auto"/>
          <w:kern w:val="0"/>
          <w:sz w:val="32"/>
          <w:szCs w:val="32"/>
          <w:vertAlign w:val="baseline"/>
          <w:lang w:val="en-US" w:eastAsia="zh-CN" w:bidi="ar"/>
        </w:rPr>
        <w:t>。</w:t>
      </w:r>
    </w:p>
    <w:p>
      <w:pPr>
        <w:numPr>
          <w:ilvl w:val="0"/>
          <w:numId w:val="0"/>
        </w:numPr>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8"/>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分龙节项目经费自评得分94.96分</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未及时支付</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及时支付</w:t>
      </w:r>
      <w:r>
        <w:rPr>
          <w:rFonts w:hint="eastAsia" w:ascii="仿宋" w:hAnsi="仿宋" w:eastAsia="仿宋" w:cs="仿宋"/>
          <w:color w:val="000000" w:themeColor="text1"/>
          <w:sz w:val="32"/>
          <w:szCs w:val="32"/>
          <w14:textFill>
            <w14:solidFill>
              <w14:schemeClr w14:val="tx1"/>
            </w14:solidFill>
          </w14:textFill>
        </w:rPr>
        <w:t>。</w:t>
      </w:r>
    </w:p>
    <w:p>
      <w:pPr>
        <w:numPr>
          <w:ilvl w:val="0"/>
          <w:numId w:val="8"/>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eastAsia="zh-CN"/>
          <w14:textFill>
            <w14:solidFill>
              <w14:schemeClr w14:val="tx1"/>
            </w14:solidFill>
          </w14:textFill>
        </w:rPr>
        <w:t>奖励性补贴自评得分100分</w:t>
      </w:r>
      <w:r>
        <w:rPr>
          <w:rFonts w:hint="eastAsia" w:ascii="仿宋" w:hAnsi="仿宋" w:eastAsia="仿宋" w:cs="仿宋"/>
          <w:color w:val="000000" w:themeColor="text1"/>
          <w:sz w:val="32"/>
          <w:szCs w:val="32"/>
          <w14:textFill>
            <w14:solidFill>
              <w14:schemeClr w14:val="tx1"/>
            </w14:solidFill>
          </w14:textFill>
        </w:rPr>
        <w:t>。</w:t>
      </w:r>
    </w:p>
    <w:p>
      <w:pPr>
        <w:numPr>
          <w:ilvl w:val="0"/>
          <w:numId w:val="8"/>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eastAsia="zh-CN"/>
          <w14:textFill>
            <w14:solidFill>
              <w14:schemeClr w14:val="tx1"/>
            </w14:solidFill>
          </w14:textFill>
        </w:rPr>
        <w:t>演出服装费自评得分100分</w:t>
      </w:r>
      <w:r>
        <w:rPr>
          <w:rFonts w:hint="eastAsia" w:ascii="仿宋" w:hAnsi="仿宋" w:eastAsia="仿宋" w:cs="仿宋"/>
          <w:color w:val="000000" w:themeColor="text1"/>
          <w:sz w:val="32"/>
          <w:szCs w:val="32"/>
          <w14:textFill>
            <w14:solidFill>
              <w14:schemeClr w14:val="tx1"/>
            </w14:solidFill>
          </w14:textFill>
        </w:rPr>
        <w:t>。</w:t>
      </w:r>
    </w:p>
    <w:p>
      <w:pPr>
        <w:numPr>
          <w:ilvl w:val="0"/>
          <w:numId w:val="8"/>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eastAsia="zh-CN"/>
          <w14:textFill>
            <w14:solidFill>
              <w14:schemeClr w14:val="tx1"/>
            </w14:solidFill>
          </w14:textFill>
        </w:rPr>
        <w:t>县级免费开放资金自评得分99.48分</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未及时支付</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及时支付</w:t>
      </w:r>
      <w:r>
        <w:rPr>
          <w:rFonts w:hint="eastAsia" w:ascii="仿宋" w:hAnsi="仿宋" w:eastAsia="仿宋" w:cs="仿宋"/>
          <w:color w:val="000000" w:themeColor="text1"/>
          <w:sz w:val="32"/>
          <w:szCs w:val="32"/>
          <w14:textFill>
            <w14:solidFill>
              <w14:schemeClr w14:val="tx1"/>
            </w14:solidFill>
          </w14:textFill>
        </w:rPr>
        <w:t>。</w:t>
      </w:r>
    </w:p>
    <w:p>
      <w:pPr>
        <w:numPr>
          <w:ilvl w:val="0"/>
          <w:numId w:val="8"/>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val="en-US" w:eastAsia="zh-CN"/>
          <w14:textFill>
            <w14:solidFill>
              <w14:schemeClr w14:val="tx1"/>
            </w14:solidFill>
          </w14:textFill>
        </w:rPr>
        <w:t>三月三经费自评得分100分</w:t>
      </w:r>
      <w:r>
        <w:rPr>
          <w:rFonts w:hint="eastAsia" w:ascii="仿宋" w:hAnsi="仿宋" w:eastAsia="仿宋" w:cs="仿宋"/>
          <w:color w:val="000000" w:themeColor="text1"/>
          <w:sz w:val="32"/>
          <w:szCs w:val="32"/>
          <w14:textFill>
            <w14:solidFill>
              <w14:schemeClr w14:val="tx1"/>
            </w14:solidFill>
          </w14:textFill>
        </w:rPr>
        <w:t>。</w:t>
      </w:r>
    </w:p>
    <w:p>
      <w:pPr>
        <w:numPr>
          <w:ilvl w:val="0"/>
          <w:numId w:val="8"/>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val="en-US" w:eastAsia="zh-CN"/>
          <w14:textFill>
            <w14:solidFill>
              <w14:schemeClr w14:val="tx1"/>
            </w14:solidFill>
          </w14:textFill>
        </w:rPr>
        <w:t>文化志愿者经费自评得分90分</w:t>
      </w:r>
      <w:r>
        <w:rPr>
          <w:rFonts w:hint="eastAsia" w:ascii="仿宋" w:hAnsi="仿宋" w:eastAsia="仿宋" w:cs="仿宋"/>
          <w:color w:val="000000" w:themeColor="text1"/>
          <w:sz w:val="32"/>
          <w:szCs w:val="32"/>
          <w14:textFill>
            <w14:solidFill>
              <w14:schemeClr w14:val="tx1"/>
            </w14:solidFill>
          </w14:textFill>
        </w:rPr>
        <w:t>。</w:t>
      </w:r>
    </w:p>
    <w:p>
      <w:pPr>
        <w:numPr>
          <w:ilvl w:val="0"/>
          <w:numId w:val="8"/>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val="en-US" w:eastAsia="zh-CN"/>
          <w14:textFill>
            <w14:solidFill>
              <w14:schemeClr w14:val="tx1"/>
            </w14:solidFill>
          </w14:textFill>
        </w:rPr>
        <w:t>文化馆免费开放经费中央资金自评得分100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8"/>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val="en-US" w:eastAsia="zh-CN"/>
          <w14:textFill>
            <w14:solidFill>
              <w14:schemeClr w14:val="tx1"/>
            </w14:solidFill>
          </w14:textFill>
        </w:rPr>
        <w:t>公共文化资金自评得分90分</w:t>
      </w:r>
      <w:r>
        <w:rPr>
          <w:rFonts w:hint="eastAsia" w:ascii="仿宋" w:hAnsi="仿宋" w:eastAsia="仿宋" w:cs="仿宋"/>
          <w:color w:val="000000" w:themeColor="text1"/>
          <w:sz w:val="32"/>
          <w:szCs w:val="32"/>
          <w14:textFill>
            <w14:solidFill>
              <w14:schemeClr w14:val="tx1"/>
            </w14:solidFill>
          </w14:textFill>
        </w:rPr>
        <w:t>。</w:t>
      </w:r>
    </w:p>
    <w:p>
      <w:pPr>
        <w:numPr>
          <w:ilvl w:val="0"/>
          <w:numId w:val="8"/>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val="en-US" w:eastAsia="zh-CN"/>
          <w14:textFill>
            <w14:solidFill>
              <w14:schemeClr w14:val="tx1"/>
            </w14:solidFill>
          </w14:textFill>
        </w:rPr>
        <w:t>奖励性补贴(非三保)自评得分100分</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未及时支付</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及时支付</w:t>
      </w:r>
      <w:r>
        <w:rPr>
          <w:rFonts w:hint="eastAsia" w:ascii="仿宋" w:hAnsi="仿宋" w:eastAsia="仿宋" w:cs="仿宋"/>
          <w:color w:val="000000" w:themeColor="text1"/>
          <w:sz w:val="32"/>
          <w:szCs w:val="32"/>
          <w14:textFill>
            <w14:solidFill>
              <w14:schemeClr w14:val="tx1"/>
            </w14:solidFill>
          </w14:textFill>
        </w:rPr>
        <w:t>。</w:t>
      </w:r>
    </w:p>
    <w:p>
      <w:pPr>
        <w:numPr>
          <w:ilvl w:val="0"/>
          <w:numId w:val="8"/>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val="en-US" w:eastAsia="zh-CN"/>
          <w14:textFill>
            <w14:solidFill>
              <w14:schemeClr w14:val="tx1"/>
            </w14:solidFill>
          </w14:textFill>
        </w:rPr>
        <w:t>保安经费自评得分96.97分</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未及时支付</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及时支付</w:t>
      </w:r>
      <w:r>
        <w:rPr>
          <w:rFonts w:hint="eastAsia" w:ascii="仿宋" w:hAnsi="仿宋" w:eastAsia="仿宋" w:cs="仿宋"/>
          <w:color w:val="000000" w:themeColor="text1"/>
          <w:sz w:val="32"/>
          <w:szCs w:val="32"/>
          <w14:textFill>
            <w14:solidFill>
              <w14:schemeClr w14:val="tx1"/>
            </w14:solidFill>
          </w14:textFill>
        </w:rPr>
        <w:t>。</w:t>
      </w:r>
    </w:p>
    <w:p>
      <w:pPr>
        <w:numPr>
          <w:ilvl w:val="0"/>
          <w:numId w:val="8"/>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创作费自评得分99.98分</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未及时支付</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及时支付</w:t>
      </w:r>
      <w:r>
        <w:rPr>
          <w:rFonts w:hint="eastAsia" w:ascii="仿宋" w:hAnsi="仿宋" w:eastAsia="仿宋" w:cs="仿宋"/>
          <w:color w:val="000000" w:themeColor="text1"/>
          <w:sz w:val="32"/>
          <w:szCs w:val="32"/>
          <w14:textFill>
            <w14:solidFill>
              <w14:schemeClr w14:val="tx1"/>
            </w14:solidFill>
          </w14:textFill>
        </w:rPr>
        <w:t>。</w:t>
      </w:r>
    </w:p>
    <w:p>
      <w:pPr>
        <w:numPr>
          <w:ilvl w:val="0"/>
          <w:numId w:val="8"/>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文化馆免费开放自治区补助经费自评得分100分</w:t>
      </w:r>
    </w:p>
    <w:p>
      <w:pPr>
        <w:numPr>
          <w:ilvl w:val="0"/>
          <w:numId w:val="8"/>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铜鼓山歌艺术节经费自评得分100分</w:t>
      </w:r>
    </w:p>
    <w:p>
      <w:pPr>
        <w:numPr>
          <w:ilvl w:val="0"/>
          <w:numId w:val="8"/>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民族服装经费自评得分100分</w:t>
      </w:r>
    </w:p>
    <w:p>
      <w:pPr>
        <w:numPr>
          <w:ilvl w:val="0"/>
          <w:numId w:val="8"/>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业务经费自评得分70.48分</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未及时支付</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及时支付</w:t>
      </w:r>
      <w:r>
        <w:rPr>
          <w:rFonts w:hint="eastAsia" w:ascii="仿宋" w:hAnsi="仿宋" w:eastAsia="仿宋" w:cs="仿宋"/>
          <w:color w:val="000000" w:themeColor="text1"/>
          <w:sz w:val="32"/>
          <w:szCs w:val="32"/>
          <w14:textFill>
            <w14:solidFill>
              <w14:schemeClr w14:val="tx1"/>
            </w14:solidFill>
          </w14:textFill>
        </w:rPr>
        <w:t>。</w:t>
      </w:r>
    </w:p>
    <w:p>
      <w:pPr>
        <w:numPr>
          <w:ilvl w:val="0"/>
          <w:numId w:val="8"/>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公共数字文化建设经费自评得分60分</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未及时支付</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及时支付</w:t>
      </w:r>
      <w:r>
        <w:rPr>
          <w:rFonts w:hint="eastAsia" w:ascii="仿宋" w:hAnsi="仿宋" w:eastAsia="仿宋" w:cs="仿宋"/>
          <w:color w:val="000000" w:themeColor="text1"/>
          <w:sz w:val="32"/>
          <w:szCs w:val="32"/>
          <w14:textFill>
            <w14:solidFill>
              <w14:schemeClr w14:val="tx1"/>
            </w14:solidFill>
          </w14:textFill>
        </w:rPr>
        <w:t>。</w:t>
      </w:r>
    </w:p>
    <w:p>
      <w:pPr>
        <w:jc w:val="center"/>
        <w:rPr>
          <w:rFonts w:hint="eastAsia" w:ascii="黑体" w:hAnsi="黑体" w:eastAsia="黑体" w:cs="黑体"/>
          <w:sz w:val="32"/>
          <w:szCs w:val="32"/>
          <w:highlight w:val="none"/>
        </w:rPr>
      </w:pPr>
    </w:p>
    <w:p>
      <w:pPr>
        <w:jc w:val="center"/>
        <w:rPr>
          <w:rFonts w:ascii="黑体" w:hAnsi="黑体" w:eastAsia="黑体" w:cs="黑体"/>
          <w:sz w:val="32"/>
          <w:szCs w:val="32"/>
          <w:highlight w:val="none"/>
        </w:rPr>
      </w:pPr>
      <w:bookmarkStart w:id="2" w:name="_GoBack"/>
      <w:bookmarkEnd w:id="2"/>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二、事业收入：指事业单位开展专业业务活动及辅助活动所取得的收入。</w:t>
      </w:r>
      <w:r>
        <w:rPr>
          <w:rFonts w:hint="eastAsia" w:ascii="仿宋" w:hAnsi="仿宋" w:eastAsia="仿宋" w:cs="仿宋"/>
          <w:sz w:val="32"/>
          <w:szCs w:val="32"/>
          <w:highlight w:val="none"/>
          <w:lang w:val="en-US" w:eastAsia="zh-CN"/>
        </w:rPr>
        <w:t xml:space="preserve">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5120" w:firstLineChars="1600"/>
        <w:jc w:val="left"/>
        <w:rPr>
          <w:rFonts w:hint="default" w:ascii="仿宋" w:hAnsi="仿宋" w:eastAsia="仿宋" w:cs="仿宋"/>
          <w:sz w:val="32"/>
          <w:szCs w:val="32"/>
          <w:highlight w:val="none"/>
          <w:lang w:val="en-US" w:eastAsia="zh-CN"/>
        </w:rPr>
      </w:pPr>
    </w:p>
    <w:p>
      <w:pPr>
        <w:spacing w:line="560" w:lineRule="exact"/>
        <w:ind w:firstLine="0" w:firstLineChars="0"/>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eastAsia="zh-CN"/>
        </w:rPr>
        <w:t>附件：环江毛南族自治县文化馆</w:t>
      </w:r>
      <w:r>
        <w:rPr>
          <w:rFonts w:hint="eastAsia" w:ascii="仿宋_GB2312" w:hAnsi="Times New Roman" w:eastAsia="仿宋_GB2312" w:cs="Times New Roman"/>
          <w:kern w:val="2"/>
          <w:sz w:val="32"/>
          <w:szCs w:val="32"/>
          <w:lang w:val="en-US" w:eastAsia="zh-CN"/>
        </w:rPr>
        <w:t>2023年项目支出绩效自评表</w:t>
      </w:r>
    </w:p>
    <w:p>
      <w:pPr>
        <w:ind w:firstLine="5120" w:firstLineChars="1600"/>
        <w:jc w:val="left"/>
        <w:rPr>
          <w:rFonts w:hint="default" w:ascii="仿宋" w:hAnsi="仿宋" w:eastAsia="仿宋" w:cs="仿宋"/>
          <w:sz w:val="32"/>
          <w:szCs w:val="32"/>
          <w:highlight w:val="none"/>
          <w:lang w:val="en-US" w:eastAsia="zh-CN"/>
        </w:rPr>
      </w:pPr>
    </w:p>
    <w:p>
      <w:pPr>
        <w:jc w:val="left"/>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object>
          <v:shape id="_x0000_i1025" o:spt="75" type="#_x0000_t75" style="height:42.75pt;width:282.75pt;" o:ole="t" filled="f" o:preferrelative="t" stroked="f" coordsize="21600,21600">
            <v:path/>
            <v:fill on="f" focussize="0,0"/>
            <v:stroke on="f"/>
            <v:imagedata r:id="rId20" o:title=""/>
            <o:lock v:ext="edit" aspectratio="t"/>
            <w10:wrap type="none"/>
            <w10:anchorlock/>
          </v:shape>
          <o:OLEObject Type="Embed" ProgID="Package" ShapeID="_x0000_i1025" DrawAspect="Content" ObjectID="_1468075725" r:id="rId19">
            <o:LockedField>false</o:LockedField>
          </o:OLEObject>
        </w:objec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6A49B58"/>
    <w:multiLevelType w:val="singleLevel"/>
    <w:tmpl w:val="C6A49B58"/>
    <w:lvl w:ilvl="0" w:tentative="0">
      <w:start w:val="2"/>
      <w:numFmt w:val="decimal"/>
      <w:lvlText w:val="%1."/>
      <w:lvlJc w:val="left"/>
      <w:pPr>
        <w:tabs>
          <w:tab w:val="left" w:pos="312"/>
        </w:tabs>
      </w:pPr>
    </w:lvl>
  </w:abstractNum>
  <w:abstractNum w:abstractNumId="2">
    <w:nsid w:val="CB45C024"/>
    <w:multiLevelType w:val="singleLevel"/>
    <w:tmpl w:val="CB45C024"/>
    <w:lvl w:ilvl="0" w:tentative="0">
      <w:start w:val="2"/>
      <w:numFmt w:val="decimal"/>
      <w:suff w:val="nothing"/>
      <w:lvlText w:val="（%1）"/>
      <w:lvlJc w:val="left"/>
    </w:lvl>
  </w:abstractNum>
  <w:abstractNum w:abstractNumId="3">
    <w:nsid w:val="CD487FBF"/>
    <w:multiLevelType w:val="singleLevel"/>
    <w:tmpl w:val="CD487FBF"/>
    <w:lvl w:ilvl="0" w:tentative="0">
      <w:start w:val="2"/>
      <w:numFmt w:val="chineseCounting"/>
      <w:suff w:val="nothing"/>
      <w:lvlText w:val="（%1）"/>
      <w:lvlJc w:val="left"/>
      <w:rPr>
        <w:rFonts w:hint="eastAsia"/>
      </w:rPr>
    </w:lvl>
  </w:abstractNum>
  <w:abstractNum w:abstractNumId="4">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5">
    <w:nsid w:val="E020F757"/>
    <w:multiLevelType w:val="singleLevel"/>
    <w:tmpl w:val="E020F757"/>
    <w:lvl w:ilvl="0" w:tentative="0">
      <w:start w:val="1"/>
      <w:numFmt w:val="chineseCounting"/>
      <w:suff w:val="nothing"/>
      <w:lvlText w:val="（%1）"/>
      <w:lvlJc w:val="left"/>
      <w:rPr>
        <w:rFonts w:hint="eastAsia"/>
      </w:rPr>
    </w:lvl>
  </w:abstractNum>
  <w:abstractNum w:abstractNumId="6">
    <w:nsid w:val="6202026E"/>
    <w:multiLevelType w:val="singleLevel"/>
    <w:tmpl w:val="6202026E"/>
    <w:lvl w:ilvl="0" w:tentative="0">
      <w:start w:val="1"/>
      <w:numFmt w:val="chineseCounting"/>
      <w:suff w:val="nothing"/>
      <w:lvlText w:val="（%1）"/>
      <w:lvlJc w:val="left"/>
      <w:rPr>
        <w:rFonts w:hint="eastAsia"/>
      </w:rPr>
    </w:lvl>
  </w:abstractNum>
  <w:abstractNum w:abstractNumId="7">
    <w:nsid w:val="66B8A682"/>
    <w:multiLevelType w:val="singleLevel"/>
    <w:tmpl w:val="66B8A682"/>
    <w:lvl w:ilvl="0" w:tentative="0">
      <w:start w:val="1"/>
      <w:numFmt w:val="decimal"/>
      <w:suff w:val="nothing"/>
      <w:lvlText w:val="%1、"/>
      <w:lvlJc w:val="left"/>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7B0770E"/>
    <w:rsid w:val="0942143F"/>
    <w:rsid w:val="0C0C7FF5"/>
    <w:rsid w:val="0D100297"/>
    <w:rsid w:val="0D202B45"/>
    <w:rsid w:val="0F8D4C87"/>
    <w:rsid w:val="10505FAA"/>
    <w:rsid w:val="105F7E7E"/>
    <w:rsid w:val="10AC2536"/>
    <w:rsid w:val="11E56B5B"/>
    <w:rsid w:val="125C77AB"/>
    <w:rsid w:val="13453C91"/>
    <w:rsid w:val="14CB726E"/>
    <w:rsid w:val="17E92249"/>
    <w:rsid w:val="18D304F1"/>
    <w:rsid w:val="19F32577"/>
    <w:rsid w:val="19F45B80"/>
    <w:rsid w:val="1A9A517B"/>
    <w:rsid w:val="1B0C078D"/>
    <w:rsid w:val="1B2B31E2"/>
    <w:rsid w:val="1B4C295A"/>
    <w:rsid w:val="1B973C63"/>
    <w:rsid w:val="1BA1001E"/>
    <w:rsid w:val="1D317259"/>
    <w:rsid w:val="1DE70B86"/>
    <w:rsid w:val="1E664F5B"/>
    <w:rsid w:val="1EB34BE1"/>
    <w:rsid w:val="215E639F"/>
    <w:rsid w:val="21EC3183"/>
    <w:rsid w:val="225E72CD"/>
    <w:rsid w:val="23387905"/>
    <w:rsid w:val="246E2F77"/>
    <w:rsid w:val="254B4E2B"/>
    <w:rsid w:val="25A57C9B"/>
    <w:rsid w:val="27685754"/>
    <w:rsid w:val="283D7C94"/>
    <w:rsid w:val="29480E03"/>
    <w:rsid w:val="2983634D"/>
    <w:rsid w:val="2BB02055"/>
    <w:rsid w:val="2C575A56"/>
    <w:rsid w:val="2CD30BCF"/>
    <w:rsid w:val="2F257714"/>
    <w:rsid w:val="2F3275E5"/>
    <w:rsid w:val="30AA08EF"/>
    <w:rsid w:val="30D23D1C"/>
    <w:rsid w:val="31221CF5"/>
    <w:rsid w:val="31400178"/>
    <w:rsid w:val="321E3342"/>
    <w:rsid w:val="327759C8"/>
    <w:rsid w:val="33185FE3"/>
    <w:rsid w:val="34EE2E36"/>
    <w:rsid w:val="36777241"/>
    <w:rsid w:val="371E78D5"/>
    <w:rsid w:val="38A951DB"/>
    <w:rsid w:val="38B31605"/>
    <w:rsid w:val="39003F4F"/>
    <w:rsid w:val="3C07002B"/>
    <w:rsid w:val="3D0D152A"/>
    <w:rsid w:val="3DF62756"/>
    <w:rsid w:val="3F1B7587"/>
    <w:rsid w:val="41E57B4F"/>
    <w:rsid w:val="432F26F6"/>
    <w:rsid w:val="43880F63"/>
    <w:rsid w:val="43F43113"/>
    <w:rsid w:val="441C5A6F"/>
    <w:rsid w:val="44C44FCC"/>
    <w:rsid w:val="44CC7369"/>
    <w:rsid w:val="457F5108"/>
    <w:rsid w:val="46951B6B"/>
    <w:rsid w:val="49A34401"/>
    <w:rsid w:val="4A3E30AB"/>
    <w:rsid w:val="4AC14DAC"/>
    <w:rsid w:val="4C467009"/>
    <w:rsid w:val="4D154C85"/>
    <w:rsid w:val="4EB35ECE"/>
    <w:rsid w:val="508F4E24"/>
    <w:rsid w:val="51461E90"/>
    <w:rsid w:val="51463753"/>
    <w:rsid w:val="52553A93"/>
    <w:rsid w:val="53521F8B"/>
    <w:rsid w:val="53E22F47"/>
    <w:rsid w:val="54522FF8"/>
    <w:rsid w:val="55450629"/>
    <w:rsid w:val="56692963"/>
    <w:rsid w:val="568B0F48"/>
    <w:rsid w:val="5786217B"/>
    <w:rsid w:val="58642D87"/>
    <w:rsid w:val="59337A15"/>
    <w:rsid w:val="59810274"/>
    <w:rsid w:val="5CA96A00"/>
    <w:rsid w:val="5CF730BC"/>
    <w:rsid w:val="5E5F0DCE"/>
    <w:rsid w:val="5FA40A7B"/>
    <w:rsid w:val="5FD56D29"/>
    <w:rsid w:val="5FEC7F3F"/>
    <w:rsid w:val="60F74BC3"/>
    <w:rsid w:val="617D3BF8"/>
    <w:rsid w:val="61841F6A"/>
    <w:rsid w:val="61A4713D"/>
    <w:rsid w:val="623007A9"/>
    <w:rsid w:val="62952920"/>
    <w:rsid w:val="637D7558"/>
    <w:rsid w:val="644F19AC"/>
    <w:rsid w:val="657808F1"/>
    <w:rsid w:val="65AA4920"/>
    <w:rsid w:val="65E31D0B"/>
    <w:rsid w:val="67694F1E"/>
    <w:rsid w:val="69597934"/>
    <w:rsid w:val="6B964DDC"/>
    <w:rsid w:val="6C783074"/>
    <w:rsid w:val="6D9E65C6"/>
    <w:rsid w:val="6DA81947"/>
    <w:rsid w:val="6EB66DE2"/>
    <w:rsid w:val="6ED3075F"/>
    <w:rsid w:val="6F2A2D4B"/>
    <w:rsid w:val="6F8A0C1E"/>
    <w:rsid w:val="703F45D4"/>
    <w:rsid w:val="715D6546"/>
    <w:rsid w:val="71BE069E"/>
    <w:rsid w:val="73953409"/>
    <w:rsid w:val="73E069A3"/>
    <w:rsid w:val="78104AA8"/>
    <w:rsid w:val="78E257C5"/>
    <w:rsid w:val="794B35BE"/>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character" w:customStyle="1" w:styleId="12">
    <w:name w:val="font41"/>
    <w:basedOn w:val="7"/>
    <w:qFormat/>
    <w:uiPriority w:val="0"/>
    <w:rPr>
      <w:rFonts w:hint="default" w:ascii="华文中宋" w:hAnsi="华文中宋" w:eastAsia="华文中宋" w:cs="华文中宋"/>
      <w:color w:val="000000"/>
      <w:sz w:val="44"/>
      <w:szCs w:val="4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7.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214.69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30305</c:v>
                </c:pt>
              </c:numCache>
            </c:numRef>
          </c:cat>
          <c:val>
            <c:numRef>
              <c:f>Sheet1!$B$2</c:f>
              <c:numCache>
                <c:formatCode>General</c:formatCode>
                <c:ptCount val="1"/>
                <c:pt idx="0">
                  <c:v>2.31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elete val="1"/>
          </c:dLbls>
          <c:cat>
            <c:strRef>
              <c:f>Sheet1!$A$2:$A$6</c:f>
              <c:strCache>
                <c:ptCount val="5"/>
                <c:pt idx="0">
                  <c:v>一般公共服务支出</c:v>
                </c:pt>
                <c:pt idx="1">
                  <c:v>文化旅游体育与传媒支出</c:v>
                </c:pt>
                <c:pt idx="2">
                  <c:v>社会保障和就业支出</c:v>
                </c:pt>
                <c:pt idx="3">
                  <c:v>住房保障支出</c:v>
                </c:pt>
                <c:pt idx="4">
                  <c:v>其他支出</c:v>
                </c:pt>
              </c:strCache>
            </c:strRef>
          </c:cat>
          <c:val>
            <c:numRef>
              <c:f>Sheet1!$B$2:$B$6</c:f>
              <c:numCache>
                <c:formatCode>General</c:formatCode>
                <c:ptCount val="5"/>
                <c:pt idx="0">
                  <c:v>1.2</c:v>
                </c:pt>
                <c:pt idx="1">
                  <c:v>184.25</c:v>
                </c:pt>
                <c:pt idx="2">
                  <c:v>10.27</c:v>
                </c:pt>
                <c:pt idx="3">
                  <c:v>7.7</c:v>
                </c:pt>
                <c:pt idx="4">
                  <c:v>11.27</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文化旅游体育与传媒支出</c:v>
                </c:pt>
                <c:pt idx="2">
                  <c:v>社会保障和就业支出</c:v>
                </c:pt>
                <c:pt idx="3">
                  <c:v>住房保障支出</c:v>
                </c:pt>
                <c:pt idx="4">
                  <c:v>其他支出</c:v>
                </c:pt>
              </c:strCache>
            </c:strRef>
          </c:cat>
          <c:val>
            <c:numRef>
              <c:f>Sheet1!$C$2:$C$6</c:f>
              <c:numCache>
                <c:formatCode>General</c:formatCode>
                <c:ptCount val="5"/>
                <c:pt idx="0">
                  <c:v>1.36</c:v>
                </c:pt>
                <c:pt idx="1">
                  <c:v>115.33</c:v>
                </c:pt>
                <c:pt idx="2">
                  <c:v>10.14</c:v>
                </c:pt>
                <c:pt idx="3">
                  <c:v>6.79</c:v>
                </c:pt>
                <c:pt idx="4">
                  <c:v>14.41</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1.2</c:v>
                </c:pt>
                <c:pt idx="1">
                  <c:v>1.2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文化旅游体育与传媒支出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2070109</c:v>
                </c:pt>
                <c:pt idx="1">
                  <c:v>2070199</c:v>
                </c:pt>
              </c:numCache>
            </c:numRef>
          </c:cat>
          <c:val>
            <c:numRef>
              <c:f>Sheet1!$B$2:$B$3</c:f>
              <c:numCache>
                <c:formatCode>General</c:formatCode>
                <c:ptCount val="2"/>
                <c:pt idx="0">
                  <c:v>84.26</c:v>
                </c:pt>
                <c:pt idx="1">
                  <c:v>99.99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9.63</c:v>
                </c:pt>
                <c:pt idx="1">
                  <c:v>10.27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7.7</c:v>
                </c:pt>
                <c:pt idx="1">
                  <c:v>7.2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11.27</c:v>
                </c:pt>
                <c:pt idx="1">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Sheet1!$A$2:$A$9</c:f>
              <c:numCache>
                <c:formatCode>General</c:formatCode>
                <c:ptCount val="8"/>
                <c:pt idx="0">
                  <c:v>30101</c:v>
                </c:pt>
                <c:pt idx="1">
                  <c:v>30102</c:v>
                </c:pt>
                <c:pt idx="2">
                  <c:v>30103</c:v>
                </c:pt>
                <c:pt idx="3">
                  <c:v>30107</c:v>
                </c:pt>
                <c:pt idx="4">
                  <c:v>30108</c:v>
                </c:pt>
                <c:pt idx="5">
                  <c:v>30110</c:v>
                </c:pt>
                <c:pt idx="6">
                  <c:v>30112</c:v>
                </c:pt>
                <c:pt idx="7">
                  <c:v>30113</c:v>
                </c:pt>
              </c:numCache>
            </c:numRef>
          </c:cat>
          <c:val>
            <c:numRef>
              <c:f>Sheet1!$B$2:$B$9</c:f>
              <c:numCache>
                <c:formatCode>General</c:formatCode>
                <c:ptCount val="8"/>
                <c:pt idx="0">
                  <c:v>29.32</c:v>
                </c:pt>
                <c:pt idx="1">
                  <c:v>2.43</c:v>
                </c:pt>
                <c:pt idx="2">
                  <c:v>22.77</c:v>
                </c:pt>
                <c:pt idx="3">
                  <c:v>11.15</c:v>
                </c:pt>
                <c:pt idx="4">
                  <c:v>10.27</c:v>
                </c:pt>
                <c:pt idx="5">
                  <c:v>3.82</c:v>
                </c:pt>
                <c:pt idx="6">
                  <c:v>0.42</c:v>
                </c:pt>
                <c:pt idx="7">
                  <c:v>7.7</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Sheet1!$A$2:$A$7</c:f>
              <c:strCache>
                <c:ptCount val="6"/>
                <c:pt idx="0">
                  <c:v>  办公费</c:v>
                </c:pt>
                <c:pt idx="1">
                  <c:v>  水费</c:v>
                </c:pt>
                <c:pt idx="2">
                  <c:v>  电费</c:v>
                </c:pt>
                <c:pt idx="3">
                  <c:v>  邮电费</c:v>
                </c:pt>
                <c:pt idx="4">
                  <c:v>  工会经费</c:v>
                </c:pt>
                <c:pt idx="5">
                  <c:v>  公务用车运行维护费</c:v>
                </c:pt>
              </c:strCache>
            </c:strRef>
          </c:cat>
          <c:val>
            <c:numRef>
              <c:f>Sheet1!$B$2:$B$7</c:f>
              <c:numCache>
                <c:formatCode>General</c:formatCode>
                <c:ptCount val="6"/>
                <c:pt idx="0">
                  <c:v>0.5</c:v>
                </c:pt>
                <c:pt idx="1">
                  <c:v>0.09</c:v>
                </c:pt>
                <c:pt idx="2">
                  <c:v>0.34</c:v>
                </c:pt>
                <c:pt idx="3">
                  <c:v>0.1</c:v>
                </c:pt>
                <c:pt idx="4">
                  <c:v>1.2</c:v>
                </c:pt>
                <c:pt idx="5">
                  <c:v>0.4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6615</Words>
  <Characters>13844</Characters>
  <Lines>90</Lines>
  <Paragraphs>25</Paragraphs>
  <TotalTime>2</TotalTime>
  <ScaleCrop>false</ScaleCrop>
  <LinksUpToDate>false</LinksUpToDate>
  <CharactersWithSpaces>13937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2023-11-21T01:38:00Z</cp:lastPrinted>
  <dcterms:modified xsi:type="dcterms:W3CDTF">2024-12-31T03:21:50Z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ies>
</file>