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环江毛南族自治县融媒体中心</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二、部门决算单位构成</w:t>
      </w:r>
    </w:p>
    <w:p>
      <w:pPr>
        <w:spacing w:line="560" w:lineRule="exact"/>
        <w:ind w:firstLine="643" w:firstLineChars="200"/>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说明：以上</w:t>
      </w:r>
      <w:r>
        <w:rPr>
          <w:rFonts w:hint="eastAsia" w:ascii="仿宋_GB2312" w:hAnsi="仿宋_GB2312" w:eastAsia="仿宋_GB2312" w:cs="仿宋_GB2312"/>
          <w:b/>
          <w:kern w:val="0"/>
          <w:sz w:val="32"/>
          <w:szCs w:val="32"/>
          <w:lang w:val="en-US" w:eastAsia="zh-CN"/>
        </w:rPr>
        <w:t>一、二</w:t>
      </w:r>
      <w:r>
        <w:rPr>
          <w:rFonts w:hint="eastAsia" w:ascii="仿宋_GB2312" w:hAnsi="仿宋_GB2312" w:eastAsia="仿宋_GB2312" w:cs="仿宋_GB2312"/>
          <w:b/>
          <w:kern w:val="0"/>
          <w:sz w:val="32"/>
          <w:szCs w:val="32"/>
        </w:rPr>
        <w:t>项内容涉及密文</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环办发〔2019〕*号</w:t>
      </w:r>
      <w:r>
        <w:rPr>
          <w:rFonts w:hint="eastAsia" w:ascii="仿宋_GB2312" w:hAnsi="仿宋_GB2312" w:eastAsia="仿宋_GB2312" w:cs="仿宋_GB2312"/>
          <w:b/>
          <w:kern w:val="0"/>
          <w:sz w:val="32"/>
          <w:szCs w:val="32"/>
          <w:lang w:eastAsia="zh-CN"/>
        </w:rPr>
        <w:t>。</w:t>
      </w:r>
    </w:p>
    <w:p>
      <w:pPr>
        <w:jc w:val="left"/>
        <w:rPr>
          <w:rFonts w:hint="eastAsia" w:ascii="黑体" w:hAnsi="黑体" w:eastAsia="黑体" w:cs="黑体"/>
          <w:sz w:val="32"/>
          <w:szCs w:val="32"/>
          <w:highlight w:val="none"/>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第二部分：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0"/>
        <w:gridCol w:w="656"/>
        <w:gridCol w:w="3429"/>
        <w:gridCol w:w="3793"/>
        <w:gridCol w:w="656"/>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9"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c>
          <w:tcPr>
            <w:tcW w:w="147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7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2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7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9"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8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8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1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黑体" w:hAnsi="黑体" w:eastAsia="黑体" w:cs="黑体"/>
          <w:sz w:val="32"/>
          <w:szCs w:val="32"/>
          <w:highlight w:val="none"/>
        </w:rPr>
      </w:pPr>
      <w:r>
        <w:rPr>
          <w:rFonts w:hint="eastAsia" w:ascii="仿宋" w:hAnsi="仿宋" w:eastAsia="仿宋" w:cs="仿宋"/>
          <w:sz w:val="24"/>
          <w:highlight w:val="none"/>
        </w:rPr>
        <w:t>表二：收入决算表</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222"/>
        <w:gridCol w:w="222"/>
        <w:gridCol w:w="3736"/>
        <w:gridCol w:w="882"/>
        <w:gridCol w:w="2224"/>
        <w:gridCol w:w="436"/>
        <w:gridCol w:w="436"/>
        <w:gridCol w:w="667"/>
        <w:gridCol w:w="767"/>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收入决算表</w:t>
            </w: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2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2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2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1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1"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4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21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9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21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468.70</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468.70</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其他广播电视教育支出</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广播电视事务</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342.25</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342.25</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其他广播电视支出</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ascii="宋体" w:hAnsi="宋体" w:eastAsia="宋体" w:cs="宋体"/>
          <w:color w:val="000000"/>
          <w:kern w:val="0"/>
          <w:sz w:val="30"/>
          <w:szCs w:val="30"/>
          <w:highlight w:val="none"/>
          <w:lang w:bidi="ar"/>
        </w:rPr>
      </w:pPr>
      <w:r>
        <w:rPr>
          <w:rFonts w:hint="eastAsia" w:ascii="仿宋" w:hAnsi="仿宋" w:eastAsia="仿宋" w:cs="仿宋"/>
          <w:sz w:val="24"/>
          <w:highlight w:val="none"/>
        </w:rPr>
        <w:t>表三：支出决算表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222"/>
        <w:gridCol w:w="222"/>
        <w:gridCol w:w="3736"/>
        <w:gridCol w:w="882"/>
        <w:gridCol w:w="2224"/>
        <w:gridCol w:w="882"/>
        <w:gridCol w:w="576"/>
        <w:gridCol w:w="851"/>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5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支出决算表</w:t>
            </w: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5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5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52"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0"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51"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52"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52"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468.70</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333.10</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135.60</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1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2050599</w:t>
            </w:r>
          </w:p>
        </w:tc>
        <w:tc>
          <w:tcPr>
            <w:tcW w:w="11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其他广播电视教育支出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11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11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广播电视事务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342.25</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249.73</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2070899</w:t>
            </w:r>
          </w:p>
        </w:tc>
        <w:tc>
          <w:tcPr>
            <w:tcW w:w="11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其他广播电视支出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1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37.85</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5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jc w:val="center"/>
        <w:rPr>
          <w:rFonts w:ascii="仿宋" w:hAnsi="仿宋" w:eastAsia="仿宋" w:cs="仿宋"/>
          <w:sz w:val="24"/>
          <w:highlight w:val="none"/>
        </w:rPr>
      </w:pPr>
    </w:p>
    <w:p>
      <w:pPr>
        <w:rPr>
          <w:rFonts w:hint="eastAsia" w:ascii="仿宋" w:hAnsi="仿宋" w:eastAsia="仿宋" w:cs="仿宋"/>
          <w:sz w:val="24"/>
          <w:highlight w:val="none"/>
        </w:rPr>
      </w:pPr>
      <w:r>
        <w:rPr>
          <w:rFonts w:ascii="仿宋" w:hAnsi="仿宋" w:eastAsia="仿宋" w:cs="仿宋"/>
          <w:sz w:val="24"/>
          <w:highlight w:val="none"/>
        </w:rPr>
        <w:br w:type="page"/>
      </w:r>
      <w:r>
        <w:rPr>
          <w:rFonts w:hint="eastAsia" w:ascii="仿宋" w:hAnsi="仿宋" w:eastAsia="仿宋" w:cs="仿宋"/>
          <w:sz w:val="24"/>
          <w:highlight w:val="none"/>
        </w:rPr>
        <w:t>表四：财政拨款收入支出决算总表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9"/>
        <w:gridCol w:w="507"/>
        <w:gridCol w:w="1037"/>
        <w:gridCol w:w="4429"/>
        <w:gridCol w:w="507"/>
        <w:gridCol w:w="1079"/>
        <w:gridCol w:w="1079"/>
        <w:gridCol w:w="1088"/>
        <w:gridCol w:w="1318"/>
        <w:gridCol w:w="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07"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c>
          <w:tcPr>
            <w:tcW w:w="1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1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5"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346"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0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0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344.08</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344.08</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15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468.70</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71" w:type="pct"/>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50" w:type="pct"/>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5"/>
        <w:gridCol w:w="221"/>
        <w:gridCol w:w="221"/>
        <w:gridCol w:w="3319"/>
        <w:gridCol w:w="5527"/>
        <w:gridCol w:w="803"/>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6"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c>
          <w:tcPr>
            <w:tcW w:w="8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2"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07"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2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2"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5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92"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468.70</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333.10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1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2050599</w:t>
            </w:r>
          </w:p>
        </w:tc>
        <w:tc>
          <w:tcPr>
            <w:tcW w:w="11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其他广播电视教育支出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11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11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广播电视事务</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342.25</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249.73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2070899</w:t>
            </w:r>
          </w:p>
        </w:tc>
        <w:tc>
          <w:tcPr>
            <w:tcW w:w="11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其他广播电视支出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1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1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0"/>
        <w:gridCol w:w="2088"/>
        <w:gridCol w:w="590"/>
        <w:gridCol w:w="528"/>
        <w:gridCol w:w="4544"/>
        <w:gridCol w:w="528"/>
        <w:gridCol w:w="528"/>
        <w:gridCol w:w="2587"/>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310.72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322.12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9"/>
        <w:gridCol w:w="221"/>
        <w:gridCol w:w="221"/>
        <w:gridCol w:w="1021"/>
        <w:gridCol w:w="417"/>
        <w:gridCol w:w="6825"/>
        <w:gridCol w:w="417"/>
        <w:gridCol w:w="417"/>
        <w:gridCol w:w="417"/>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4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4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4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9"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440"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3"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46"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6"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6"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9"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9"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说明：本部门</w:t>
      </w:r>
      <w:r>
        <w:rPr>
          <w:rFonts w:hint="default" w:ascii="宋体" w:hAnsi="宋体" w:eastAsia="宋体" w:cs="宋体"/>
          <w:i w:val="0"/>
          <w:iCs w:val="0"/>
          <w:color w:val="000000"/>
          <w:kern w:val="0"/>
          <w:sz w:val="22"/>
          <w:szCs w:val="22"/>
          <w:u w:val="none"/>
          <w:lang w:val="en-US" w:eastAsia="zh-CN" w:bidi="ar"/>
        </w:rPr>
        <w:t>202</w:t>
      </w:r>
      <w:r>
        <w:rPr>
          <w:rFonts w:hint="eastAsia" w:ascii="宋体" w:hAnsi="宋体" w:eastAsia="宋体" w:cs="宋体"/>
          <w:i w:val="0"/>
          <w:iCs w:val="0"/>
          <w:color w:val="000000"/>
          <w:kern w:val="0"/>
          <w:sz w:val="22"/>
          <w:szCs w:val="22"/>
          <w:u w:val="none"/>
          <w:lang w:val="en-US" w:eastAsia="zh-CN" w:bidi="ar"/>
        </w:rPr>
        <w:t>3年度没有政府性基金预算财政拨款收入，也没有政府性基金预算财政拨款安排的支出，故本表无数据。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222"/>
        <w:gridCol w:w="222"/>
        <w:gridCol w:w="1096"/>
        <w:gridCol w:w="7043"/>
        <w:gridCol w:w="953"/>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3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c>
          <w:tcPr>
            <w:tcW w:w="7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7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24"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3"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12"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9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7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6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7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说明：本部门</w:t>
      </w:r>
      <w:r>
        <w:rPr>
          <w:rFonts w:hint="default" w:ascii="宋体" w:hAnsi="宋体" w:eastAsia="宋体" w:cs="宋体"/>
          <w:i w:val="0"/>
          <w:iCs w:val="0"/>
          <w:color w:val="000000"/>
          <w:kern w:val="0"/>
          <w:sz w:val="22"/>
          <w:szCs w:val="22"/>
          <w:u w:val="none"/>
          <w:lang w:val="en-US" w:eastAsia="zh-CN" w:bidi="ar"/>
        </w:rPr>
        <w:t>202</w:t>
      </w:r>
      <w:r>
        <w:rPr>
          <w:rFonts w:hint="eastAsia" w:ascii="宋体" w:hAnsi="宋体" w:eastAsia="宋体" w:cs="宋体"/>
          <w:i w:val="0"/>
          <w:iCs w:val="0"/>
          <w:color w:val="000000"/>
          <w:kern w:val="0"/>
          <w:sz w:val="22"/>
          <w:szCs w:val="22"/>
          <w:u w:val="none"/>
          <w:lang w:val="en-US" w:eastAsia="zh-CN" w:bidi="ar"/>
        </w:rPr>
        <w:t>3年度没有国有资本经营预算财政拨款收入，也没有国有资本经营预算财政拨款安排的支出，故本表无数据。</w:t>
      </w:r>
    </w:p>
    <w:p>
      <w:pPr>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3"/>
        <w:gridCol w:w="744"/>
        <w:gridCol w:w="657"/>
        <w:gridCol w:w="392"/>
        <w:gridCol w:w="657"/>
        <w:gridCol w:w="5043"/>
        <w:gridCol w:w="657"/>
        <w:gridCol w:w="745"/>
        <w:gridCol w:w="569"/>
        <w:gridCol w:w="392"/>
        <w:gridCol w:w="569"/>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部门：环江毛南族自治县融媒体中心</w:t>
            </w: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0"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59"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2023年度</w:t>
      </w:r>
      <w:r>
        <w:rPr>
          <w:rFonts w:hint="eastAsia" w:ascii="仿宋" w:hAnsi="仿宋" w:eastAsia="仿宋" w:cs="仿宋"/>
          <w:sz w:val="32"/>
          <w:szCs w:val="32"/>
          <w:highlight w:val="none"/>
        </w:rPr>
        <w:t>总收入</w:t>
      </w:r>
      <w:r>
        <w:rPr>
          <w:rFonts w:hint="eastAsia" w:ascii="仿宋" w:hAnsi="仿宋" w:eastAsia="仿宋" w:cs="仿宋"/>
          <w:sz w:val="32"/>
          <w:u w:color="auto"/>
          <w:lang w:val="en-US" w:eastAsia="zh-CN"/>
        </w:rPr>
        <w:t>468.70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2022年度</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val="en-US" w:eastAsia="zh-CN"/>
        </w:rPr>
        <w:t>减少400.59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下降46.08</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468.70</w:t>
      </w:r>
      <w:r>
        <w:rPr>
          <w:rFonts w:hint="eastAsia" w:ascii="仿宋" w:hAnsi="仿宋" w:eastAsia="仿宋" w:cs="仿宋"/>
          <w:sz w:val="32"/>
          <w:szCs w:val="32"/>
          <w:highlight w:val="none"/>
        </w:rPr>
        <w:t>万元。收入具体情况如下。</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468.70</w:t>
      </w:r>
      <w:r>
        <w:rPr>
          <w:rFonts w:hint="eastAsia" w:ascii="仿宋" w:hAnsi="仿宋" w:eastAsia="仿宋" w:cs="仿宋"/>
          <w:kern w:val="2"/>
          <w:sz w:val="32"/>
          <w:szCs w:val="32"/>
          <w:highlight w:val="none"/>
          <w:lang w:val="en-US" w:eastAsia="zh-CN" w:bidi="ar"/>
        </w:rPr>
        <w:t>万元，为本级财政当年拨付的资金。较2022年度决算数</w:t>
      </w:r>
      <w:r>
        <w:rPr>
          <w:rFonts w:hint="eastAsia" w:ascii="仿宋" w:hAnsi="仿宋" w:eastAsia="仿宋" w:cs="仿宋"/>
          <w:sz w:val="32"/>
          <w:szCs w:val="32"/>
          <w:highlight w:val="none"/>
          <w:lang w:val="en-US" w:eastAsia="zh-CN"/>
        </w:rPr>
        <w:t>减少400.59</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highlight w:val="none"/>
          <w:lang w:val="en-US" w:eastAsia="zh-CN"/>
        </w:rPr>
        <w:t>下降46.08</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0"/>
          <w:sz w:val="32"/>
          <w:szCs w:val="32"/>
        </w:rPr>
        <w:t>是</w:t>
      </w:r>
      <w:r>
        <w:rPr>
          <w:rFonts w:hint="eastAsia" w:ascii="仿宋_GB2312" w:hAnsi="仿宋_GB2312" w:eastAsia="仿宋_GB2312" w:cs="仿宋_GB2312"/>
          <w:kern w:val="0"/>
          <w:sz w:val="32"/>
          <w:szCs w:val="32"/>
          <w:lang w:val="en-US" w:eastAsia="zh-CN"/>
        </w:rPr>
        <w:t>自治县财政国库紧张，压缩了很多项目支出，并且很多年初预算了的项目也无法支出等原因造成。</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jc w:val="center"/>
        <w:rPr>
          <w:rFonts w:hint="eastAsia" w:ascii="仿宋" w:hAnsi="仿宋" w:eastAsia="仿宋" w:cs="仿宋"/>
          <w:sz w:val="32"/>
          <w:szCs w:val="32"/>
          <w:highlight w:val="none"/>
        </w:rPr>
      </w:pPr>
    </w:p>
    <w:p>
      <w:pPr>
        <w:jc w:val="center"/>
        <w:rPr>
          <w:rFonts w:ascii="仿宋" w:hAnsi="仿宋" w:eastAsia="仿宋" w:cs="仿宋"/>
          <w:sz w:val="32"/>
          <w:szCs w:val="32"/>
          <w:highlight w:val="none"/>
        </w:rPr>
      </w:pPr>
    </w:p>
    <w:p>
      <w:pPr>
        <w:ind w:firstLine="420" w:firstLineChars="200"/>
        <w:jc w:val="left"/>
      </w:pPr>
      <w:r>
        <w:drawing>
          <wp:inline distT="0" distB="0" distL="114300" distR="114300">
            <wp:extent cx="4590415" cy="3121660"/>
            <wp:effectExtent l="0" t="0" r="63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0415" cy="3121660"/>
                    </a:xfrm>
                    <a:prstGeom prst="rect">
                      <a:avLst/>
                    </a:prstGeom>
                    <a:noFill/>
                    <a:ln>
                      <a:noFill/>
                    </a:ln>
                  </pic:spPr>
                </pic:pic>
              </a:graphicData>
            </a:graphic>
          </wp:inline>
        </w:drawing>
      </w:r>
    </w:p>
    <w:p>
      <w:pPr>
        <w:ind w:firstLine="420" w:firstLineChars="200"/>
        <w:jc w:val="left"/>
      </w:pPr>
    </w:p>
    <w:p>
      <w:pPr>
        <w:ind w:firstLine="420" w:firstLineChars="200"/>
        <w:jc w:val="left"/>
        <w:rPr>
          <w:rFonts w:hint="eastAsia"/>
        </w:rPr>
      </w:pP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2023年度</w:t>
      </w:r>
      <w:r>
        <w:rPr>
          <w:rFonts w:hint="eastAsia" w:ascii="仿宋" w:hAnsi="仿宋" w:eastAsia="仿宋" w:cs="仿宋"/>
          <w:sz w:val="32"/>
          <w:szCs w:val="32"/>
          <w:highlight w:val="none"/>
        </w:rPr>
        <w:t>总支出</w:t>
      </w:r>
      <w:r>
        <w:rPr>
          <w:rFonts w:hint="eastAsia" w:ascii="仿宋" w:hAnsi="仿宋" w:eastAsia="仿宋" w:cs="仿宋"/>
          <w:sz w:val="32"/>
          <w:u w:color="auto"/>
          <w:lang w:val="en-US" w:eastAsia="zh-CN"/>
        </w:rPr>
        <w:t>468.70</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468.70</w:t>
      </w:r>
      <w:r>
        <w:rPr>
          <w:rFonts w:hint="eastAsia" w:ascii="仿宋" w:hAnsi="仿宋" w:eastAsia="仿宋" w:cs="仿宋"/>
          <w:sz w:val="32"/>
          <w:szCs w:val="32"/>
          <w:highlight w:val="none"/>
        </w:rPr>
        <w:t>元，较</w:t>
      </w:r>
      <w:r>
        <w:rPr>
          <w:rFonts w:hint="eastAsia" w:ascii="仿宋" w:hAnsi="仿宋" w:eastAsia="仿宋" w:cs="仿宋"/>
          <w:sz w:val="32"/>
          <w:szCs w:val="32"/>
          <w:highlight w:val="none"/>
          <w:lang w:eastAsia="zh-CN"/>
        </w:rPr>
        <w:t>2022年度</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val="en-US" w:eastAsia="zh-CN"/>
        </w:rPr>
        <w:t>减少400.59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下降46.08</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4.51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主要用于本部门为保证日常运转发生的基本支出和为完成各项工作任务、保障</w:t>
      </w:r>
      <w:r>
        <w:rPr>
          <w:rFonts w:hint="eastAsia" w:ascii="仿宋_GB2312" w:hAnsi="仿宋_GB2312" w:eastAsia="仿宋_GB2312" w:cs="仿宋_GB2312"/>
          <w:kern w:val="0"/>
          <w:sz w:val="32"/>
          <w:szCs w:val="32"/>
        </w:rPr>
        <w:t>单位事业</w:t>
      </w:r>
      <w:r>
        <w:rPr>
          <w:rFonts w:hint="eastAsia" w:ascii="仿宋_GB2312" w:hAnsi="仿宋_GB2312" w:eastAsia="仿宋_GB2312" w:cs="仿宋_GB2312"/>
          <w:sz w:val="32"/>
          <w:szCs w:val="32"/>
        </w:rPr>
        <w:t>发展而发生的项目支出。</w:t>
      </w:r>
      <w:r>
        <w:rPr>
          <w:rFonts w:hint="eastAsia" w:ascii="仿宋_GB2312" w:hAnsi="仿宋_GB2312" w:eastAsia="仿宋_GB2312" w:cs="仿宋_GB2312"/>
          <w:sz w:val="32"/>
          <w:szCs w:val="32"/>
          <w:lang w:val="en-US" w:eastAsia="zh-CN"/>
        </w:rPr>
        <w:t>本单位此项支出是工会经费。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2022年度</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val="en-US" w:eastAsia="zh-CN"/>
        </w:rPr>
        <w:t>增加0.05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增长1.12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主要原因是：人员工资变动增加，导致计算出的工会经费支出相应增加。</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2.教育支出(205类）0.40万元，</w:t>
      </w:r>
      <w:r>
        <w:rPr>
          <w:rFonts w:hint="eastAsia" w:ascii="仿宋_GB2312" w:hAnsi="仿宋_GB2312" w:eastAsia="仿宋_GB2312" w:cs="仿宋_GB2312"/>
          <w:sz w:val="32"/>
          <w:szCs w:val="32"/>
        </w:rPr>
        <w:t>主要用于本部门</w:t>
      </w:r>
      <w:r>
        <w:rPr>
          <w:rFonts w:hint="eastAsia" w:ascii="仿宋_GB2312" w:hAnsi="仿宋_GB2312" w:eastAsia="仿宋_GB2312" w:cs="仿宋_GB2312"/>
          <w:sz w:val="32"/>
          <w:szCs w:val="32"/>
          <w:lang w:val="en-US" w:eastAsia="zh-CN"/>
        </w:rPr>
        <w:t>广播电视毛南语栏目聘用播音员的经费</w:t>
      </w:r>
      <w:r>
        <w:rPr>
          <w:rFonts w:hint="eastAsia" w:ascii="仿宋_GB2312" w:hAnsi="仿宋_GB2312" w:eastAsia="仿宋_GB2312" w:cs="仿宋_GB2312"/>
          <w:sz w:val="32"/>
          <w:szCs w:val="32"/>
        </w:rPr>
        <w:t>支出。</w:t>
      </w:r>
      <w:r>
        <w:rPr>
          <w:rFonts w:hint="eastAsia" w:ascii="仿宋_GB2312" w:hAnsi="仿宋_GB2312" w:eastAsia="仿宋_GB2312" w:cs="仿宋_GB2312"/>
          <w:kern w:val="0"/>
          <w:sz w:val="32"/>
          <w:szCs w:val="32"/>
        </w:rPr>
        <w:t>较</w:t>
      </w:r>
      <w:r>
        <w:rPr>
          <w:rFonts w:hint="eastAsia" w:ascii="仿宋_GB2312" w:hAnsi="仿宋_GB2312" w:eastAsia="仿宋_GB2312" w:cs="仿宋_GB2312"/>
          <w:kern w:val="0"/>
          <w:sz w:val="32"/>
          <w:szCs w:val="32"/>
          <w:lang w:eastAsia="zh-CN"/>
        </w:rPr>
        <w:t>2022年度</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val="en-US" w:eastAsia="zh-CN"/>
        </w:rPr>
        <w:t>减少3.85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减少962.50</w:t>
      </w:r>
      <w:r>
        <w:rPr>
          <w:rFonts w:hint="eastAsia" w:ascii="仿宋_GB2312" w:hAnsi="仿宋_GB2312" w:eastAsia="仿宋_GB2312" w:cs="仿宋_GB2312"/>
          <w:kern w:val="0"/>
          <w:sz w:val="32"/>
          <w:szCs w:val="32"/>
        </w:rPr>
        <w:t>%，主要原因是202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年此分类科目下预算</w:t>
      </w:r>
      <w:r>
        <w:rPr>
          <w:rFonts w:hint="eastAsia" w:ascii="仿宋_GB2312" w:hAnsi="仿宋_GB2312" w:eastAsia="仿宋_GB2312" w:cs="仿宋_GB2312"/>
          <w:sz w:val="32"/>
          <w:szCs w:val="32"/>
          <w:lang w:val="en-US" w:eastAsia="zh-CN"/>
        </w:rPr>
        <w:t>广播电视毛南语栏目聘用播音员的经费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很少</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3.科学技术支出3.00万元，主要用于采编播等设备的维修维护支出。较2022年度决算数增加3.00万元，增长100%，主要原因是：上年度没有此项预算，今年新增项目。</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sz w:val="32"/>
          <w:szCs w:val="32"/>
          <w:highlight w:val="none"/>
          <w:lang w:val="en-US" w:eastAsia="zh-CN"/>
        </w:rPr>
        <w:t>4.文化旅游体育与传媒支出（207类）344.08万元，</w:t>
      </w:r>
      <w:r>
        <w:rPr>
          <w:rFonts w:hint="eastAsia" w:ascii="仿宋_GB2312" w:hAnsi="仿宋_GB2312" w:eastAsia="仿宋_GB2312" w:cs="仿宋_GB2312"/>
          <w:sz w:val="32"/>
          <w:szCs w:val="32"/>
        </w:rPr>
        <w:t>主要用于本部门为保证日常运转发生的基本支出和为完成各项工作任务、保障</w:t>
      </w:r>
      <w:r>
        <w:rPr>
          <w:rFonts w:hint="eastAsia" w:ascii="仿宋_GB2312" w:hAnsi="仿宋_GB2312" w:eastAsia="仿宋_GB2312" w:cs="仿宋_GB2312"/>
          <w:kern w:val="0"/>
          <w:sz w:val="32"/>
          <w:szCs w:val="32"/>
        </w:rPr>
        <w:t>单位事业</w:t>
      </w:r>
      <w:r>
        <w:rPr>
          <w:rFonts w:hint="eastAsia" w:ascii="仿宋_GB2312" w:hAnsi="仿宋_GB2312" w:eastAsia="仿宋_GB2312" w:cs="仿宋_GB2312"/>
          <w:sz w:val="32"/>
          <w:szCs w:val="32"/>
        </w:rPr>
        <w:t>发展而发生的项目支出。</w:t>
      </w:r>
      <w:r>
        <w:rPr>
          <w:rFonts w:hint="eastAsia" w:ascii="仿宋_GB2312" w:hAnsi="仿宋_GB2312" w:eastAsia="仿宋_GB2312" w:cs="仿宋_GB2312"/>
          <w:kern w:val="0"/>
          <w:sz w:val="32"/>
          <w:szCs w:val="32"/>
        </w:rPr>
        <w:t>较</w:t>
      </w:r>
      <w:r>
        <w:rPr>
          <w:rFonts w:hint="eastAsia" w:ascii="仿宋_GB2312" w:hAnsi="仿宋_GB2312" w:eastAsia="仿宋_GB2312" w:cs="仿宋_GB2312"/>
          <w:kern w:val="0"/>
          <w:sz w:val="32"/>
          <w:szCs w:val="32"/>
          <w:lang w:eastAsia="zh-CN"/>
        </w:rPr>
        <w:t>2022年度</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val="en-US" w:eastAsia="zh-CN"/>
        </w:rPr>
        <w:t>减少397.90</w:t>
      </w:r>
      <w:r>
        <w:rPr>
          <w:rFonts w:hint="eastAsia" w:ascii="仿宋_GB2312" w:hAnsi="仿宋_GB2312" w:eastAsia="仿宋_GB2312" w:cs="仿宋_GB2312"/>
          <w:kern w:val="0"/>
          <w:sz w:val="32"/>
          <w:szCs w:val="32"/>
        </w:rPr>
        <w:t xml:space="preserve"> 万元，</w:t>
      </w:r>
      <w:r>
        <w:rPr>
          <w:rFonts w:hint="eastAsia" w:ascii="仿宋_GB2312" w:hAnsi="仿宋_GB2312" w:eastAsia="仿宋_GB2312" w:cs="仿宋_GB2312"/>
          <w:kern w:val="0"/>
          <w:sz w:val="32"/>
          <w:szCs w:val="32"/>
          <w:lang w:val="en-US" w:eastAsia="zh-CN"/>
        </w:rPr>
        <w:t>下降53.63</w:t>
      </w:r>
      <w:r>
        <w:rPr>
          <w:rFonts w:hint="eastAsia" w:ascii="仿宋_GB2312" w:hAnsi="仿宋_GB2312" w:eastAsia="仿宋_GB2312" w:cs="仿宋_GB2312"/>
          <w:kern w:val="0"/>
          <w:sz w:val="32"/>
          <w:szCs w:val="32"/>
        </w:rPr>
        <w:t xml:space="preserve"> %，主要原因是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今年县财政紧张</w:t>
      </w:r>
      <w:r>
        <w:rPr>
          <w:rFonts w:hint="eastAsia" w:ascii="仿宋_GB2312" w:hAnsi="仿宋_GB2312" w:eastAsia="仿宋_GB2312" w:cs="仿宋_GB2312"/>
          <w:kern w:val="0"/>
          <w:sz w:val="32"/>
          <w:szCs w:val="32"/>
          <w:highlight w:val="none"/>
          <w:lang w:val="en-US" w:eastAsia="zh-CN"/>
        </w:rPr>
        <w:t>，压缩了部分项目支出</w:t>
      </w:r>
      <w:r>
        <w:rPr>
          <w:rFonts w:hint="eastAsia" w:ascii="仿宋_GB2312" w:hAnsi="仿宋_GB2312" w:eastAsia="仿宋_GB2312" w:cs="仿宋_GB2312"/>
          <w:kern w:val="0"/>
          <w:sz w:val="32"/>
          <w:szCs w:val="32"/>
          <w:highlight w:val="none"/>
        </w:rPr>
        <w:t>。</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 w:hAnsi="仿宋" w:eastAsia="仿宋" w:cs="仿宋"/>
          <w:sz w:val="32"/>
          <w:u w:color="auto"/>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38.83</w:t>
      </w:r>
      <w:r>
        <w:rPr>
          <w:rFonts w:hint="eastAsia" w:ascii="仿宋" w:hAnsi="仿宋" w:eastAsia="仿宋" w:cs="仿宋"/>
          <w:sz w:val="32"/>
          <w:szCs w:val="32"/>
          <w:highlight w:val="none"/>
        </w:rPr>
        <w:t>万元：</w:t>
      </w:r>
      <w:r>
        <w:rPr>
          <w:rFonts w:hint="eastAsia" w:ascii="仿宋_GB2312" w:hAnsi="仿宋_GB2312" w:eastAsia="仿宋_GB2312" w:cs="仿宋_GB2312"/>
          <w:kern w:val="0"/>
          <w:sz w:val="32"/>
          <w:szCs w:val="32"/>
        </w:rPr>
        <w:t>主要用于本部门为保证机关事业单位基本养老保险支出。较</w:t>
      </w:r>
      <w:r>
        <w:rPr>
          <w:rFonts w:hint="eastAsia" w:ascii="仿宋_GB2312" w:hAnsi="仿宋_GB2312" w:eastAsia="仿宋_GB2312" w:cs="仿宋_GB2312"/>
          <w:kern w:val="0"/>
          <w:sz w:val="32"/>
          <w:szCs w:val="32"/>
          <w:lang w:eastAsia="zh-CN"/>
        </w:rPr>
        <w:t>2022年度</w:t>
      </w:r>
      <w:r>
        <w:rPr>
          <w:rFonts w:hint="eastAsia" w:ascii="仿宋_GB2312" w:hAnsi="仿宋_GB2312" w:eastAsia="仿宋_GB2312" w:cs="仿宋_GB2312"/>
          <w:kern w:val="0"/>
          <w:sz w:val="32"/>
          <w:szCs w:val="32"/>
        </w:rPr>
        <w:t>决算数增加</w:t>
      </w:r>
      <w:r>
        <w:rPr>
          <w:rFonts w:hint="eastAsia" w:ascii="仿宋_GB2312" w:hAnsi="仿宋_GB2312" w:eastAsia="仿宋_GB2312" w:cs="仿宋_GB2312"/>
          <w:kern w:val="0"/>
          <w:sz w:val="32"/>
          <w:szCs w:val="32"/>
          <w:lang w:val="en-US" w:eastAsia="zh-CN"/>
        </w:rPr>
        <w:t>3.71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10.56</w:t>
      </w:r>
      <w:r>
        <w:rPr>
          <w:rFonts w:hint="eastAsia" w:ascii="仿宋_GB2312" w:hAnsi="仿宋_GB2312" w:eastAsia="仿宋_GB2312" w:cs="仿宋_GB2312"/>
          <w:kern w:val="0"/>
          <w:sz w:val="32"/>
          <w:szCs w:val="32"/>
        </w:rPr>
        <w:t xml:space="preserve"> %，主要原因是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今年人员增加及</w:t>
      </w:r>
      <w:r>
        <w:rPr>
          <w:rFonts w:hint="eastAsia" w:ascii="仿宋_GB2312" w:hAnsi="仿宋_GB2312" w:eastAsia="仿宋_GB2312" w:cs="仿宋_GB2312"/>
          <w:kern w:val="0"/>
          <w:sz w:val="32"/>
          <w:szCs w:val="32"/>
        </w:rPr>
        <w:t>增资引起基数增加而</w:t>
      </w:r>
      <w:r>
        <w:rPr>
          <w:rFonts w:hint="eastAsia" w:ascii="仿宋_GB2312" w:hAnsi="仿宋_GB2312" w:eastAsia="仿宋_GB2312" w:cs="仿宋_GB2312"/>
          <w:kern w:val="0"/>
          <w:sz w:val="32"/>
          <w:szCs w:val="32"/>
          <w:lang w:val="en-US" w:eastAsia="zh-CN"/>
        </w:rPr>
        <w:t>有所</w:t>
      </w:r>
      <w:r>
        <w:rPr>
          <w:rFonts w:hint="eastAsia" w:ascii="仿宋_GB2312" w:hAnsi="仿宋_GB2312" w:eastAsia="仿宋_GB2312" w:cs="仿宋_GB2312"/>
          <w:kern w:val="0"/>
          <w:sz w:val="32"/>
          <w:szCs w:val="32"/>
        </w:rPr>
        <w:t>增加。</w:t>
      </w:r>
    </w:p>
    <w:p>
      <w:pPr>
        <w:autoSpaceDE w:val="0"/>
        <w:autoSpaceDN w:val="0"/>
        <w:adjustRightInd w:val="0"/>
        <w:spacing w:line="600" w:lineRule="exact"/>
        <w:ind w:firstLine="640" w:firstLineChars="200"/>
        <w:jc w:val="left"/>
        <w:rPr>
          <w:rFonts w:hint="eastAsia" w:ascii="仿宋_GB2312" w:hAnsi="仿宋_GB2312" w:eastAsia="仿宋_GB2312" w:cs="仿宋_GB2312"/>
          <w:spacing w:val="6"/>
          <w:kern w:val="0"/>
          <w:sz w:val="32"/>
          <w:szCs w:val="32"/>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28.78</w:t>
      </w:r>
      <w:r>
        <w:rPr>
          <w:rFonts w:hint="eastAsia" w:ascii="仿宋" w:hAnsi="仿宋" w:eastAsia="仿宋" w:cs="仿宋"/>
          <w:sz w:val="32"/>
          <w:szCs w:val="32"/>
          <w:highlight w:val="none"/>
        </w:rPr>
        <w:t>万元：</w:t>
      </w:r>
      <w:r>
        <w:rPr>
          <w:rFonts w:hint="eastAsia" w:ascii="仿宋_GB2312" w:hAnsi="仿宋_GB2312" w:eastAsia="仿宋_GB2312" w:cs="仿宋_GB2312"/>
          <w:kern w:val="0"/>
          <w:sz w:val="32"/>
          <w:szCs w:val="32"/>
        </w:rPr>
        <w:t>主要用于按照国家政策规定</w:t>
      </w:r>
      <w:r>
        <w:rPr>
          <w:rFonts w:hint="eastAsia" w:ascii="仿宋_GB2312" w:hAnsi="仿宋_GB2312" w:eastAsia="仿宋_GB2312" w:cs="仿宋_GB2312"/>
          <w:kern w:val="0"/>
          <w:sz w:val="32"/>
          <w:szCs w:val="32"/>
          <w:lang w:val="en-US" w:eastAsia="zh-CN"/>
        </w:rPr>
        <w:t>帮</w:t>
      </w:r>
      <w:r>
        <w:rPr>
          <w:rFonts w:hint="eastAsia" w:ascii="仿宋_GB2312" w:hAnsi="仿宋_GB2312" w:eastAsia="仿宋_GB2312" w:cs="仿宋_GB2312"/>
          <w:kern w:val="0"/>
          <w:sz w:val="32"/>
          <w:szCs w:val="32"/>
        </w:rPr>
        <w:t>职</w:t>
      </w:r>
      <w:r>
        <w:rPr>
          <w:rFonts w:hint="eastAsia" w:ascii="仿宋_GB2312" w:hAnsi="仿宋_GB2312" w:eastAsia="仿宋_GB2312" w:cs="仿宋_GB2312"/>
          <w:kern w:val="0"/>
          <w:sz w:val="32"/>
          <w:szCs w:val="32"/>
          <w:lang w:val="en-US" w:eastAsia="zh-CN"/>
        </w:rPr>
        <w:t>工交纳</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val="en-US" w:eastAsia="zh-CN"/>
        </w:rPr>
        <w:t>单位部分</w:t>
      </w:r>
      <w:r>
        <w:rPr>
          <w:rFonts w:hint="eastAsia" w:ascii="仿宋_GB2312" w:hAnsi="仿宋_GB2312" w:eastAsia="仿宋_GB2312" w:cs="仿宋_GB2312"/>
          <w:spacing w:val="-3"/>
          <w:kern w:val="0"/>
          <w:sz w:val="32"/>
          <w:szCs w:val="32"/>
        </w:rPr>
        <w:t>的支出。较</w:t>
      </w:r>
      <w:r>
        <w:rPr>
          <w:rFonts w:hint="eastAsia" w:ascii="仿宋_GB2312" w:hAnsi="仿宋_GB2312" w:eastAsia="仿宋_GB2312" w:cs="仿宋_GB2312"/>
          <w:spacing w:val="-3"/>
          <w:kern w:val="0"/>
          <w:sz w:val="32"/>
          <w:szCs w:val="32"/>
          <w:lang w:eastAsia="zh-CN"/>
        </w:rPr>
        <w:t>2022年度</w:t>
      </w:r>
      <w:r>
        <w:rPr>
          <w:rFonts w:hint="eastAsia" w:ascii="仿宋_GB2312" w:hAnsi="仿宋_GB2312" w:eastAsia="仿宋_GB2312" w:cs="仿宋_GB2312"/>
          <w:spacing w:val="-3"/>
          <w:kern w:val="0"/>
          <w:sz w:val="32"/>
          <w:szCs w:val="32"/>
        </w:rPr>
        <w:t>决算数增加</w:t>
      </w:r>
      <w:r>
        <w:rPr>
          <w:rFonts w:hint="eastAsia" w:ascii="仿宋_GB2312" w:hAnsi="仿宋_GB2312" w:eastAsia="仿宋_GB2312" w:cs="仿宋_GB2312"/>
          <w:spacing w:val="-3"/>
          <w:kern w:val="0"/>
          <w:sz w:val="32"/>
          <w:szCs w:val="32"/>
          <w:lang w:val="en-US" w:eastAsia="zh-CN"/>
        </w:rPr>
        <w:t>3.24</w:t>
      </w:r>
      <w:r>
        <w:rPr>
          <w:rFonts w:hint="eastAsia" w:ascii="仿宋_GB2312" w:hAnsi="仿宋_GB2312" w:eastAsia="仿宋_GB2312" w:cs="仿宋_GB2312"/>
          <w:spacing w:val="-3"/>
          <w:kern w:val="0"/>
          <w:sz w:val="32"/>
          <w:szCs w:val="32"/>
        </w:rPr>
        <w:t xml:space="preserve"> 万元，增长</w:t>
      </w:r>
      <w:r>
        <w:rPr>
          <w:rFonts w:hint="eastAsia" w:ascii="仿宋_GB2312" w:hAnsi="仿宋_GB2312" w:eastAsia="仿宋_GB2312" w:cs="仿宋_GB2312"/>
          <w:spacing w:val="-3"/>
          <w:kern w:val="0"/>
          <w:sz w:val="32"/>
          <w:szCs w:val="32"/>
          <w:lang w:val="en-US" w:eastAsia="zh-CN"/>
        </w:rPr>
        <w:t>12.69</w:t>
      </w:r>
      <w:r>
        <w:rPr>
          <w:rFonts w:hint="eastAsia" w:ascii="仿宋_GB2312" w:hAnsi="仿宋_GB2312" w:eastAsia="仿宋_GB2312" w:cs="仿宋_GB2312"/>
          <w:spacing w:val="-3"/>
          <w:kern w:val="0"/>
          <w:sz w:val="32"/>
          <w:szCs w:val="32"/>
        </w:rPr>
        <w:t xml:space="preserve"> %，</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增加聘用人员及</w:t>
      </w:r>
      <w:r>
        <w:rPr>
          <w:rFonts w:hint="eastAsia" w:ascii="仿宋_GB2312" w:hAnsi="仿宋_GB2312" w:eastAsia="仿宋_GB2312" w:cs="仿宋_GB2312"/>
          <w:kern w:val="0"/>
          <w:sz w:val="32"/>
          <w:szCs w:val="32"/>
        </w:rPr>
        <w:t>增资引起基数增长而增加</w:t>
      </w:r>
      <w:r>
        <w:rPr>
          <w:rFonts w:hint="eastAsia" w:ascii="仿宋_GB2312" w:hAnsi="仿宋_GB2312" w:eastAsia="仿宋_GB2312" w:cs="仿宋_GB2312"/>
          <w:spacing w:val="6"/>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_GB2312" w:cs="仿宋"/>
          <w:sz w:val="32"/>
          <w:szCs w:val="32"/>
          <w:highlight w:val="none"/>
          <w:lang w:val="en-US" w:eastAsia="zh-CN"/>
        </w:rPr>
      </w:pPr>
      <w:r>
        <w:rPr>
          <w:rFonts w:hint="eastAsia" w:ascii="仿宋" w:hAnsi="仿宋" w:eastAsia="仿宋" w:cs="仿宋"/>
          <w:sz w:val="32"/>
          <w:szCs w:val="32"/>
          <w:highlight w:val="none"/>
          <w:lang w:val="en-US" w:eastAsia="zh-CN"/>
        </w:rPr>
        <w:t>6.其他支出</w:t>
      </w:r>
      <w:r>
        <w:rPr>
          <w:rFonts w:hint="eastAsia" w:ascii="仿宋_GB2312" w:hAnsi="仿宋_GB2312" w:eastAsia="仿宋_GB2312" w:cs="仿宋_GB2312"/>
          <w:spacing w:val="6"/>
          <w:kern w:val="0"/>
          <w:sz w:val="32"/>
          <w:szCs w:val="32"/>
          <w:lang w:val="en-US" w:eastAsia="zh-CN"/>
        </w:rPr>
        <w:t>49.10</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kern w:val="0"/>
          <w:sz w:val="32"/>
          <w:szCs w:val="32"/>
        </w:rPr>
        <w:t>主要用于按照国家政策规定向职工发放的绩效考评奖方</w:t>
      </w:r>
      <w:r>
        <w:rPr>
          <w:rFonts w:hint="eastAsia" w:ascii="仿宋_GB2312" w:hAnsi="仿宋_GB2312" w:eastAsia="仿宋_GB2312" w:cs="仿宋_GB2312"/>
          <w:spacing w:val="-3"/>
          <w:kern w:val="0"/>
          <w:sz w:val="32"/>
          <w:szCs w:val="32"/>
        </w:rPr>
        <w:t>面的支出。较</w:t>
      </w:r>
      <w:r>
        <w:rPr>
          <w:rFonts w:hint="eastAsia" w:ascii="仿宋_GB2312" w:hAnsi="仿宋_GB2312" w:eastAsia="仿宋_GB2312" w:cs="仿宋_GB2312"/>
          <w:spacing w:val="-3"/>
          <w:kern w:val="0"/>
          <w:sz w:val="32"/>
          <w:szCs w:val="32"/>
          <w:lang w:eastAsia="zh-CN"/>
        </w:rPr>
        <w:t>2022年度</w:t>
      </w:r>
      <w:r>
        <w:rPr>
          <w:rFonts w:hint="eastAsia" w:ascii="仿宋_GB2312" w:hAnsi="仿宋_GB2312" w:eastAsia="仿宋_GB2312" w:cs="仿宋_GB2312"/>
          <w:spacing w:val="-3"/>
          <w:kern w:val="0"/>
          <w:sz w:val="32"/>
          <w:szCs w:val="32"/>
        </w:rPr>
        <w:t>决算数</w:t>
      </w:r>
      <w:r>
        <w:rPr>
          <w:rFonts w:hint="eastAsia" w:ascii="仿宋_GB2312" w:hAnsi="仿宋_GB2312" w:eastAsia="仿宋_GB2312" w:cs="仿宋_GB2312"/>
          <w:spacing w:val="-3"/>
          <w:kern w:val="0"/>
          <w:sz w:val="32"/>
          <w:szCs w:val="32"/>
          <w:lang w:val="en-US" w:eastAsia="zh-CN"/>
        </w:rPr>
        <w:t>减少8.84</w:t>
      </w:r>
      <w:r>
        <w:rPr>
          <w:rFonts w:hint="eastAsia" w:ascii="仿宋_GB2312" w:hAnsi="仿宋_GB2312" w:eastAsia="仿宋_GB2312" w:cs="仿宋_GB2312"/>
          <w:spacing w:val="-3"/>
          <w:kern w:val="0"/>
          <w:sz w:val="32"/>
          <w:szCs w:val="32"/>
        </w:rPr>
        <w:t xml:space="preserve"> 万元，</w:t>
      </w:r>
      <w:r>
        <w:rPr>
          <w:rFonts w:hint="eastAsia" w:ascii="仿宋_GB2312" w:hAnsi="仿宋_GB2312" w:eastAsia="仿宋_GB2312" w:cs="仿宋_GB2312"/>
          <w:spacing w:val="-3"/>
          <w:kern w:val="0"/>
          <w:sz w:val="32"/>
          <w:szCs w:val="32"/>
          <w:lang w:val="en-US" w:eastAsia="zh-CN"/>
        </w:rPr>
        <w:t>下降15.26</w:t>
      </w:r>
      <w:r>
        <w:rPr>
          <w:rFonts w:hint="eastAsia" w:ascii="仿宋_GB2312" w:hAnsi="仿宋_GB2312" w:eastAsia="仿宋_GB2312" w:cs="仿宋_GB2312"/>
          <w:spacing w:val="-3"/>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今年</w:t>
      </w:r>
      <w:r>
        <w:rPr>
          <w:rFonts w:hint="eastAsia" w:ascii="仿宋_GB2312" w:hAnsi="仿宋_GB2312" w:eastAsia="仿宋_GB2312" w:cs="仿宋_GB2312"/>
          <w:kern w:val="0"/>
          <w:sz w:val="32"/>
          <w:szCs w:val="32"/>
        </w:rPr>
        <w:t>发</w:t>
      </w:r>
      <w:r>
        <w:rPr>
          <w:rFonts w:hint="eastAsia" w:ascii="仿宋_GB2312" w:hAnsi="仿宋_GB2312" w:eastAsia="仿宋_GB2312" w:cs="仿宋_GB2312"/>
          <w:kern w:val="0"/>
          <w:sz w:val="32"/>
          <w:szCs w:val="32"/>
          <w:lang w:val="en-US" w:eastAsia="zh-CN"/>
        </w:rPr>
        <w:t>放</w:t>
      </w:r>
      <w:r>
        <w:rPr>
          <w:rFonts w:hint="eastAsia" w:ascii="仿宋_GB2312" w:hAnsi="仿宋_GB2312" w:eastAsia="仿宋_GB2312" w:cs="仿宋_GB2312"/>
          <w:kern w:val="0"/>
          <w:sz w:val="32"/>
          <w:szCs w:val="32"/>
        </w:rPr>
        <w:t>的绩效考评奖</w:t>
      </w:r>
      <w:r>
        <w:rPr>
          <w:rFonts w:hint="eastAsia" w:ascii="仿宋_GB2312" w:hAnsi="仿宋_GB2312" w:eastAsia="仿宋_GB2312" w:cs="仿宋_GB2312"/>
          <w:kern w:val="0"/>
          <w:sz w:val="32"/>
          <w:szCs w:val="32"/>
          <w:lang w:val="en-US" w:eastAsia="zh-CN"/>
        </w:rPr>
        <w:t>大量减少。</w:t>
      </w:r>
    </w:p>
    <w:p>
      <w:pPr>
        <w:autoSpaceDE w:val="0"/>
        <w:autoSpaceDN w:val="0"/>
        <w:adjustRightInd w:val="0"/>
        <w:spacing w:line="560" w:lineRule="exact"/>
        <w:ind w:firstLine="627" w:firstLineChars="196"/>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spacing w:val="6"/>
          <w:kern w:val="0"/>
          <w:sz w:val="32"/>
          <w:szCs w:val="32"/>
        </w:rPr>
        <w:t>结余分配0.00万元，为事业单位按规定提取的职工福利</w:t>
      </w:r>
      <w:r>
        <w:rPr>
          <w:rFonts w:hint="eastAsia" w:ascii="仿宋_GB2312" w:hAnsi="仿宋_GB2312" w:eastAsia="仿宋_GB2312" w:cs="仿宋_GB2312"/>
          <w:spacing w:val="11"/>
          <w:kern w:val="0"/>
          <w:sz w:val="32"/>
          <w:szCs w:val="32"/>
        </w:rPr>
        <w:t>基金、事业基金和缴纳的所得税等。较2020年度决算数增加</w:t>
      </w:r>
      <w:r>
        <w:rPr>
          <w:rFonts w:hint="eastAsia" w:ascii="仿宋_GB2312" w:hAnsi="仿宋_GB2312" w:eastAsia="仿宋_GB2312" w:cs="仿宋_GB2312"/>
          <w:spacing w:val="6"/>
          <w:kern w:val="0"/>
          <w:sz w:val="32"/>
          <w:szCs w:val="32"/>
        </w:rPr>
        <w:t xml:space="preserve"> 0.00 万元，增长 0.00  %，主要原因是</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没有分配。</w:t>
      </w:r>
    </w:p>
    <w:p>
      <w:pPr>
        <w:autoSpaceDE w:val="0"/>
        <w:autoSpaceDN w:val="0"/>
        <w:adjustRightInd w:val="0"/>
        <w:spacing w:line="600" w:lineRule="exact"/>
        <w:ind w:firstLine="615" w:firstLineChars="196"/>
        <w:rPr>
          <w:rFonts w:ascii="仿宋_GB2312" w:hAnsi="仿宋_GB2312" w:eastAsia="仿宋_GB2312" w:cs="仿宋_GB2312"/>
          <w:kern w:val="0"/>
          <w:sz w:val="32"/>
          <w:szCs w:val="32"/>
        </w:rPr>
      </w:pPr>
      <w:r>
        <w:rPr>
          <w:rFonts w:hint="eastAsia" w:ascii="仿宋_GB2312" w:hAnsi="仿宋_GB2312" w:eastAsia="仿宋_GB2312" w:cs="仿宋_GB2312"/>
          <w:spacing w:val="-3"/>
          <w:kern w:val="0"/>
          <w:sz w:val="32"/>
          <w:szCs w:val="32"/>
        </w:rPr>
        <w:t>8.年末结转和结余0.00万元，</w:t>
      </w:r>
      <w:r>
        <w:rPr>
          <w:rFonts w:ascii="Times New Roman" w:hAnsi="Times New Roman" w:eastAsia="仿宋_GB2312"/>
          <w:kern w:val="0"/>
          <w:sz w:val="32"/>
          <w:szCs w:val="32"/>
        </w:rPr>
        <w:t>为以前年度支出预算因客观条件变化未执行完毕、结转到本年度按有关规定继续使用的资金。</w:t>
      </w:r>
      <w:r>
        <w:rPr>
          <w:rFonts w:hint="eastAsia" w:ascii="仿宋_GB2312" w:hAnsi="仿宋_GB2312" w:eastAsia="仿宋_GB2312" w:cs="仿宋_GB2312"/>
          <w:kern w:val="0"/>
          <w:sz w:val="32"/>
          <w:szCs w:val="32"/>
        </w:rPr>
        <w:t>较2020年度决算数减少</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万元，下降0.00%，主要原因是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没有</w:t>
      </w:r>
      <w:r>
        <w:rPr>
          <w:rFonts w:hint="eastAsia" w:ascii="仿宋_GB2312" w:hAnsi="仿宋_GB2312" w:eastAsia="仿宋_GB2312" w:cs="仿宋_GB2312"/>
          <w:kern w:val="0"/>
          <w:sz w:val="32"/>
          <w:szCs w:val="32"/>
        </w:rPr>
        <w:t>在结转和结余数。</w:t>
      </w:r>
    </w:p>
    <w:p>
      <w:pPr>
        <w:ind w:firstLine="640" w:firstLineChars="200"/>
        <w:jc w:val="center"/>
        <w:rPr>
          <w:rFonts w:hint="eastAsia" w:ascii="仿宋" w:hAnsi="仿宋" w:eastAsia="仿宋" w:cs="仿宋"/>
          <w:sz w:val="32"/>
          <w:szCs w:val="32"/>
          <w:highlight w:val="none"/>
        </w:rPr>
      </w:pPr>
    </w:p>
    <w:p>
      <w:pPr>
        <w:ind w:firstLine="420" w:firstLineChars="200"/>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单位2023年度</w:t>
      </w:r>
      <w:r>
        <w:rPr>
          <w:rFonts w:hint="eastAsia" w:ascii="仿宋" w:hAnsi="仿宋" w:eastAsia="仿宋" w:cs="仿宋"/>
          <w:sz w:val="32"/>
          <w:szCs w:val="32"/>
          <w:highlight w:val="none"/>
        </w:rPr>
        <w:t>一般公共预算财政拨款支出</w:t>
      </w:r>
      <w:r>
        <w:rPr>
          <w:rFonts w:hint="eastAsia" w:ascii="仿宋" w:hAnsi="仿宋" w:eastAsia="仿宋" w:cs="仿宋"/>
          <w:sz w:val="32"/>
          <w:u w:color="auto"/>
          <w:lang w:val="en-US" w:eastAsia="zh-CN"/>
        </w:rPr>
        <w:t>468.70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2022年度</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val="en-US" w:eastAsia="zh-CN"/>
        </w:rPr>
        <w:t>减少400.59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下降46.08</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333.10</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135.60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年度</w:t>
      </w:r>
      <w:r>
        <w:rPr>
          <w:rFonts w:hint="eastAsia" w:ascii="仿宋" w:hAnsi="仿宋" w:eastAsia="仿宋" w:cs="仿宋"/>
          <w:sz w:val="32"/>
          <w:szCs w:val="32"/>
          <w:highlight w:val="none"/>
        </w:rPr>
        <w:t>一般公共预算财政拨款支出年初预算为</w:t>
      </w:r>
      <w:r>
        <w:rPr>
          <w:rFonts w:hint="eastAsia" w:ascii="仿宋" w:hAnsi="仿宋" w:eastAsia="仿宋" w:cs="仿宋"/>
          <w:sz w:val="32"/>
          <w:u w:color="auto"/>
          <w:lang w:val="en-US" w:eastAsia="zh-CN"/>
        </w:rPr>
        <w:t>491.52</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468.70</w:t>
      </w:r>
      <w:r>
        <w:rPr>
          <w:rFonts w:hint="eastAsia" w:ascii="仿宋" w:hAnsi="仿宋" w:eastAsia="仿宋" w:cs="仿宋"/>
          <w:sz w:val="32"/>
          <w:szCs w:val="32"/>
          <w:highlight w:val="none"/>
        </w:rPr>
        <w:t>元，完成年初预算的</w:t>
      </w:r>
      <w:r>
        <w:rPr>
          <w:rFonts w:hint="eastAsia" w:ascii="仿宋" w:hAnsi="仿宋" w:eastAsia="仿宋" w:cs="仿宋"/>
          <w:sz w:val="32"/>
          <w:u w:color="auto"/>
          <w:lang w:val="en-US" w:eastAsia="zh-CN"/>
        </w:rPr>
        <w:t>95.36</w:t>
      </w:r>
      <w:r>
        <w:rPr>
          <w:rFonts w:ascii="仿宋" w:hAnsi="仿宋" w:eastAsia="仿宋" w:cs="仿宋"/>
          <w:sz w:val="32"/>
          <w:u w:color="auto"/>
        </w:rPr>
        <w:t>%</w:t>
      </w:r>
      <w:r>
        <w:rPr>
          <w:rFonts w:hint="eastAsia" w:ascii="仿宋" w:hAnsi="仿宋" w:eastAsia="仿宋" w:cs="仿宋"/>
          <w:sz w:val="32"/>
          <w:szCs w:val="32"/>
          <w:highlight w:val="none"/>
        </w:rPr>
        <w:t>。</w:t>
      </w:r>
    </w:p>
    <w:p>
      <w:pPr>
        <w:numPr>
          <w:ilvl w:val="0"/>
          <w:numId w:val="1"/>
        </w:numPr>
        <w:ind w:firstLine="640" w:firstLineChars="20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4.51万元，支出决算数为</w:t>
      </w:r>
      <w:r>
        <w:rPr>
          <w:rFonts w:hint="eastAsia" w:ascii="仿宋" w:hAnsi="仿宋" w:eastAsia="仿宋" w:cs="仿宋"/>
          <w:sz w:val="32"/>
          <w:szCs w:val="32"/>
          <w:highlight w:val="none"/>
          <w:lang w:val="en-US" w:eastAsia="zh-CN" w:bidi="ar"/>
        </w:rPr>
        <w:t>4.51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原因是：不存在差异。</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4.51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保证日常运转发生的基本支出和为完成各项工作任务、保障单位事业发展而发生的项目支出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不存在差异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eastAsiaTheme="minorEastAsia"/>
                <w:lang w:val="en-US" w:eastAsia="zh-CN"/>
              </w:rPr>
            </w:pPr>
            <w:r>
              <w:rPr>
                <w:rFonts w:hint="eastAsia"/>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4.51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numPr>
          <w:ilvl w:val="0"/>
          <w:numId w:val="0"/>
        </w:numPr>
        <w:jc w:val="left"/>
      </w:pPr>
    </w:p>
    <w:p>
      <w:pPr>
        <w:numPr>
          <w:ilvl w:val="0"/>
          <w:numId w:val="0"/>
        </w:numPr>
        <w:jc w:val="left"/>
        <w:rPr>
          <w:rFonts w:hint="eastAsia" w:ascii="仿宋" w:hAnsi="仿宋" w:eastAsia="仿宋"/>
          <w:color w:val="000000" w:themeColor="text1"/>
          <w:sz w:val="32"/>
          <w:szCs w:val="32"/>
          <w:highlight w:val="none"/>
          <w:lang w:val="en-US" w:eastAsia="zh-CN"/>
          <w14:textFill>
            <w14:solidFill>
              <w14:schemeClr w14:val="tx1"/>
            </w14:solidFill>
          </w14:textFill>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 教育支出</w:t>
      </w:r>
      <w:r>
        <w:rPr>
          <w:rFonts w:ascii="仿宋" w:hAnsi="仿宋" w:eastAsia="仿宋"/>
          <w:sz w:val="32"/>
          <w:u w:color="auto"/>
        </w:rPr>
        <w:t>（205</w:t>
      </w:r>
      <w:r>
        <w:rPr>
          <w:rFonts w:hint="eastAsia" w:ascii="仿宋" w:hAnsi="仿宋" w:eastAsia="仿宋"/>
          <w:sz w:val="32"/>
          <w:szCs w:val="32"/>
          <w:highlight w:val="none"/>
        </w:rPr>
        <w:t>类）</w:t>
      </w:r>
      <w:r>
        <w:rPr>
          <w:rFonts w:ascii="Times New Roman" w:hAnsi="Times New Roman" w:eastAsia="仿宋_GB2312"/>
          <w:bCs/>
          <w:kern w:val="0"/>
          <w:sz w:val="32"/>
          <w:szCs w:val="32"/>
        </w:rPr>
        <w:t>年初预算为</w:t>
      </w:r>
      <w:r>
        <w:rPr>
          <w:rFonts w:hint="eastAsia" w:ascii="Times New Roman" w:hAnsi="Times New Roman" w:eastAsia="仿宋_GB2312"/>
          <w:bCs/>
          <w:kern w:val="0"/>
          <w:sz w:val="32"/>
          <w:szCs w:val="32"/>
        </w:rPr>
        <w:t>0.</w:t>
      </w:r>
      <w:r>
        <w:rPr>
          <w:rFonts w:hint="eastAsia" w:ascii="Times New Roman" w:hAnsi="Times New Roman" w:eastAsia="仿宋_GB2312"/>
          <w:bCs/>
          <w:kern w:val="0"/>
          <w:sz w:val="32"/>
          <w:szCs w:val="32"/>
          <w:lang w:val="en-US" w:eastAsia="zh-CN"/>
        </w:rPr>
        <w:t>4</w:t>
      </w:r>
      <w:r>
        <w:rPr>
          <w:rFonts w:hint="eastAsia" w:ascii="Times New Roman" w:hAnsi="Times New Roman" w:eastAsia="仿宋_GB2312"/>
          <w:bCs/>
          <w:kern w:val="0"/>
          <w:sz w:val="32"/>
          <w:szCs w:val="32"/>
        </w:rPr>
        <w:t>0</w:t>
      </w:r>
      <w:r>
        <w:rPr>
          <w:rFonts w:ascii="Times New Roman" w:hAnsi="Times New Roman" w:eastAsia="仿宋_GB2312"/>
          <w:bCs/>
          <w:kern w:val="0"/>
          <w:sz w:val="32"/>
          <w:szCs w:val="32"/>
        </w:rPr>
        <w:t>万元，支出决算为</w:t>
      </w:r>
      <w:r>
        <w:rPr>
          <w:rFonts w:hint="eastAsia" w:ascii="Times New Roman" w:hAnsi="Times New Roman" w:eastAsia="仿宋_GB2312"/>
          <w:bCs/>
          <w:kern w:val="0"/>
          <w:sz w:val="32"/>
          <w:szCs w:val="32"/>
          <w:lang w:val="en-US" w:eastAsia="zh-CN"/>
        </w:rPr>
        <w:t>0.40</w:t>
      </w:r>
      <w:r>
        <w:rPr>
          <w:rFonts w:ascii="Times New Roman" w:hAnsi="Times New Roman" w:eastAsia="仿宋_GB2312"/>
          <w:bCs/>
          <w:kern w:val="0"/>
          <w:sz w:val="32"/>
          <w:szCs w:val="32"/>
        </w:rPr>
        <w:t xml:space="preserve">万元，完成年初预算的 </w:t>
      </w:r>
      <w:r>
        <w:rPr>
          <w:rFonts w:hint="eastAsia" w:ascii="Times New Roman" w:hAnsi="Times New Roman" w:eastAsia="仿宋_GB2312"/>
          <w:bCs/>
          <w:kern w:val="0"/>
          <w:sz w:val="32"/>
          <w:szCs w:val="32"/>
          <w:lang w:val="en-US" w:eastAsia="zh-CN"/>
        </w:rPr>
        <w:t>100</w:t>
      </w:r>
      <w:r>
        <w:rPr>
          <w:rFonts w:hint="eastAsia" w:ascii="Times New Roman" w:hAnsi="Times New Roman" w:eastAsia="仿宋_GB2312"/>
          <w:bCs/>
          <w:kern w:val="0"/>
          <w:sz w:val="32"/>
          <w:szCs w:val="32"/>
        </w:rPr>
        <w:t>.00</w:t>
      </w:r>
      <w:r>
        <w:rPr>
          <w:rFonts w:ascii="Times New Roman" w:hAnsi="Times New Roman" w:eastAsia="仿宋_GB2312"/>
          <w:bCs/>
          <w:kern w:val="0"/>
          <w:sz w:val="32"/>
          <w:szCs w:val="32"/>
        </w:rPr>
        <w:t xml:space="preserve"> %。预决算差异</w:t>
      </w:r>
      <w:r>
        <w:rPr>
          <w:rFonts w:hint="eastAsia" w:ascii="Times New Roman" w:hAnsi="Times New Roman" w:eastAsia="仿宋_GB2312"/>
          <w:bCs/>
          <w:kern w:val="0"/>
          <w:sz w:val="32"/>
          <w:szCs w:val="32"/>
        </w:rPr>
        <w:t>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无差异</w:t>
      </w:r>
      <w:r>
        <w:rPr>
          <w:rFonts w:hint="eastAsia" w:ascii="仿宋_GB2312" w:hAnsi="仿宋_GB2312" w:eastAsia="仿宋_GB2312" w:cs="仿宋_GB2312"/>
          <w:sz w:val="32"/>
          <w:szCs w:val="32"/>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其他广播电视教育支出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毛南语聘用播音员经费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不存在差异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0.40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left"/>
      </w:pPr>
      <w:r>
        <w:drawing>
          <wp:inline distT="0" distB="0" distL="114300" distR="114300">
            <wp:extent cx="4904740" cy="2647950"/>
            <wp:effectExtent l="4445" t="4445" r="571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2"/>
        </w:num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科学技术支出</w:t>
      </w:r>
      <w:r>
        <w:rPr>
          <w:rFonts w:ascii="Times New Roman" w:hAnsi="Times New Roman" w:eastAsia="仿宋_GB2312"/>
          <w:bCs/>
          <w:kern w:val="0"/>
          <w:sz w:val="32"/>
          <w:szCs w:val="32"/>
        </w:rPr>
        <w:t>年初预算为</w:t>
      </w:r>
      <w:r>
        <w:rPr>
          <w:rFonts w:hint="eastAsia" w:ascii="Times New Roman" w:hAnsi="Times New Roman" w:eastAsia="仿宋_GB2312"/>
          <w:bCs/>
          <w:kern w:val="0"/>
          <w:sz w:val="32"/>
          <w:szCs w:val="32"/>
          <w:lang w:val="en-US" w:eastAsia="zh-CN"/>
        </w:rPr>
        <w:t>0.00</w:t>
      </w:r>
      <w:r>
        <w:rPr>
          <w:rFonts w:ascii="Times New Roman" w:hAnsi="Times New Roman" w:eastAsia="仿宋_GB2312"/>
          <w:bCs/>
          <w:kern w:val="0"/>
          <w:sz w:val="32"/>
          <w:szCs w:val="32"/>
        </w:rPr>
        <w:t>万元，支出决算为</w:t>
      </w:r>
      <w:r>
        <w:rPr>
          <w:rFonts w:hint="eastAsia" w:ascii="Times New Roman" w:hAnsi="Times New Roman" w:eastAsia="仿宋_GB2312"/>
          <w:bCs/>
          <w:kern w:val="0"/>
          <w:sz w:val="32"/>
          <w:szCs w:val="32"/>
          <w:lang w:val="en-US" w:eastAsia="zh-CN"/>
        </w:rPr>
        <w:t>3.00</w:t>
      </w:r>
      <w:r>
        <w:rPr>
          <w:rFonts w:ascii="Times New Roman" w:hAnsi="Times New Roman" w:eastAsia="仿宋_GB2312"/>
          <w:bCs/>
          <w:kern w:val="0"/>
          <w:sz w:val="32"/>
          <w:szCs w:val="32"/>
        </w:rPr>
        <w:t>万元，完成年初预算的</w:t>
      </w:r>
      <w:r>
        <w:rPr>
          <w:rFonts w:hint="eastAsia" w:ascii="Times New Roman" w:hAnsi="Times New Roman" w:eastAsia="仿宋_GB2312"/>
          <w:bCs/>
          <w:kern w:val="0"/>
          <w:sz w:val="32"/>
          <w:szCs w:val="32"/>
          <w:lang w:val="en-US" w:eastAsia="zh-CN"/>
        </w:rPr>
        <w:t>0.00</w:t>
      </w:r>
      <w:r>
        <w:rPr>
          <w:rFonts w:ascii="Times New Roman" w:hAnsi="Times New Roman" w:eastAsia="仿宋_GB2312"/>
          <w:bCs/>
          <w:kern w:val="0"/>
          <w:sz w:val="32"/>
          <w:szCs w:val="32"/>
        </w:rPr>
        <w:t>%。预决算差异</w:t>
      </w:r>
      <w:r>
        <w:rPr>
          <w:rFonts w:hint="eastAsia" w:ascii="Times New Roman" w:hAnsi="Times New Roman" w:eastAsia="仿宋_GB2312"/>
          <w:bCs/>
          <w:kern w:val="0"/>
          <w:sz w:val="32"/>
          <w:szCs w:val="32"/>
        </w:rPr>
        <w:t>的</w:t>
      </w:r>
      <w:r>
        <w:rPr>
          <w:rFonts w:hint="eastAsia" w:ascii="仿宋_GB2312" w:hAnsi="仿宋_GB2312" w:eastAsia="仿宋_GB2312" w:cs="仿宋_GB2312"/>
          <w:sz w:val="32"/>
          <w:szCs w:val="32"/>
        </w:rPr>
        <w:t>主要原因是中途增加业务。</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sans-serif" w:hAnsi="sans-serif" w:eastAsia="sans-serif" w:cs="sans-serif"/>
                <w:i w:val="0"/>
                <w:iCs w:val="0"/>
                <w:caps w:val="0"/>
                <w:color w:val="333333"/>
                <w:spacing w:val="0"/>
                <w:sz w:val="18"/>
                <w:szCs w:val="18"/>
                <w:shd w:val="clear" w:fill="BAE7FF"/>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采编播设备的维修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年中追加业务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numPr>
          <w:ilvl w:val="0"/>
          <w:numId w:val="0"/>
        </w:numPr>
        <w:autoSpaceDE w:val="0"/>
        <w:autoSpaceDN w:val="0"/>
        <w:adjustRightInd w:val="0"/>
        <w:spacing w:line="560" w:lineRule="exact"/>
      </w:pPr>
    </w:p>
    <w:p>
      <w:pPr>
        <w:numPr>
          <w:ilvl w:val="0"/>
          <w:numId w:val="0"/>
        </w:numPr>
        <w:autoSpaceDE w:val="0"/>
        <w:autoSpaceDN w:val="0"/>
        <w:adjustRightInd w:val="0"/>
        <w:spacing w:line="560" w:lineRule="exact"/>
      </w:pPr>
      <w:r>
        <w:drawing>
          <wp:anchor distT="0" distB="0" distL="114300" distR="114300" simplePos="0" relativeHeight="251659264" behindDoc="0" locked="0" layoutInCell="1" allowOverlap="1">
            <wp:simplePos x="0" y="0"/>
            <wp:positionH relativeFrom="column">
              <wp:posOffset>404495</wp:posOffset>
            </wp:positionH>
            <wp:positionV relativeFrom="paragraph">
              <wp:posOffset>287020</wp:posOffset>
            </wp:positionV>
            <wp:extent cx="4572000" cy="2724150"/>
            <wp:effectExtent l="4445" t="4445" r="14605" b="1460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numPr>
          <w:ilvl w:val="0"/>
          <w:numId w:val="0"/>
        </w:numPr>
        <w:autoSpaceDE w:val="0"/>
        <w:autoSpaceDN w:val="0"/>
        <w:adjustRightInd w:val="0"/>
        <w:spacing w:line="560" w:lineRule="exact"/>
      </w:pPr>
    </w:p>
    <w:p>
      <w:pPr>
        <w:numPr>
          <w:ilvl w:val="0"/>
          <w:numId w:val="0"/>
        </w:numPr>
        <w:autoSpaceDE w:val="0"/>
        <w:autoSpaceDN w:val="0"/>
        <w:adjustRightInd w:val="0"/>
        <w:spacing w:line="560" w:lineRule="exact"/>
        <w:rPr>
          <w:rFonts w:hint="eastAsia" w:ascii="仿宋_GB2312" w:hAnsi="仿宋_GB2312" w:eastAsia="仿宋_GB2312" w:cs="仿宋_GB2312"/>
          <w:sz w:val="32"/>
          <w:szCs w:val="32"/>
        </w:rPr>
      </w:pPr>
    </w:p>
    <w:p>
      <w:pPr>
        <w:numPr>
          <w:ilvl w:val="0"/>
          <w:numId w:val="0"/>
        </w:numPr>
        <w:autoSpaceDE w:val="0"/>
        <w:autoSpaceDN w:val="0"/>
        <w:adjustRightInd w:val="0"/>
        <w:spacing w:line="560" w:lineRule="exact"/>
        <w:rPr>
          <w:rFonts w:hint="eastAsia" w:ascii="仿宋_GB2312" w:hAnsi="仿宋_GB2312" w:eastAsia="仿宋_GB2312" w:cs="仿宋_GB2312"/>
          <w:sz w:val="32"/>
          <w:szCs w:val="32"/>
        </w:rPr>
      </w:pPr>
    </w:p>
    <w:p>
      <w:pPr>
        <w:numPr>
          <w:ilvl w:val="0"/>
          <w:numId w:val="0"/>
        </w:numPr>
        <w:autoSpaceDE w:val="0"/>
        <w:autoSpaceDN w:val="0"/>
        <w:adjustRightInd w:val="0"/>
        <w:spacing w:line="560" w:lineRule="exact"/>
        <w:rPr>
          <w:rFonts w:hint="eastAsia" w:ascii="仿宋_GB2312" w:hAnsi="仿宋_GB2312" w:eastAsia="仿宋_GB2312" w:cs="仿宋_GB2312"/>
          <w:sz w:val="32"/>
          <w:szCs w:val="32"/>
        </w:rPr>
      </w:pPr>
    </w:p>
    <w:p>
      <w:pPr>
        <w:numPr>
          <w:ilvl w:val="0"/>
          <w:numId w:val="0"/>
        </w:numPr>
        <w:autoSpaceDE w:val="0"/>
        <w:autoSpaceDN w:val="0"/>
        <w:adjustRightInd w:val="0"/>
        <w:spacing w:line="560" w:lineRule="exact"/>
        <w:rPr>
          <w:rFonts w:hint="eastAsia" w:ascii="仿宋_GB2312" w:hAnsi="仿宋_GB2312" w:eastAsia="仿宋_GB2312" w:cs="仿宋_GB2312"/>
          <w:sz w:val="32"/>
          <w:szCs w:val="32"/>
        </w:rPr>
      </w:pPr>
    </w:p>
    <w:p>
      <w:pPr>
        <w:numPr>
          <w:ilvl w:val="0"/>
          <w:numId w:val="0"/>
        </w:numPr>
        <w:autoSpaceDE w:val="0"/>
        <w:autoSpaceDN w:val="0"/>
        <w:adjustRightInd w:val="0"/>
        <w:spacing w:line="560" w:lineRule="exact"/>
        <w:rPr>
          <w:rFonts w:hint="eastAsia" w:ascii="仿宋_GB2312" w:hAnsi="仿宋_GB2312" w:eastAsia="仿宋_GB2312" w:cs="仿宋_GB2312"/>
          <w:sz w:val="32"/>
          <w:szCs w:val="32"/>
        </w:rPr>
      </w:pPr>
    </w:p>
    <w:p>
      <w:pPr>
        <w:numPr>
          <w:ilvl w:val="0"/>
          <w:numId w:val="0"/>
        </w:numPr>
        <w:autoSpaceDE w:val="0"/>
        <w:autoSpaceDN w:val="0"/>
        <w:adjustRightInd w:val="0"/>
        <w:spacing w:line="560" w:lineRule="exact"/>
        <w:rPr>
          <w:rFonts w:hint="eastAsia" w:ascii="仿宋_GB2312" w:hAnsi="仿宋_GB2312" w:eastAsia="仿宋_GB2312" w:cs="仿宋_GB2312"/>
          <w:sz w:val="32"/>
          <w:szCs w:val="32"/>
        </w:rPr>
      </w:pPr>
    </w:p>
    <w:p>
      <w:pPr>
        <w:numPr>
          <w:ilvl w:val="0"/>
          <w:numId w:val="0"/>
        </w:numPr>
        <w:autoSpaceDE w:val="0"/>
        <w:autoSpaceDN w:val="0"/>
        <w:adjustRightInd w:val="0"/>
        <w:spacing w:line="560" w:lineRule="exact"/>
        <w:rPr>
          <w:rFonts w:hint="eastAsia" w:ascii="仿宋_GB2312" w:hAnsi="仿宋_GB2312" w:eastAsia="仿宋_GB2312" w:cs="仿宋_GB2312"/>
          <w:sz w:val="32"/>
          <w:szCs w:val="32"/>
        </w:rPr>
      </w:pPr>
    </w:p>
    <w:p>
      <w:pPr>
        <w:numPr>
          <w:ilvl w:val="0"/>
          <w:numId w:val="2"/>
        </w:num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文化旅游体育与传媒支出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207）</w:t>
      </w:r>
      <w:r>
        <w:rPr>
          <w:rFonts w:ascii="Times New Roman" w:hAnsi="Times New Roman" w:eastAsia="仿宋_GB2312"/>
          <w:bCs/>
          <w:kern w:val="0"/>
          <w:sz w:val="32"/>
          <w:szCs w:val="32"/>
        </w:rPr>
        <w:t>年初预算为</w:t>
      </w:r>
      <w:r>
        <w:rPr>
          <w:rFonts w:hint="eastAsia" w:ascii="Times New Roman" w:hAnsi="Times New Roman" w:eastAsia="仿宋_GB2312"/>
          <w:bCs/>
          <w:kern w:val="0"/>
          <w:sz w:val="32"/>
          <w:szCs w:val="32"/>
          <w:lang w:val="en-US" w:eastAsia="zh-CN"/>
        </w:rPr>
        <w:t>423.42</w:t>
      </w:r>
      <w:r>
        <w:rPr>
          <w:rFonts w:ascii="Times New Roman" w:hAnsi="Times New Roman" w:eastAsia="仿宋_GB2312"/>
          <w:bCs/>
          <w:kern w:val="0"/>
          <w:sz w:val="32"/>
          <w:szCs w:val="32"/>
        </w:rPr>
        <w:t>万元，支出决算为</w:t>
      </w:r>
      <w:r>
        <w:rPr>
          <w:rFonts w:hint="eastAsia" w:ascii="Times New Roman" w:hAnsi="Times New Roman" w:eastAsia="仿宋_GB2312"/>
          <w:bCs/>
          <w:kern w:val="0"/>
          <w:sz w:val="32"/>
          <w:szCs w:val="32"/>
          <w:lang w:val="en-US" w:eastAsia="zh-CN"/>
        </w:rPr>
        <w:t>344.08</w:t>
      </w:r>
      <w:r>
        <w:rPr>
          <w:rFonts w:ascii="Times New Roman" w:hAnsi="Times New Roman" w:eastAsia="仿宋_GB2312"/>
          <w:bCs/>
          <w:kern w:val="0"/>
          <w:sz w:val="32"/>
          <w:szCs w:val="32"/>
        </w:rPr>
        <w:t>万元，完成年初预算的</w:t>
      </w:r>
      <w:r>
        <w:rPr>
          <w:rFonts w:hint="eastAsia" w:ascii="Times New Roman" w:hAnsi="Times New Roman" w:eastAsia="仿宋_GB2312"/>
          <w:bCs/>
          <w:kern w:val="0"/>
          <w:sz w:val="32"/>
          <w:szCs w:val="32"/>
          <w:lang w:val="en-US" w:eastAsia="zh-CN"/>
        </w:rPr>
        <w:t>81.26</w:t>
      </w:r>
      <w:r>
        <w:rPr>
          <w:rFonts w:ascii="Times New Roman" w:hAnsi="Times New Roman" w:eastAsia="仿宋_GB2312"/>
          <w:bCs/>
          <w:kern w:val="0"/>
          <w:sz w:val="32"/>
          <w:szCs w:val="32"/>
        </w:rPr>
        <w:t>%。预决算差异</w:t>
      </w:r>
      <w:r>
        <w:rPr>
          <w:rFonts w:hint="eastAsia" w:ascii="Times New Roman" w:hAnsi="Times New Roman" w:eastAsia="仿宋_GB2312"/>
          <w:bCs/>
          <w:kern w:val="0"/>
          <w:sz w:val="32"/>
          <w:szCs w:val="32"/>
        </w:rPr>
        <w:t>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县财政紧张无法安排支出。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eastAsiaTheme="minorEastAsia"/>
                <w:lang w:val="en-US" w:eastAsia="zh-CN"/>
              </w:rPr>
            </w:pPr>
            <w:r>
              <w:rPr>
                <w:rFonts w:hint="eastAsia"/>
              </w:rPr>
              <w:t>2070808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rPr>
              <w:t>广播电视事务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423.42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344.08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81.26%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保证日常运转发生的基本支出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县财政紧张无法安排支出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lang w:val="en-US" w:eastAsia="zh-CN"/>
              </w:rPr>
            </w:pPr>
            <w:r>
              <w:rPr>
                <w:rFonts w:hint="eastAsia"/>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423.42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344.08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p>
        </w:tc>
      </w:tr>
    </w:tbl>
    <w:p>
      <w:pPr>
        <w:jc w:val="center"/>
        <w:rPr>
          <w:rFonts w:ascii="仿宋" w:hAnsi="仿宋" w:eastAsia="仿宋"/>
          <w:sz w:val="32"/>
          <w:szCs w:val="32"/>
          <w:highlight w:val="none"/>
        </w:rPr>
      </w:pPr>
    </w:p>
    <w:p>
      <w:pPr>
        <w:jc w:val="center"/>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pP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Times New Roman" w:hAnsi="Times New Roman" w:eastAsia="仿宋_GB2312"/>
          <w:bCs/>
          <w:kern w:val="0"/>
          <w:sz w:val="32"/>
          <w:szCs w:val="32"/>
          <w:lang w:val="en-US" w:eastAsia="zh-CN"/>
        </w:rPr>
        <w:t>36.10</w:t>
      </w:r>
      <w:r>
        <w:rPr>
          <w:rFonts w:ascii="Times New Roman" w:hAnsi="Times New Roman" w:eastAsia="仿宋_GB2312"/>
          <w:bCs/>
          <w:kern w:val="0"/>
          <w:sz w:val="32"/>
          <w:szCs w:val="32"/>
        </w:rPr>
        <w:t>万元，支出决算为</w:t>
      </w:r>
      <w:r>
        <w:rPr>
          <w:rFonts w:hint="eastAsia" w:ascii="Times New Roman" w:hAnsi="Times New Roman" w:eastAsia="仿宋_GB2312"/>
          <w:bCs/>
          <w:kern w:val="0"/>
          <w:sz w:val="32"/>
          <w:szCs w:val="32"/>
          <w:lang w:val="en-US" w:eastAsia="zh-CN"/>
        </w:rPr>
        <w:t>38.83</w:t>
      </w:r>
      <w:r>
        <w:rPr>
          <w:rFonts w:ascii="Times New Roman" w:hAnsi="Times New Roman" w:eastAsia="仿宋_GB2312"/>
          <w:bCs/>
          <w:kern w:val="0"/>
          <w:sz w:val="32"/>
          <w:szCs w:val="32"/>
        </w:rPr>
        <w:t>万元，完成年初预算的</w:t>
      </w:r>
      <w:r>
        <w:rPr>
          <w:rFonts w:hint="eastAsia" w:ascii="Times New Roman" w:hAnsi="Times New Roman" w:eastAsia="仿宋_GB2312"/>
          <w:bCs/>
          <w:kern w:val="0"/>
          <w:sz w:val="32"/>
          <w:szCs w:val="32"/>
          <w:lang w:val="en-US" w:eastAsia="zh-CN"/>
        </w:rPr>
        <w:t>107.56</w:t>
      </w:r>
      <w:r>
        <w:rPr>
          <w:rFonts w:ascii="Times New Roman" w:hAnsi="Times New Roman" w:eastAsia="仿宋_GB2312"/>
          <w:bCs/>
          <w:kern w:val="0"/>
          <w:sz w:val="32"/>
          <w:szCs w:val="32"/>
        </w:rPr>
        <w:t xml:space="preserve"> %。预决算差异</w:t>
      </w:r>
      <w:r>
        <w:rPr>
          <w:rFonts w:hint="eastAsia" w:ascii="Times New Roman" w:hAnsi="Times New Roman" w:eastAsia="仿宋_GB2312"/>
          <w:bCs/>
          <w:kern w:val="0"/>
          <w:sz w:val="32"/>
          <w:szCs w:val="32"/>
        </w:rPr>
        <w:t>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新增聘用人员</w:t>
      </w:r>
      <w:r>
        <w:rPr>
          <w:rFonts w:hint="eastAsia" w:ascii="仿宋_GB2312" w:hAnsi="仿宋_GB2312" w:eastAsia="仿宋_GB2312" w:cs="仿宋_GB2312"/>
          <w:sz w:val="32"/>
          <w:szCs w:val="32"/>
        </w:rPr>
        <w:t>。</w:t>
      </w:r>
    </w:p>
    <w:p>
      <w:pPr>
        <w:keepNext w:val="0"/>
        <w:keepLines w:val="0"/>
        <w:widowControl w:val="0"/>
        <w:numPr>
          <w:ilvl w:val="0"/>
          <w:numId w:val="0"/>
        </w:numPr>
        <w:suppressLineNumbers w:val="0"/>
        <w:spacing w:before="0" w:beforeAutospacing="0" w:after="0" w:afterAutospacing="0"/>
        <w:ind w:leftChars="0"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36.10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107.56%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交纳编内在职人员养老保险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年中新增聘用人员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36.10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pPr>
        <w:jc w:val="left"/>
      </w:pPr>
    </w:p>
    <w:p>
      <w:pPr>
        <w:jc w:val="left"/>
        <w:rPr>
          <w:rFonts w:hint="eastAsia" w:ascii="仿宋" w:hAnsi="仿宋" w:eastAsia="仿宋"/>
          <w:sz w:val="32"/>
          <w:szCs w:val="32"/>
          <w:highlight w:val="none"/>
        </w:rPr>
      </w:pPr>
    </w:p>
    <w:p>
      <w:pPr>
        <w:jc w:val="cente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pPr>
    </w:p>
    <w:p>
      <w:pPr>
        <w:autoSpaceDE w:val="0"/>
        <w:autoSpaceDN w:val="0"/>
        <w:adjustRightIn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住房保障支出（221类）年初预算为</w:t>
      </w:r>
      <w:r>
        <w:rPr>
          <w:rFonts w:hint="eastAsia" w:ascii="仿宋" w:hAnsi="仿宋" w:eastAsia="仿宋"/>
          <w:sz w:val="32"/>
          <w:szCs w:val="32"/>
          <w:highlight w:val="none"/>
          <w:lang w:val="en-US" w:eastAsia="zh-CN"/>
        </w:rPr>
        <w:t>27.08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28.78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106.28</w:t>
      </w:r>
      <w:r>
        <w:rPr>
          <w:rFonts w:hint="eastAsia" w:ascii="仿宋" w:hAnsi="仿宋" w:eastAsia="仿宋"/>
          <w:sz w:val="32"/>
          <w:szCs w:val="32"/>
          <w:highlight w:val="none"/>
        </w:rPr>
        <w:t>%。预决算</w:t>
      </w:r>
      <w:r>
        <w:rPr>
          <w:rFonts w:hint="eastAsia" w:ascii="仿宋" w:hAnsi="仿宋" w:eastAsia="仿宋"/>
          <w:sz w:val="32"/>
          <w:szCs w:val="32"/>
          <w:highlight w:val="none"/>
          <w:lang w:val="en-US" w:eastAsia="zh-CN"/>
        </w:rPr>
        <w:t>存有</w:t>
      </w:r>
      <w:r>
        <w:rPr>
          <w:rFonts w:hint="eastAsia" w:ascii="仿宋" w:hAnsi="仿宋" w:eastAsia="仿宋"/>
          <w:sz w:val="32"/>
          <w:szCs w:val="32"/>
          <w:highlight w:val="none"/>
        </w:rPr>
        <w:t>差异</w:t>
      </w:r>
      <w:r>
        <w:rPr>
          <w:rFonts w:hint="eastAsia" w:ascii="仿宋" w:hAnsi="仿宋" w:eastAsia="仿宋"/>
          <w:sz w:val="32"/>
          <w:szCs w:val="32"/>
          <w:highlight w:val="none"/>
          <w:lang w:val="en-US" w:eastAsia="zh-CN"/>
        </w:rPr>
        <w:t>原因是：</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新增聘用人员</w:t>
      </w:r>
      <w:r>
        <w:rPr>
          <w:rFonts w:hint="eastAsia" w:ascii="仿宋" w:hAnsi="仿宋" w:eastAsia="仿宋"/>
          <w:sz w:val="32"/>
          <w:szCs w:val="32"/>
          <w:highlight w:val="none"/>
          <w:lang w:val="en-US" w:eastAsia="zh-CN"/>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28.78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交纳住房公积金单位部分</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年中新增聘用人员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28.78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pPr>
      <w:r>
        <w:drawing>
          <wp:inline distT="0" distB="0" distL="114300" distR="114300">
            <wp:extent cx="4572000" cy="2743200"/>
            <wp:effectExtent l="4445" t="4445" r="14605" b="14605"/>
            <wp:docPr id="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pPr>
    </w:p>
    <w:p>
      <w:pPr>
        <w:jc w:val="center"/>
      </w:pPr>
    </w:p>
    <w:p>
      <w:pPr>
        <w:numPr>
          <w:ilvl w:val="0"/>
          <w:numId w:val="3"/>
        </w:numPr>
        <w:autoSpaceDE w:val="0"/>
        <w:autoSpaceDN w:val="0"/>
        <w:adjustRightIn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其他支出（</w:t>
      </w:r>
      <w:r>
        <w:rPr>
          <w:rFonts w:hint="eastAsia" w:ascii="仿宋" w:hAnsi="仿宋" w:eastAsia="仿宋"/>
          <w:sz w:val="32"/>
          <w:szCs w:val="32"/>
          <w:highlight w:val="none"/>
          <w:lang w:val="en-US" w:eastAsia="zh-CN"/>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49.10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%。预决算</w:t>
      </w:r>
      <w:r>
        <w:rPr>
          <w:rFonts w:hint="eastAsia" w:ascii="仿宋" w:hAnsi="仿宋" w:eastAsia="仿宋"/>
          <w:sz w:val="32"/>
          <w:szCs w:val="32"/>
          <w:highlight w:val="none"/>
          <w:lang w:val="en-US" w:eastAsia="zh-CN"/>
        </w:rPr>
        <w:t>存有</w:t>
      </w:r>
      <w:r>
        <w:rPr>
          <w:rFonts w:hint="eastAsia" w:ascii="仿宋" w:hAnsi="仿宋" w:eastAsia="仿宋"/>
          <w:sz w:val="32"/>
          <w:szCs w:val="32"/>
          <w:highlight w:val="none"/>
        </w:rPr>
        <w:t>差异</w:t>
      </w:r>
      <w:r>
        <w:rPr>
          <w:rFonts w:hint="eastAsia" w:ascii="仿宋" w:hAnsi="仿宋" w:eastAsia="仿宋"/>
          <w:sz w:val="32"/>
          <w:szCs w:val="32"/>
          <w:highlight w:val="none"/>
          <w:lang w:val="en-US" w:eastAsia="zh-CN"/>
        </w:rPr>
        <w:t>原因是：</w:t>
      </w:r>
      <w:r>
        <w:rPr>
          <w:rFonts w:hint="eastAsia" w:ascii="仿宋_GB2312" w:hAnsi="仿宋_GB2312" w:eastAsia="仿宋_GB2312" w:cs="仿宋_GB2312"/>
          <w:sz w:val="32"/>
          <w:szCs w:val="32"/>
          <w:lang w:val="en-US" w:eastAsia="zh-CN"/>
        </w:rPr>
        <w:t>年初此项经费没有预算</w:t>
      </w:r>
      <w:r>
        <w:rPr>
          <w:rFonts w:hint="eastAsia" w:ascii="仿宋" w:hAnsi="仿宋" w:eastAsia="仿宋"/>
          <w:sz w:val="32"/>
          <w:szCs w:val="32"/>
          <w:highlight w:val="none"/>
          <w:lang w:val="en-US"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49.10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支付2022年度奖励性补贴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年初此项经费没有预算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49.10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numPr>
          <w:ilvl w:val="0"/>
          <w:numId w:val="0"/>
        </w:numPr>
        <w:autoSpaceDE w:val="0"/>
        <w:autoSpaceDN w:val="0"/>
        <w:adjustRightInd w:val="0"/>
        <w:spacing w:line="560" w:lineRule="exact"/>
        <w:rPr>
          <w:rFonts w:hint="eastAsia" w:ascii="仿宋" w:hAnsi="仿宋" w:eastAsia="仿宋"/>
          <w:sz w:val="32"/>
          <w:szCs w:val="32"/>
          <w:highlight w:val="none"/>
          <w:lang w:val="en-US" w:eastAsia="zh-CN"/>
        </w:rPr>
      </w:pPr>
      <w:r>
        <w:drawing>
          <wp:anchor distT="0" distB="0" distL="114300" distR="114300" simplePos="0" relativeHeight="251660288" behindDoc="0" locked="0" layoutInCell="1" allowOverlap="1">
            <wp:simplePos x="0" y="0"/>
            <wp:positionH relativeFrom="column">
              <wp:posOffset>318770</wp:posOffset>
            </wp:positionH>
            <wp:positionV relativeFrom="paragraph">
              <wp:posOffset>295275</wp:posOffset>
            </wp:positionV>
            <wp:extent cx="4572000" cy="2743200"/>
            <wp:effectExtent l="4445" t="4445" r="14605" b="14605"/>
            <wp:wrapSquare wrapText="bothSides"/>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numPr>
          <w:ilvl w:val="0"/>
          <w:numId w:val="0"/>
        </w:numPr>
        <w:autoSpaceDE w:val="0"/>
        <w:autoSpaceDN w:val="0"/>
        <w:adjustRightInd w:val="0"/>
        <w:spacing w:line="560" w:lineRule="exact"/>
        <w:rPr>
          <w:rFonts w:hint="eastAsia" w:ascii="仿宋" w:hAnsi="仿宋" w:eastAsia="仿宋"/>
          <w:sz w:val="32"/>
          <w:szCs w:val="32"/>
          <w:highlight w:val="none"/>
          <w:lang w:val="en-US" w:eastAsia="zh-CN"/>
        </w:rPr>
      </w:pPr>
    </w:p>
    <w:p>
      <w:pPr>
        <w:numPr>
          <w:ilvl w:val="0"/>
          <w:numId w:val="0"/>
        </w:numPr>
        <w:autoSpaceDE w:val="0"/>
        <w:autoSpaceDN w:val="0"/>
        <w:adjustRightInd w:val="0"/>
        <w:spacing w:line="560" w:lineRule="exact"/>
        <w:rPr>
          <w:rFonts w:hint="eastAsia" w:ascii="仿宋" w:hAnsi="仿宋" w:eastAsia="仿宋"/>
          <w:sz w:val="32"/>
          <w:szCs w:val="32"/>
          <w:highlight w:val="none"/>
          <w:lang w:val="en-US" w:eastAsia="zh-CN"/>
        </w:rPr>
      </w:pPr>
    </w:p>
    <w:p>
      <w:pPr>
        <w:numPr>
          <w:ilvl w:val="0"/>
          <w:numId w:val="0"/>
        </w:numPr>
        <w:autoSpaceDE w:val="0"/>
        <w:autoSpaceDN w:val="0"/>
        <w:adjustRightInd w:val="0"/>
        <w:spacing w:line="560" w:lineRule="exact"/>
        <w:rPr>
          <w:rFonts w:hint="eastAsia" w:ascii="仿宋" w:hAnsi="仿宋" w:eastAsia="仿宋"/>
          <w:sz w:val="32"/>
          <w:szCs w:val="32"/>
          <w:highlight w:val="none"/>
          <w:lang w:val="en-US" w:eastAsia="zh-CN"/>
        </w:rPr>
      </w:pPr>
    </w:p>
    <w:p>
      <w:pPr>
        <w:numPr>
          <w:ilvl w:val="0"/>
          <w:numId w:val="0"/>
        </w:numPr>
        <w:autoSpaceDE w:val="0"/>
        <w:autoSpaceDN w:val="0"/>
        <w:adjustRightInd w:val="0"/>
        <w:spacing w:line="560" w:lineRule="exact"/>
        <w:rPr>
          <w:rFonts w:hint="eastAsia" w:ascii="仿宋" w:hAnsi="仿宋" w:eastAsia="仿宋"/>
          <w:sz w:val="32"/>
          <w:szCs w:val="32"/>
          <w:highlight w:val="none"/>
          <w:lang w:val="en-US" w:eastAsia="zh-CN"/>
        </w:rPr>
      </w:pPr>
    </w:p>
    <w:p>
      <w:pPr>
        <w:numPr>
          <w:ilvl w:val="0"/>
          <w:numId w:val="0"/>
        </w:numPr>
        <w:autoSpaceDE w:val="0"/>
        <w:autoSpaceDN w:val="0"/>
        <w:adjustRightInd w:val="0"/>
        <w:spacing w:line="560" w:lineRule="exact"/>
        <w:rPr>
          <w:rFonts w:hint="eastAsia" w:ascii="仿宋" w:hAnsi="仿宋" w:eastAsia="仿宋"/>
          <w:sz w:val="32"/>
          <w:szCs w:val="32"/>
          <w:highlight w:val="none"/>
          <w:lang w:val="en-US" w:eastAsia="zh-CN"/>
        </w:rPr>
      </w:pPr>
    </w:p>
    <w:p>
      <w:pPr>
        <w:numPr>
          <w:ilvl w:val="0"/>
          <w:numId w:val="0"/>
        </w:numPr>
        <w:autoSpaceDE w:val="0"/>
        <w:autoSpaceDN w:val="0"/>
        <w:adjustRightInd w:val="0"/>
        <w:spacing w:line="560" w:lineRule="exact"/>
        <w:rPr>
          <w:rFonts w:hint="eastAsia" w:ascii="仿宋" w:hAnsi="仿宋" w:eastAsia="仿宋"/>
          <w:sz w:val="32"/>
          <w:szCs w:val="32"/>
          <w:highlight w:val="none"/>
          <w:lang w:val="en-US" w:eastAsia="zh-CN"/>
        </w:rPr>
      </w:pPr>
    </w:p>
    <w:p>
      <w:pPr>
        <w:jc w:val="center"/>
      </w:pPr>
    </w:p>
    <w:p>
      <w:pPr>
        <w:jc w:val="center"/>
        <w:rPr>
          <w:rFonts w:hint="eastAsia"/>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2023年度</w:t>
      </w:r>
      <w:r>
        <w:rPr>
          <w:rFonts w:hint="eastAsia" w:ascii="黑体" w:hAnsi="黑体" w:eastAsia="黑体" w:cs="黑体"/>
          <w:sz w:val="32"/>
          <w:szCs w:val="32"/>
          <w:highlight w:val="none"/>
        </w:rPr>
        <w:t>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2023年度</w:t>
      </w:r>
      <w:r>
        <w:rPr>
          <w:rFonts w:hint="eastAsia" w:ascii="仿宋" w:hAnsi="仿宋" w:eastAsia="仿宋" w:cs="仿宋"/>
          <w:sz w:val="32"/>
          <w:szCs w:val="32"/>
          <w:highlight w:val="none"/>
        </w:rPr>
        <w:t>一般公共预算财政拨款基本支出</w:t>
      </w:r>
      <w:r>
        <w:rPr>
          <w:rFonts w:hint="eastAsia" w:ascii="仿宋" w:hAnsi="仿宋" w:eastAsia="仿宋" w:cs="仿宋"/>
          <w:sz w:val="32"/>
          <w:u w:color="auto"/>
          <w:lang w:val="en-US" w:eastAsia="zh-CN"/>
        </w:rPr>
        <w:t>333.10</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332.12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10.98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310.72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97.45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年初预算数为329.82万元，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主要原因是：年底依照县财政要求，把政府购买服务人员的</w:t>
      </w: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全部挂在其他应收款，导致支出决算数减少。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106.69万元，30102津贴补贴9.54万元，30103奖金56.16万元，30106伙食补助费0.00万元，30107绩效工资54.91万元，30108机关事业单位基本养老保险缴费38.83万元，30110职工基本医疗保险缴费14.33万元，30111公务员医疗补助缴费0.00万元，30112其他社会保障缴费1.49万元，30113住房公积金28.78万元，30199其他工资福利支出0.00万元。</w:t>
      </w:r>
    </w:p>
    <w:p>
      <w:pPr>
        <w:jc w:val="center"/>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10.98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主要原因是：决算数与预算数相符，数据无差异。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2.59万元，30205水费0.57万元，30206电费1.45万元，30207邮电费0.92万元，30211差旅费0.00万元，30216培训费0.00万元，30226劳务费0.00万元，30228工会经费4.51万元，30231公务用车运行维护费0.95万元，30299其他商品和服务支出0.00万元。</w:t>
      </w:r>
    </w:p>
    <w:p>
      <w:pPr>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11.40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154.26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主要原因是：年中调高退休人员的生活补助费。</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30305生活补助11.40万元。</w:t>
      </w:r>
    </w:p>
    <w:p>
      <w:pPr>
        <w:jc w:val="center"/>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无支出，实际也无支出。</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drawing>
          <wp:inline distT="0" distB="0" distL="114300" distR="114300">
            <wp:extent cx="5027295" cy="32918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无支出，实际也无支出。</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无。</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无支出，实际也无支出。</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无。</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2023年度</w:t>
      </w:r>
      <w:r>
        <w:rPr>
          <w:rFonts w:hint="eastAsia" w:ascii="黑体" w:hAnsi="黑体" w:eastAsia="黑体" w:cs="黑体"/>
          <w:sz w:val="32"/>
          <w:szCs w:val="32"/>
          <w:highlight w:val="none"/>
        </w:rPr>
        <w:t>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2023年度</w:t>
      </w:r>
      <w:r>
        <w:rPr>
          <w:rFonts w:hint="eastAsia" w:ascii="仿宋" w:hAnsi="仿宋" w:eastAsia="仿宋" w:cs="仿宋"/>
          <w:sz w:val="32"/>
          <w:szCs w:val="32"/>
          <w:highlight w:val="none"/>
        </w:rPr>
        <w:t>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2022年度</w:t>
      </w:r>
      <w:r>
        <w:rPr>
          <w:rFonts w:hint="eastAsia" w:ascii="仿宋" w:hAnsi="仿宋" w:eastAsia="仿宋" w:cs="仿宋"/>
          <w:sz w:val="32"/>
          <w:szCs w:val="32"/>
          <w:highlight w:val="none"/>
        </w:rPr>
        <w:t>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lang w:val="en-US" w:eastAsia="zh-CN"/>
        </w:rPr>
        <w:t>.00</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2023年度</w:t>
      </w:r>
      <w:r>
        <w:rPr>
          <w:rFonts w:hint="eastAsia" w:ascii="仿宋" w:hAnsi="仿宋" w:eastAsia="仿宋" w:cs="仿宋"/>
          <w:sz w:val="32"/>
          <w:szCs w:val="32"/>
          <w:highlight w:val="none"/>
        </w:rPr>
        <w:t>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lang w:val="en-US" w:eastAsia="zh-CN"/>
        </w:rPr>
        <w:t>.00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说明：2022年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没有政府性基金收入，也没有政府性基金收入安排的支出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故本段落无表述。</w:t>
      </w:r>
      <w:bookmarkStart w:id="3" w:name="_GoBack"/>
      <w:bookmarkEnd w:id="3"/>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2023年度</w:t>
      </w:r>
      <w:r>
        <w:rPr>
          <w:rFonts w:hint="eastAsia" w:ascii="黑体" w:hAnsi="黑体" w:eastAsia="黑体" w:cs="黑体"/>
          <w:sz w:val="32"/>
          <w:szCs w:val="32"/>
          <w:highlight w:val="none"/>
        </w:rPr>
        <w:t>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2023年度</w:t>
      </w:r>
      <w:r>
        <w:rPr>
          <w:rFonts w:hint="eastAsia" w:ascii="仿宋" w:hAnsi="仿宋" w:eastAsia="仿宋" w:cs="仿宋"/>
          <w:sz w:val="32"/>
          <w:szCs w:val="32"/>
          <w:highlight w:val="none"/>
        </w:rPr>
        <w:t>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lang w:val="en-US" w:eastAsia="zh-CN"/>
        </w:rPr>
        <w:t>.00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1" w:name="PO_part3A5B1C1DiffReason1"/>
      <w:r>
        <w:rPr>
          <w:rFonts w:hint="eastAsia" w:ascii="仿宋" w:hAnsi="仿宋" w:eastAsia="仿宋" w:cs="仿宋"/>
          <w:sz w:val="32"/>
          <w:szCs w:val="32"/>
          <w:highlight w:val="none"/>
          <w:lang w:val="en-US" w:eastAsia="zh-CN"/>
        </w:rPr>
        <w:t>说明：2022年本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没有国有资本经营预算收入，也没有国有资本经营预算</w:t>
      </w:r>
      <w:r>
        <w:rPr>
          <w:rFonts w:hint="eastAsia" w:ascii="仿宋" w:hAnsi="仿宋" w:eastAsia="仿宋" w:cs="仿宋"/>
          <w:sz w:val="32"/>
          <w:szCs w:val="32"/>
          <w:highlight w:val="none"/>
          <w:lang w:val="en-US" w:eastAsia="zh-CN"/>
        </w:rPr>
        <w:t>收入</w:t>
      </w:r>
      <w:r>
        <w:rPr>
          <w:rFonts w:hint="eastAsia" w:ascii="仿宋" w:hAnsi="仿宋" w:eastAsia="仿宋" w:cs="仿宋"/>
          <w:sz w:val="32"/>
          <w:szCs w:val="32"/>
          <w:highlight w:val="none"/>
        </w:rPr>
        <w:t>安排的支出，故本段落无表述。</w:t>
      </w:r>
      <w:bookmarkEnd w:id="1"/>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2023年度</w:t>
      </w:r>
      <w:r>
        <w:rPr>
          <w:rFonts w:hint="eastAsia" w:ascii="仿宋" w:hAnsi="仿宋" w:eastAsia="仿宋" w:cs="仿宋"/>
          <w:sz w:val="32"/>
          <w:szCs w:val="32"/>
          <w:highlight w:val="none"/>
        </w:rPr>
        <w:t>一般公共预算财政拨款安排的“三公”经费支出</w:t>
      </w:r>
      <w:r>
        <w:rPr>
          <w:rFonts w:hint="eastAsia" w:ascii="仿宋" w:hAnsi="仿宋" w:eastAsia="仿宋" w:cs="仿宋"/>
          <w:sz w:val="32"/>
          <w:szCs w:val="32"/>
          <w:highlight w:val="none"/>
          <w:lang w:val="en-US" w:eastAsia="zh-CN"/>
        </w:rPr>
        <w:t>10.11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84.60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增加1.96</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今年记者下乡采访量加大，增加了采访车费用。</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9.45</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0.66</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5"/>
        </w:numPr>
        <w:ind w:left="-10" w:leftChars="0" w:firstLine="64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bCs/>
          <w:kern w:val="0"/>
          <w:sz w:val="32"/>
          <w:szCs w:val="32"/>
        </w:rPr>
        <w:t>无此项预算也无此项支出</w:t>
      </w:r>
      <w:r>
        <w:rPr>
          <w:rFonts w:ascii="仿宋_GB2312" w:hAnsi="仿宋_GB2312" w:eastAsia="仿宋_GB2312" w:cs="仿宋_GB2312"/>
          <w:bCs/>
          <w:kern w:val="0"/>
          <w:sz w:val="32"/>
          <w:szCs w:val="32"/>
        </w:rPr>
        <w:t>。</w:t>
      </w:r>
      <w:r>
        <w:rPr>
          <w:rFonts w:hint="eastAsia" w:ascii="仿宋" w:hAnsi="仿宋" w:eastAsia="仿宋" w:cs="仿宋"/>
          <w:sz w:val="32"/>
          <w:szCs w:val="32"/>
          <w:highlight w:val="none"/>
        </w:rPr>
        <w:t xml:space="preserve">全年使用财政拨款安排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（局、办、镇）机关、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个所属单位出国团组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个，参加其他单位组织的出国团组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个，全年因公出国（境）团组共计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人次。开支内容包括：</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szCs w:val="32"/>
          <w:highlight w:val="none"/>
          <w:lang w:val="en-US" w:eastAsia="zh-CN"/>
        </w:rPr>
        <w:t>9.45</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u w:color="auto"/>
          <w:lang w:val="en-US" w:eastAsia="zh-CN"/>
        </w:rPr>
        <w:t>.00</w:t>
      </w:r>
      <w:r>
        <w:rPr>
          <w:rFonts w:ascii="仿宋" w:hAnsi="仿宋" w:eastAsia="仿宋" w:cs="仿宋"/>
          <w:sz w:val="32"/>
          <w:u w:color="auto"/>
        </w:rPr>
        <w:t>%</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万元。主要原因是</w:t>
      </w:r>
      <w:bookmarkStart w:id="2" w:name="PO_part3A6B2IncReason1"/>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本部门无公务用车购置</w:t>
      </w:r>
      <w:bookmarkEnd w:id="2"/>
      <w:r>
        <w:rPr>
          <w:rFonts w:hint="eastAsia" w:ascii="仿宋" w:hAnsi="仿宋" w:eastAsia="仿宋" w:cs="仿宋"/>
          <w:sz w:val="32"/>
          <w:szCs w:val="32"/>
          <w:highlight w:val="none"/>
        </w:rPr>
        <w:t>。</w:t>
      </w:r>
    </w:p>
    <w:p>
      <w:pPr>
        <w:autoSpaceDE w:val="0"/>
        <w:autoSpaceDN w:val="0"/>
        <w:adjustRightInd w:val="0"/>
        <w:spacing w:line="560" w:lineRule="exact"/>
        <w:ind w:left="319" w:leftChars="152" w:firstLine="640" w:firstLineChars="200"/>
        <w:rPr>
          <w:rFonts w:hint="eastAsia" w:ascii="Times New Roman" w:hAnsi="Times New Roman" w:eastAsia="仿宋_GB2312"/>
          <w:bCs/>
          <w:color w:val="000000"/>
          <w:sz w:val="32"/>
          <w:szCs w:val="32"/>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9.45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86.30</w:t>
      </w:r>
      <w:r>
        <w:rPr>
          <w:rFonts w:ascii="仿宋" w:hAnsi="仿宋" w:eastAsia="仿宋" w:cs="仿宋"/>
          <w:sz w:val="32"/>
          <w:u w:color="auto"/>
        </w:rPr>
        <w:t>%</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val="en-US" w:eastAsia="zh-CN"/>
        </w:rPr>
        <w:t>1.87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ascii="Times New Roman" w:hAnsi="Times New Roman" w:eastAsia="仿宋_GB2312"/>
          <w:kern w:val="0"/>
          <w:sz w:val="32"/>
          <w:szCs w:val="32"/>
        </w:rPr>
        <w:t>主要用于机要文件交换、市内因公出行以及开展业务所需车辆燃料费、维修费、过路过桥费、保险费等。</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Times New Roman" w:hAnsi="Times New Roman" w:eastAsia="仿宋_GB2312"/>
          <w:kern w:val="0"/>
          <w:sz w:val="32"/>
          <w:szCs w:val="32"/>
        </w:rPr>
        <w:t>1</w:t>
      </w:r>
      <w:r>
        <w:rPr>
          <w:rFonts w:ascii="Times New Roman" w:hAnsi="Times New Roman" w:eastAsia="仿宋_GB2312"/>
          <w:bCs/>
          <w:color w:val="000000"/>
          <w:sz w:val="32"/>
          <w:szCs w:val="32"/>
        </w:rPr>
        <w:t xml:space="preserve">  个所属单位开支财政拨款的公务用车保有量为 </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 xml:space="preserve"> 辆，全年运行费支出 </w:t>
      </w:r>
      <w:r>
        <w:rPr>
          <w:rFonts w:hint="eastAsia" w:ascii="Times New Roman" w:hAnsi="Times New Roman" w:eastAsia="仿宋_GB2312"/>
          <w:bCs/>
          <w:color w:val="000000"/>
          <w:sz w:val="32"/>
          <w:szCs w:val="32"/>
          <w:lang w:val="en-US" w:eastAsia="zh-CN"/>
        </w:rPr>
        <w:t>9.45</w:t>
      </w:r>
      <w:r>
        <w:rPr>
          <w:rFonts w:ascii="Times New Roman" w:hAnsi="Times New Roman" w:eastAsia="仿宋_GB2312"/>
          <w:bCs/>
          <w:color w:val="000000"/>
          <w:sz w:val="32"/>
          <w:szCs w:val="32"/>
        </w:rPr>
        <w:t xml:space="preserve"> 万元，平均每辆 </w:t>
      </w:r>
      <w:r>
        <w:rPr>
          <w:rFonts w:hint="eastAsia" w:ascii="Times New Roman" w:hAnsi="Times New Roman" w:eastAsia="仿宋_GB2312"/>
          <w:bCs/>
          <w:color w:val="000000"/>
          <w:sz w:val="32"/>
          <w:szCs w:val="32"/>
          <w:lang w:val="en-US" w:eastAsia="zh-CN"/>
        </w:rPr>
        <w:t>4.73</w:t>
      </w:r>
      <w:r>
        <w:rPr>
          <w:rFonts w:ascii="Times New Roman" w:hAnsi="Times New Roman" w:eastAsia="仿宋_GB2312"/>
          <w:bCs/>
          <w:color w:val="000000"/>
          <w:sz w:val="32"/>
          <w:szCs w:val="32"/>
        </w:rPr>
        <w:t xml:space="preserve"> 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0.66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66.00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主要原因是：费用和上年对比变动不大，由于加大节约力度，实际支出数比预算数减少很多。</w:t>
      </w:r>
      <w:r>
        <w:rPr>
          <w:rFonts w:hint="eastAsia" w:ascii="仿宋" w:hAnsi="仿宋" w:eastAsia="仿宋" w:cs="仿宋"/>
          <w:sz w:val="32"/>
          <w:szCs w:val="32"/>
          <w:highlight w:val="none"/>
        </w:rPr>
        <w:t>国内公</w:t>
      </w:r>
      <w:r>
        <w:rPr>
          <w:rFonts w:hint="eastAsia" w:ascii="仿宋" w:hAnsi="仿宋" w:eastAsia="仿宋" w:cs="仿宋"/>
          <w:color w:val="000000" w:themeColor="text1"/>
          <w:sz w:val="32"/>
          <w:szCs w:val="32"/>
          <w:highlight w:val="none"/>
          <w14:textFill>
            <w14:solidFill>
              <w14:schemeClr w14:val="tx1"/>
            </w14:solidFill>
          </w14:textFill>
        </w:rPr>
        <w:t>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20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widowControl/>
        <w:spacing w:line="560" w:lineRule="exact"/>
        <w:ind w:firstLine="640"/>
        <w:rPr>
          <w:rFonts w:hint="eastAsia" w:ascii="Times New Roman" w:hAnsi="Times New Roman" w:eastAsia="仿宋_GB2312"/>
          <w:kern w:val="0"/>
          <w:sz w:val="32"/>
          <w:szCs w:val="32"/>
        </w:rPr>
      </w:pPr>
      <w:r>
        <w:rPr>
          <w:rFonts w:ascii="Times New Roman" w:hAnsi="Times New Roman" w:eastAsia="仿宋_GB2312"/>
          <w:kern w:val="0"/>
          <w:sz w:val="32"/>
          <w:szCs w:val="32"/>
        </w:rPr>
        <w:t>本部门</w:t>
      </w:r>
      <w:r>
        <w:rPr>
          <w:rFonts w:hint="eastAsia" w:ascii="Times New Roman" w:hAnsi="Times New Roman" w:eastAsia="仿宋_GB2312"/>
          <w:kern w:val="0"/>
          <w:sz w:val="32"/>
          <w:szCs w:val="32"/>
          <w:lang w:eastAsia="zh-CN"/>
        </w:rPr>
        <w:t>2023年度</w:t>
      </w:r>
      <w:r>
        <w:rPr>
          <w:rFonts w:ascii="Times New Roman" w:hAnsi="Times New Roman" w:eastAsia="仿宋_GB2312"/>
          <w:kern w:val="0"/>
          <w:sz w:val="32"/>
          <w:szCs w:val="32"/>
        </w:rPr>
        <w:t xml:space="preserve">机关运行经费支出 </w:t>
      </w:r>
      <w:r>
        <w:rPr>
          <w:rFonts w:hint="eastAsia" w:ascii="Times New Roman" w:hAnsi="Times New Roman" w:eastAsia="仿宋_GB2312"/>
          <w:kern w:val="0"/>
          <w:sz w:val="32"/>
          <w:szCs w:val="32"/>
        </w:rPr>
        <w:t>0.00</w:t>
      </w:r>
      <w:r>
        <w:rPr>
          <w:rFonts w:ascii="Times New Roman" w:hAnsi="Times New Roman" w:eastAsia="仿宋_GB2312"/>
          <w:kern w:val="0"/>
          <w:sz w:val="32"/>
          <w:szCs w:val="32"/>
        </w:rPr>
        <w:t xml:space="preserve"> 万元，比年初预算数增加</w:t>
      </w:r>
      <w:r>
        <w:rPr>
          <w:rFonts w:hint="eastAsia" w:ascii="Times New Roman" w:hAnsi="Times New Roman" w:eastAsia="仿宋_GB2312"/>
          <w:kern w:val="0"/>
          <w:sz w:val="32"/>
          <w:szCs w:val="32"/>
        </w:rPr>
        <w:t>0.00</w:t>
      </w:r>
      <w:r>
        <w:rPr>
          <w:rFonts w:ascii="Times New Roman" w:hAnsi="Times New Roman" w:eastAsia="仿宋_GB2312"/>
          <w:kern w:val="0"/>
          <w:sz w:val="32"/>
          <w:szCs w:val="32"/>
        </w:rPr>
        <w:t xml:space="preserve"> 万元，增长</w:t>
      </w:r>
      <w:r>
        <w:rPr>
          <w:rFonts w:hint="eastAsia" w:ascii="Times New Roman" w:hAnsi="Times New Roman" w:eastAsia="仿宋_GB2312"/>
          <w:kern w:val="0"/>
          <w:sz w:val="32"/>
          <w:szCs w:val="32"/>
        </w:rPr>
        <w:t>0.00</w:t>
      </w:r>
      <w:r>
        <w:rPr>
          <w:rFonts w:ascii="Times New Roman" w:hAnsi="Times New Roman" w:eastAsia="仿宋_GB2312"/>
          <w:kern w:val="0"/>
          <w:sz w:val="32"/>
          <w:szCs w:val="32"/>
        </w:rPr>
        <w:t xml:space="preserve"> %，比上年决算数增加</w:t>
      </w:r>
      <w:r>
        <w:rPr>
          <w:rFonts w:hint="eastAsia" w:ascii="Times New Roman" w:hAnsi="Times New Roman" w:eastAsia="仿宋_GB2312"/>
          <w:kern w:val="0"/>
          <w:sz w:val="32"/>
          <w:szCs w:val="32"/>
        </w:rPr>
        <w:t>0.00</w:t>
      </w:r>
      <w:r>
        <w:rPr>
          <w:rFonts w:ascii="Times New Roman" w:hAnsi="Times New Roman" w:eastAsia="仿宋_GB2312"/>
          <w:kern w:val="0"/>
          <w:sz w:val="32"/>
          <w:szCs w:val="32"/>
        </w:rPr>
        <w:t xml:space="preserve"> 万元，增长</w:t>
      </w:r>
      <w:r>
        <w:rPr>
          <w:rFonts w:hint="eastAsia" w:ascii="Times New Roman" w:hAnsi="Times New Roman" w:eastAsia="仿宋_GB2312"/>
          <w:kern w:val="0"/>
          <w:sz w:val="32"/>
          <w:szCs w:val="32"/>
        </w:rPr>
        <w:t>0.00</w:t>
      </w:r>
      <w:r>
        <w:rPr>
          <w:rFonts w:ascii="Times New Roman" w:hAnsi="Times New Roman" w:eastAsia="仿宋_GB2312"/>
          <w:kern w:val="0"/>
          <w:sz w:val="32"/>
          <w:szCs w:val="32"/>
        </w:rPr>
        <w:t xml:space="preserve"> %。主要原因是：</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，比202</w:t>
      </w:r>
      <w:r>
        <w:rPr>
          <w:rFonts w:hint="eastAsia" w:ascii="Times New Roman" w:hAnsi="Times New Roman" w:eastAsia="仿宋_GB2312"/>
          <w:kern w:val="0"/>
          <w:sz w:val="32"/>
          <w:szCs w:val="32"/>
          <w:lang w:val="en-US" w:eastAsia="zh-CN"/>
        </w:rPr>
        <w:t>2</w:t>
      </w:r>
      <w:r>
        <w:rPr>
          <w:rFonts w:ascii="Times New Roman" w:hAnsi="Times New Roman" w:eastAsia="仿宋_GB2312"/>
          <w:kern w:val="0"/>
          <w:sz w:val="32"/>
          <w:szCs w:val="32"/>
        </w:rPr>
        <w:t>年增加</w:t>
      </w:r>
      <w:r>
        <w:rPr>
          <w:rFonts w:hint="eastAsia" w:ascii="Times New Roman" w:hAnsi="Times New Roman" w:eastAsia="仿宋_GB2312"/>
          <w:kern w:val="0"/>
          <w:sz w:val="32"/>
          <w:szCs w:val="32"/>
        </w:rPr>
        <w:t>0.00</w:t>
      </w:r>
      <w:r>
        <w:rPr>
          <w:rFonts w:ascii="Times New Roman" w:hAnsi="Times New Roman" w:eastAsia="仿宋_GB2312"/>
          <w:kern w:val="0"/>
          <w:sz w:val="32"/>
          <w:szCs w:val="32"/>
        </w:rPr>
        <w:t xml:space="preserve"> 万元，增长</w:t>
      </w:r>
      <w:r>
        <w:rPr>
          <w:rFonts w:hint="eastAsia" w:ascii="Times New Roman" w:hAnsi="Times New Roman" w:eastAsia="仿宋_GB2312"/>
          <w:kern w:val="0"/>
          <w:sz w:val="32"/>
          <w:szCs w:val="32"/>
        </w:rPr>
        <w:t>0.00</w:t>
      </w:r>
      <w:r>
        <w:rPr>
          <w:rFonts w:ascii="Times New Roman" w:hAnsi="Times New Roman" w:eastAsia="仿宋_GB2312"/>
          <w:kern w:val="0"/>
          <w:sz w:val="32"/>
          <w:szCs w:val="32"/>
        </w:rPr>
        <w:t xml:space="preserve"> %。主要原因是：本部门无机关运行经费支出。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2023年度</w:t>
      </w:r>
      <w:r>
        <w:rPr>
          <w:rFonts w:hint="eastAsia" w:ascii="仿宋" w:hAnsi="仿宋" w:eastAsia="仿宋" w:cs="仿宋"/>
          <w:sz w:val="32"/>
          <w:szCs w:val="32"/>
          <w:highlight w:val="none"/>
        </w:rPr>
        <w:t>政府采购支出总额</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widowControl/>
        <w:spacing w:line="560" w:lineRule="exact"/>
        <w:ind w:firstLine="640"/>
        <w:rPr>
          <w:rFonts w:hint="eastAsia" w:ascii="Times New Roman" w:hAnsi="Times New Roman" w:eastAsia="仿宋_GB2312"/>
          <w:bCs/>
          <w:kern w:val="0"/>
          <w:sz w:val="32"/>
          <w:szCs w:val="32"/>
        </w:rPr>
      </w:pPr>
      <w:r>
        <w:rPr>
          <w:rFonts w:ascii="Times New Roman" w:hAnsi="Times New Roman" w:eastAsia="仿宋_GB2312"/>
          <w:bCs/>
          <w:kern w:val="0"/>
          <w:sz w:val="32"/>
          <w:szCs w:val="32"/>
        </w:rPr>
        <w:t>本部门</w:t>
      </w:r>
      <w:r>
        <w:rPr>
          <w:rFonts w:hint="eastAsia" w:ascii="Times New Roman" w:hAnsi="Times New Roman" w:eastAsia="仿宋_GB2312"/>
          <w:bCs/>
          <w:kern w:val="0"/>
          <w:sz w:val="32"/>
          <w:szCs w:val="32"/>
          <w:lang w:val="en-US" w:eastAsia="zh-CN"/>
        </w:rPr>
        <w:t>2023年</w:t>
      </w:r>
      <w:r>
        <w:rPr>
          <w:rFonts w:ascii="Times New Roman" w:hAnsi="Times New Roman" w:eastAsia="仿宋_GB2312"/>
          <w:bCs/>
          <w:kern w:val="0"/>
          <w:sz w:val="32"/>
          <w:szCs w:val="32"/>
        </w:rPr>
        <w:t>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2023年度</w:t>
      </w:r>
      <w:r>
        <w:rPr>
          <w:rFonts w:hint="eastAsia" w:ascii="仿宋" w:hAnsi="仿宋" w:eastAsia="仿宋" w:cs="仿宋"/>
          <w:color w:val="000000" w:themeColor="text1"/>
          <w:sz w:val="32"/>
          <w:szCs w:val="32"/>
          <w14:textFill>
            <w14:solidFill>
              <w14:schemeClr w14:val="tx1"/>
            </w14:solidFill>
          </w14:textFill>
        </w:rPr>
        <w:t>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183.43</w:t>
      </w:r>
      <w:r>
        <w:rPr>
          <w:rFonts w:hint="eastAsia" w:ascii="仿宋" w:hAnsi="仿宋" w:eastAsia="仿宋" w:cs="仿宋"/>
          <w:color w:val="000000" w:themeColor="text1"/>
          <w:sz w:val="32"/>
          <w:szCs w:val="32"/>
          <w14:textFill>
            <w14:solidFill>
              <w14:schemeClr w14:val="tx1"/>
            </w14:solidFill>
          </w14:textFill>
        </w:rPr>
        <w:t>万元，占一般公共预算支出总额的</w:t>
      </w:r>
      <w:r>
        <w:rPr>
          <w:rFonts w:hint="eastAsia" w:ascii="仿宋" w:hAnsi="仿宋" w:eastAsia="仿宋" w:cs="仿宋"/>
          <w:color w:val="000000" w:themeColor="text1"/>
          <w:sz w:val="32"/>
          <w:szCs w:val="32"/>
          <w:lang w:val="en-US" w:eastAsia="zh-CN"/>
          <w14:textFill>
            <w14:solidFill>
              <w14:schemeClr w14:val="tx1"/>
            </w14:solidFill>
          </w14:textFill>
        </w:rPr>
        <w:t>39.14</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183.43</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部门整体评价为一等，基本全部达成预期目标。</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590.54</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部门整体评价为一等，基本全部达成预期目标。</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19个</w:t>
      </w:r>
      <w:r>
        <w:rPr>
          <w:rFonts w:hint="eastAsia" w:ascii="仿宋" w:hAnsi="仿宋" w:eastAsia="仿宋" w:cs="仿宋"/>
          <w:color w:val="000000" w:themeColor="text1"/>
          <w:sz w:val="32"/>
          <w:szCs w:val="32"/>
          <w14:textFill>
            <w14:solidFill>
              <w14:schemeClr w14:val="tx1"/>
            </w14:solidFill>
          </w14:textFill>
        </w:rPr>
        <w:t>项目自评得分</w:t>
      </w:r>
      <w:r>
        <w:rPr>
          <w:rFonts w:hint="eastAsia" w:ascii="仿宋" w:hAnsi="仿宋" w:eastAsia="仿宋" w:cs="仿宋"/>
          <w:color w:val="000000" w:themeColor="text1"/>
          <w:sz w:val="32"/>
          <w:szCs w:val="32"/>
          <w:lang w:val="en-US" w:eastAsia="zh-CN"/>
          <w14:textFill>
            <w14:solidFill>
              <w14:schemeClr w14:val="tx1"/>
            </w14:solidFill>
          </w14:textFill>
        </w:rPr>
        <w:t>总分</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1834.82</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平均每个项目得分为96.57%</w:t>
      </w:r>
      <w:r>
        <w:rPr>
          <w:rFonts w:hint="eastAsia" w:ascii="仿宋" w:hAnsi="仿宋" w:eastAsia="仿宋" w:cs="仿宋"/>
          <w:color w:val="000000" w:themeColor="text1"/>
          <w:sz w:val="32"/>
          <w:szCs w:val="32"/>
          <w14:textFill>
            <w14:solidFill>
              <w14:schemeClr w14:val="tx1"/>
            </w14:solidFill>
          </w14:textFill>
        </w:rPr>
        <w:t>。发现的主要问题及</w:t>
      </w:r>
      <w:r>
        <w:rPr>
          <w:rFonts w:hint="eastAsia" w:ascii="仿宋" w:hAnsi="仿宋" w:eastAsia="仿宋" w:cs="仿宋"/>
          <w:color w:val="000000" w:themeColor="text1"/>
          <w:sz w:val="32"/>
          <w:szCs w:val="32"/>
          <w:lang w:val="en-US" w:eastAsia="zh-CN"/>
          <w14:textFill>
            <w14:solidFill>
              <w14:schemeClr w14:val="tx1"/>
            </w14:solidFill>
          </w14:textFill>
        </w:rPr>
        <w:t>成</w:t>
      </w:r>
      <w:r>
        <w:rPr>
          <w:rFonts w:hint="eastAsia" w:ascii="仿宋" w:hAnsi="仿宋" w:eastAsia="仿宋" w:cs="仿宋"/>
          <w:color w:val="000000" w:themeColor="text1"/>
          <w:sz w:val="32"/>
          <w:szCs w:val="32"/>
          <w14:textFill>
            <w14:solidFill>
              <w14:schemeClr w14:val="tx1"/>
            </w14:solidFill>
          </w14:textFill>
        </w:rPr>
        <w:t>因：</w:t>
      </w:r>
      <w:r>
        <w:rPr>
          <w:rFonts w:hint="eastAsia" w:ascii="仿宋" w:hAnsi="仿宋" w:eastAsia="仿宋" w:cs="仿宋"/>
          <w:color w:val="000000" w:themeColor="text1"/>
          <w:sz w:val="32"/>
          <w:szCs w:val="32"/>
          <w:lang w:val="en-US" w:eastAsia="zh-CN"/>
          <w14:textFill>
            <w14:solidFill>
              <w14:schemeClr w14:val="tx1"/>
            </w14:solidFill>
          </w14:textFill>
        </w:rPr>
        <w:t>19个项目自评分中，其中5个项目自评得分各为100分，而有14个项目评分各得分为90多分不等；主要原因：因县财政国库紧张，有部分项目本来工作已完成，但经费无法支出，导致预算执行率无法百分之百完成，所以有14个项目自评分无法达到满分100分(部门整体及各项目支出绩效自评得分见自评表）。</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以后单位将继续加大项目绩效管理，争取确保所有项目绩效全部达成预期目标。</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6958D"/>
    <w:multiLevelType w:val="singleLevel"/>
    <w:tmpl w:val="D946958D"/>
    <w:lvl w:ilvl="0" w:tentative="0">
      <w:start w:val="6"/>
      <w:numFmt w:val="chineseCounting"/>
      <w:suff w:val="nothing"/>
      <w:lvlText w:val="(%1）"/>
      <w:lvlJc w:val="left"/>
      <w:rPr>
        <w:rFonts w:hint="eastAsia"/>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ECC1C77A"/>
    <w:multiLevelType w:val="singleLevel"/>
    <w:tmpl w:val="ECC1C77A"/>
    <w:lvl w:ilvl="0" w:tentative="0">
      <w:start w:val="1"/>
      <w:numFmt w:val="chineseCounting"/>
      <w:suff w:val="nothing"/>
      <w:lvlText w:val="（%1）"/>
      <w:lvlJc w:val="left"/>
      <w:pPr>
        <w:ind w:left="-10"/>
      </w:pPr>
      <w:rPr>
        <w:rFonts w:hint="eastAsia"/>
      </w:rPr>
    </w:lvl>
  </w:abstractNum>
  <w:abstractNum w:abstractNumId="3">
    <w:nsid w:val="2C28F5D6"/>
    <w:multiLevelType w:val="singleLevel"/>
    <w:tmpl w:val="2C28F5D6"/>
    <w:lvl w:ilvl="0" w:tentative="0">
      <w:start w:val="1"/>
      <w:numFmt w:val="chineseCounting"/>
      <w:suff w:val="nothing"/>
      <w:lvlText w:val="（%1）"/>
      <w:lvlJc w:val="left"/>
      <w:rPr>
        <w:rFonts w:hint="eastAsia"/>
      </w:rPr>
    </w:lvl>
  </w:abstractNum>
  <w:abstractNum w:abstractNumId="4">
    <w:nsid w:val="4EF6F3FE"/>
    <w:multiLevelType w:val="singleLevel"/>
    <w:tmpl w:val="4EF6F3FE"/>
    <w:lvl w:ilvl="0" w:tentative="0">
      <w:start w:val="3"/>
      <w:numFmt w:val="chineseCounting"/>
      <w:suff w:val="space"/>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3691C"/>
    <w:rsid w:val="00EB7822"/>
    <w:rsid w:val="00EC50A9"/>
    <w:rsid w:val="00ED04DB"/>
    <w:rsid w:val="00F21455"/>
    <w:rsid w:val="00F5354B"/>
    <w:rsid w:val="00F95135"/>
    <w:rsid w:val="00F9658C"/>
    <w:rsid w:val="00F978FD"/>
    <w:rsid w:val="00FA738E"/>
    <w:rsid w:val="00FC438B"/>
    <w:rsid w:val="00FC69BE"/>
    <w:rsid w:val="01234E98"/>
    <w:rsid w:val="015F1951"/>
    <w:rsid w:val="020C171D"/>
    <w:rsid w:val="02141238"/>
    <w:rsid w:val="0216715F"/>
    <w:rsid w:val="027D4F23"/>
    <w:rsid w:val="02E0291A"/>
    <w:rsid w:val="046F7D2E"/>
    <w:rsid w:val="04802C58"/>
    <w:rsid w:val="04E54546"/>
    <w:rsid w:val="05992762"/>
    <w:rsid w:val="05AD0D8B"/>
    <w:rsid w:val="05F9142D"/>
    <w:rsid w:val="071D753B"/>
    <w:rsid w:val="079E0D8E"/>
    <w:rsid w:val="07B0770E"/>
    <w:rsid w:val="08510F08"/>
    <w:rsid w:val="0942143F"/>
    <w:rsid w:val="0C2013EE"/>
    <w:rsid w:val="0D100297"/>
    <w:rsid w:val="0D202B45"/>
    <w:rsid w:val="0EE205D3"/>
    <w:rsid w:val="0F8D4C87"/>
    <w:rsid w:val="10505FAA"/>
    <w:rsid w:val="105F7E7E"/>
    <w:rsid w:val="1124702B"/>
    <w:rsid w:val="11E56B5B"/>
    <w:rsid w:val="122C52CA"/>
    <w:rsid w:val="125C77AB"/>
    <w:rsid w:val="12EF0C20"/>
    <w:rsid w:val="143C503F"/>
    <w:rsid w:val="145506D3"/>
    <w:rsid w:val="14CB726E"/>
    <w:rsid w:val="15BA2BCB"/>
    <w:rsid w:val="15D363DA"/>
    <w:rsid w:val="17E92249"/>
    <w:rsid w:val="181B1DAD"/>
    <w:rsid w:val="18D304F1"/>
    <w:rsid w:val="199D44AC"/>
    <w:rsid w:val="19F32577"/>
    <w:rsid w:val="19F45B80"/>
    <w:rsid w:val="1B0C078D"/>
    <w:rsid w:val="1B2B31E2"/>
    <w:rsid w:val="1B4C295A"/>
    <w:rsid w:val="1B973C63"/>
    <w:rsid w:val="1BA1001E"/>
    <w:rsid w:val="1D317259"/>
    <w:rsid w:val="1E664F5B"/>
    <w:rsid w:val="1E950021"/>
    <w:rsid w:val="1EB34BE1"/>
    <w:rsid w:val="215E639F"/>
    <w:rsid w:val="21EA11B1"/>
    <w:rsid w:val="21EC3183"/>
    <w:rsid w:val="22334864"/>
    <w:rsid w:val="225E72CD"/>
    <w:rsid w:val="233911DB"/>
    <w:rsid w:val="23E847F6"/>
    <w:rsid w:val="24557B0C"/>
    <w:rsid w:val="246E2F77"/>
    <w:rsid w:val="254B4E2B"/>
    <w:rsid w:val="25F66AD5"/>
    <w:rsid w:val="27D95F34"/>
    <w:rsid w:val="283D7C94"/>
    <w:rsid w:val="28850088"/>
    <w:rsid w:val="29480E03"/>
    <w:rsid w:val="2983634D"/>
    <w:rsid w:val="29F205DF"/>
    <w:rsid w:val="2AE5754B"/>
    <w:rsid w:val="2B6E6CE1"/>
    <w:rsid w:val="2BA74271"/>
    <w:rsid w:val="2BB02055"/>
    <w:rsid w:val="2C575A56"/>
    <w:rsid w:val="2E023424"/>
    <w:rsid w:val="2E0E4B9C"/>
    <w:rsid w:val="2F257714"/>
    <w:rsid w:val="2F3275E5"/>
    <w:rsid w:val="30AA08EF"/>
    <w:rsid w:val="30D23D1C"/>
    <w:rsid w:val="31221CF5"/>
    <w:rsid w:val="31400178"/>
    <w:rsid w:val="317D1040"/>
    <w:rsid w:val="321E3342"/>
    <w:rsid w:val="327759C8"/>
    <w:rsid w:val="33185FE3"/>
    <w:rsid w:val="33C9703B"/>
    <w:rsid w:val="34091B43"/>
    <w:rsid w:val="34257C99"/>
    <w:rsid w:val="34EE2E36"/>
    <w:rsid w:val="35215FD4"/>
    <w:rsid w:val="35A1628C"/>
    <w:rsid w:val="35D231D8"/>
    <w:rsid w:val="36777241"/>
    <w:rsid w:val="38A951DB"/>
    <w:rsid w:val="38B31605"/>
    <w:rsid w:val="39003F4F"/>
    <w:rsid w:val="3A2E449F"/>
    <w:rsid w:val="3C07002B"/>
    <w:rsid w:val="3D0D152A"/>
    <w:rsid w:val="3DC85D27"/>
    <w:rsid w:val="3DF62756"/>
    <w:rsid w:val="3F1B7587"/>
    <w:rsid w:val="3F914C60"/>
    <w:rsid w:val="41E57B4F"/>
    <w:rsid w:val="432F26F6"/>
    <w:rsid w:val="43880F63"/>
    <w:rsid w:val="441C5A6F"/>
    <w:rsid w:val="444A3897"/>
    <w:rsid w:val="44C44FCC"/>
    <w:rsid w:val="44CC7369"/>
    <w:rsid w:val="45482B4D"/>
    <w:rsid w:val="457F5108"/>
    <w:rsid w:val="45D50E20"/>
    <w:rsid w:val="46951B6B"/>
    <w:rsid w:val="478C7727"/>
    <w:rsid w:val="488E3597"/>
    <w:rsid w:val="48F45D3F"/>
    <w:rsid w:val="49A34401"/>
    <w:rsid w:val="4A3E30AB"/>
    <w:rsid w:val="4AC14DAC"/>
    <w:rsid w:val="4D154C85"/>
    <w:rsid w:val="4D704F42"/>
    <w:rsid w:val="4EC8553A"/>
    <w:rsid w:val="4F1634D1"/>
    <w:rsid w:val="502874A3"/>
    <w:rsid w:val="50325367"/>
    <w:rsid w:val="505B27A8"/>
    <w:rsid w:val="50683D77"/>
    <w:rsid w:val="508F4E24"/>
    <w:rsid w:val="51461E90"/>
    <w:rsid w:val="51463753"/>
    <w:rsid w:val="51FE4D33"/>
    <w:rsid w:val="52553A93"/>
    <w:rsid w:val="53521F8B"/>
    <w:rsid w:val="53E22F47"/>
    <w:rsid w:val="54522FF8"/>
    <w:rsid w:val="55450629"/>
    <w:rsid w:val="56692963"/>
    <w:rsid w:val="567A17DA"/>
    <w:rsid w:val="56805848"/>
    <w:rsid w:val="568B0F48"/>
    <w:rsid w:val="56CD2153"/>
    <w:rsid w:val="5786217B"/>
    <w:rsid w:val="57EE28CF"/>
    <w:rsid w:val="58A041E3"/>
    <w:rsid w:val="59337A15"/>
    <w:rsid w:val="5946623D"/>
    <w:rsid w:val="59810274"/>
    <w:rsid w:val="5C245ED8"/>
    <w:rsid w:val="5CA96A00"/>
    <w:rsid w:val="5CF730BC"/>
    <w:rsid w:val="5D0A4E86"/>
    <w:rsid w:val="5D3665F9"/>
    <w:rsid w:val="5DFA5591"/>
    <w:rsid w:val="5E5F0DCE"/>
    <w:rsid w:val="5E7D74BF"/>
    <w:rsid w:val="5EDE0C40"/>
    <w:rsid w:val="5FA40A7B"/>
    <w:rsid w:val="5FD56D29"/>
    <w:rsid w:val="5FEC7F3F"/>
    <w:rsid w:val="60F74BC3"/>
    <w:rsid w:val="617D3BF8"/>
    <w:rsid w:val="61841F6A"/>
    <w:rsid w:val="623007A9"/>
    <w:rsid w:val="62FE19BA"/>
    <w:rsid w:val="637D7558"/>
    <w:rsid w:val="63E621EB"/>
    <w:rsid w:val="644F19AC"/>
    <w:rsid w:val="65275B85"/>
    <w:rsid w:val="65AA4920"/>
    <w:rsid w:val="66CC61B6"/>
    <w:rsid w:val="66DF6013"/>
    <w:rsid w:val="67694F1E"/>
    <w:rsid w:val="691B0EFE"/>
    <w:rsid w:val="69597934"/>
    <w:rsid w:val="6AA761B2"/>
    <w:rsid w:val="6AFB7215"/>
    <w:rsid w:val="6B964DDC"/>
    <w:rsid w:val="6C783074"/>
    <w:rsid w:val="6D5D16C5"/>
    <w:rsid w:val="6D9E65C6"/>
    <w:rsid w:val="6DA81947"/>
    <w:rsid w:val="6E562668"/>
    <w:rsid w:val="6EB66DE2"/>
    <w:rsid w:val="6ED3075F"/>
    <w:rsid w:val="6F2A2D4B"/>
    <w:rsid w:val="6F4E709D"/>
    <w:rsid w:val="6F8A0C1E"/>
    <w:rsid w:val="703F45D4"/>
    <w:rsid w:val="707730CD"/>
    <w:rsid w:val="715D6546"/>
    <w:rsid w:val="71BE069E"/>
    <w:rsid w:val="73953409"/>
    <w:rsid w:val="73E069A3"/>
    <w:rsid w:val="75D07A3B"/>
    <w:rsid w:val="76C74B54"/>
    <w:rsid w:val="77613024"/>
    <w:rsid w:val="78104AA8"/>
    <w:rsid w:val="78E257C5"/>
    <w:rsid w:val="794065A6"/>
    <w:rsid w:val="794B35BE"/>
    <w:rsid w:val="795934C1"/>
    <w:rsid w:val="7A1F13AF"/>
    <w:rsid w:val="7A915397"/>
    <w:rsid w:val="7B0A3A31"/>
    <w:rsid w:val="7B3360ED"/>
    <w:rsid w:val="7B5319F3"/>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chart" Target="charts/chart14.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39044;&#31639;&#31649;&#29702;&#19968;&#20307;&#21270;&#24179;&#21488;&#65288;2021&#24180;--&#65289;\&#37096;&#38376;&#20915;&#31639;\2023&#24180;&#65288;&#20170;&#24180;&#36215;&#22312;&#19968;&#20307;&#21270;&#24179;&#21488;&#22635;&#25253;&#65289;\&#20915;&#31639;&#20844;&#24320;\&#21046;&#20316;&#32479;&#35745;&#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[制作统计图.xlsx]Sheet1!$B$1</c:f>
              <c:strCache>
                <c:ptCount val="1"/>
                <c:pt idx="0">
                  <c:v>支出决算图</c:v>
                </c:pt>
              </c:strCache>
            </c:strRef>
          </c:tx>
          <c:spPr>
            <a:solidFill>
              <a:schemeClr val="accent1"/>
            </a:solidFill>
            <a:ln>
              <a:noFill/>
            </a:ln>
            <a:effectLst/>
          </c:spPr>
          <c:invertIfNegative val="0"/>
          <c:dLbls>
            <c:delete val="1"/>
          </c:dLbls>
          <c:cat>
            <c:strRef>
              <c:f>[制作统计图.xlsx]Sheet1!$A$2:$A$8</c:f>
              <c:strCache>
                <c:ptCount val="7"/>
                <c:pt idx="0">
                  <c:v>一般公共服务支出</c:v>
                </c:pt>
                <c:pt idx="1">
                  <c:v>教育支出</c:v>
                </c:pt>
                <c:pt idx="2">
                  <c:v>科学技术支出</c:v>
                </c:pt>
                <c:pt idx="3">
                  <c:v>文化旅游体育与传媒支出</c:v>
                </c:pt>
                <c:pt idx="4">
                  <c:v>社会保障和就业支出</c:v>
                </c:pt>
                <c:pt idx="5">
                  <c:v>住房保障支出</c:v>
                </c:pt>
                <c:pt idx="6">
                  <c:v>其他支出</c:v>
                </c:pt>
              </c:strCache>
            </c:strRef>
          </c:cat>
          <c:val>
            <c:numRef>
              <c:f>[制作统计图.xlsx]Sheet1!$B$2:$B$8</c:f>
              <c:numCache>
                <c:formatCode>General</c:formatCode>
                <c:ptCount val="7"/>
                <c:pt idx="0">
                  <c:v>4.51</c:v>
                </c:pt>
                <c:pt idx="1">
                  <c:v>0.4</c:v>
                </c:pt>
                <c:pt idx="2">
                  <c:v>3</c:v>
                </c:pt>
                <c:pt idx="3">
                  <c:v>344.08</c:v>
                </c:pt>
                <c:pt idx="4">
                  <c:v>38.83</c:v>
                </c:pt>
                <c:pt idx="5">
                  <c:v>28.78</c:v>
                </c:pt>
                <c:pt idx="6">
                  <c:v>49.1</c:v>
                </c:pt>
              </c:numCache>
            </c:numRef>
          </c:val>
        </c:ser>
        <c:dLbls>
          <c:showLegendKey val="0"/>
          <c:showVal val="0"/>
          <c:showCatName val="0"/>
          <c:showSerName val="0"/>
          <c:showPercent val="0"/>
          <c:showBubbleSize val="0"/>
        </c:dLbls>
        <c:gapWidth val="219"/>
        <c:overlap val="-27"/>
        <c:axId val="430485849"/>
        <c:axId val="608833445"/>
      </c:barChart>
      <c:catAx>
        <c:axId val="4304858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833445"/>
        <c:crosses val="autoZero"/>
        <c:auto val="1"/>
        <c:lblAlgn val="ctr"/>
        <c:lblOffset val="100"/>
        <c:noMultiLvlLbl val="0"/>
      </c:catAx>
      <c:valAx>
        <c:axId val="6088334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4858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 (3)'!$B$1</c:f>
              <c:strCache>
                <c:ptCount val="1"/>
                <c:pt idx="0">
                  <c:v>工资福利支出</c:v>
                </c:pt>
              </c:strCache>
            </c:strRef>
          </c:tx>
          <c:spPr>
            <a:solidFill>
              <a:schemeClr val="accent1"/>
            </a:solidFill>
            <a:ln>
              <a:noFill/>
            </a:ln>
            <a:effectLst/>
          </c:spPr>
          <c:invertIfNegative val="0"/>
          <c:dLbls>
            <c:delete val="1"/>
          </c:dLbls>
          <c:cat>
            <c:strRef>
              <c:f>'[制作统计图.xlsx]Sheet1 (3)'!$A$2:$A$7</c:f>
              <c:strCache>
                <c:ptCount val="6"/>
                <c:pt idx="0">
                  <c:v>30201办公费</c:v>
                </c:pt>
                <c:pt idx="1">
                  <c:v>30205水费</c:v>
                </c:pt>
                <c:pt idx="2">
                  <c:v>30206电费</c:v>
                </c:pt>
                <c:pt idx="3">
                  <c:v>30207邮电费</c:v>
                </c:pt>
                <c:pt idx="4">
                  <c:v>30228工会经费</c:v>
                </c:pt>
                <c:pt idx="5">
                  <c:v>30231公务用车运行维护费</c:v>
                </c:pt>
              </c:strCache>
            </c:strRef>
          </c:cat>
          <c:val>
            <c:numRef>
              <c:f>'[制作统计图.xlsx]Sheet1 (3)'!$B$2:$B$7</c:f>
              <c:numCache>
                <c:formatCode>General</c:formatCode>
                <c:ptCount val="6"/>
                <c:pt idx="0">
                  <c:v>2.59</c:v>
                </c:pt>
                <c:pt idx="1">
                  <c:v>0.57</c:v>
                </c:pt>
                <c:pt idx="2">
                  <c:v>1.45</c:v>
                </c:pt>
                <c:pt idx="3">
                  <c:v>0.92</c:v>
                </c:pt>
                <c:pt idx="4">
                  <c:v>4.51</c:v>
                </c:pt>
                <c:pt idx="5">
                  <c:v>0.95</c:v>
                </c:pt>
              </c:numCache>
            </c:numRef>
          </c:val>
        </c:ser>
        <c:dLbls>
          <c:showLegendKey val="0"/>
          <c:showVal val="0"/>
          <c:showCatName val="0"/>
          <c:showSerName val="0"/>
          <c:showPercent val="0"/>
          <c:showBubbleSize val="0"/>
        </c:dLbls>
        <c:gapWidth val="219"/>
        <c:overlap val="-27"/>
        <c:axId val="162543784"/>
        <c:axId val="340069678"/>
      </c:barChart>
      <c:catAx>
        <c:axId val="1625437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069678"/>
        <c:crosses val="autoZero"/>
        <c:auto val="1"/>
        <c:lblAlgn val="ctr"/>
        <c:lblOffset val="100"/>
        <c:noMultiLvlLbl val="0"/>
      </c:catAx>
      <c:valAx>
        <c:axId val="3400696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543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 (4)'!$B$1</c:f>
              <c:strCache>
                <c:ptCount val="1"/>
                <c:pt idx="0">
                  <c:v>对个人和家庭的补助</c:v>
                </c:pt>
              </c:strCache>
            </c:strRef>
          </c:tx>
          <c:spPr>
            <a:solidFill>
              <a:schemeClr val="accent1"/>
            </a:solidFill>
            <a:ln>
              <a:noFill/>
            </a:ln>
            <a:effectLst/>
          </c:spPr>
          <c:invertIfNegative val="0"/>
          <c:dLbls>
            <c:delete val="1"/>
          </c:dLbls>
          <c:cat>
            <c:strRef>
              <c:f>'[制作统计图.xlsx]Sheet1 (4)'!$A$2:$A$7</c:f>
              <c:strCache>
                <c:ptCount val="6"/>
                <c:pt idx="0">
                  <c:v>30305生活补助</c:v>
                </c:pt>
              </c:strCache>
            </c:strRef>
          </c:cat>
          <c:val>
            <c:numRef>
              <c:f>'[制作统计图.xlsx]Sheet1 (4)'!$B$2:$B$7</c:f>
              <c:numCache>
                <c:formatCode>General</c:formatCode>
                <c:ptCount val="6"/>
                <c:pt idx="0">
                  <c:v>11.4</c:v>
                </c:pt>
              </c:numCache>
            </c:numRef>
          </c:val>
        </c:ser>
        <c:dLbls>
          <c:showLegendKey val="0"/>
          <c:showVal val="0"/>
          <c:showCatName val="0"/>
          <c:showSerName val="0"/>
          <c:showPercent val="0"/>
          <c:showBubbleSize val="0"/>
        </c:dLbls>
        <c:gapWidth val="219"/>
        <c:overlap val="-27"/>
        <c:axId val="162543784"/>
        <c:axId val="340069678"/>
      </c:barChart>
      <c:catAx>
        <c:axId val="1625437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069678"/>
        <c:crosses val="autoZero"/>
        <c:auto val="1"/>
        <c:lblAlgn val="ctr"/>
        <c:lblOffset val="100"/>
        <c:noMultiLvlLbl val="0"/>
      </c:catAx>
      <c:valAx>
        <c:axId val="3400696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543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[制作统计图.xlsx]Sheet1!$A$2</c:f>
              <c:strCache>
                <c:ptCount val="1"/>
                <c:pt idx="0">
                  <c:v>一般公共服务支出</c:v>
                </c:pt>
              </c:strCache>
            </c:strRef>
          </c:tx>
          <c:spPr>
            <a:solidFill>
              <a:schemeClr val="accent1"/>
            </a:solidFill>
            <a:ln>
              <a:noFill/>
            </a:ln>
            <a:effectLst/>
          </c:spPr>
          <c:invertIfNegative val="0"/>
          <c:dLbls>
            <c:delete val="1"/>
          </c:dLbls>
          <c:cat>
            <c:numRef>
              <c:f>[制作统计图.xlsx]Sheet1!$B$1</c:f>
              <c:numCache>
                <c:formatCode>General</c:formatCode>
                <c:ptCount val="1"/>
                <c:pt idx="0">
                  <c:v>2012999</c:v>
                </c:pt>
              </c:numCache>
            </c:numRef>
          </c:cat>
          <c:val>
            <c:numRef>
              <c:f>[制作统计图.xlsx]Sheet1!$B$2</c:f>
              <c:numCache>
                <c:formatCode>General</c:formatCode>
                <c:ptCount val="1"/>
                <c:pt idx="0">
                  <c:v>4.51</c:v>
                </c:pt>
              </c:numCache>
            </c:numRef>
          </c:val>
        </c:ser>
        <c:dLbls>
          <c:showLegendKey val="0"/>
          <c:showVal val="0"/>
          <c:showCatName val="0"/>
          <c:showSerName val="0"/>
          <c:showPercent val="0"/>
          <c:showBubbleSize val="0"/>
        </c:dLbls>
        <c:gapWidth val="219"/>
        <c:overlap val="-27"/>
        <c:axId val="996643934"/>
        <c:axId val="824096723"/>
      </c:barChart>
      <c:catAx>
        <c:axId val="9966439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096723"/>
        <c:crosses val="autoZero"/>
        <c:auto val="1"/>
        <c:lblAlgn val="ctr"/>
        <c:lblOffset val="100"/>
        <c:noMultiLvlLbl val="0"/>
      </c:catAx>
      <c:valAx>
        <c:axId val="8240967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64393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07444444444444"/>
          <c:y val="0.155555555555556"/>
          <c:w val="0.888388888888889"/>
          <c:h val="0.711666666666667"/>
        </c:manualLayout>
      </c:layout>
      <c:barChart>
        <c:barDir val="col"/>
        <c:grouping val="clustered"/>
        <c:varyColors val="0"/>
        <c:ser>
          <c:idx val="0"/>
          <c:order val="0"/>
          <c:tx>
            <c:strRef>
              <c:f>[制作统计图.xlsx]Sheet1!$A$2</c:f>
              <c:strCache>
                <c:ptCount val="1"/>
                <c:pt idx="0">
                  <c:v>教育支出</c:v>
                </c:pt>
              </c:strCache>
            </c:strRef>
          </c:tx>
          <c:spPr>
            <a:solidFill>
              <a:schemeClr val="accent1"/>
            </a:solidFill>
            <a:ln>
              <a:noFill/>
            </a:ln>
            <a:effectLst/>
          </c:spPr>
          <c:invertIfNegative val="0"/>
          <c:dLbls>
            <c:delete val="1"/>
          </c:dLbls>
          <c:cat>
            <c:numRef>
              <c:f>[制作统计图.xlsx]Sheet1!$B$1</c:f>
              <c:numCache>
                <c:formatCode>General</c:formatCode>
                <c:ptCount val="1"/>
                <c:pt idx="0">
                  <c:v>2050599</c:v>
                </c:pt>
              </c:numCache>
            </c:numRef>
          </c:cat>
          <c:val>
            <c:numRef>
              <c:f>[制作统计图.xlsx]Sheet1!$B$2</c:f>
              <c:numCache>
                <c:formatCode>General</c:formatCode>
                <c:ptCount val="1"/>
                <c:pt idx="0">
                  <c:v>0.4</c:v>
                </c:pt>
              </c:numCache>
            </c:numRef>
          </c:val>
        </c:ser>
        <c:dLbls>
          <c:showLegendKey val="0"/>
          <c:showVal val="0"/>
          <c:showCatName val="0"/>
          <c:showSerName val="0"/>
          <c:showPercent val="0"/>
          <c:showBubbleSize val="0"/>
        </c:dLbls>
        <c:gapWidth val="219"/>
        <c:overlap val="-27"/>
        <c:axId val="150476071"/>
        <c:axId val="148361618"/>
      </c:barChart>
      <c:catAx>
        <c:axId val="1504760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361618"/>
        <c:crosses val="autoZero"/>
        <c:auto val="1"/>
        <c:lblAlgn val="ctr"/>
        <c:lblOffset val="100"/>
        <c:noMultiLvlLbl val="0"/>
      </c:catAx>
      <c:valAx>
        <c:axId val="1483616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476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[制作统计图.xlsx]Sheet1!$A$2</c:f>
              <c:strCache>
                <c:ptCount val="1"/>
                <c:pt idx="0">
                  <c:v>科学技术支出</c:v>
                </c:pt>
              </c:strCache>
            </c:strRef>
          </c:tx>
          <c:spPr>
            <a:solidFill>
              <a:schemeClr val="accent1"/>
            </a:solidFill>
            <a:ln>
              <a:noFill/>
            </a:ln>
            <a:effectLst/>
          </c:spPr>
          <c:invertIfNegative val="0"/>
          <c:dLbls>
            <c:delete val="1"/>
          </c:dLbls>
          <c:cat>
            <c:numRef>
              <c:f>[制作统计图.xlsx]Sheet1!$B$1</c:f>
              <c:numCache>
                <c:formatCode>General</c:formatCode>
                <c:ptCount val="1"/>
                <c:pt idx="0">
                  <c:v>2069999</c:v>
                </c:pt>
              </c:numCache>
            </c:numRef>
          </c:cat>
          <c:val>
            <c:numRef>
              <c:f>[制作统计图.xlsx]Sheet1!$B$2</c:f>
              <c:numCache>
                <c:formatCode>General</c:formatCode>
                <c:ptCount val="1"/>
                <c:pt idx="0">
                  <c:v>3</c:v>
                </c:pt>
              </c:numCache>
            </c:numRef>
          </c:val>
        </c:ser>
        <c:dLbls>
          <c:showLegendKey val="0"/>
          <c:showVal val="0"/>
          <c:showCatName val="0"/>
          <c:showSerName val="0"/>
          <c:showPercent val="0"/>
          <c:showBubbleSize val="0"/>
        </c:dLbls>
        <c:gapWidth val="219"/>
        <c:overlap val="-27"/>
        <c:axId val="769552601"/>
        <c:axId val="981760354"/>
      </c:barChart>
      <c:catAx>
        <c:axId val="7695526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1760354"/>
        <c:crosses val="autoZero"/>
        <c:auto val="1"/>
        <c:lblAlgn val="ctr"/>
        <c:lblOffset val="100"/>
        <c:noMultiLvlLbl val="0"/>
      </c:catAx>
      <c:valAx>
        <c:axId val="9817603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5526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[制作统计图.xlsx]Sheet1!$A$2</c:f>
              <c:strCache>
                <c:ptCount val="1"/>
                <c:pt idx="0">
                  <c:v>文化旅游体育与传媒支出</c:v>
                </c:pt>
              </c:strCache>
            </c:strRef>
          </c:tx>
          <c:spPr>
            <a:solidFill>
              <a:schemeClr val="accent1"/>
            </a:solidFill>
            <a:ln>
              <a:noFill/>
            </a:ln>
            <a:effectLst/>
          </c:spPr>
          <c:invertIfNegative val="0"/>
          <c:dLbls>
            <c:delete val="1"/>
          </c:dLbls>
          <c:cat>
            <c:numRef>
              <c:f>[制作统计图.xlsx]Sheet1!$B$1</c:f>
              <c:numCache>
                <c:formatCode>General</c:formatCode>
                <c:ptCount val="1"/>
                <c:pt idx="0">
                  <c:v>2070808</c:v>
                </c:pt>
              </c:numCache>
            </c:numRef>
          </c:cat>
          <c:val>
            <c:numRef>
              <c:f>[制作统计图.xlsx]Sheet1!$B$2</c:f>
              <c:numCache>
                <c:formatCode>General</c:formatCode>
                <c:ptCount val="1"/>
                <c:pt idx="0">
                  <c:v>344.08</c:v>
                </c:pt>
              </c:numCache>
            </c:numRef>
          </c:val>
        </c:ser>
        <c:dLbls>
          <c:showLegendKey val="0"/>
          <c:showVal val="0"/>
          <c:showCatName val="0"/>
          <c:showSerName val="0"/>
          <c:showPercent val="0"/>
          <c:showBubbleSize val="0"/>
        </c:dLbls>
        <c:gapWidth val="219"/>
        <c:overlap val="-27"/>
        <c:axId val="286926677"/>
        <c:axId val="867829035"/>
      </c:barChart>
      <c:catAx>
        <c:axId val="2869266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829035"/>
        <c:crosses val="autoZero"/>
        <c:auto val="1"/>
        <c:lblAlgn val="ctr"/>
        <c:lblOffset val="100"/>
        <c:noMultiLvlLbl val="0"/>
      </c:catAx>
      <c:valAx>
        <c:axId val="8678290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69266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[制作统计图.xlsx]Sheet1!$A$2</c:f>
              <c:strCache>
                <c:ptCount val="1"/>
                <c:pt idx="0">
                  <c:v>社会保障和就业支出</c:v>
                </c:pt>
              </c:strCache>
            </c:strRef>
          </c:tx>
          <c:spPr>
            <a:solidFill>
              <a:schemeClr val="accent1"/>
            </a:solidFill>
            <a:ln>
              <a:noFill/>
            </a:ln>
            <a:effectLst/>
          </c:spPr>
          <c:invertIfNegative val="0"/>
          <c:dLbls>
            <c:delete val="1"/>
          </c:dLbls>
          <c:cat>
            <c:numRef>
              <c:f>[制作统计图.xlsx]Sheet1!$B$1</c:f>
              <c:numCache>
                <c:formatCode>General</c:formatCode>
                <c:ptCount val="1"/>
                <c:pt idx="0">
                  <c:v>2080505</c:v>
                </c:pt>
              </c:numCache>
            </c:numRef>
          </c:cat>
          <c:val>
            <c:numRef>
              <c:f>[制作统计图.xlsx]Sheet1!$B$2</c:f>
              <c:numCache>
                <c:formatCode>General</c:formatCode>
                <c:ptCount val="1"/>
                <c:pt idx="0">
                  <c:v>38.83</c:v>
                </c:pt>
              </c:numCache>
            </c:numRef>
          </c:val>
        </c:ser>
        <c:dLbls>
          <c:showLegendKey val="0"/>
          <c:showVal val="0"/>
          <c:showCatName val="0"/>
          <c:showSerName val="0"/>
          <c:showPercent val="0"/>
          <c:showBubbleSize val="0"/>
        </c:dLbls>
        <c:gapWidth val="219"/>
        <c:overlap val="-27"/>
        <c:axId val="999817562"/>
        <c:axId val="504009661"/>
      </c:barChart>
      <c:catAx>
        <c:axId val="9998175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009661"/>
        <c:crosses val="autoZero"/>
        <c:auto val="1"/>
        <c:lblAlgn val="ctr"/>
        <c:lblOffset val="100"/>
        <c:noMultiLvlLbl val="0"/>
      </c:catAx>
      <c:valAx>
        <c:axId val="5040096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981756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[制作统计图.xlsx]Sheet1!$A$2</c:f>
              <c:strCache>
                <c:ptCount val="1"/>
                <c:pt idx="0">
                  <c:v>住房保障支出</c:v>
                </c:pt>
              </c:strCache>
            </c:strRef>
          </c:tx>
          <c:spPr>
            <a:solidFill>
              <a:schemeClr val="accent1"/>
            </a:solidFill>
            <a:ln>
              <a:noFill/>
            </a:ln>
            <a:effectLst/>
          </c:spPr>
          <c:invertIfNegative val="0"/>
          <c:dLbls>
            <c:delete val="1"/>
          </c:dLbls>
          <c:cat>
            <c:numRef>
              <c:f>[制作统计图.xlsx]Sheet1!$B$1</c:f>
              <c:numCache>
                <c:formatCode>General</c:formatCode>
                <c:ptCount val="1"/>
                <c:pt idx="0">
                  <c:v>2080505</c:v>
                </c:pt>
              </c:numCache>
            </c:numRef>
          </c:cat>
          <c:val>
            <c:numRef>
              <c:f>[制作统计图.xlsx]Sheet1!$B$2</c:f>
              <c:numCache>
                <c:formatCode>General</c:formatCode>
                <c:ptCount val="1"/>
                <c:pt idx="0">
                  <c:v>28.78</c:v>
                </c:pt>
              </c:numCache>
            </c:numRef>
          </c:val>
        </c:ser>
        <c:dLbls>
          <c:showLegendKey val="0"/>
          <c:showVal val="0"/>
          <c:showCatName val="0"/>
          <c:showSerName val="0"/>
          <c:showPercent val="0"/>
          <c:showBubbleSize val="0"/>
        </c:dLbls>
        <c:gapWidth val="219"/>
        <c:overlap val="-27"/>
        <c:axId val="999817562"/>
        <c:axId val="504009661"/>
      </c:barChart>
      <c:catAx>
        <c:axId val="9998175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009661"/>
        <c:crosses val="autoZero"/>
        <c:auto val="1"/>
        <c:lblAlgn val="ctr"/>
        <c:lblOffset val="100"/>
        <c:noMultiLvlLbl val="0"/>
      </c:catAx>
      <c:valAx>
        <c:axId val="5040096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981756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 (4)'!$B$1</c:f>
              <c:strCache>
                <c:ptCount val="1"/>
                <c:pt idx="0">
                  <c:v>其他支出</c:v>
                </c:pt>
              </c:strCache>
            </c:strRef>
          </c:tx>
          <c:spPr>
            <a:solidFill>
              <a:schemeClr val="accent1"/>
            </a:solidFill>
            <a:ln>
              <a:noFill/>
            </a:ln>
            <a:effectLst/>
          </c:spPr>
          <c:invertIfNegative val="0"/>
          <c:dLbls>
            <c:delete val="1"/>
          </c:dLbls>
          <c:cat>
            <c:strRef>
              <c:f>'[制作统计图.xlsx]Sheet1 (4)'!$A$2:$A$7</c:f>
              <c:strCache>
                <c:ptCount val="6"/>
                <c:pt idx="0">
                  <c:v>2299999其他支出</c:v>
                </c:pt>
              </c:strCache>
            </c:strRef>
          </c:cat>
          <c:val>
            <c:numRef>
              <c:f>'[制作统计图.xlsx]Sheet1 (4)'!$B$2:$B$7</c:f>
              <c:numCache>
                <c:formatCode>General</c:formatCode>
                <c:ptCount val="6"/>
                <c:pt idx="0">
                  <c:v>49.1</c:v>
                </c:pt>
              </c:numCache>
            </c:numRef>
          </c:val>
        </c:ser>
        <c:dLbls>
          <c:showLegendKey val="0"/>
          <c:showVal val="0"/>
          <c:showCatName val="0"/>
          <c:showSerName val="0"/>
          <c:showPercent val="0"/>
          <c:showBubbleSize val="0"/>
        </c:dLbls>
        <c:gapWidth val="219"/>
        <c:overlap val="-27"/>
        <c:axId val="162543784"/>
        <c:axId val="340069678"/>
      </c:barChart>
      <c:catAx>
        <c:axId val="1625437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069678"/>
        <c:crosses val="autoZero"/>
        <c:auto val="1"/>
        <c:lblAlgn val="ctr"/>
        <c:lblOffset val="100"/>
        <c:noMultiLvlLbl val="0"/>
      </c:catAx>
      <c:valAx>
        <c:axId val="3400696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543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[制作统计图.xlsx]Sheet1!$B$1</c:f>
              <c:strCache>
                <c:ptCount val="1"/>
                <c:pt idx="0">
                  <c:v>工资福利支出</c:v>
                </c:pt>
              </c:strCache>
            </c:strRef>
          </c:tx>
          <c:spPr>
            <a:solidFill>
              <a:schemeClr val="accent1"/>
            </a:solidFill>
            <a:ln>
              <a:noFill/>
            </a:ln>
            <a:effectLst/>
          </c:spPr>
          <c:invertIfNegative val="0"/>
          <c:dLbls>
            <c:delete val="1"/>
          </c:dLbls>
          <c:cat>
            <c:strRef>
              <c:f>[制作统计图.xlsx]Sheet1!$A$2:$A$9</c:f>
              <c:strCache>
                <c:ptCount val="8"/>
                <c:pt idx="0">
                  <c:v>30101基本工资</c:v>
                </c:pt>
                <c:pt idx="1">
                  <c:v>30102津贴补贴</c:v>
                </c:pt>
                <c:pt idx="2">
                  <c:v>30103奖金</c:v>
                </c:pt>
                <c:pt idx="3">
                  <c:v>30107绩效工资</c:v>
                </c:pt>
                <c:pt idx="4">
                  <c:v>30108机关事业单位基本养老保险缴费</c:v>
                </c:pt>
                <c:pt idx="5">
                  <c:v>30110职工基本医疗保险缴费</c:v>
                </c:pt>
                <c:pt idx="6">
                  <c:v>30112其他社会保障缴费</c:v>
                </c:pt>
                <c:pt idx="7">
                  <c:v>30113住房公积金</c:v>
                </c:pt>
              </c:strCache>
            </c:strRef>
          </c:cat>
          <c:val>
            <c:numRef>
              <c:f>[制作统计图.xlsx]Sheet1!$B$2:$B$9</c:f>
              <c:numCache>
                <c:formatCode>General</c:formatCode>
                <c:ptCount val="8"/>
                <c:pt idx="0">
                  <c:v>106.69</c:v>
                </c:pt>
                <c:pt idx="1">
                  <c:v>9.54</c:v>
                </c:pt>
                <c:pt idx="2">
                  <c:v>56.16</c:v>
                </c:pt>
                <c:pt idx="3">
                  <c:v>54.91</c:v>
                </c:pt>
                <c:pt idx="4">
                  <c:v>38.83</c:v>
                </c:pt>
                <c:pt idx="5">
                  <c:v>14.33</c:v>
                </c:pt>
                <c:pt idx="6">
                  <c:v>1.49</c:v>
                </c:pt>
                <c:pt idx="7">
                  <c:v>28.78</c:v>
                </c:pt>
              </c:numCache>
            </c:numRef>
          </c:val>
        </c:ser>
        <c:dLbls>
          <c:showLegendKey val="0"/>
          <c:showVal val="0"/>
          <c:showCatName val="0"/>
          <c:showSerName val="0"/>
          <c:showPercent val="0"/>
          <c:showBubbleSize val="0"/>
        </c:dLbls>
        <c:gapWidth val="219"/>
        <c:overlap val="-27"/>
        <c:axId val="557147151"/>
        <c:axId val="599892988"/>
      </c:barChart>
      <c:catAx>
        <c:axId val="5571471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9892988"/>
        <c:crosses val="autoZero"/>
        <c:auto val="1"/>
        <c:lblAlgn val="ctr"/>
        <c:lblOffset val="100"/>
        <c:noMultiLvlLbl val="0"/>
      </c:catAx>
      <c:valAx>
        <c:axId val="5998929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1471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2024-12-30T02:54:39Z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