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环江毛南族自治县长美学校202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bookmarkStart w:id="3" w:name="_GoBack"/>
      <w:bookmarkEnd w:id="3"/>
    </w:p>
    <w:p>
      <w:pPr>
        <w:jc w:val="center"/>
        <w:rPr>
          <w:rFonts w:hint="eastAsia" w:ascii="黑体" w:eastAsia="黑体" w:cs="黑体"/>
          <w:kern w:val="0"/>
          <w:sz w:val="44"/>
          <w:szCs w:val="44"/>
        </w:rPr>
      </w:pPr>
    </w:p>
    <w:p>
      <w:pPr>
        <w:jc w:val="center"/>
        <w:rPr>
          <w:rFonts w:hint="eastAsia" w:ascii="华文行楷" w:hAnsi="华文行楷" w:eastAsia="华文行楷" w:cs="华文行楷"/>
          <w:kern w:val="0"/>
          <w:sz w:val="44"/>
          <w:szCs w:val="44"/>
          <w:lang w:val="en-US" w:eastAsia="zh-CN"/>
        </w:rPr>
      </w:pPr>
      <w:r>
        <w:rPr>
          <w:rFonts w:hint="eastAsia" w:ascii="黑体" w:eastAsia="黑体" w:cs="黑体"/>
          <w:kern w:val="0"/>
          <w:sz w:val="44"/>
          <w:szCs w:val="44"/>
        </w:rPr>
        <w:t>单位负责人：</w:t>
      </w:r>
      <w:r>
        <w:rPr>
          <w:rFonts w:hint="eastAsia" w:ascii="华文行楷" w:hAnsi="华文行楷" w:eastAsia="华文行楷" w:cs="华文行楷"/>
          <w:kern w:val="0"/>
          <w:sz w:val="44"/>
          <w:szCs w:val="44"/>
          <w:lang w:val="en-US" w:eastAsia="zh-CN"/>
        </w:rPr>
        <w:t>蒙圣</w:t>
      </w:r>
    </w:p>
    <w:p>
      <w:pPr>
        <w:jc w:val="center"/>
        <w:rPr>
          <w:rFonts w:hint="eastAsia" w:ascii="黑体" w:eastAsia="黑体" w:cs="黑体"/>
          <w:kern w:val="0"/>
          <w:sz w:val="44"/>
          <w:szCs w:val="44"/>
        </w:rPr>
      </w:pPr>
      <w:r>
        <w:rPr>
          <w:rFonts w:hint="eastAsia" w:ascii="黑体" w:eastAsia="黑体" w:cs="黑体"/>
          <w:kern w:val="0"/>
          <w:sz w:val="44"/>
          <w:szCs w:val="44"/>
        </w:rPr>
        <w:t>20</w:t>
      </w:r>
      <w:r>
        <w:rPr>
          <w:rFonts w:hint="eastAsia" w:ascii="黑体" w:eastAsia="黑体" w:cs="黑体"/>
          <w:kern w:val="0"/>
          <w:sz w:val="44"/>
          <w:szCs w:val="44"/>
          <w:lang w:val="en-US" w:eastAsia="zh-CN"/>
        </w:rPr>
        <w:t>24</w:t>
      </w:r>
      <w:r>
        <w:rPr>
          <w:rFonts w:hint="eastAsia" w:ascii="黑体" w:eastAsia="黑体" w:cs="黑体"/>
          <w:kern w:val="0"/>
          <w:sz w:val="44"/>
          <w:szCs w:val="44"/>
        </w:rPr>
        <w:t>年</w:t>
      </w:r>
      <w:r>
        <w:rPr>
          <w:rFonts w:hint="eastAsia" w:ascii="黑体" w:eastAsia="黑体" w:cs="黑体"/>
          <w:kern w:val="0"/>
          <w:sz w:val="44"/>
          <w:szCs w:val="44"/>
          <w:lang w:val="en-US" w:eastAsia="zh-CN"/>
        </w:rPr>
        <w:t>12</w:t>
      </w:r>
      <w:r>
        <w:rPr>
          <w:rFonts w:hint="eastAsia" w:ascii="黑体" w:eastAsia="黑体" w:cs="黑体"/>
          <w:kern w:val="0"/>
          <w:sz w:val="44"/>
          <w:szCs w:val="44"/>
        </w:rPr>
        <w:t>月</w:t>
      </w:r>
      <w:r>
        <w:rPr>
          <w:rFonts w:hint="eastAsia" w:ascii="黑体" w:eastAsia="黑体" w:cs="黑体"/>
          <w:kern w:val="0"/>
          <w:sz w:val="44"/>
          <w:szCs w:val="44"/>
          <w:lang w:val="en-US" w:eastAsia="zh-CN"/>
        </w:rPr>
        <w:t>03</w:t>
      </w:r>
      <w:r>
        <w:rPr>
          <w:rFonts w:hint="eastAsia" w:ascii="黑体" w:eastAsia="黑体" w:cs="黑体"/>
          <w:kern w:val="0"/>
          <w:sz w:val="44"/>
          <w:szCs w:val="44"/>
        </w:rPr>
        <w:t>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环江毛南族自治县长美学校</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环江毛南族自治县长美学校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环江毛南族自治县长美学校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环江毛南族自治县长美学校</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（一）贯彻执行党和国家的教育方针、政策和法律法规；拟订全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教育改革与发展规划并组织实施。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（二）编制本</w:t>
      </w:r>
      <w:r>
        <w:rPr>
          <w:rFonts w:hint="eastAsia" w:ascii="仿宋_GB2312" w:eastAsia="仿宋_GB2312" w:cs="仿宋_GB2312"/>
          <w:kern w:val="0"/>
          <w:sz w:val="32"/>
          <w:szCs w:val="32"/>
          <w:lang w:val="en-US" w:eastAsia="zh-CN"/>
        </w:rPr>
        <w:t>乡</w:t>
      </w:r>
      <w:r>
        <w:rPr>
          <w:rFonts w:hint="eastAsia" w:ascii="仿宋_GB2312" w:eastAsia="仿宋_GB2312" w:cs="仿宋_GB2312"/>
          <w:kern w:val="0"/>
          <w:sz w:val="32"/>
          <w:szCs w:val="32"/>
        </w:rPr>
        <w:t>教育事业发展规划并检查实施情况，向自治县</w:t>
      </w:r>
      <w:r>
        <w:rPr>
          <w:rFonts w:hint="eastAsia" w:ascii="仿宋_GB2312" w:eastAsia="仿宋_GB2312" w:cs="仿宋_GB2312"/>
          <w:kern w:val="0"/>
          <w:sz w:val="32"/>
          <w:szCs w:val="32"/>
          <w:lang w:val="en-US" w:eastAsia="zh-CN"/>
        </w:rPr>
        <w:t>教育局</w:t>
      </w:r>
      <w:r>
        <w:rPr>
          <w:rFonts w:hint="eastAsia" w:ascii="仿宋_GB2312" w:eastAsia="仿宋_GB2312" w:cs="仿宋_GB2312"/>
          <w:kern w:val="0"/>
          <w:sz w:val="32"/>
          <w:szCs w:val="32"/>
        </w:rPr>
        <w:t>和上级教育部门作出报告。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（三）督促检查全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贯彻执行教育方针、政策、法令、法规和上级的各项规定；评估指导全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教育教学工作。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（四）负责推进义务教育均衡发展和促进教育公平，负责义务教育的宏观指导与协调。</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（五）负责全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教育系统校长队伍、人才队伍和教师队伍建设，包括校长岗位培训、后备干部队伍建设、教师学历教育、继续教育等。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（六）负责组织全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做好中考、招生录取工作和中小学学籍管理工作。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（七）按照中央关于全面推进素质教育要求，负责教育教学管理、教育教学改革及教育教学科学研究工作，检查指导全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实施素质教育工作，并组织推广先进的教育教学经验。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（八）检查指导学校教育教学设备的装备、管理和使用工作。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（九）检查指导全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开展电化教育和信息化教学工作。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（十）负责全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教师初级专业技术职务资格的评审，中、高级专业技术职务资格的申报工作。按照管理权限对教师进行考核、聘任、奖惩、晋升等工作。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（十一）负责监督</w:t>
      </w:r>
      <w:r>
        <w:rPr>
          <w:rFonts w:hint="eastAsia" w:ascii="仿宋_GB2312" w:eastAsia="仿宋_GB2312" w:cs="仿宋_GB2312"/>
          <w:kern w:val="0"/>
          <w:sz w:val="32"/>
          <w:szCs w:val="32"/>
          <w:lang w:val="en-US" w:eastAsia="zh-CN"/>
        </w:rPr>
        <w:t>全乡</w:t>
      </w:r>
      <w:r>
        <w:rPr>
          <w:rFonts w:hint="eastAsia" w:ascii="仿宋_GB2312" w:eastAsia="仿宋_GB2312" w:cs="仿宋_GB2312"/>
          <w:kern w:val="0"/>
          <w:sz w:val="32"/>
          <w:szCs w:val="32"/>
        </w:rPr>
        <w:t>教育经费和教育基建经费拨付及教育附加费和教育费附加的征收、管理与使用工作。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（十二）负责全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中小学校教学教育常规管理评估工作，指导全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中小学、中职学校德育、体育、卫生、艺术、安全工作以及团组织和少先队工作。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（十三）指导全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的教育督导工作，组织和指导对</w:t>
      </w:r>
      <w:r>
        <w:rPr>
          <w:rFonts w:hint="eastAsia" w:ascii="仿宋_GB2312" w:eastAsia="仿宋_GB2312" w:cs="仿宋_GB2312"/>
          <w:kern w:val="0"/>
          <w:sz w:val="32"/>
          <w:szCs w:val="32"/>
          <w:lang w:val="en-US" w:eastAsia="zh-CN"/>
        </w:rPr>
        <w:t>基础</w:t>
      </w:r>
      <w:r>
        <w:rPr>
          <w:rFonts w:hint="eastAsia" w:ascii="仿宋_GB2312" w:eastAsia="仿宋_GB2312" w:cs="仿宋_GB2312"/>
          <w:kern w:val="0"/>
          <w:sz w:val="32"/>
          <w:szCs w:val="32"/>
        </w:rPr>
        <w:t>教育，扫除青壮年文盲工作的督导检查和评估工作，指导基础教育发展水平、质量的监测工作。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rPr>
        <w:t>）负责指导全</w:t>
      </w:r>
      <w:r>
        <w:rPr>
          <w:rFonts w:hint="eastAsia" w:ascii="仿宋_GB2312" w:eastAsia="仿宋_GB2312" w:cs="仿宋_GB2312"/>
          <w:kern w:val="0"/>
          <w:sz w:val="32"/>
          <w:szCs w:val="32"/>
          <w:lang w:eastAsia="zh-CN"/>
        </w:rPr>
        <w:t>乡</w:t>
      </w:r>
      <w:r>
        <w:rPr>
          <w:rFonts w:hint="eastAsia" w:ascii="仿宋_GB2312" w:eastAsia="仿宋_GB2312" w:cs="仿宋_GB2312"/>
          <w:kern w:val="0"/>
          <w:sz w:val="32"/>
          <w:szCs w:val="32"/>
        </w:rPr>
        <w:t>学生资助管理工作。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五</w:t>
      </w:r>
      <w:r>
        <w:rPr>
          <w:rFonts w:hint="eastAsia" w:ascii="仿宋_GB2312" w:eastAsia="仿宋_GB2312" w:cs="仿宋_GB2312"/>
          <w:kern w:val="0"/>
          <w:sz w:val="32"/>
          <w:szCs w:val="32"/>
        </w:rPr>
        <w:t>）负责语言文字和指导推广普通话工作。</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（十</w:t>
      </w: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rPr>
        <w:t>）完成自治县</w:t>
      </w:r>
      <w:r>
        <w:rPr>
          <w:rFonts w:hint="eastAsia" w:ascii="仿宋_GB2312" w:eastAsia="仿宋_GB2312" w:cs="仿宋_GB2312"/>
          <w:kern w:val="0"/>
          <w:sz w:val="32"/>
          <w:szCs w:val="32"/>
          <w:lang w:val="en-US" w:eastAsia="zh-CN"/>
        </w:rPr>
        <w:t>教育局</w:t>
      </w:r>
      <w:r>
        <w:rPr>
          <w:rFonts w:hint="eastAsia" w:ascii="仿宋_GB2312" w:eastAsia="仿宋_GB2312" w:cs="仿宋_GB2312"/>
          <w:kern w:val="0"/>
          <w:sz w:val="32"/>
          <w:szCs w:val="32"/>
        </w:rPr>
        <w:t>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5" w:lineRule="atLeast"/>
        <w:ind w:left="0"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_GB2312" w:eastAsia="仿宋_GB2312"/>
          <w:sz w:val="32"/>
          <w:szCs w:val="32"/>
        </w:rPr>
        <w:t>人员编制总数为</w:t>
      </w:r>
      <w:r>
        <w:rPr>
          <w:rFonts w:hint="eastAsia" w:ascii="仿宋_GB2312" w:eastAsia="仿宋_GB2312"/>
          <w:sz w:val="32"/>
          <w:szCs w:val="32"/>
          <w:lang w:val="en-US" w:eastAsia="zh-CN"/>
        </w:rPr>
        <w:t>77</w:t>
      </w:r>
      <w:r>
        <w:rPr>
          <w:rFonts w:hint="eastAsia" w:ascii="仿宋_GB2312" w:eastAsia="仿宋_GB2312"/>
          <w:sz w:val="32"/>
          <w:szCs w:val="32"/>
        </w:rPr>
        <w:t>人，其中行政编制</w:t>
      </w:r>
      <w:r>
        <w:rPr>
          <w:rFonts w:hint="eastAsia" w:ascii="仿宋_GB2312" w:eastAsia="仿宋_GB2312"/>
          <w:sz w:val="32"/>
          <w:szCs w:val="32"/>
          <w:lang w:val="en-US" w:eastAsia="zh-CN"/>
        </w:rPr>
        <w:t>0</w:t>
      </w:r>
      <w:r>
        <w:rPr>
          <w:rFonts w:hint="eastAsia" w:ascii="仿宋_GB2312" w:eastAsia="仿宋_GB2312"/>
          <w:sz w:val="32"/>
          <w:szCs w:val="32"/>
        </w:rPr>
        <w:t>人，事业编制</w:t>
      </w:r>
      <w:r>
        <w:rPr>
          <w:rFonts w:hint="eastAsia" w:ascii="仿宋_GB2312" w:eastAsia="仿宋_GB2312"/>
          <w:sz w:val="32"/>
          <w:szCs w:val="32"/>
          <w:lang w:val="en-US" w:eastAsia="zh-CN"/>
        </w:rPr>
        <w:t>63</w:t>
      </w:r>
      <w:r>
        <w:rPr>
          <w:rFonts w:hint="eastAsia" w:ascii="仿宋_GB2312" w:eastAsia="仿宋_GB2312"/>
          <w:sz w:val="32"/>
          <w:szCs w:val="32"/>
        </w:rPr>
        <w:t>人，聘用</w:t>
      </w:r>
      <w:r>
        <w:rPr>
          <w:rFonts w:hint="eastAsia" w:ascii="仿宋_GB2312" w:eastAsia="仿宋_GB2312"/>
          <w:sz w:val="32"/>
          <w:szCs w:val="32"/>
          <w:lang w:val="en-US" w:eastAsia="zh-CN"/>
        </w:rPr>
        <w:t>教师</w:t>
      </w:r>
      <w:r>
        <w:rPr>
          <w:rFonts w:hint="eastAsia" w:ascii="仿宋_GB2312" w:eastAsia="仿宋_GB2312"/>
          <w:sz w:val="32"/>
          <w:szCs w:val="32"/>
        </w:rPr>
        <w:t>控制数</w:t>
      </w:r>
      <w:r>
        <w:rPr>
          <w:rFonts w:hint="eastAsia" w:ascii="仿宋_GB2312" w:eastAsia="仿宋_GB2312"/>
          <w:sz w:val="32"/>
          <w:szCs w:val="32"/>
          <w:lang w:val="en-US" w:eastAsia="zh-CN"/>
        </w:rPr>
        <w:t>14</w:t>
      </w:r>
      <w:r>
        <w:rPr>
          <w:rFonts w:hint="eastAsia" w:ascii="仿宋_GB2312" w:eastAsia="仿宋_GB2312"/>
          <w:sz w:val="32"/>
          <w:szCs w:val="32"/>
        </w:rPr>
        <w:t>人。实有财政供养人数</w:t>
      </w:r>
      <w:r>
        <w:rPr>
          <w:rFonts w:hint="eastAsia" w:ascii="仿宋_GB2312" w:eastAsia="仿宋_GB2312"/>
          <w:sz w:val="32"/>
          <w:szCs w:val="32"/>
          <w:lang w:val="en-US" w:eastAsia="zh-CN"/>
        </w:rPr>
        <w:t>120</w:t>
      </w:r>
      <w:r>
        <w:rPr>
          <w:rFonts w:hint="eastAsia" w:ascii="仿宋_GB2312" w:eastAsia="仿宋_GB2312"/>
          <w:sz w:val="32"/>
          <w:szCs w:val="32"/>
        </w:rPr>
        <w:t>人，其中行政在职</w:t>
      </w:r>
      <w:r>
        <w:rPr>
          <w:rFonts w:hint="eastAsia" w:ascii="仿宋_GB2312" w:eastAsia="仿宋_GB2312"/>
          <w:sz w:val="32"/>
          <w:szCs w:val="32"/>
          <w:lang w:val="en-US" w:eastAsia="zh-CN"/>
        </w:rPr>
        <w:t>0</w:t>
      </w:r>
      <w:r>
        <w:rPr>
          <w:rFonts w:hint="eastAsia" w:ascii="仿宋_GB2312" w:eastAsia="仿宋_GB2312"/>
          <w:sz w:val="32"/>
          <w:szCs w:val="32"/>
        </w:rPr>
        <w:t>人，事业在职</w:t>
      </w:r>
      <w:r>
        <w:rPr>
          <w:rFonts w:hint="eastAsia" w:ascii="仿宋_GB2312" w:eastAsia="仿宋_GB2312"/>
          <w:sz w:val="32"/>
          <w:szCs w:val="32"/>
          <w:lang w:val="en-US" w:eastAsia="zh-CN"/>
        </w:rPr>
        <w:t>76</w:t>
      </w:r>
      <w:r>
        <w:rPr>
          <w:rFonts w:hint="eastAsia" w:ascii="仿宋_GB2312" w:eastAsia="仿宋_GB2312"/>
          <w:sz w:val="32"/>
          <w:szCs w:val="32"/>
        </w:rPr>
        <w:t>人，离退休人员</w:t>
      </w:r>
      <w:r>
        <w:rPr>
          <w:rFonts w:hint="eastAsia" w:ascii="仿宋_GB2312" w:eastAsia="仿宋_GB2312"/>
          <w:sz w:val="32"/>
          <w:szCs w:val="32"/>
          <w:lang w:val="en-US" w:eastAsia="zh-CN"/>
        </w:rPr>
        <w:t>37</w:t>
      </w:r>
      <w:r>
        <w:rPr>
          <w:rFonts w:hint="eastAsia" w:ascii="仿宋_GB2312" w:eastAsia="仿宋_GB2312"/>
          <w:sz w:val="32"/>
          <w:szCs w:val="32"/>
        </w:rPr>
        <w:t>人（其中离休</w:t>
      </w:r>
      <w:r>
        <w:rPr>
          <w:rFonts w:hint="eastAsia" w:ascii="仿宋_GB2312" w:eastAsia="仿宋_GB2312"/>
          <w:sz w:val="32"/>
          <w:szCs w:val="32"/>
          <w:lang w:val="en-US" w:eastAsia="zh-CN"/>
        </w:rPr>
        <w:t>0</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特岗教师</w:t>
      </w:r>
      <w:r>
        <w:rPr>
          <w:rFonts w:hint="eastAsia" w:ascii="仿宋_GB2312" w:eastAsia="仿宋_GB2312"/>
          <w:sz w:val="32"/>
          <w:szCs w:val="32"/>
        </w:rPr>
        <w:t>实有人数</w:t>
      </w:r>
      <w:r>
        <w:rPr>
          <w:rFonts w:hint="eastAsia" w:ascii="仿宋_GB2312" w:eastAsia="仿宋_GB2312"/>
          <w:sz w:val="32"/>
          <w:szCs w:val="32"/>
          <w:lang w:val="en-US" w:eastAsia="zh-CN"/>
        </w:rPr>
        <w:t>7</w:t>
      </w:r>
      <w:r>
        <w:rPr>
          <w:rFonts w:hint="eastAsia" w:ascii="仿宋_GB2312" w:eastAsia="仿宋_GB2312"/>
          <w:sz w:val="32"/>
          <w:szCs w:val="32"/>
        </w:rPr>
        <w:t>人。</w:t>
      </w:r>
      <w:r>
        <w:rPr>
          <w:rFonts w:hint="eastAsia" w:ascii="仿宋_GB2312" w:hAnsi="宋体" w:eastAsia="仿宋_GB2312" w:cs="宋体"/>
          <w:sz w:val="32"/>
          <w:szCs w:val="32"/>
          <w:lang w:eastAsia="zh-CN"/>
        </w:rPr>
        <w:t>学校专职保安人员</w:t>
      </w:r>
      <w:r>
        <w:rPr>
          <w:rFonts w:hint="eastAsia" w:ascii="仿宋_GB2312" w:hAnsi="宋体" w:eastAsia="仿宋_GB2312" w:cs="宋体"/>
          <w:sz w:val="32"/>
          <w:szCs w:val="32"/>
          <w:lang w:val="en-US" w:eastAsia="zh-CN"/>
        </w:rPr>
        <w:t>7</w:t>
      </w:r>
      <w:r>
        <w:rPr>
          <w:rFonts w:hint="eastAsia" w:ascii="仿宋_GB2312" w:hAnsi="宋体" w:eastAsia="仿宋_GB2312" w:cs="宋体"/>
          <w:sz w:val="32"/>
          <w:szCs w:val="32"/>
          <w:lang w:eastAsia="zh-CN"/>
        </w:rPr>
        <w:t>人，兼职协管人员</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lang w:eastAsia="zh-CN"/>
        </w:rPr>
        <w:t>人，食堂钟点工</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lang w:eastAsia="zh-CN"/>
        </w:rPr>
        <w:t>人。</w:t>
      </w:r>
    </w:p>
    <w:p>
      <w:pPr>
        <w:jc w:val="center"/>
        <w:rPr>
          <w:rFonts w:hint="eastAsia" w:ascii="黑体" w:hAnsi="黑体" w:eastAsia="黑体" w:cs="黑体"/>
          <w:sz w:val="32"/>
          <w:szCs w:val="32"/>
          <w:highlight w:val="none"/>
          <w:lang w:val="en-US" w:eastAsia="zh-CN"/>
        </w:rPr>
        <w:sectPr>
          <w:pgSz w:w="11906" w:h="16838"/>
          <w:pgMar w:top="1157" w:right="1123" w:bottom="1157" w:left="1123" w:header="851" w:footer="992" w:gutter="0"/>
          <w:cols w:space="0" w:num="1"/>
          <w:rtlGutter w:val="0"/>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环江毛南族自治县长美学校</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839" w:type="dxa"/>
        <w:tblInd w:w="0" w:type="dxa"/>
        <w:tblLayout w:type="fixed"/>
        <w:tblCellMar>
          <w:top w:w="0" w:type="dxa"/>
          <w:left w:w="108" w:type="dxa"/>
          <w:bottom w:w="0" w:type="dxa"/>
          <w:right w:w="108" w:type="dxa"/>
        </w:tblCellMar>
      </w:tblPr>
      <w:tblGrid>
        <w:gridCol w:w="90"/>
        <w:gridCol w:w="2387"/>
        <w:gridCol w:w="1030"/>
        <w:gridCol w:w="615"/>
        <w:gridCol w:w="601"/>
        <w:gridCol w:w="2094"/>
        <w:gridCol w:w="206"/>
        <w:gridCol w:w="2300"/>
        <w:gridCol w:w="1001"/>
        <w:gridCol w:w="615"/>
        <w:gridCol w:w="451"/>
        <w:gridCol w:w="1788"/>
        <w:gridCol w:w="661"/>
      </w:tblGrid>
      <w:tr>
        <w:tblPrEx>
          <w:tblCellMar>
            <w:top w:w="0" w:type="dxa"/>
            <w:left w:w="108" w:type="dxa"/>
            <w:bottom w:w="0" w:type="dxa"/>
            <w:right w:w="108" w:type="dxa"/>
          </w:tblCellMar>
        </w:tblPrEx>
        <w:trPr>
          <w:gridBefore w:val="1"/>
          <w:gridAfter w:val="1"/>
          <w:wBefore w:w="90" w:type="dxa"/>
          <w:wAfter w:w="661" w:type="dxa"/>
          <w:trHeight w:val="1152" w:hRule="atLeast"/>
        </w:trPr>
        <w:tc>
          <w:tcPr>
            <w:tcW w:w="13088" w:type="dxa"/>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1"/>
          <w:wBefore w:w="90" w:type="dxa"/>
          <w:wAfter w:w="661" w:type="dxa"/>
          <w:trHeight w:val="288" w:hRule="atLeast"/>
        </w:trPr>
        <w:tc>
          <w:tcPr>
            <w:tcW w:w="238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46"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50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67"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8"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gridBefore w:val="1"/>
          <w:gridAfter w:val="1"/>
          <w:wBefore w:w="90" w:type="dxa"/>
          <w:wAfter w:w="661" w:type="dxa"/>
          <w:trHeight w:val="288" w:hRule="atLeast"/>
        </w:trPr>
        <w:tc>
          <w:tcPr>
            <w:tcW w:w="6727"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2506"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8"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7023"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816"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1,857.77</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35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r>
    </w:tbl>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p>
      <w:pPr>
        <w:rPr>
          <w:rFonts w:ascii="宋体" w:hAnsi="宋体" w:eastAsia="宋体" w:cs="宋体"/>
          <w:color w:val="000000"/>
          <w:kern w:val="0"/>
          <w:sz w:val="30"/>
          <w:szCs w:val="30"/>
          <w:highlight w:val="none"/>
          <w:lang w:bidi="ar"/>
        </w:rPr>
      </w:pPr>
    </w:p>
    <w:tbl>
      <w:tblPr>
        <w:tblStyle w:val="6"/>
        <w:tblW w:w="14319" w:type="dxa"/>
        <w:tblInd w:w="0" w:type="dxa"/>
        <w:tblLayout w:type="fixed"/>
        <w:tblCellMar>
          <w:top w:w="0" w:type="dxa"/>
          <w:left w:w="108" w:type="dxa"/>
          <w:bottom w:w="0" w:type="dxa"/>
          <w:right w:w="108" w:type="dxa"/>
        </w:tblCellMar>
      </w:tblPr>
      <w:tblGrid>
        <w:gridCol w:w="75"/>
        <w:gridCol w:w="928"/>
        <w:gridCol w:w="1481"/>
        <w:gridCol w:w="240"/>
        <w:gridCol w:w="240"/>
        <w:gridCol w:w="425"/>
        <w:gridCol w:w="704"/>
        <w:gridCol w:w="523"/>
        <w:gridCol w:w="936"/>
        <w:gridCol w:w="245"/>
        <w:gridCol w:w="1118"/>
        <w:gridCol w:w="95"/>
        <w:gridCol w:w="1096"/>
        <w:gridCol w:w="364"/>
        <w:gridCol w:w="838"/>
        <w:gridCol w:w="622"/>
        <w:gridCol w:w="1463"/>
        <w:gridCol w:w="1457"/>
        <w:gridCol w:w="1460"/>
        <w:gridCol w:w="9"/>
      </w:tblGrid>
      <w:tr>
        <w:tblPrEx>
          <w:tblCellMar>
            <w:top w:w="0" w:type="dxa"/>
            <w:left w:w="108" w:type="dxa"/>
            <w:bottom w:w="0" w:type="dxa"/>
            <w:right w:w="108" w:type="dxa"/>
          </w:tblCellMar>
        </w:tblPrEx>
        <w:trPr>
          <w:gridBefore w:val="1"/>
          <w:wBefore w:w="75" w:type="dxa"/>
          <w:trHeight w:val="1471" w:hRule="atLeast"/>
        </w:trPr>
        <w:tc>
          <w:tcPr>
            <w:tcW w:w="14244" w:type="dxa"/>
            <w:gridSpan w:val="19"/>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gridBefore w:val="1"/>
          <w:wBefore w:w="75" w:type="dxa"/>
          <w:trHeight w:val="374" w:hRule="atLeast"/>
        </w:trPr>
        <w:tc>
          <w:tcPr>
            <w:tcW w:w="240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2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8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1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9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0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11" w:type="dxa"/>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gridBefore w:val="1"/>
          <w:wBefore w:w="75" w:type="dxa"/>
          <w:trHeight w:val="374" w:hRule="atLeast"/>
        </w:trPr>
        <w:tc>
          <w:tcPr>
            <w:tcW w:w="5722" w:type="dxa"/>
            <w:gridSpan w:val="9"/>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111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91"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02"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11" w:type="dxa"/>
            <w:gridSpan w:val="5"/>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93"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5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46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46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00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90"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5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0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100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9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4093"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4093"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1,860.27</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1,860.27</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984.94</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984.94</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455.91</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455.91</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103.57</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103.57</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09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148.90</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148.90</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 w:type="dxa"/>
          <w:trHeight w:val="400" w:hRule="atLeast"/>
        </w:trPr>
        <w:tc>
          <w:tcPr>
            <w:tcW w:w="14310" w:type="dxa"/>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389" w:type="dxa"/>
        <w:tblInd w:w="0" w:type="dxa"/>
        <w:tblLayout w:type="fixed"/>
        <w:tblCellMar>
          <w:top w:w="0" w:type="dxa"/>
          <w:left w:w="108" w:type="dxa"/>
          <w:bottom w:w="0" w:type="dxa"/>
          <w:right w:w="108" w:type="dxa"/>
        </w:tblCellMar>
      </w:tblPr>
      <w:tblGrid>
        <w:gridCol w:w="86"/>
        <w:gridCol w:w="1044"/>
        <w:gridCol w:w="236"/>
        <w:gridCol w:w="276"/>
        <w:gridCol w:w="2034"/>
        <w:gridCol w:w="841"/>
        <w:gridCol w:w="1"/>
        <w:gridCol w:w="645"/>
        <w:gridCol w:w="998"/>
        <w:gridCol w:w="1"/>
        <w:gridCol w:w="536"/>
        <w:gridCol w:w="1107"/>
        <w:gridCol w:w="1"/>
        <w:gridCol w:w="501"/>
        <w:gridCol w:w="1142"/>
        <w:gridCol w:w="1"/>
        <w:gridCol w:w="368"/>
        <w:gridCol w:w="1275"/>
        <w:gridCol w:w="1"/>
        <w:gridCol w:w="236"/>
        <w:gridCol w:w="1407"/>
        <w:gridCol w:w="1"/>
        <w:gridCol w:w="1643"/>
        <w:gridCol w:w="1"/>
        <w:gridCol w:w="7"/>
      </w:tblGrid>
      <w:tr>
        <w:tblPrEx>
          <w:tblCellMar>
            <w:top w:w="0" w:type="dxa"/>
            <w:left w:w="108" w:type="dxa"/>
            <w:bottom w:w="0" w:type="dxa"/>
            <w:right w:w="108" w:type="dxa"/>
          </w:tblCellMar>
        </w:tblPrEx>
        <w:trPr>
          <w:gridBefore w:val="1"/>
          <w:gridAfter w:val="1"/>
          <w:wBefore w:w="86" w:type="dxa"/>
          <w:wAfter w:w="7" w:type="dxa"/>
          <w:trHeight w:val="611" w:hRule="atLeast"/>
        </w:trPr>
        <w:tc>
          <w:tcPr>
            <w:tcW w:w="14296" w:type="dxa"/>
            <w:gridSpan w:val="2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gridBefore w:val="1"/>
          <w:gridAfter w:val="1"/>
          <w:wBefore w:w="86" w:type="dxa"/>
          <w:wAfter w:w="7" w:type="dxa"/>
          <w:trHeight w:val="306" w:hRule="atLeast"/>
        </w:trPr>
        <w:tc>
          <w:tcPr>
            <w:tcW w:w="104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6"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3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7"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35"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9"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11"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12" w:type="dxa"/>
            <w:gridSpan w:val="3"/>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52"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gridBefore w:val="1"/>
          <w:gridAfter w:val="1"/>
          <w:wBefore w:w="86" w:type="dxa"/>
          <w:wAfter w:w="7" w:type="dxa"/>
          <w:trHeight w:val="306" w:hRule="atLeast"/>
        </w:trPr>
        <w:tc>
          <w:tcPr>
            <w:tcW w:w="8221" w:type="dxa"/>
            <w:gridSpan w:val="1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1511" w:type="dxa"/>
            <w:gridSpan w:val="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12" w:type="dxa"/>
            <w:gridSpan w:val="3"/>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52" w:type="dxa"/>
            <w:gridSpan w:val="4"/>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5" w:hRule="atLeast"/>
        </w:trPr>
        <w:tc>
          <w:tcPr>
            <w:tcW w:w="451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2" w:hRule="atLeast"/>
        </w:trPr>
        <w:tc>
          <w:tcPr>
            <w:tcW w:w="113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387"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44" w:type="dxa"/>
            <w:gridSpan w:val="3"/>
            <w:vMerge w:val="restart"/>
            <w:tcBorders>
              <w:top w:val="single" w:color="000000" w:sz="4" w:space="0"/>
              <w:left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restart"/>
            <w:tcBorders>
              <w:top w:val="single" w:color="000000" w:sz="4" w:space="0"/>
              <w:left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restart"/>
            <w:tcBorders>
              <w:top w:val="single" w:color="000000" w:sz="4" w:space="0"/>
              <w:left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restart"/>
            <w:tcBorders>
              <w:top w:val="single" w:color="000000" w:sz="4" w:space="0"/>
              <w:left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restart"/>
            <w:tcBorders>
              <w:top w:val="single" w:color="000000" w:sz="4" w:space="0"/>
              <w:left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2"/>
            <w:vMerge w:val="restart"/>
            <w:tcBorders>
              <w:top w:val="single" w:color="000000" w:sz="4" w:space="0"/>
              <w:left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2" w:hRule="atLeast"/>
        </w:trPr>
        <w:tc>
          <w:tcPr>
            <w:tcW w:w="113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87"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2" w:hRule="atLeast"/>
        </w:trPr>
        <w:tc>
          <w:tcPr>
            <w:tcW w:w="113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87"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44"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5" w:hRule="atLeast"/>
        </w:trPr>
        <w:tc>
          <w:tcPr>
            <w:tcW w:w="451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315" w:hRule="atLeast"/>
        </w:trPr>
        <w:tc>
          <w:tcPr>
            <w:tcW w:w="451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1,860.27</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1,531.61</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328.66</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984.94</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757.91</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227.03</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455.91</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363.63</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92.29</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103.57</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103.57</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8" w:type="dxa"/>
          <w:trHeight w:val="315" w:hRule="atLeast"/>
        </w:trPr>
        <w:tc>
          <w:tcPr>
            <w:tcW w:w="113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38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389" w:type="dxa"/>
            <w:gridSpan w:val="2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jc w:val="cente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737" w:type="pct"/>
        <w:tblInd w:w="0" w:type="dxa"/>
        <w:tblLayout w:type="fixed"/>
        <w:tblCellMar>
          <w:top w:w="0" w:type="dxa"/>
          <w:left w:w="108" w:type="dxa"/>
          <w:bottom w:w="0" w:type="dxa"/>
          <w:right w:w="108" w:type="dxa"/>
        </w:tblCellMar>
      </w:tblPr>
      <w:tblGrid>
        <w:gridCol w:w="78"/>
        <w:gridCol w:w="2234"/>
        <w:gridCol w:w="240"/>
        <w:gridCol w:w="240"/>
        <w:gridCol w:w="503"/>
        <w:gridCol w:w="503"/>
        <w:gridCol w:w="857"/>
        <w:gridCol w:w="681"/>
        <w:gridCol w:w="2290"/>
        <w:gridCol w:w="1226"/>
        <w:gridCol w:w="503"/>
        <w:gridCol w:w="1095"/>
        <w:gridCol w:w="123"/>
        <w:gridCol w:w="1391"/>
        <w:gridCol w:w="1198"/>
        <w:gridCol w:w="803"/>
      </w:tblGrid>
      <w:tr>
        <w:tblPrEx>
          <w:tblCellMar>
            <w:top w:w="0" w:type="dxa"/>
            <w:left w:w="108" w:type="dxa"/>
            <w:bottom w:w="0" w:type="dxa"/>
            <w:right w:w="108" w:type="dxa"/>
          </w:tblCellMar>
        </w:tblPrEx>
        <w:trPr>
          <w:trHeight w:val="594" w:hRule="atLeast"/>
        </w:trPr>
        <w:tc>
          <w:tcPr>
            <w:tcW w:w="4712" w:type="pct"/>
            <w:gridSpan w:val="1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c>
          <w:tcPr>
            <w:tcW w:w="28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2"/>
                <w:szCs w:val="32"/>
                <w:highlight w:val="none"/>
                <w:lang w:bidi="ar"/>
              </w:rPr>
            </w:pPr>
          </w:p>
        </w:tc>
      </w:tr>
      <w:tr>
        <w:tblPrEx>
          <w:tblCellMar>
            <w:top w:w="0" w:type="dxa"/>
            <w:left w:w="108" w:type="dxa"/>
            <w:bottom w:w="0" w:type="dxa"/>
            <w:right w:w="108" w:type="dxa"/>
          </w:tblCellMar>
        </w:tblPrEx>
        <w:trPr>
          <w:gridBefore w:val="1"/>
          <w:gridAfter w:val="1"/>
          <w:wBefore w:w="28" w:type="pct"/>
          <w:wAfter w:w="287" w:type="pct"/>
          <w:trHeight w:val="297" w:hRule="atLeast"/>
        </w:trPr>
        <w:tc>
          <w:tcPr>
            <w:tcW w:w="80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67" w:type="pct"/>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2"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5" w:type="pct"/>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23"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4</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Before w:val="1"/>
          <w:gridAfter w:val="1"/>
          <w:wBefore w:w="28" w:type="pct"/>
          <w:wAfter w:w="287" w:type="pct"/>
          <w:trHeight w:val="297" w:hRule="atLeast"/>
        </w:trPr>
        <w:tc>
          <w:tcPr>
            <w:tcW w:w="2703" w:type="pct"/>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1055" w:type="pct"/>
            <w:gridSpan w:val="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23" w:type="pct"/>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911" w:type="pct"/>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088" w:type="pct"/>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1180" w:type="pct"/>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550"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58"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2" w:type="pct"/>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9" w:hRule="atLeast"/>
        </w:trPr>
        <w:tc>
          <w:tcPr>
            <w:tcW w:w="1180" w:type="pct"/>
            <w:gridSpan w:val="5"/>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8"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2" w:type="pct"/>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1,857.77</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1,448.29</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1,448.29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103.56</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103.56</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151.39</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148.89</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1,857.77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180"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c>
          <w:tcPr>
            <w:tcW w:w="125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1,860.27</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1,857.77</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4712" w:type="pct"/>
            <w:gridSpan w:val="1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87" w:type="pct"/>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3" w:type="dxa"/>
        <w:tblInd w:w="93" w:type="dxa"/>
        <w:tblLayout w:type="fixed"/>
        <w:tblCellMar>
          <w:top w:w="0" w:type="dxa"/>
          <w:left w:w="108" w:type="dxa"/>
          <w:bottom w:w="0" w:type="dxa"/>
          <w:right w:w="108" w:type="dxa"/>
        </w:tblCellMar>
      </w:tblPr>
      <w:tblGrid>
        <w:gridCol w:w="3"/>
        <w:gridCol w:w="987"/>
        <w:gridCol w:w="1296"/>
        <w:gridCol w:w="238"/>
        <w:gridCol w:w="238"/>
        <w:gridCol w:w="2052"/>
        <w:gridCol w:w="106"/>
        <w:gridCol w:w="3000"/>
        <w:gridCol w:w="67"/>
        <w:gridCol w:w="2813"/>
        <w:gridCol w:w="294"/>
        <w:gridCol w:w="2867"/>
        <w:gridCol w:w="22"/>
      </w:tblGrid>
      <w:tr>
        <w:tblPrEx>
          <w:tblCellMar>
            <w:top w:w="0" w:type="dxa"/>
            <w:left w:w="108" w:type="dxa"/>
            <w:bottom w:w="0" w:type="dxa"/>
            <w:right w:w="108" w:type="dxa"/>
          </w:tblCellMar>
        </w:tblPrEx>
        <w:trPr>
          <w:gridBefore w:val="1"/>
          <w:wBefore w:w="3" w:type="dxa"/>
          <w:trHeight w:val="693" w:hRule="atLeast"/>
        </w:trPr>
        <w:tc>
          <w:tcPr>
            <w:tcW w:w="13980" w:type="dxa"/>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gridBefore w:val="1"/>
          <w:wBefore w:w="3" w:type="dxa"/>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gridBefore w:val="1"/>
          <w:wBefore w:w="3" w:type="dxa"/>
          <w:trHeight w:val="346" w:hRule="atLeast"/>
        </w:trPr>
        <w:tc>
          <w:tcPr>
            <w:tcW w:w="7984"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310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41"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16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27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16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16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420"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405" w:hRule="atLeast"/>
        </w:trPr>
        <w:tc>
          <w:tcPr>
            <w:tcW w:w="4920"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1,857.77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1,531.61</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984.94</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757.91</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455.91</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363.63</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103.57</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103.57</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3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148.90</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148.90</w:t>
            </w:r>
          </w:p>
        </w:tc>
        <w:tc>
          <w:tcPr>
            <w:tcW w:w="31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 w:type="dxa"/>
          <w:trHeight w:val="300" w:hRule="atLeast"/>
        </w:trPr>
        <w:tc>
          <w:tcPr>
            <w:tcW w:w="13961" w:type="dxa"/>
            <w:gridSpan w:val="12"/>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pPr w:leftFromText="180" w:rightFromText="180" w:vertAnchor="text" w:horzAnchor="page" w:tblpX="106" w:tblpY="368"/>
        <w:tblOverlap w:val="never"/>
        <w:tblW w:w="15280" w:type="dxa"/>
        <w:tblInd w:w="0" w:type="dxa"/>
        <w:tblLayout w:type="fixed"/>
        <w:tblCellMar>
          <w:top w:w="0" w:type="dxa"/>
          <w:left w:w="108" w:type="dxa"/>
          <w:bottom w:w="0" w:type="dxa"/>
          <w:right w:w="108" w:type="dxa"/>
        </w:tblCellMar>
      </w:tblPr>
      <w:tblGrid>
        <w:gridCol w:w="79"/>
        <w:gridCol w:w="528"/>
        <w:gridCol w:w="390"/>
        <w:gridCol w:w="1966"/>
        <w:gridCol w:w="564"/>
        <w:gridCol w:w="4"/>
        <w:gridCol w:w="349"/>
        <w:gridCol w:w="1061"/>
        <w:gridCol w:w="76"/>
        <w:gridCol w:w="4"/>
        <w:gridCol w:w="2"/>
        <w:gridCol w:w="601"/>
        <w:gridCol w:w="1263"/>
        <w:gridCol w:w="961"/>
        <w:gridCol w:w="76"/>
        <w:gridCol w:w="896"/>
        <w:gridCol w:w="594"/>
        <w:gridCol w:w="607"/>
        <w:gridCol w:w="579"/>
        <w:gridCol w:w="1092"/>
        <w:gridCol w:w="915"/>
        <w:gridCol w:w="2649"/>
        <w:gridCol w:w="7"/>
        <w:gridCol w:w="11"/>
        <w:gridCol w:w="6"/>
      </w:tblGrid>
      <w:tr>
        <w:tblPrEx>
          <w:tblCellMar>
            <w:top w:w="0" w:type="dxa"/>
            <w:left w:w="108" w:type="dxa"/>
            <w:bottom w:w="0" w:type="dxa"/>
            <w:right w:w="108" w:type="dxa"/>
          </w:tblCellMar>
        </w:tblPrEx>
        <w:trPr>
          <w:gridBefore w:val="1"/>
          <w:gridAfter w:val="5"/>
          <w:wBefore w:w="79" w:type="dxa"/>
          <w:wAfter w:w="3588" w:type="dxa"/>
          <w:trHeight w:val="524" w:hRule="atLeast"/>
        </w:trPr>
        <w:tc>
          <w:tcPr>
            <w:tcW w:w="11613" w:type="dxa"/>
            <w:gridSpan w:val="1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gridBefore w:val="1"/>
          <w:gridAfter w:val="5"/>
          <w:wBefore w:w="79" w:type="dxa"/>
          <w:wAfter w:w="3588" w:type="dxa"/>
          <w:trHeight w:val="262" w:hRule="atLeast"/>
        </w:trPr>
        <w:tc>
          <w:tcPr>
            <w:tcW w:w="918"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17"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6" w:type="dxa"/>
            <w:gridSpan w:val="5"/>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7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8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gridBefore w:val="1"/>
          <w:gridAfter w:val="5"/>
          <w:wBefore w:w="79" w:type="dxa"/>
          <w:wAfter w:w="3588" w:type="dxa"/>
          <w:trHeight w:val="385" w:hRule="atLeast"/>
        </w:trPr>
        <w:tc>
          <w:tcPr>
            <w:tcW w:w="6808" w:type="dxa"/>
            <w:gridSpan w:val="1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96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72"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72" w:type="dxa"/>
            <w:gridSpan w:val="4"/>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dxa"/>
          <w:trHeight w:val="271" w:hRule="atLeast"/>
        </w:trPr>
        <w:tc>
          <w:tcPr>
            <w:tcW w:w="5023" w:type="dxa"/>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251" w:type="dxa"/>
            <w:gridSpan w:val="1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312" w:hRule="atLeast"/>
        </w:trPr>
        <w:tc>
          <w:tcPr>
            <w:tcW w:w="607"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92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90"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07"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30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586"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786" w:hRule="atLeast"/>
        </w:trPr>
        <w:tc>
          <w:tcPr>
            <w:tcW w:w="607"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2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0" w:type="dxa"/>
            <w:gridSpan w:val="4"/>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7"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30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86"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271"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1,459.22</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418.06</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403.11</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204.15</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138.17</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438"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54.49</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103.57</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53.53</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53.15</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24" w:type="dxa"/>
          <w:trHeight w:val="532" w:hRule="atLeast"/>
        </w:trPr>
        <w:tc>
          <w:tcPr>
            <w:tcW w:w="607"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58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 w:type="dxa"/>
          <w:trHeight w:val="271" w:hRule="atLeast"/>
        </w:trPr>
        <w:tc>
          <w:tcPr>
            <w:tcW w:w="3531"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49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1,512.76</w:t>
            </w:r>
          </w:p>
        </w:tc>
        <w:tc>
          <w:tcPr>
            <w:tcW w:w="7586" w:type="dxa"/>
            <w:gridSpan w:val="11"/>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265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15280" w:type="dxa"/>
            <w:gridSpan w:val="25"/>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4314" w:type="dxa"/>
        <w:tblInd w:w="93" w:type="dxa"/>
        <w:tblLayout w:type="fixed"/>
        <w:tblCellMar>
          <w:top w:w="0" w:type="dxa"/>
          <w:left w:w="108" w:type="dxa"/>
          <w:bottom w:w="0" w:type="dxa"/>
          <w:right w:w="108" w:type="dxa"/>
        </w:tblCellMar>
      </w:tblPr>
      <w:tblGrid>
        <w:gridCol w:w="1"/>
        <w:gridCol w:w="942"/>
        <w:gridCol w:w="294"/>
        <w:gridCol w:w="236"/>
        <w:gridCol w:w="236"/>
        <w:gridCol w:w="1550"/>
        <w:gridCol w:w="1449"/>
        <w:gridCol w:w="431"/>
        <w:gridCol w:w="1170"/>
        <w:gridCol w:w="406"/>
        <w:gridCol w:w="1195"/>
        <w:gridCol w:w="330"/>
        <w:gridCol w:w="1271"/>
        <w:gridCol w:w="330"/>
        <w:gridCol w:w="1271"/>
        <w:gridCol w:w="376"/>
        <w:gridCol w:w="1"/>
        <w:gridCol w:w="1225"/>
        <w:gridCol w:w="1600"/>
      </w:tblGrid>
      <w:tr>
        <w:tblPrEx>
          <w:tblCellMar>
            <w:top w:w="0" w:type="dxa"/>
            <w:left w:w="108" w:type="dxa"/>
            <w:bottom w:w="0" w:type="dxa"/>
            <w:right w:w="108" w:type="dxa"/>
          </w:tblCellMar>
        </w:tblPrEx>
        <w:trPr>
          <w:gridBefore w:val="1"/>
          <w:wBefore w:w="1" w:type="dxa"/>
          <w:trHeight w:val="639" w:hRule="atLeast"/>
        </w:trPr>
        <w:tc>
          <w:tcPr>
            <w:tcW w:w="14313" w:type="dxa"/>
            <w:gridSpan w:val="1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gridBefore w:val="1"/>
          <w:wBefore w:w="1" w:type="dxa"/>
          <w:trHeight w:val="268" w:hRule="atLeast"/>
        </w:trPr>
        <w:tc>
          <w:tcPr>
            <w:tcW w:w="123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7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1"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4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25"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Before w:val="1"/>
          <w:wBefore w:w="1" w:type="dxa"/>
          <w:trHeight w:val="268" w:hRule="atLeast"/>
        </w:trPr>
        <w:tc>
          <w:tcPr>
            <w:tcW w:w="8239" w:type="dxa"/>
            <w:gridSpan w:val="11"/>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1601"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47"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26" w:type="dxa"/>
            <w:gridSpan w:val="3"/>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0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0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4804"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765"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0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02"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65"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65"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0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08"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376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16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w:t>
            </w:r>
          </w:p>
        </w:tc>
        <w:tc>
          <w:tcPr>
            <w:tcW w:w="1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314" w:type="dxa"/>
            <w:gridSpan w:val="1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环江毛南族自治县长美学校</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123" w:right="1157" w:bottom="1123" w:left="1157" w:header="851" w:footer="992" w:gutter="0"/>
          <w:cols w:space="0" w:num="1"/>
          <w:rtlGutter w:val="0"/>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环江毛南族自治县长美学校</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rPr>
        <w:t>1860.27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133.98</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7.76</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1860.27</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kern w:val="0"/>
          <w:sz w:val="32"/>
          <w:szCs w:val="32"/>
          <w:lang w:val="en-US"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1857.77</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132.14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7.66</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华文仿宋" w:hAnsi="华文仿宋" w:eastAsia="华文仿宋" w:cs="华文仿宋"/>
          <w:kern w:val="0"/>
          <w:sz w:val="32"/>
          <w:szCs w:val="32"/>
        </w:rPr>
        <w:t>（1）</w:t>
      </w:r>
      <w:r>
        <w:rPr>
          <w:rFonts w:hint="eastAsia" w:ascii="华文仿宋" w:hAnsi="华文仿宋" w:eastAsia="华文仿宋" w:cs="华文仿宋"/>
          <w:kern w:val="0"/>
          <w:sz w:val="32"/>
          <w:szCs w:val="32"/>
          <w:lang w:val="en-US" w:eastAsia="zh-CN"/>
        </w:rPr>
        <w:t>新增人员增加；（2）上级专款收入增加。</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kern w:val="0"/>
          <w:sz w:val="32"/>
          <w:szCs w:val="32"/>
          <w:lang w:val="en-US" w:eastAsia="zh-CN"/>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lang w:val="en-US" w:eastAsia="zh-CN"/>
        </w:rPr>
        <w:t>2.5</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1.84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278.79</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华文仿宋" w:hAnsi="华文仿宋" w:eastAsia="华文仿宋" w:cs="华文仿宋"/>
          <w:kern w:val="0"/>
          <w:sz w:val="32"/>
          <w:szCs w:val="32"/>
          <w:lang w:val="en-US" w:eastAsia="zh-CN"/>
        </w:rPr>
        <w:t>上级专款收入增加。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w:t>
      </w:r>
    </w:p>
    <w:p>
      <w:pPr>
        <w:jc w:val="center"/>
        <w:rPr>
          <w:rFonts w:ascii="仿宋" w:hAnsi="仿宋" w:eastAsia="仿宋" w:cs="仿宋"/>
          <w:sz w:val="32"/>
          <w:szCs w:val="32"/>
          <w:highlight w:val="none"/>
        </w:rPr>
      </w:pPr>
      <w:r>
        <w:rPr>
          <w:rFonts w:ascii="仿宋" w:hAnsi="仿宋" w:eastAsia="仿宋" w:cs="仿宋"/>
          <w:sz w:val="32"/>
          <w:szCs w:val="32"/>
        </w:rPr>
        <w:drawing>
          <wp:inline distT="0" distB="0" distL="0" distR="0">
            <wp:extent cx="5486400" cy="320040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1860.27</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1860.27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133.98</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7.76</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18.86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工会活动及慰问支出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1.82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10.68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华文仿宋" w:hAnsi="华文仿宋" w:eastAsia="华文仿宋" w:cs="华文仿宋"/>
          <w:kern w:val="0"/>
          <w:sz w:val="32"/>
          <w:szCs w:val="32"/>
          <w:lang w:val="en-US" w:eastAsia="zh-CN"/>
        </w:rPr>
        <w:t>上级专款收入增加。</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color w:val="auto"/>
          <w:kern w:val="0"/>
          <w:sz w:val="32"/>
          <w:szCs w:val="32"/>
          <w:lang w:val="en-US"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1448.29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kern w:val="0"/>
          <w:sz w:val="32"/>
          <w:szCs w:val="32"/>
        </w:rPr>
        <w:t>主要用于</w:t>
      </w:r>
      <w:r>
        <w:rPr>
          <w:rFonts w:hint="eastAsia" w:ascii="华文仿宋" w:hAnsi="华文仿宋" w:eastAsia="华文仿宋" w:cs="华文仿宋"/>
          <w:kern w:val="0"/>
          <w:sz w:val="32"/>
          <w:szCs w:val="32"/>
          <w:lang w:eastAsia="zh-CN"/>
        </w:rPr>
        <w:t>乡</w:t>
      </w:r>
      <w:r>
        <w:rPr>
          <w:rFonts w:hint="eastAsia" w:ascii="华文仿宋" w:hAnsi="华文仿宋" w:eastAsia="华文仿宋" w:cs="华文仿宋"/>
          <w:kern w:val="0"/>
          <w:sz w:val="32"/>
          <w:szCs w:val="32"/>
        </w:rPr>
        <w:t>县教育系统人员工资及为开展教育教学活动的支出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158.72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12.31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华文仿宋" w:hAnsi="华文仿宋" w:eastAsia="华文仿宋" w:cs="华文仿宋"/>
          <w:color w:val="auto"/>
          <w:kern w:val="0"/>
          <w:sz w:val="32"/>
          <w:szCs w:val="32"/>
          <w:lang w:val="en-US" w:eastAsia="zh-CN"/>
        </w:rPr>
        <w:t>主要是教育各项收支比上年度均有所</w:t>
      </w:r>
      <w:r>
        <w:rPr>
          <w:rFonts w:hint="eastAsia" w:ascii="华文仿宋" w:hAnsi="华文仿宋" w:eastAsia="华文仿宋" w:cs="华文仿宋"/>
          <w:color w:val="auto"/>
          <w:kern w:val="0"/>
          <w:sz w:val="32"/>
          <w:szCs w:val="32"/>
          <w:highlight w:val="none"/>
          <w:lang w:val="en-US" w:eastAsia="zh-CN"/>
        </w:rPr>
        <w:t>增加</w:t>
      </w:r>
      <w:r>
        <w:rPr>
          <w:rFonts w:hint="eastAsia" w:ascii="华文仿宋" w:hAnsi="华文仿宋" w:eastAsia="华文仿宋" w:cs="华文仿宋"/>
          <w:color w:val="auto"/>
          <w:kern w:val="0"/>
          <w:sz w:val="32"/>
          <w:szCs w:val="32"/>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kern w:val="0"/>
          <w:sz w:val="32"/>
          <w:szCs w:val="32"/>
          <w:lang w:val="en-US"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138.17</w:t>
      </w:r>
      <w:r>
        <w:rPr>
          <w:rFonts w:hint="eastAsia" w:ascii="仿宋" w:hAnsi="仿宋" w:eastAsia="仿宋" w:cs="仿宋"/>
          <w:sz w:val="32"/>
          <w:szCs w:val="32"/>
          <w:highlight w:val="none"/>
        </w:rPr>
        <w:t>万元：</w:t>
      </w:r>
      <w:r>
        <w:rPr>
          <w:rFonts w:hint="eastAsia" w:ascii="华文仿宋" w:hAnsi="华文仿宋" w:eastAsia="华文仿宋" w:cs="华文仿宋"/>
          <w:kern w:val="0"/>
          <w:sz w:val="32"/>
          <w:szCs w:val="32"/>
        </w:rPr>
        <w:t>主要用于缴纳教职工“五险”</w:t>
      </w:r>
      <w:r>
        <w:rPr>
          <w:rFonts w:hint="eastAsia" w:ascii="华文仿宋" w:hAnsi="华文仿宋" w:eastAsia="华文仿宋" w:cs="华文仿宋"/>
          <w:kern w:val="0"/>
          <w:sz w:val="32"/>
          <w:szCs w:val="32"/>
          <w:lang w:val="en-US" w:eastAsia="zh-CN"/>
        </w:rPr>
        <w:t>费用</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增加31.09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增长29.03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华文仿宋" w:hAnsi="华文仿宋" w:eastAsia="华文仿宋" w:cs="华文仿宋"/>
          <w:kern w:val="0"/>
          <w:sz w:val="32"/>
          <w:szCs w:val="32"/>
          <w:lang w:val="en-US" w:eastAsia="zh-CN"/>
        </w:rPr>
        <w:t>五险基数提高。</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103.56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val="en-US" w:eastAsia="zh-CN"/>
          <w14:textFill>
            <w14:solidFill>
              <w14:schemeClr w14:val="tx1"/>
            </w14:solidFill>
          </w14:textFill>
        </w:rPr>
        <w:t>缴纳教职工住房公积金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13.39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14.85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缴纳公积金基数有所提高。</w:t>
      </w:r>
    </w:p>
    <w:p>
      <w:pPr>
        <w:keepNext w:val="0"/>
        <w:keepLines w:val="0"/>
        <w:widowControl w:val="0"/>
        <w:suppressLineNumbers w:val="0"/>
        <w:spacing w:before="0" w:beforeAutospacing="0" w:after="0" w:afterAutospacing="0"/>
        <w:ind w:left="0" w:right="0" w:firstLine="640" w:firstLineChars="200"/>
        <w:jc w:val="left"/>
        <w:rPr>
          <w:rFonts w:hint="eastAsia" w:ascii="华文仿宋" w:hAnsi="华文仿宋" w:eastAsia="华文仿宋" w:cs="华文仿宋"/>
          <w:kern w:val="0"/>
          <w:sz w:val="32"/>
          <w:szCs w:val="32"/>
          <w:lang w:val="en-US" w:eastAsia="zh-CN"/>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151.39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发放教职工奖金及伙食补助等</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71.04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下降24.18%</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华文仿宋" w:hAnsi="华文仿宋" w:eastAsia="华文仿宋" w:cs="华文仿宋"/>
          <w:kern w:val="0"/>
          <w:sz w:val="32"/>
          <w:szCs w:val="32"/>
        </w:rPr>
        <w:t>（1）</w:t>
      </w:r>
      <w:r>
        <w:rPr>
          <w:rFonts w:hint="eastAsia" w:ascii="华文仿宋" w:hAnsi="华文仿宋" w:eastAsia="华文仿宋" w:cs="华文仿宋"/>
          <w:kern w:val="0"/>
          <w:sz w:val="32"/>
          <w:szCs w:val="32"/>
          <w:lang w:val="en-US" w:eastAsia="zh-CN"/>
        </w:rPr>
        <w:t>年内退休人员增多；（2）年内调出人员增多。</w:t>
      </w:r>
    </w:p>
    <w:p>
      <w:pPr>
        <w:keepNext w:val="0"/>
        <w:keepLines w:val="0"/>
        <w:widowControl w:val="0"/>
        <w:suppressLineNumbers w:val="0"/>
        <w:spacing w:before="0" w:beforeAutospacing="0" w:after="0" w:afterAutospacing="0"/>
        <w:ind w:right="0" w:firstLine="620" w:firstLineChars="200"/>
        <w:jc w:val="left"/>
        <w:rPr>
          <w:rFonts w:hint="eastAsia" w:ascii="仿宋" w:hAnsi="仿宋" w:eastAsia="仿宋" w:cs="仿宋"/>
          <w:color w:val="FF0000"/>
          <w:kern w:val="2"/>
          <w:sz w:val="32"/>
          <w:szCs w:val="32"/>
          <w:highlight w:val="none"/>
          <w:lang w:val="en-US" w:eastAsia="zh-CN" w:bidi="ar"/>
        </w:rPr>
      </w:pP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6.</w:t>
      </w: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color w:val="FF0000"/>
          <w:kern w:val="2"/>
          <w:sz w:val="32"/>
          <w:szCs w:val="32"/>
          <w:highlight w:val="none"/>
          <w:lang w:val="en-US" w:eastAsia="zh-CN" w:bidi="ar"/>
        </w:rPr>
        <w:t>。</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环江毛南族自治县长美学校202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1857.77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132.14</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7.66</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1531.61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326.16</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环江毛南族自治县长美学校202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1270.03</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1857.77</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146.28</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18.86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18.86</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工会活动及慰问支出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工会活动及慰问支出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1015.37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1445.73</w:t>
      </w:r>
      <w:r>
        <w:rPr>
          <w:rFonts w:hint="eastAsia" w:ascii="仿宋" w:hAnsi="仿宋" w:eastAsia="仿宋"/>
          <w:sz w:val="32"/>
          <w:szCs w:val="32"/>
          <w:highlight w:val="none"/>
        </w:rPr>
        <w:t>万元，完成年初预算的</w:t>
      </w:r>
      <w:r>
        <w:rPr>
          <w:rFonts w:ascii="仿宋" w:hAnsi="仿宋" w:eastAsia="仿宋"/>
          <w:sz w:val="32"/>
          <w:szCs w:val="32"/>
          <w:highlight w:val="none"/>
        </w:rPr>
        <w:t>14</w:t>
      </w:r>
      <w:r>
        <w:rPr>
          <w:rFonts w:hint="eastAsia" w:ascii="仿宋" w:hAnsi="仿宋" w:eastAsia="仿宋"/>
          <w:sz w:val="32"/>
          <w:szCs w:val="32"/>
          <w:highlight w:val="none"/>
          <w:lang w:val="en-US" w:eastAsia="zh-CN"/>
        </w:rPr>
        <w:t>2</w:t>
      </w:r>
      <w:r>
        <w:rPr>
          <w:rFonts w:ascii="仿宋" w:hAnsi="仿宋" w:eastAsia="仿宋"/>
          <w:sz w:val="32"/>
          <w:szCs w:val="32"/>
          <w:highlight w:val="none"/>
        </w:rPr>
        <w:t>.</w:t>
      </w:r>
      <w:r>
        <w:rPr>
          <w:rFonts w:hint="eastAsia" w:ascii="仿宋" w:hAnsi="仿宋" w:eastAsia="仿宋"/>
          <w:sz w:val="32"/>
          <w:szCs w:val="32"/>
          <w:highlight w:val="none"/>
          <w:lang w:val="en-US" w:eastAsia="zh-CN"/>
        </w:rPr>
        <w:t>38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2"/>
          <w:szCs w:val="32"/>
          <w:highlight w:val="none"/>
          <w:u w:val="none"/>
          <w:lang w:val="en-US" w:eastAsia="zh-CN"/>
        </w:rPr>
        <w:t>该类支出部分资金上级部门每年都做预算下接下达，本部门无需预算</w:t>
      </w:r>
    </w:p>
    <w:tbl>
      <w:tblPr>
        <w:tblStyle w:val="6"/>
        <w:tblpPr w:leftFromText="180" w:rightFromText="180" w:vertAnchor="text" w:horzAnchor="page" w:tblpX="1572" w:tblpY="613"/>
        <w:tblOverlap w:val="never"/>
        <w:tblW w:w="10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961"/>
        <w:gridCol w:w="942"/>
        <w:gridCol w:w="1972"/>
        <w:gridCol w:w="3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340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小学教育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662.69</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984.94</w:t>
            </w:r>
          </w:p>
        </w:tc>
        <w:tc>
          <w:tcPr>
            <w:tcW w:w="9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148.63%</w:t>
            </w:r>
          </w:p>
        </w:tc>
        <w:tc>
          <w:tcPr>
            <w:tcW w:w="19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职工工资发放及开展教学活动等支出</w:t>
            </w:r>
          </w:p>
        </w:tc>
        <w:tc>
          <w:tcPr>
            <w:tcW w:w="340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olor w:val="auto"/>
                <w:sz w:val="18"/>
                <w:szCs w:val="18"/>
                <w:highlight w:val="none"/>
                <w:u w:val="none"/>
                <w:lang w:val="en-US" w:eastAsia="zh-CN"/>
              </w:rPr>
              <w:t>该类支出部分资金上级部门每年都做预算下接下达，本部门无需预算。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352.68</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458.63</w:t>
            </w:r>
          </w:p>
        </w:tc>
        <w:tc>
          <w:tcPr>
            <w:tcW w:w="9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142.79%</w:t>
            </w:r>
          </w:p>
        </w:tc>
        <w:tc>
          <w:tcPr>
            <w:tcW w:w="19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职工工资发放及开展教学活动等支出</w:t>
            </w:r>
          </w:p>
        </w:tc>
        <w:tc>
          <w:tcPr>
            <w:tcW w:w="340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该类支出部分资金上级部门每年都有预算，直接下达，本部门无需做预算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2.72</w:t>
            </w:r>
          </w:p>
        </w:tc>
        <w:tc>
          <w:tcPr>
            <w:tcW w:w="9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学校办公支出</w:t>
            </w:r>
          </w:p>
        </w:tc>
        <w:tc>
          <w:tcPr>
            <w:tcW w:w="340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此部分资金上级部门每年都有预算，直接下达，本部门无需做预算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2.16</w:t>
            </w:r>
          </w:p>
        </w:tc>
        <w:tc>
          <w:tcPr>
            <w:tcW w:w="9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firstLine="630" w:firstLineChars="30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协管员劳务费</w:t>
            </w:r>
          </w:p>
        </w:tc>
        <w:tc>
          <w:tcPr>
            <w:tcW w:w="340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此部分资金上级部门每年都有预算，直接下达，本部门无需做预算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1015.37</w:t>
            </w:r>
          </w:p>
        </w:tc>
        <w:tc>
          <w:tcPr>
            <w:tcW w:w="96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1445.73</w:t>
            </w:r>
          </w:p>
        </w:tc>
        <w:tc>
          <w:tcPr>
            <w:tcW w:w="94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142.38%</w:t>
            </w:r>
          </w:p>
        </w:tc>
        <w:tc>
          <w:tcPr>
            <w:tcW w:w="197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340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156.78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138.17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88.13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华文仿宋" w:hAnsi="华文仿宋" w:eastAsia="华文仿宋" w:cs="华文仿宋"/>
          <w:kern w:val="0"/>
          <w:sz w:val="32"/>
          <w:szCs w:val="32"/>
          <w:lang w:val="en-US" w:eastAsia="zh-CN"/>
        </w:rPr>
        <w:t>年内退休人员及调出人员增多，</w:t>
      </w:r>
      <w:r>
        <w:rPr>
          <w:rFonts w:hint="eastAsia" w:ascii="华文仿宋" w:hAnsi="华文仿宋" w:eastAsia="华文仿宋" w:cs="华文仿宋"/>
          <w:kern w:val="0"/>
          <w:sz w:val="32"/>
          <w:szCs w:val="32"/>
        </w:rPr>
        <w:t>缴纳教职工“五险”</w:t>
      </w:r>
      <w:r>
        <w:rPr>
          <w:rFonts w:hint="eastAsia" w:ascii="华文仿宋" w:hAnsi="华文仿宋" w:eastAsia="华文仿宋" w:cs="华文仿宋"/>
          <w:kern w:val="0"/>
          <w:sz w:val="32"/>
          <w:szCs w:val="32"/>
          <w:lang w:val="en-US" w:eastAsia="zh-CN"/>
        </w:rPr>
        <w:t>经费有所减少。</w:t>
      </w:r>
    </w:p>
    <w:p>
      <w:pPr>
        <w:jc w:val="left"/>
        <w:rPr>
          <w:rFonts w:hint="eastAsia" w:ascii="仿宋" w:hAnsi="仿宋" w:eastAsia="仿宋"/>
          <w:sz w:val="32"/>
          <w:szCs w:val="32"/>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pPr w:leftFromText="180" w:rightFromText="180" w:vertAnchor="text" w:horzAnchor="page" w:tblpX="1302" w:tblpY="744"/>
        <w:tblOverlap w:val="never"/>
        <w:tblW w:w="102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3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35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138.17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88.13%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缴纳教职工养老保险经费</w:t>
            </w:r>
          </w:p>
        </w:tc>
        <w:tc>
          <w:tcPr>
            <w:tcW w:w="35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年内退休人员及调出人员增多，缴纳教职工“五险”经费有所减少。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156.78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138.17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88.13%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缴纳教职工养老保险经费</w:t>
            </w:r>
          </w:p>
        </w:tc>
        <w:tc>
          <w:tcPr>
            <w:tcW w:w="35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年内退休人员及调出人员增多，缴纳教职工“五险”经费有所减少。</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Chars="200" w:right="0" w:rightChars="0" w:firstLine="640" w:firstLineChars="200"/>
        <w:jc w:val="left"/>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117.58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103.57</w:t>
      </w:r>
      <w:r>
        <w:rPr>
          <w:rFonts w:hint="eastAsia" w:ascii="仿宋" w:hAnsi="仿宋" w:eastAsia="仿宋"/>
          <w:sz w:val="32"/>
          <w:szCs w:val="32"/>
          <w:highlight w:val="none"/>
        </w:rPr>
        <w:t>万元，完成年初预算的</w:t>
      </w:r>
      <w:r>
        <w:rPr>
          <w:rFonts w:ascii="仿宋" w:hAnsi="仿宋" w:eastAsia="仿宋"/>
          <w:sz w:val="32"/>
          <w:szCs w:val="32"/>
          <w:highlight w:val="none"/>
        </w:rPr>
        <w:t>88.</w:t>
      </w:r>
      <w:r>
        <w:rPr>
          <w:rFonts w:hint="eastAsia" w:ascii="仿宋" w:hAnsi="仿宋" w:eastAsia="仿宋"/>
          <w:sz w:val="32"/>
          <w:szCs w:val="32"/>
          <w:highlight w:val="none"/>
          <w:lang w:val="en-US" w:eastAsia="zh-CN"/>
        </w:rPr>
        <w:t>08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华文仿宋" w:hAnsi="华文仿宋" w:eastAsia="华文仿宋" w:cs="华文仿宋"/>
          <w:kern w:val="0"/>
          <w:sz w:val="32"/>
          <w:szCs w:val="32"/>
          <w:lang w:val="en-US" w:eastAsia="zh-CN"/>
        </w:rPr>
        <w:t>年内退休人员及调出人员增多，</w:t>
      </w:r>
      <w:r>
        <w:rPr>
          <w:rFonts w:hint="eastAsia" w:ascii="华文仿宋" w:hAnsi="华文仿宋" w:eastAsia="华文仿宋" w:cs="华文仿宋"/>
          <w:kern w:val="0"/>
          <w:sz w:val="32"/>
          <w:szCs w:val="32"/>
        </w:rPr>
        <w:t>缴纳教职工</w:t>
      </w:r>
      <w:r>
        <w:rPr>
          <w:rFonts w:hint="eastAsia" w:ascii="华文仿宋" w:hAnsi="华文仿宋" w:eastAsia="华文仿宋" w:cs="华文仿宋"/>
          <w:kern w:val="0"/>
          <w:sz w:val="32"/>
          <w:szCs w:val="32"/>
          <w:lang w:val="en-US" w:eastAsia="zh-CN"/>
        </w:rPr>
        <w:t>住房公积金有所减少。</w:t>
      </w:r>
    </w:p>
    <w:tbl>
      <w:tblPr>
        <w:tblStyle w:val="6"/>
        <w:tblpPr w:leftFromText="180" w:rightFromText="180" w:vertAnchor="text" w:horzAnchor="page" w:tblpX="672" w:tblpY="572"/>
        <w:tblOverlap w:val="never"/>
        <w:tblW w:w="10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3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36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103.57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缴纳教职工住房公积金</w:t>
            </w:r>
          </w:p>
        </w:tc>
        <w:tc>
          <w:tcPr>
            <w:tcW w:w="36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年内退休人员及调出人员增多，缴纳教职工住房公积金有所减少。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117.58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103.57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88.08%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缴纳教职工住房公积金</w:t>
            </w:r>
          </w:p>
        </w:tc>
        <w:tc>
          <w:tcPr>
            <w:tcW w:w="362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年内退休人员及调出人员增多，缴纳教职工住房公积金有所减少。</w:t>
            </w:r>
          </w:p>
        </w:tc>
      </w:tr>
    </w:tbl>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578100"/>
            <wp:effectExtent l="4445" t="4445" r="16510" b="825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151.39</w:t>
      </w:r>
      <w:r>
        <w:rPr>
          <w:rFonts w:hint="eastAsia" w:ascii="仿宋" w:hAnsi="仿宋" w:eastAsia="仿宋"/>
          <w:sz w:val="32"/>
          <w:szCs w:val="32"/>
          <w:highlight w:val="none"/>
        </w:rPr>
        <w:t>万元，完成年初预算的</w:t>
      </w:r>
      <w:r>
        <w:rPr>
          <w:rFonts w:ascii="仿宋" w:hAnsi="仿宋" w:eastAsia="仿宋"/>
          <w:sz w:val="32"/>
          <w:szCs w:val="32"/>
          <w:highlight w:val="none"/>
        </w:rPr>
        <w:t>9</w:t>
      </w:r>
      <w:r>
        <w:rPr>
          <w:rFonts w:hint="eastAsia" w:ascii="仿宋" w:hAnsi="仿宋" w:eastAsia="仿宋"/>
          <w:sz w:val="32"/>
          <w:szCs w:val="32"/>
          <w:highlight w:val="none"/>
          <w:lang w:val="en-US" w:eastAsia="zh-CN"/>
        </w:rPr>
        <w:t>6.82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原因是：年初无此项预算，</w:t>
      </w:r>
      <w:r>
        <w:rPr>
          <w:rFonts w:hint="eastAsia" w:ascii="华文仿宋" w:hAnsi="华文仿宋" w:eastAsia="华文仿宋" w:cs="华文仿宋"/>
          <w:kern w:val="0"/>
          <w:sz w:val="32"/>
          <w:szCs w:val="32"/>
          <w:lang w:val="en-US" w:eastAsia="zh-CN"/>
        </w:rPr>
        <w:t>奖金专项收入增加</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ind w:left="420" w:leftChars="0" w:right="0" w:rightChars="0" w:firstLine="420" w:firstLineChars="200"/>
        <w:jc w:val="left"/>
        <w:rPr>
          <w:rFonts w:hint="default" w:eastAsia="仿宋"/>
          <w:color w:val="auto"/>
          <w:highlight w:val="none"/>
          <w:lang w:val="en-US" w:eastAsia="zh-CN"/>
        </w:rPr>
      </w:pP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98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508"/>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5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4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151.39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sz w:val="18"/>
                <w:szCs w:val="18"/>
                <w:highlight w:val="none"/>
                <w:u w:val="none"/>
                <w:lang w:val="en-US" w:eastAsia="zh-CN"/>
              </w:rPr>
            </w:pPr>
          </w:p>
        </w:tc>
        <w:tc>
          <w:tcPr>
            <w:tcW w:w="25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发放奖励性补贴</w:t>
            </w:r>
          </w:p>
        </w:tc>
        <w:tc>
          <w:tcPr>
            <w:tcW w:w="24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此部分资金上级部门每年都有预算，直接下达，本部门无需做预算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151.39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5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244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环江毛南族自治县长美学校202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1531.61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1512.75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18.86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21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1459.22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112.59%</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教育各项收支比上年度均有所增加。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418.06万元，30102津贴补贴130.9万元，30103奖金403.11万元，30107绩效工资204.15万元，30108机关事业单位基本养老保险缴费138.17万元，30110职工基本医疗保险缴费54.49万元，30112其他社会保障缴费6.78万元，30113住房公积金103.57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21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18.86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lang w:val="en-US" w:eastAsia="zh-CN"/>
        </w:rPr>
        <w:t>30228工会经费18.86万元。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leftChars="0" w:right="0" w:rightChars="0" w:firstLine="640" w:firstLineChars="200"/>
        <w:jc w:val="left"/>
        <w:rPr>
          <w:rFonts w:ascii="仿宋" w:hAnsi="仿宋" w:eastAsia="仿宋" w:cs="仿宋"/>
          <w:color w:val="FF0000"/>
          <w:sz w:val="32"/>
          <w:szCs w:val="32"/>
          <w:highlight w:val="yellow"/>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53.53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61.</w:t>
      </w:r>
      <w:r>
        <w:rPr>
          <w:rFonts w:hint="eastAsia" w:ascii="仿宋" w:hAnsi="仿宋" w:eastAsia="仿宋" w:cs="仿宋"/>
          <w:sz w:val="32"/>
          <w:szCs w:val="32"/>
          <w:highlight w:val="none"/>
          <w:lang w:val="en-US" w:eastAsia="zh-CN"/>
        </w:rPr>
        <w:t>73</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sz w:val="32"/>
          <w:szCs w:val="32"/>
          <w:lang w:val="en-US" w:eastAsia="zh-CN" w:bidi="ar"/>
        </w:rPr>
        <w:t>生活补助提高以及年中有1人退休,年初无预算</w:t>
      </w:r>
      <w:r>
        <w:rPr>
          <w:rFonts w:hint="eastAsia" w:ascii="仿宋" w:hAnsi="仿宋" w:eastAsia="仿宋" w:cs="仿宋"/>
          <w:sz w:val="32"/>
          <w:szCs w:val="32"/>
          <w:lang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30304抚恤金0.39万元；30305生活补助53.14万元。</w:t>
      </w:r>
    </w:p>
    <w:p>
      <w:pPr>
        <w:jc w:val="center"/>
        <w:rPr>
          <w:rFonts w:hint="eastAsia" w:ascii="仿宋" w:hAnsi="仿宋" w:eastAsia="仿宋" w:cs="仿宋"/>
          <w:sz w:val="32"/>
          <w:szCs w:val="32"/>
          <w:highlight w:val="none"/>
        </w:rPr>
      </w:pPr>
      <w:r>
        <w:drawing>
          <wp:inline distT="0" distB="0" distL="114300" distR="114300">
            <wp:extent cx="4572000" cy="3190875"/>
            <wp:effectExtent l="4445" t="4445" r="14605" b="5080"/>
            <wp:docPr id="718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210" w:leftChars="0" w:right="0" w:firstLine="420" w:firstLineChars="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eastAsia" w:ascii="仿宋" w:hAnsi="仿宋" w:eastAsia="仿宋" w:cs="仿宋"/>
          <w:sz w:val="32"/>
          <w:u w:color="auto"/>
          <w:lang w:eastAsia="zh-CN"/>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环江毛南族自治县长美学校202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2.50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1.84</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278.79</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2.50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广西河池市环江毛南族自治县长美学校202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100%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sz w:val="32"/>
          <w:szCs w:val="32"/>
          <w:shd w:val="clear" w:color="auto" w:fill="FFFFFF"/>
        </w:rPr>
        <w:t>(</w:t>
      </w:r>
      <w:r>
        <w:rPr>
          <w:rFonts w:ascii="仿宋" w:hAnsi="仿宋" w:eastAsia="仿宋" w:cs="仿宋"/>
          <w:color w:val="000000"/>
          <w:sz w:val="32"/>
          <w:u w:color="auto"/>
        </w:rPr>
        <w:t>1)其他支出</w:t>
      </w:r>
      <w:r>
        <w:rPr>
          <w:rFonts w:hint="eastAsia" w:ascii="仿宋" w:hAnsi="仿宋" w:eastAsia="仿宋" w:cs="仿宋"/>
          <w:color w:val="000000"/>
          <w:sz w:val="32"/>
          <w:szCs w:val="32"/>
          <w:shd w:val="clear" w:color="auto" w:fill="FFFFFF"/>
        </w:rPr>
        <w:t>（类）</w:t>
      </w:r>
      <w:r>
        <w:rPr>
          <w:rFonts w:hint="eastAsia" w:ascii="仿宋" w:hAnsi="仿宋" w:eastAsia="仿宋" w:cs="仿宋"/>
          <w:color w:val="000000"/>
          <w:sz w:val="32"/>
          <w:szCs w:val="32"/>
          <w:shd w:val="clear" w:color="auto" w:fill="FFFFFF"/>
          <w:lang w:val="en-US" w:eastAsia="zh-CN"/>
        </w:rPr>
        <w:t>彩票公益金安排的支出</w:t>
      </w:r>
      <w:r>
        <w:rPr>
          <w:rFonts w:hint="eastAsia" w:ascii="仿宋" w:hAnsi="仿宋" w:eastAsia="仿宋" w:cs="仿宋"/>
          <w:color w:val="000000"/>
          <w:sz w:val="32"/>
          <w:szCs w:val="32"/>
          <w:shd w:val="clear" w:color="auto" w:fill="FFFFFF"/>
        </w:rPr>
        <w:t>（款</w:t>
      </w:r>
      <w:r>
        <w:rPr>
          <w:rFonts w:hint="eastAsia" w:ascii="仿宋_GB2312" w:hAnsi="仿宋_GB2312" w:eastAsia="仿宋_GB2312" w:cs="仿宋_GB2312"/>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 xml:space="preserve">  用于教育事业的彩票公益金支出</w:t>
      </w:r>
      <w:r>
        <w:rPr>
          <w:rFonts w:hint="eastAsia" w:ascii="仿宋" w:hAnsi="仿宋" w:eastAsia="仿宋" w:cs="仿宋"/>
          <w:color w:val="000000"/>
          <w:sz w:val="32"/>
          <w:szCs w:val="32"/>
          <w:shd w:val="clear" w:color="auto" w:fill="FFFFFF"/>
        </w:rPr>
        <w:t>（项）年初预算为</w:t>
      </w:r>
      <w:r>
        <w:rPr>
          <w:rFonts w:ascii="仿宋" w:hAnsi="仿宋" w:eastAsia="仿宋" w:cs="仿宋"/>
          <w:color w:val="000000"/>
          <w:sz w:val="32"/>
          <w:u w:color="auto"/>
        </w:rPr>
        <w:t>0.00</w:t>
      </w:r>
      <w:r>
        <w:rPr>
          <w:rFonts w:hint="eastAsia" w:ascii="仿宋" w:hAnsi="仿宋" w:eastAsia="仿宋" w:cs="仿宋"/>
          <w:color w:val="000000"/>
          <w:sz w:val="32"/>
          <w:szCs w:val="32"/>
          <w:shd w:val="clear" w:color="auto" w:fill="FFFFFF"/>
        </w:rPr>
        <w:t>万元，支出决算为</w:t>
      </w:r>
      <w:r>
        <w:rPr>
          <w:rFonts w:hint="eastAsia" w:ascii="仿宋" w:hAnsi="仿宋" w:eastAsia="仿宋" w:cs="仿宋"/>
          <w:color w:val="000000"/>
          <w:sz w:val="32"/>
          <w:u w:color="auto"/>
          <w:lang w:val="en-US" w:eastAsia="zh-CN"/>
        </w:rPr>
        <w:t>2.50</w:t>
      </w:r>
      <w:r>
        <w:rPr>
          <w:rFonts w:hint="eastAsia" w:ascii="仿宋" w:hAnsi="仿宋" w:eastAsia="仿宋" w:cs="仿宋"/>
          <w:color w:val="000000"/>
          <w:sz w:val="32"/>
          <w:szCs w:val="32"/>
          <w:shd w:val="clear" w:color="auto" w:fill="FFFFFF"/>
        </w:rPr>
        <w:t>万元，完成年初预算的</w:t>
      </w:r>
      <w:r>
        <w:rPr>
          <w:rFonts w:ascii="仿宋" w:hAnsi="仿宋" w:eastAsia="仿宋" w:cs="仿宋"/>
          <w:color w:val="000000"/>
          <w:sz w:val="32"/>
          <w:u w:color="auto"/>
        </w:rPr>
        <w:t>100%</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形成</w:t>
      </w:r>
      <w:r>
        <w:rPr>
          <w:rFonts w:hint="eastAsia" w:ascii="仿宋" w:hAnsi="仿宋" w:eastAsia="仿宋" w:cs="仿宋"/>
          <w:color w:val="000000" w:themeColor="text1"/>
          <w:sz w:val="32"/>
          <w:szCs w:val="32"/>
          <w:highlight w:val="none"/>
          <w14:textFill>
            <w14:solidFill>
              <w14:schemeClr w14:val="tx1"/>
            </w14:solidFill>
          </w14:textFill>
        </w:rPr>
        <w:t>预决算差异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hint="eastAsia" w:ascii="仿宋" w:hAnsi="仿宋" w:eastAsia="仿宋" w:cs="仿宋"/>
          <w:color w:val="auto"/>
          <w:sz w:val="32"/>
          <w:szCs w:val="32"/>
          <w:highlight w:val="none"/>
        </w:rPr>
      </w:pPr>
      <w:bookmarkStart w:id="2" w:name="PO_part3A5B1C1DiffReason1"/>
      <w:r>
        <w:rPr>
          <w:rFonts w:hint="eastAsia" w:ascii="仿宋_GB2312" w:hAnsi="Times New Roman" w:eastAsia="仿宋_GB2312" w:cs="Times New Roman"/>
          <w:color w:val="auto"/>
          <w:sz w:val="32"/>
          <w:szCs w:val="32"/>
        </w:rPr>
        <w:t>环江毛南族自治县长美学校</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安排的支出，故本段落无表述。</w:t>
      </w:r>
      <w:bookmarkEnd w:id="2"/>
    </w:p>
    <w:p>
      <w:pPr>
        <w:numPr>
          <w:ilvl w:val="0"/>
          <w:numId w:val="3"/>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Times New Roman" w:hAnsi="Times New Roman" w:eastAsia="仿宋" w:cs="Times New Roman"/>
          <w:b w:val="0"/>
          <w:bCs w:val="0"/>
          <w:kern w:val="0"/>
          <w:sz w:val="32"/>
          <w:szCs w:val="32"/>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二等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Helvetica" w:hAnsi="Helvetica" w:eastAsia="宋体" w:cs="Helvetica"/>
          <w:i w:val="0"/>
          <w:iCs w:val="0"/>
          <w:caps w:val="0"/>
          <w:color w:val="5C6166"/>
          <w:spacing w:val="0"/>
          <w:sz w:val="30"/>
          <w:szCs w:val="30"/>
          <w:shd w:val="clear" w:fill="FCFCFD"/>
          <w:lang w:val="en-US" w:eastAsia="zh-CN"/>
        </w:rPr>
        <w:t>881.94</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47.47</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_GB2312" w:hAnsi="仿宋_GB2312" w:eastAsia="仿宋_GB2312" w:cs="仿宋_GB2312"/>
          <w:sz w:val="32"/>
          <w:szCs w:val="32"/>
          <w:lang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部门开展整体支出绩效评价试点，涉及一般公共预算支出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881.94</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_GB2312" w:hAnsi="仿宋_GB2312" w:eastAsia="仿宋_GB2312" w:cs="仿宋_GB2312"/>
          <w:sz w:val="32"/>
          <w:szCs w:val="32"/>
        </w:rPr>
        <w:t>通过本次绩效自评，我们认为该项目目标明确，组织管理到位，执行项目有力，资金管理规范</w:t>
      </w:r>
      <w:r>
        <w:rPr>
          <w:rFonts w:hint="eastAsia" w:ascii="仿宋_GB2312" w:hAnsi="仿宋_GB2312" w:eastAsia="仿宋_GB2312" w:cs="仿宋_GB2312"/>
          <w:sz w:val="32"/>
          <w:szCs w:val="32"/>
          <w:lang w:eastAsia="zh-CN"/>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FF"/>
          <w:sz w:val="32"/>
          <w:szCs w:val="32"/>
        </w:rPr>
        <w:t>。</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根据年初设定的绩效目标，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对28个项目进行</w:t>
      </w:r>
      <w:r>
        <w:rPr>
          <w:rFonts w:hint="eastAsia" w:ascii="仿宋_GB2312" w:hAnsi="仿宋_GB2312" w:eastAsia="仿宋_GB2312" w:cs="仿宋_GB2312"/>
          <w:b w:val="0"/>
          <w:bCs/>
          <w:sz w:val="32"/>
          <w:szCs w:val="32"/>
        </w:rPr>
        <w:t>自评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w:t>
      </w:r>
      <w:r>
        <w:rPr>
          <w:rFonts w:hint="eastAsia" w:ascii="仿宋_GB2312" w:hAnsi="仿宋_GB2312" w:eastAsia="仿宋_GB2312" w:cs="仿宋_GB2312"/>
          <w:color w:val="000000" w:themeColor="text1"/>
          <w:sz w:val="32"/>
          <w:szCs w:val="32"/>
          <w14:textFill>
            <w14:solidFill>
              <w14:schemeClr w14:val="tx1"/>
            </w14:solidFill>
          </w14:textFill>
        </w:rPr>
        <w:t>自评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结果为：一等项目28个，二等项目0个;自评</w:t>
      </w:r>
      <w:r>
        <w:rPr>
          <w:rFonts w:hint="eastAsia" w:ascii="仿宋_GB2312" w:hAnsi="仿宋_GB2312" w:eastAsia="仿宋_GB2312" w:cs="仿宋_GB2312"/>
          <w:color w:val="000000" w:themeColor="text1"/>
          <w:sz w:val="32"/>
          <w:szCs w:val="32"/>
          <w14:textFill>
            <w14:solidFill>
              <w14:schemeClr w14:val="tx1"/>
            </w14:solidFill>
          </w14:textFill>
        </w:rPr>
        <w:t>得分为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的有14个项目，90分以上100分以下有14个。</w:t>
      </w:r>
      <w:r>
        <w:rPr>
          <w:rFonts w:hint="eastAsia" w:ascii="仿宋_GB2312" w:hAnsi="仿宋_GB2312" w:eastAsia="仿宋_GB2312" w:cs="仿宋_GB2312"/>
          <w:color w:val="000000" w:themeColor="text1"/>
          <w:sz w:val="32"/>
          <w:szCs w:val="32"/>
          <w14:textFill>
            <w14:solidFill>
              <w14:schemeClr w14:val="tx1"/>
            </w14:solidFill>
          </w14:textFill>
        </w:rPr>
        <w:t>发现的主要问题及原因：一是</w:t>
      </w:r>
      <w:r>
        <w:rPr>
          <w:rFonts w:hint="eastAsia" w:ascii="仿宋_GB2312" w:hAnsi="仿宋_GB2312" w:eastAsia="仿宋_GB2312" w:cs="仿宋_GB2312"/>
          <w:sz w:val="32"/>
          <w:szCs w:val="32"/>
        </w:rPr>
        <w:t>我单位未能制定相关管理制度，在项目实施方面还有待完善</w:t>
      </w:r>
      <w:r>
        <w:rPr>
          <w:rFonts w:hint="eastAsia" w:ascii="仿宋_GB2312" w:hAnsi="仿宋_GB2312" w:eastAsia="仿宋_GB2312" w:cs="仿宋_GB2312"/>
          <w:color w:val="000000" w:themeColor="text1"/>
          <w:sz w:val="32"/>
          <w:szCs w:val="32"/>
          <w14:textFill>
            <w14:solidFill>
              <w14:schemeClr w14:val="tx1"/>
            </w14:solidFill>
          </w14:textFill>
        </w:rPr>
        <w:t>；二是</w:t>
      </w:r>
      <w:r>
        <w:rPr>
          <w:rFonts w:hint="eastAsia" w:ascii="仿宋_GB2312" w:hAnsi="仿宋_GB2312" w:eastAsia="仿宋_GB2312" w:cs="仿宋_GB2312"/>
          <w:sz w:val="32"/>
          <w:szCs w:val="32"/>
        </w:rPr>
        <w:t>学校报账材料整理比较</w:t>
      </w:r>
      <w:r>
        <w:rPr>
          <w:rFonts w:hint="eastAsia" w:ascii="仿宋_GB2312" w:hAnsi="仿宋_GB2312" w:eastAsia="仿宋_GB2312" w:cs="仿宋_GB2312"/>
          <w:sz w:val="32"/>
          <w:szCs w:val="32"/>
          <w:lang w:val="en-US" w:eastAsia="zh-CN"/>
        </w:rPr>
        <w:t>缓慢</w:t>
      </w:r>
      <w:r>
        <w:rPr>
          <w:rFonts w:hint="eastAsia" w:ascii="仿宋_GB2312" w:hAnsi="仿宋_GB2312" w:eastAsia="仿宋_GB2312" w:cs="仿宋_GB2312"/>
          <w:sz w:val="32"/>
          <w:szCs w:val="32"/>
        </w:rPr>
        <w:t>，不能及时支付</w:t>
      </w:r>
      <w:r>
        <w:rPr>
          <w:rFonts w:hint="eastAsia" w:ascii="仿宋_GB2312" w:hAnsi="仿宋_GB2312" w:eastAsia="仿宋_GB2312" w:cs="仿宋_GB2312"/>
          <w:sz w:val="32"/>
          <w:szCs w:val="32"/>
          <w:lang w:val="en-US" w:eastAsia="zh-CN"/>
        </w:rPr>
        <w:t>各项开支</w:t>
      </w:r>
      <w:r>
        <w:rPr>
          <w:rFonts w:hint="eastAsia" w:ascii="仿宋_GB2312" w:hAnsi="仿宋_GB2312" w:eastAsia="仿宋_GB2312" w:cs="仿宋_GB2312"/>
          <w:color w:val="000000" w:themeColor="text1"/>
          <w:sz w:val="32"/>
          <w:szCs w:val="32"/>
          <w14:textFill>
            <w14:solidFill>
              <w14:schemeClr w14:val="tx1"/>
            </w14:solidFill>
          </w14:textFill>
        </w:rPr>
        <w:t>。下一步改进措施：一是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组织制定完善相关</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完善项目实施</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项目完成后，及时收集</w:t>
      </w:r>
      <w:r>
        <w:rPr>
          <w:rFonts w:hint="eastAsia" w:ascii="仿宋_GB2312" w:hAnsi="仿宋_GB2312" w:eastAsia="仿宋_GB2312" w:cs="仿宋_GB2312"/>
          <w:sz w:val="32"/>
          <w:szCs w:val="32"/>
        </w:rPr>
        <w:t>报账材料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及时支付</w:t>
      </w:r>
      <w:r>
        <w:rPr>
          <w:rFonts w:hint="eastAsia" w:ascii="仿宋_GB2312" w:hAnsi="仿宋_GB2312" w:eastAsia="仿宋_GB2312" w:cs="仿宋_GB2312"/>
          <w:color w:val="000000" w:themeColor="text1"/>
          <w:sz w:val="32"/>
          <w:szCs w:val="32"/>
          <w14:textFill>
            <w14:solidFill>
              <w14:schemeClr w14:val="tx1"/>
            </w14:solidFill>
          </w14:textFill>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06" w:bottom="1440" w:left="180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210" w:firstLine="420"/>
      </w:pPr>
      <w:rPr>
        <w:rFonts w:hint="eastAsia"/>
        <w:color w:val="auto"/>
      </w:rPr>
    </w:lvl>
  </w:abstractNum>
  <w:abstractNum w:abstractNumId="2">
    <w:nsid w:val="1AC8C785"/>
    <w:multiLevelType w:val="singleLevel"/>
    <w:tmpl w:val="1AC8C785"/>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iNWQ1YjI5MTMxMTFkNWYxMTJmYzc0NzMyMDkxZjUifQ=="/>
  </w:docVars>
  <w:rsids>
    <w:rsidRoot w:val="637D7558"/>
    <w:rsid w:val="00002C84"/>
    <w:rsid w:val="00022149"/>
    <w:rsid w:val="00047F6C"/>
    <w:rsid w:val="00093C26"/>
    <w:rsid w:val="00094B91"/>
    <w:rsid w:val="000969AD"/>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04336"/>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657C13"/>
    <w:rsid w:val="020C171D"/>
    <w:rsid w:val="0216715F"/>
    <w:rsid w:val="02533F0F"/>
    <w:rsid w:val="027B3F11"/>
    <w:rsid w:val="02AC1975"/>
    <w:rsid w:val="02E0291A"/>
    <w:rsid w:val="032B2AA3"/>
    <w:rsid w:val="033A47AC"/>
    <w:rsid w:val="03597303"/>
    <w:rsid w:val="035B12CD"/>
    <w:rsid w:val="03766BF7"/>
    <w:rsid w:val="037979A5"/>
    <w:rsid w:val="03B60BF9"/>
    <w:rsid w:val="043739A4"/>
    <w:rsid w:val="044B5C73"/>
    <w:rsid w:val="045E5916"/>
    <w:rsid w:val="04E54546"/>
    <w:rsid w:val="04E92909"/>
    <w:rsid w:val="04FA4B16"/>
    <w:rsid w:val="04FC088E"/>
    <w:rsid w:val="04FC231A"/>
    <w:rsid w:val="05096B07"/>
    <w:rsid w:val="05465FAD"/>
    <w:rsid w:val="05992762"/>
    <w:rsid w:val="05B13426"/>
    <w:rsid w:val="05EA06E6"/>
    <w:rsid w:val="05FD2371"/>
    <w:rsid w:val="061340E1"/>
    <w:rsid w:val="06450013"/>
    <w:rsid w:val="064A4289"/>
    <w:rsid w:val="06750B86"/>
    <w:rsid w:val="06E96BF0"/>
    <w:rsid w:val="0708246E"/>
    <w:rsid w:val="070F6BEE"/>
    <w:rsid w:val="07504EC1"/>
    <w:rsid w:val="07B0770E"/>
    <w:rsid w:val="07CD2D8D"/>
    <w:rsid w:val="07E004AE"/>
    <w:rsid w:val="07E72C91"/>
    <w:rsid w:val="07F27D26"/>
    <w:rsid w:val="0858402D"/>
    <w:rsid w:val="086E1AA3"/>
    <w:rsid w:val="087F4D74"/>
    <w:rsid w:val="0927525D"/>
    <w:rsid w:val="0942143F"/>
    <w:rsid w:val="09750C0F"/>
    <w:rsid w:val="098470A4"/>
    <w:rsid w:val="09F47D86"/>
    <w:rsid w:val="0A851326"/>
    <w:rsid w:val="0AA17496"/>
    <w:rsid w:val="0B41524D"/>
    <w:rsid w:val="0B433ABE"/>
    <w:rsid w:val="0BED0F30"/>
    <w:rsid w:val="0C1939C9"/>
    <w:rsid w:val="0C4B09E8"/>
    <w:rsid w:val="0C992E66"/>
    <w:rsid w:val="0CF54541"/>
    <w:rsid w:val="0D100297"/>
    <w:rsid w:val="0D1644B7"/>
    <w:rsid w:val="0D202B45"/>
    <w:rsid w:val="0D3C0DF7"/>
    <w:rsid w:val="0DBC505E"/>
    <w:rsid w:val="0E0013EF"/>
    <w:rsid w:val="0E1F1149"/>
    <w:rsid w:val="0E446C23"/>
    <w:rsid w:val="0E74112A"/>
    <w:rsid w:val="0ED4462A"/>
    <w:rsid w:val="0ED73668"/>
    <w:rsid w:val="0EEA55A1"/>
    <w:rsid w:val="0F0E19F8"/>
    <w:rsid w:val="0F707EAE"/>
    <w:rsid w:val="0F8D4C87"/>
    <w:rsid w:val="10505FAA"/>
    <w:rsid w:val="105F7E7E"/>
    <w:rsid w:val="108118B3"/>
    <w:rsid w:val="10A122E9"/>
    <w:rsid w:val="11010252"/>
    <w:rsid w:val="11047FD3"/>
    <w:rsid w:val="11763776"/>
    <w:rsid w:val="11962949"/>
    <w:rsid w:val="11974DD0"/>
    <w:rsid w:val="119D4DB9"/>
    <w:rsid w:val="11E56B5B"/>
    <w:rsid w:val="12042B30"/>
    <w:rsid w:val="12296A3A"/>
    <w:rsid w:val="1238505E"/>
    <w:rsid w:val="125C77AB"/>
    <w:rsid w:val="13703D6C"/>
    <w:rsid w:val="13B660AC"/>
    <w:rsid w:val="13E946D3"/>
    <w:rsid w:val="143E5B0D"/>
    <w:rsid w:val="14405D02"/>
    <w:rsid w:val="147A17CF"/>
    <w:rsid w:val="14AF3ABC"/>
    <w:rsid w:val="14CB726E"/>
    <w:rsid w:val="14D42C8D"/>
    <w:rsid w:val="14E0467E"/>
    <w:rsid w:val="1534372C"/>
    <w:rsid w:val="1578536E"/>
    <w:rsid w:val="15B42ABF"/>
    <w:rsid w:val="15D356A7"/>
    <w:rsid w:val="15E74980"/>
    <w:rsid w:val="16085872"/>
    <w:rsid w:val="165F6ECF"/>
    <w:rsid w:val="16994F4E"/>
    <w:rsid w:val="16A376E9"/>
    <w:rsid w:val="171C6B6E"/>
    <w:rsid w:val="17622036"/>
    <w:rsid w:val="176A0662"/>
    <w:rsid w:val="17A0782A"/>
    <w:rsid w:val="17E23913"/>
    <w:rsid w:val="17E92249"/>
    <w:rsid w:val="17F673BF"/>
    <w:rsid w:val="182E24C7"/>
    <w:rsid w:val="188C7801"/>
    <w:rsid w:val="189342A4"/>
    <w:rsid w:val="18D304F1"/>
    <w:rsid w:val="18F338FE"/>
    <w:rsid w:val="19F32577"/>
    <w:rsid w:val="19F45B80"/>
    <w:rsid w:val="19F5075E"/>
    <w:rsid w:val="1A3F329F"/>
    <w:rsid w:val="1A84475F"/>
    <w:rsid w:val="1A8C5DB8"/>
    <w:rsid w:val="1AE36B06"/>
    <w:rsid w:val="1B0C078D"/>
    <w:rsid w:val="1B2B31E2"/>
    <w:rsid w:val="1B414DF5"/>
    <w:rsid w:val="1B4C295A"/>
    <w:rsid w:val="1B87029B"/>
    <w:rsid w:val="1B901690"/>
    <w:rsid w:val="1B973C63"/>
    <w:rsid w:val="1BA1001E"/>
    <w:rsid w:val="1BA80D15"/>
    <w:rsid w:val="1BB93E21"/>
    <w:rsid w:val="1BD01CD5"/>
    <w:rsid w:val="1BEA548C"/>
    <w:rsid w:val="1CCE090A"/>
    <w:rsid w:val="1CFA06E0"/>
    <w:rsid w:val="1CFC6E53"/>
    <w:rsid w:val="1D317259"/>
    <w:rsid w:val="1D3D7158"/>
    <w:rsid w:val="1DAB47A7"/>
    <w:rsid w:val="1DAD126E"/>
    <w:rsid w:val="1DE005DE"/>
    <w:rsid w:val="1DED6BA1"/>
    <w:rsid w:val="1E664F5B"/>
    <w:rsid w:val="1E875215"/>
    <w:rsid w:val="1EB34BE1"/>
    <w:rsid w:val="1F0B3750"/>
    <w:rsid w:val="1F833C2E"/>
    <w:rsid w:val="1FF57FB5"/>
    <w:rsid w:val="2063580D"/>
    <w:rsid w:val="215E639F"/>
    <w:rsid w:val="217B12AB"/>
    <w:rsid w:val="21A73454"/>
    <w:rsid w:val="21DE339D"/>
    <w:rsid w:val="21EC3183"/>
    <w:rsid w:val="221265AE"/>
    <w:rsid w:val="225A65A3"/>
    <w:rsid w:val="225E72CD"/>
    <w:rsid w:val="22E06CA1"/>
    <w:rsid w:val="231057D9"/>
    <w:rsid w:val="23367CC4"/>
    <w:rsid w:val="23386ADD"/>
    <w:rsid w:val="236C50A2"/>
    <w:rsid w:val="23A117B9"/>
    <w:rsid w:val="23E1610F"/>
    <w:rsid w:val="243E38B6"/>
    <w:rsid w:val="246E2F77"/>
    <w:rsid w:val="248B0E8F"/>
    <w:rsid w:val="24CF1A0F"/>
    <w:rsid w:val="24D26ABE"/>
    <w:rsid w:val="24FF4E0B"/>
    <w:rsid w:val="254B4E2B"/>
    <w:rsid w:val="255D6CCF"/>
    <w:rsid w:val="257007B0"/>
    <w:rsid w:val="257F6C45"/>
    <w:rsid w:val="258A1146"/>
    <w:rsid w:val="258C05A9"/>
    <w:rsid w:val="258D183B"/>
    <w:rsid w:val="25DE1BBE"/>
    <w:rsid w:val="26426630"/>
    <w:rsid w:val="26492DAF"/>
    <w:rsid w:val="264B2FCC"/>
    <w:rsid w:val="26551754"/>
    <w:rsid w:val="267E4DBC"/>
    <w:rsid w:val="2699169D"/>
    <w:rsid w:val="271565B1"/>
    <w:rsid w:val="273B4DEE"/>
    <w:rsid w:val="27775733"/>
    <w:rsid w:val="27BB727D"/>
    <w:rsid w:val="27CC1EEA"/>
    <w:rsid w:val="27D70CD3"/>
    <w:rsid w:val="28123DA1"/>
    <w:rsid w:val="28397580"/>
    <w:rsid w:val="283D7C94"/>
    <w:rsid w:val="286914E7"/>
    <w:rsid w:val="28C84508"/>
    <w:rsid w:val="28CF1C92"/>
    <w:rsid w:val="291C47AB"/>
    <w:rsid w:val="29411B62"/>
    <w:rsid w:val="29480E03"/>
    <w:rsid w:val="2983634D"/>
    <w:rsid w:val="29B175E9"/>
    <w:rsid w:val="29CE5335"/>
    <w:rsid w:val="29D137E8"/>
    <w:rsid w:val="2A3F7D15"/>
    <w:rsid w:val="2B32787F"/>
    <w:rsid w:val="2B8549FB"/>
    <w:rsid w:val="2B8A39A7"/>
    <w:rsid w:val="2BB02055"/>
    <w:rsid w:val="2BBF7820"/>
    <w:rsid w:val="2C0954BB"/>
    <w:rsid w:val="2C136339"/>
    <w:rsid w:val="2C575A56"/>
    <w:rsid w:val="2C67247C"/>
    <w:rsid w:val="2CD05FD9"/>
    <w:rsid w:val="2CE10D2D"/>
    <w:rsid w:val="2CE35D0C"/>
    <w:rsid w:val="2CF302E4"/>
    <w:rsid w:val="2D087520"/>
    <w:rsid w:val="2DAE631A"/>
    <w:rsid w:val="2DBC2C57"/>
    <w:rsid w:val="2DCD3FDC"/>
    <w:rsid w:val="2DF6556F"/>
    <w:rsid w:val="2E27684E"/>
    <w:rsid w:val="2E30435C"/>
    <w:rsid w:val="2E976DAE"/>
    <w:rsid w:val="2E9848D4"/>
    <w:rsid w:val="2EBE5799"/>
    <w:rsid w:val="2F257714"/>
    <w:rsid w:val="2F2F5238"/>
    <w:rsid w:val="2F3275E5"/>
    <w:rsid w:val="2F505B14"/>
    <w:rsid w:val="2F947791"/>
    <w:rsid w:val="2F9652B7"/>
    <w:rsid w:val="2FFD70E5"/>
    <w:rsid w:val="30274161"/>
    <w:rsid w:val="30AA08EF"/>
    <w:rsid w:val="30D23D1C"/>
    <w:rsid w:val="30E738F1"/>
    <w:rsid w:val="31093867"/>
    <w:rsid w:val="31140D25"/>
    <w:rsid w:val="311A3CC6"/>
    <w:rsid w:val="31221CF5"/>
    <w:rsid w:val="31400178"/>
    <w:rsid w:val="314D7BF8"/>
    <w:rsid w:val="31B71515"/>
    <w:rsid w:val="31C75BFC"/>
    <w:rsid w:val="32146967"/>
    <w:rsid w:val="321E3342"/>
    <w:rsid w:val="327759C8"/>
    <w:rsid w:val="328046F9"/>
    <w:rsid w:val="32E14A9C"/>
    <w:rsid w:val="330B46AE"/>
    <w:rsid w:val="33185FE3"/>
    <w:rsid w:val="33294694"/>
    <w:rsid w:val="33953AD8"/>
    <w:rsid w:val="34446324"/>
    <w:rsid w:val="347A1238"/>
    <w:rsid w:val="34A00986"/>
    <w:rsid w:val="34D348B8"/>
    <w:rsid w:val="34EE2E36"/>
    <w:rsid w:val="35321393"/>
    <w:rsid w:val="35B342D3"/>
    <w:rsid w:val="35BE7316"/>
    <w:rsid w:val="35FF348B"/>
    <w:rsid w:val="36777241"/>
    <w:rsid w:val="36B3674F"/>
    <w:rsid w:val="36FD5C1C"/>
    <w:rsid w:val="37086DBC"/>
    <w:rsid w:val="371E78D5"/>
    <w:rsid w:val="3755796E"/>
    <w:rsid w:val="37BC4753"/>
    <w:rsid w:val="37DB08E1"/>
    <w:rsid w:val="382471D8"/>
    <w:rsid w:val="383425AF"/>
    <w:rsid w:val="386677F1"/>
    <w:rsid w:val="38A951DB"/>
    <w:rsid w:val="38B31605"/>
    <w:rsid w:val="38BB18EB"/>
    <w:rsid w:val="39003F4F"/>
    <w:rsid w:val="39541053"/>
    <w:rsid w:val="395A55A8"/>
    <w:rsid w:val="398B779E"/>
    <w:rsid w:val="3A105C66"/>
    <w:rsid w:val="3A3A0F35"/>
    <w:rsid w:val="3A4B3142"/>
    <w:rsid w:val="3A52627F"/>
    <w:rsid w:val="3A6C3008"/>
    <w:rsid w:val="3AAC0D36"/>
    <w:rsid w:val="3AC30F2B"/>
    <w:rsid w:val="3AE50EA1"/>
    <w:rsid w:val="3AFD07C1"/>
    <w:rsid w:val="3B027CA5"/>
    <w:rsid w:val="3B846744"/>
    <w:rsid w:val="3C07002B"/>
    <w:rsid w:val="3C3A4A3A"/>
    <w:rsid w:val="3C3E2F5F"/>
    <w:rsid w:val="3C5C4325"/>
    <w:rsid w:val="3C5E3FD1"/>
    <w:rsid w:val="3CBB635D"/>
    <w:rsid w:val="3D0D152A"/>
    <w:rsid w:val="3D2A703F"/>
    <w:rsid w:val="3D605AF2"/>
    <w:rsid w:val="3D650E15"/>
    <w:rsid w:val="3D6C1E29"/>
    <w:rsid w:val="3D7824A0"/>
    <w:rsid w:val="3D7D1865"/>
    <w:rsid w:val="3DA94408"/>
    <w:rsid w:val="3DF62756"/>
    <w:rsid w:val="3E0E69B8"/>
    <w:rsid w:val="3E1201FF"/>
    <w:rsid w:val="3EB70DA6"/>
    <w:rsid w:val="3EE01D9D"/>
    <w:rsid w:val="3EEA651E"/>
    <w:rsid w:val="3F1B7587"/>
    <w:rsid w:val="3F261A88"/>
    <w:rsid w:val="3F32667F"/>
    <w:rsid w:val="3F7D5B4C"/>
    <w:rsid w:val="3FA70E1B"/>
    <w:rsid w:val="3FB0296B"/>
    <w:rsid w:val="3FC1012F"/>
    <w:rsid w:val="3FC306F2"/>
    <w:rsid w:val="3FED1344"/>
    <w:rsid w:val="3FEE2C7C"/>
    <w:rsid w:val="400C5122"/>
    <w:rsid w:val="40311450"/>
    <w:rsid w:val="40DF6C59"/>
    <w:rsid w:val="40E65973"/>
    <w:rsid w:val="414615A8"/>
    <w:rsid w:val="41486C0E"/>
    <w:rsid w:val="41562AF9"/>
    <w:rsid w:val="4191768D"/>
    <w:rsid w:val="41990C37"/>
    <w:rsid w:val="41E57B4F"/>
    <w:rsid w:val="422A0866"/>
    <w:rsid w:val="424C7A58"/>
    <w:rsid w:val="42A94EAA"/>
    <w:rsid w:val="42F44377"/>
    <w:rsid w:val="42FA30E7"/>
    <w:rsid w:val="42FF2D1C"/>
    <w:rsid w:val="4307442B"/>
    <w:rsid w:val="432F26F6"/>
    <w:rsid w:val="433D6D73"/>
    <w:rsid w:val="436332AB"/>
    <w:rsid w:val="43880F63"/>
    <w:rsid w:val="43D85A47"/>
    <w:rsid w:val="43EC2ED8"/>
    <w:rsid w:val="44136A7F"/>
    <w:rsid w:val="441C5A6F"/>
    <w:rsid w:val="441F5424"/>
    <w:rsid w:val="44255D38"/>
    <w:rsid w:val="445362C3"/>
    <w:rsid w:val="44C44FCC"/>
    <w:rsid w:val="44CC7369"/>
    <w:rsid w:val="453D7BC2"/>
    <w:rsid w:val="454D5FC1"/>
    <w:rsid w:val="456A6AE6"/>
    <w:rsid w:val="457F5108"/>
    <w:rsid w:val="459B6277"/>
    <w:rsid w:val="459E4A6E"/>
    <w:rsid w:val="46027484"/>
    <w:rsid w:val="463B22BD"/>
    <w:rsid w:val="46951B6B"/>
    <w:rsid w:val="46B017C3"/>
    <w:rsid w:val="46E6047B"/>
    <w:rsid w:val="47354F5E"/>
    <w:rsid w:val="475C073D"/>
    <w:rsid w:val="4763532E"/>
    <w:rsid w:val="47B07B63"/>
    <w:rsid w:val="47EF7803"/>
    <w:rsid w:val="48211C89"/>
    <w:rsid w:val="48565A26"/>
    <w:rsid w:val="48621D83"/>
    <w:rsid w:val="48BD37CD"/>
    <w:rsid w:val="48CC36A0"/>
    <w:rsid w:val="490A76A8"/>
    <w:rsid w:val="49864801"/>
    <w:rsid w:val="49A34401"/>
    <w:rsid w:val="4A1D136F"/>
    <w:rsid w:val="4A3E30AB"/>
    <w:rsid w:val="4A5751EC"/>
    <w:rsid w:val="4A67190C"/>
    <w:rsid w:val="4AA91EEB"/>
    <w:rsid w:val="4AC14DAC"/>
    <w:rsid w:val="4AE9550D"/>
    <w:rsid w:val="4AF84C20"/>
    <w:rsid w:val="4BA96EC8"/>
    <w:rsid w:val="4BBB1920"/>
    <w:rsid w:val="4BC15012"/>
    <w:rsid w:val="4BD25472"/>
    <w:rsid w:val="4C0A4C0B"/>
    <w:rsid w:val="4C123AC0"/>
    <w:rsid w:val="4C285091"/>
    <w:rsid w:val="4C516396"/>
    <w:rsid w:val="4C6B2C64"/>
    <w:rsid w:val="4C8F6510"/>
    <w:rsid w:val="4C9D15DC"/>
    <w:rsid w:val="4D0A56C2"/>
    <w:rsid w:val="4D0C050F"/>
    <w:rsid w:val="4D154C85"/>
    <w:rsid w:val="4D537EEC"/>
    <w:rsid w:val="4DD54DA5"/>
    <w:rsid w:val="4DF01BDF"/>
    <w:rsid w:val="4E2875CB"/>
    <w:rsid w:val="4E976C7C"/>
    <w:rsid w:val="4EB12599"/>
    <w:rsid w:val="4EB35ECE"/>
    <w:rsid w:val="4EEF633A"/>
    <w:rsid w:val="4F0C47F7"/>
    <w:rsid w:val="4F306126"/>
    <w:rsid w:val="4FB05A0F"/>
    <w:rsid w:val="4FCE7CFE"/>
    <w:rsid w:val="4FEB6B02"/>
    <w:rsid w:val="4FFF25AD"/>
    <w:rsid w:val="50025BF9"/>
    <w:rsid w:val="50055E16"/>
    <w:rsid w:val="5052092F"/>
    <w:rsid w:val="505D6948"/>
    <w:rsid w:val="507765E7"/>
    <w:rsid w:val="508F4E24"/>
    <w:rsid w:val="50A76ECD"/>
    <w:rsid w:val="50AC54AE"/>
    <w:rsid w:val="50B96C00"/>
    <w:rsid w:val="510078F8"/>
    <w:rsid w:val="51020C27"/>
    <w:rsid w:val="511B5579"/>
    <w:rsid w:val="513E3305"/>
    <w:rsid w:val="51461E90"/>
    <w:rsid w:val="51463753"/>
    <w:rsid w:val="51721D7C"/>
    <w:rsid w:val="51A71304"/>
    <w:rsid w:val="51AB6ECF"/>
    <w:rsid w:val="52291B63"/>
    <w:rsid w:val="52320A18"/>
    <w:rsid w:val="524B1ADA"/>
    <w:rsid w:val="52553A93"/>
    <w:rsid w:val="527F1783"/>
    <w:rsid w:val="52AE4A26"/>
    <w:rsid w:val="5333606C"/>
    <w:rsid w:val="53521F8B"/>
    <w:rsid w:val="53876B42"/>
    <w:rsid w:val="53A56FC8"/>
    <w:rsid w:val="53CC09F8"/>
    <w:rsid w:val="53DB6E8D"/>
    <w:rsid w:val="53E22F47"/>
    <w:rsid w:val="54437F12"/>
    <w:rsid w:val="54522FF8"/>
    <w:rsid w:val="54774E08"/>
    <w:rsid w:val="55450629"/>
    <w:rsid w:val="55B856D8"/>
    <w:rsid w:val="56261760"/>
    <w:rsid w:val="56692963"/>
    <w:rsid w:val="568B0F48"/>
    <w:rsid w:val="56F1208A"/>
    <w:rsid w:val="56FE35BF"/>
    <w:rsid w:val="57482A8C"/>
    <w:rsid w:val="576109DB"/>
    <w:rsid w:val="5786217B"/>
    <w:rsid w:val="57B7551B"/>
    <w:rsid w:val="581B3CFC"/>
    <w:rsid w:val="581F559B"/>
    <w:rsid w:val="59337A15"/>
    <w:rsid w:val="595C62A8"/>
    <w:rsid w:val="59810274"/>
    <w:rsid w:val="59884257"/>
    <w:rsid w:val="5A6000EC"/>
    <w:rsid w:val="5A897643"/>
    <w:rsid w:val="5AAF1500"/>
    <w:rsid w:val="5B37709F"/>
    <w:rsid w:val="5B5A4B3C"/>
    <w:rsid w:val="5BC07095"/>
    <w:rsid w:val="5BD463A5"/>
    <w:rsid w:val="5BD82630"/>
    <w:rsid w:val="5BF16DC6"/>
    <w:rsid w:val="5C1967A5"/>
    <w:rsid w:val="5C4557EC"/>
    <w:rsid w:val="5C930305"/>
    <w:rsid w:val="5CA96A00"/>
    <w:rsid w:val="5CC94D93"/>
    <w:rsid w:val="5CDB3A5A"/>
    <w:rsid w:val="5CF730BC"/>
    <w:rsid w:val="5D7C523D"/>
    <w:rsid w:val="5DB84EB9"/>
    <w:rsid w:val="5E131EC4"/>
    <w:rsid w:val="5E3561D1"/>
    <w:rsid w:val="5E5F0DCE"/>
    <w:rsid w:val="5EAE21C6"/>
    <w:rsid w:val="5EB01642"/>
    <w:rsid w:val="5F0F06FB"/>
    <w:rsid w:val="5F183AB6"/>
    <w:rsid w:val="5FA40A7B"/>
    <w:rsid w:val="5FA665A1"/>
    <w:rsid w:val="5FB0504C"/>
    <w:rsid w:val="5FD56D29"/>
    <w:rsid w:val="5FEC7F3F"/>
    <w:rsid w:val="604C7149"/>
    <w:rsid w:val="606745F8"/>
    <w:rsid w:val="60F74BC3"/>
    <w:rsid w:val="611761ED"/>
    <w:rsid w:val="614E0C9F"/>
    <w:rsid w:val="61613BC9"/>
    <w:rsid w:val="61720E31"/>
    <w:rsid w:val="617D3BF8"/>
    <w:rsid w:val="61841F6A"/>
    <w:rsid w:val="61A13D7C"/>
    <w:rsid w:val="61CB2CF5"/>
    <w:rsid w:val="61CE7DA8"/>
    <w:rsid w:val="61D03DA9"/>
    <w:rsid w:val="61FC6F61"/>
    <w:rsid w:val="62043512"/>
    <w:rsid w:val="623007A9"/>
    <w:rsid w:val="628240CB"/>
    <w:rsid w:val="62CB03F8"/>
    <w:rsid w:val="62E874E1"/>
    <w:rsid w:val="637D7558"/>
    <w:rsid w:val="63BD1004"/>
    <w:rsid w:val="63C06A2F"/>
    <w:rsid w:val="644F19AC"/>
    <w:rsid w:val="645C7B76"/>
    <w:rsid w:val="64A26657"/>
    <w:rsid w:val="64F93617"/>
    <w:rsid w:val="64FF0C2E"/>
    <w:rsid w:val="6502071E"/>
    <w:rsid w:val="65186A6A"/>
    <w:rsid w:val="65AA4920"/>
    <w:rsid w:val="65E31D0B"/>
    <w:rsid w:val="665F74AA"/>
    <w:rsid w:val="666D423B"/>
    <w:rsid w:val="6692787F"/>
    <w:rsid w:val="66937291"/>
    <w:rsid w:val="66DB1226"/>
    <w:rsid w:val="66E3632D"/>
    <w:rsid w:val="674C6BAB"/>
    <w:rsid w:val="67694F1E"/>
    <w:rsid w:val="67B657F0"/>
    <w:rsid w:val="67D86126"/>
    <w:rsid w:val="68016A6B"/>
    <w:rsid w:val="68C006D4"/>
    <w:rsid w:val="68F22857"/>
    <w:rsid w:val="69154786"/>
    <w:rsid w:val="69597934"/>
    <w:rsid w:val="69766FE4"/>
    <w:rsid w:val="69AF0748"/>
    <w:rsid w:val="69C02956"/>
    <w:rsid w:val="6A326754"/>
    <w:rsid w:val="6ACD532A"/>
    <w:rsid w:val="6ADB7A47"/>
    <w:rsid w:val="6AEF34F2"/>
    <w:rsid w:val="6B964DDC"/>
    <w:rsid w:val="6BF500B0"/>
    <w:rsid w:val="6C783074"/>
    <w:rsid w:val="6CC72F52"/>
    <w:rsid w:val="6D9E65C6"/>
    <w:rsid w:val="6DA81947"/>
    <w:rsid w:val="6DA9556C"/>
    <w:rsid w:val="6DF332FA"/>
    <w:rsid w:val="6E337B9A"/>
    <w:rsid w:val="6E34121C"/>
    <w:rsid w:val="6E4753F3"/>
    <w:rsid w:val="6E647D53"/>
    <w:rsid w:val="6EB66DE2"/>
    <w:rsid w:val="6EBF142E"/>
    <w:rsid w:val="6ED07197"/>
    <w:rsid w:val="6ED3075F"/>
    <w:rsid w:val="6EEE22D6"/>
    <w:rsid w:val="6F2A2D4B"/>
    <w:rsid w:val="6F571666"/>
    <w:rsid w:val="6F63000B"/>
    <w:rsid w:val="6F775864"/>
    <w:rsid w:val="6F8A0C1E"/>
    <w:rsid w:val="6FC0720B"/>
    <w:rsid w:val="70311EB7"/>
    <w:rsid w:val="703F45D4"/>
    <w:rsid w:val="70467D61"/>
    <w:rsid w:val="70D721ED"/>
    <w:rsid w:val="70F52C1D"/>
    <w:rsid w:val="710475CC"/>
    <w:rsid w:val="713752AB"/>
    <w:rsid w:val="714E0847"/>
    <w:rsid w:val="715D6546"/>
    <w:rsid w:val="71BE069E"/>
    <w:rsid w:val="71C01745"/>
    <w:rsid w:val="71C147B5"/>
    <w:rsid w:val="72A42E14"/>
    <w:rsid w:val="72BD3ED6"/>
    <w:rsid w:val="72D66D46"/>
    <w:rsid w:val="737547B1"/>
    <w:rsid w:val="73953409"/>
    <w:rsid w:val="73A3131E"/>
    <w:rsid w:val="73D9089C"/>
    <w:rsid w:val="73E069A3"/>
    <w:rsid w:val="74382050"/>
    <w:rsid w:val="74820F33"/>
    <w:rsid w:val="74E25787"/>
    <w:rsid w:val="755F1275"/>
    <w:rsid w:val="756D25FC"/>
    <w:rsid w:val="75B75911"/>
    <w:rsid w:val="75DC4673"/>
    <w:rsid w:val="76007DF5"/>
    <w:rsid w:val="760360A4"/>
    <w:rsid w:val="763933D7"/>
    <w:rsid w:val="76544B51"/>
    <w:rsid w:val="7657019E"/>
    <w:rsid w:val="76C92E49"/>
    <w:rsid w:val="779531A8"/>
    <w:rsid w:val="77A54661"/>
    <w:rsid w:val="77BE04D4"/>
    <w:rsid w:val="77C644FB"/>
    <w:rsid w:val="78104AA8"/>
    <w:rsid w:val="781C32C2"/>
    <w:rsid w:val="786848E4"/>
    <w:rsid w:val="78E257C5"/>
    <w:rsid w:val="79017475"/>
    <w:rsid w:val="790E2D96"/>
    <w:rsid w:val="794B35BE"/>
    <w:rsid w:val="7984574E"/>
    <w:rsid w:val="798476A8"/>
    <w:rsid w:val="79CC221C"/>
    <w:rsid w:val="7A652E89"/>
    <w:rsid w:val="7A8C48BA"/>
    <w:rsid w:val="7A9D6AC7"/>
    <w:rsid w:val="7AAD2A82"/>
    <w:rsid w:val="7AF81F4F"/>
    <w:rsid w:val="7B0A3A31"/>
    <w:rsid w:val="7B3360ED"/>
    <w:rsid w:val="7B672C31"/>
    <w:rsid w:val="7B8437E3"/>
    <w:rsid w:val="7B9B0B2D"/>
    <w:rsid w:val="7BB10350"/>
    <w:rsid w:val="7BB75966"/>
    <w:rsid w:val="7BCE2CB0"/>
    <w:rsid w:val="7BDF037E"/>
    <w:rsid w:val="7BF50948"/>
    <w:rsid w:val="7C4132B5"/>
    <w:rsid w:val="7C4215EE"/>
    <w:rsid w:val="7C4A5F2C"/>
    <w:rsid w:val="7C6723F9"/>
    <w:rsid w:val="7CC876FF"/>
    <w:rsid w:val="7CCB71F0"/>
    <w:rsid w:val="7CE23AF4"/>
    <w:rsid w:val="7CE66A78"/>
    <w:rsid w:val="7CE82114"/>
    <w:rsid w:val="7D23564C"/>
    <w:rsid w:val="7D5E062D"/>
    <w:rsid w:val="7DF76CD8"/>
    <w:rsid w:val="7E9417F3"/>
    <w:rsid w:val="7ED148FF"/>
    <w:rsid w:val="7F0A04A3"/>
    <w:rsid w:val="7F695C26"/>
    <w:rsid w:val="7F8A5140"/>
    <w:rsid w:val="7FA033BD"/>
    <w:rsid w:val="7FA34F1F"/>
    <w:rsid w:val="7FCF62D3"/>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11"/>
    <w:basedOn w:val="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hjxjyj\Desktop\&#22270;&#34920;.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0"/>
              <a:t>决算收入支出图表</a:t>
            </a:r>
            <a:endParaRPr lang="zh-CN" altLang="en-US" b="0"/>
          </a:p>
        </c:rich>
      </c:tx>
      <c:layout/>
      <c:overlay val="0"/>
    </c:title>
    <c:autoTitleDeleted val="0"/>
    <c:plotArea>
      <c:layout/>
      <c:pieChart>
        <c:varyColors val="1"/>
        <c:ser>
          <c:idx val="0"/>
          <c:order val="0"/>
          <c:tx>
            <c:strRef>
              <c:f>Sheet1!$B$1</c:f>
              <c:strCache>
                <c:ptCount val="1"/>
                <c:pt idx="0">
                  <c:v>决算收入支出图表</c:v>
                </c:pt>
              </c:strCache>
            </c:strRef>
          </c:tx>
          <c:explosion val="25"/>
          <c:dPt>
            <c:idx val="0"/>
            <c:bubble3D val="0"/>
            <c:explosion val="0"/>
          </c:dPt>
          <c:dLbls>
            <c:delete val="1"/>
          </c:dLbls>
          <c:cat>
            <c:strRef>
              <c:f>Sheet1!$A$2</c:f>
              <c:strCache>
                <c:ptCount val="1"/>
                <c:pt idx="0">
                  <c:v>一般公共预算财政拨款收入</c:v>
                </c:pt>
              </c:strCache>
            </c:strRef>
          </c:cat>
          <c:val>
            <c:numRef>
              <c:f>Sheet1!$B$2</c:f>
              <c:numCache>
                <c:formatCode>General</c:formatCode>
                <c:ptCount val="1"/>
                <c:pt idx="0">
                  <c:v>523.24</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latin typeface="宋体" panose="02010600030101010101" charset="-122"/>
                <a:ea typeface="宋体" panose="02010600030101010101" charset="-122"/>
              </a:rPr>
              <a:t>对个人和家庭的补助</a:t>
            </a:r>
            <a:endParaRPr sz="18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[图表.xls]Sheet2!$D$10</c:f>
              <c:strCache>
                <c:ptCount val="1"/>
                <c:pt idx="0">
                  <c:v>科目代码</c:v>
                </c:pt>
              </c:strCache>
            </c:strRef>
          </c:tx>
          <c:spPr>
            <a:solidFill>
              <a:schemeClr val="accent1"/>
            </a:solidFill>
            <a:ln>
              <a:noFill/>
            </a:ln>
            <a:effectLst/>
          </c:spPr>
          <c:invertIfNegative val="0"/>
          <c:dLbls>
            <c:delete val="1"/>
          </c:dLbls>
          <c:cat>
            <c:numRef>
              <c:f>[图表.xls]Sheet2!$C$11:$C$12</c:f>
              <c:numCache>
                <c:formatCode>General</c:formatCode>
                <c:ptCount val="2"/>
                <c:pt idx="0">
                  <c:v>30304</c:v>
                </c:pt>
                <c:pt idx="1">
                  <c:v>30305</c:v>
                </c:pt>
              </c:numCache>
            </c:numRef>
          </c:cat>
          <c:val>
            <c:numRef>
              <c:f>[图表.xls]Sheet2!$D$11:$D$12</c:f>
              <c:numCache>
                <c:formatCode>General</c:formatCode>
                <c:ptCount val="2"/>
                <c:pt idx="0">
                  <c:v>0.39</c:v>
                </c:pt>
                <c:pt idx="1">
                  <c:v>53.14</c:v>
                </c:pt>
              </c:numCache>
            </c:numRef>
          </c:val>
        </c:ser>
        <c:dLbls>
          <c:showLegendKey val="0"/>
          <c:showVal val="0"/>
          <c:showCatName val="0"/>
          <c:showSerName val="0"/>
          <c:showPercent val="0"/>
          <c:showBubbleSize val="0"/>
        </c:dLbls>
        <c:gapWidth val="219"/>
        <c:overlap val="-27"/>
        <c:axId val="445306102"/>
        <c:axId val="865076229"/>
      </c:barChart>
      <c:catAx>
        <c:axId val="44530610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65076229"/>
        <c:crosses val="autoZero"/>
        <c:auto val="1"/>
        <c:lblAlgn val="ctr"/>
        <c:lblOffset val="100"/>
        <c:noMultiLvlLbl val="0"/>
      </c:catAx>
      <c:valAx>
        <c:axId val="86507622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3061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17.04</c:v>
                </c:pt>
                <c:pt idx="1">
                  <c:v>1289.57</c:v>
                </c:pt>
                <c:pt idx="2">
                  <c:v>107.08</c:v>
                </c:pt>
                <c:pt idx="3">
                  <c:v>90.17</c:v>
                </c:pt>
                <c:pt idx="4">
                  <c:v>80.35</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18.86</c:v>
                </c:pt>
                <c:pt idx="1">
                  <c:v>1448.29</c:v>
                </c:pt>
                <c:pt idx="2">
                  <c:v>138.17</c:v>
                </c:pt>
                <c:pt idx="3">
                  <c:v>103.56</c:v>
                </c:pt>
                <c:pt idx="4">
                  <c:v>151.39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18.86</c:v>
                </c:pt>
                <c:pt idx="1">
                  <c:v>18.86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2050202</c:v>
                </c:pt>
                <c:pt idx="1">
                  <c:v>2050203</c:v>
                </c:pt>
                <c:pt idx="2">
                  <c:v>2050299</c:v>
                </c:pt>
                <c:pt idx="3">
                  <c:v>2050999</c:v>
                </c:pt>
                <c:pt idx="4">
                  <c:v>205X</c:v>
                </c:pt>
              </c:strCache>
            </c:strRef>
          </c:cat>
          <c:val>
            <c:numRef>
              <c:f>Sheet1!$B$2:$B$6</c:f>
              <c:numCache>
                <c:formatCode>General</c:formatCode>
                <c:ptCount val="5"/>
                <c:pt idx="0">
                  <c:v>984.94</c:v>
                </c:pt>
                <c:pt idx="1">
                  <c:v>458.63</c:v>
                </c:pt>
                <c:pt idx="2">
                  <c:v>0</c:v>
                </c:pt>
                <c:pt idx="3">
                  <c:v>2.16</c:v>
                </c:pt>
                <c:pt idx="4">
                  <c:v>1445.73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138.17</c:v>
                </c:pt>
                <c:pt idx="1">
                  <c:v>138.17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103.57</c:v>
                </c:pt>
                <c:pt idx="1">
                  <c:v>103.57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151.39</c:v>
                </c:pt>
                <c:pt idx="1">
                  <c:v>151.39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#,##0.00</c:formatCode>
                <c:ptCount val="13"/>
                <c:pt idx="0">
                  <c:v>418.0572</c:v>
                </c:pt>
                <c:pt idx="1">
                  <c:v>130.9013</c:v>
                </c:pt>
                <c:pt idx="2">
                  <c:v>403.11216</c:v>
                </c:pt>
                <c:pt idx="3" c:formatCode="General">
                  <c:v>0</c:v>
                </c:pt>
                <c:pt idx="4">
                  <c:v>204.14622</c:v>
                </c:pt>
                <c:pt idx="5">
                  <c:v>138.16752</c:v>
                </c:pt>
                <c:pt idx="6" c:formatCode="General">
                  <c:v>0</c:v>
                </c:pt>
                <c:pt idx="7">
                  <c:v>54.489077</c:v>
                </c:pt>
                <c:pt idx="8" c:formatCode="General">
                  <c:v>0</c:v>
                </c:pt>
                <c:pt idx="9">
                  <c:v>6.783046</c:v>
                </c:pt>
                <c:pt idx="10">
                  <c:v>103.5653</c:v>
                </c:pt>
                <c:pt idx="11" c:formatCode="General">
                  <c:v>0</c:v>
                </c:pt>
                <c:pt idx="12" c:formatCode="General">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18.86</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3332</Words>
  <Characters>4258</Characters>
  <Lines>90</Lines>
  <Paragraphs>25</Paragraphs>
  <TotalTime>6</TotalTime>
  <ScaleCrop>false</ScaleCrop>
  <LinksUpToDate>false</LinksUpToDate>
  <CharactersWithSpaces>4314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2024-12-31T08:29:21Z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y fmtid="{D5CDD505-2E9C-101B-9397-08002B2CF9AE}" pid="4" name="KSOTemplateDocerSaveRecord">
    <vt:lpwstr>eyJoZGlkIjoiYmFlM2U2OWY5MzUyNGUzZGM4MDRhMWZkNDhmZTdkZTEifQ==</vt:lpwstr>
  </property>
</Properties>
</file>