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环江毛南族自治县长美乡中心幼儿园</w:t>
      </w:r>
      <w:r>
        <w:rPr>
          <w:rFonts w:hint="eastAsia" w:ascii="黑体" w:hAnsi="黑体" w:eastAsia="黑体" w:cs="黑体"/>
          <w:b/>
          <w:bCs/>
          <w:sz w:val="52"/>
          <w:szCs w:val="52"/>
          <w:highlight w:val="none"/>
          <w:lang w:eastAsia="zh-CN"/>
        </w:rPr>
        <w:t>2023年</w:t>
      </w:r>
      <w:r>
        <w:rPr>
          <w:rFonts w:hint="eastAsia" w:ascii="黑体" w:hAnsi="黑体" w:eastAsia="黑体" w:cs="黑体"/>
          <w:b/>
          <w:bCs/>
          <w:sz w:val="52"/>
          <w:szCs w:val="52"/>
          <w:highlight w:val="none"/>
        </w:rPr>
        <w:t>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default" w:ascii="黑体" w:hAnsi="黑体" w:eastAsia="黑体" w:cs="黑体"/>
          <w:b/>
          <w:bCs/>
          <w:sz w:val="36"/>
          <w:szCs w:val="36"/>
          <w:highlight w:val="none"/>
          <w:lang w:val="en-US" w:eastAsia="zh-CN"/>
        </w:rPr>
      </w:pPr>
      <w:r>
        <w:rPr>
          <w:rFonts w:hint="eastAsia" w:ascii="黑体" w:hAnsi="黑体" w:eastAsia="黑体" w:cs="黑体"/>
          <w:b/>
          <w:bCs/>
          <w:sz w:val="36"/>
          <w:szCs w:val="36"/>
          <w:highlight w:val="none"/>
          <w:lang w:val="en-US" w:eastAsia="zh-CN"/>
        </w:rPr>
        <w:t>单位负责人：廖幸妮</w:t>
      </w:r>
    </w:p>
    <w:p>
      <w:pPr>
        <w:jc w:val="center"/>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环江毛南族自治县长美乡中心幼儿园</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环江毛南族自治县长美乡中心幼儿园</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环江毛南族自治县长美乡中心幼儿园</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2023年</w:t>
      </w:r>
      <w:r>
        <w:rPr>
          <w:rFonts w:hint="eastAsia" w:ascii="仿宋_GB2312" w:eastAsia="仿宋_GB2312" w:cs="仿宋_GB2312"/>
          <w:kern w:val="0"/>
          <w:sz w:val="32"/>
          <w:szCs w:val="32"/>
          <w:highlight w:val="none"/>
        </w:rPr>
        <w:t>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2023年</w:t>
      </w:r>
      <w:r>
        <w:rPr>
          <w:rFonts w:hint="eastAsia" w:ascii="仿宋_GB2312" w:eastAsia="仿宋_GB2312" w:cs="仿宋_GB2312"/>
          <w:kern w:val="0"/>
          <w:sz w:val="32"/>
          <w:szCs w:val="32"/>
          <w:highlight w:val="none"/>
        </w:rPr>
        <w:t>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2023年</w:t>
      </w:r>
      <w:r>
        <w:rPr>
          <w:rFonts w:hint="eastAsia" w:ascii="仿宋_GB2312" w:eastAsia="仿宋_GB2312" w:cs="仿宋_GB2312"/>
          <w:kern w:val="0"/>
          <w:sz w:val="32"/>
          <w:szCs w:val="32"/>
          <w:highlight w:val="none"/>
        </w:rPr>
        <w:t>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2023年</w:t>
      </w:r>
      <w:r>
        <w:rPr>
          <w:rFonts w:hint="eastAsia" w:ascii="仿宋_GB2312" w:eastAsia="仿宋_GB2312" w:cs="仿宋_GB2312"/>
          <w:kern w:val="0"/>
          <w:sz w:val="32"/>
          <w:szCs w:val="32"/>
          <w:highlight w:val="none"/>
        </w:rPr>
        <w:t>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2023年</w:t>
      </w:r>
      <w:r>
        <w:rPr>
          <w:rFonts w:hint="eastAsia" w:ascii="仿宋_GB2312" w:eastAsia="仿宋_GB2312" w:cs="仿宋_GB2312"/>
          <w:kern w:val="0"/>
          <w:sz w:val="32"/>
          <w:szCs w:val="32"/>
          <w:highlight w:val="none"/>
        </w:rPr>
        <w:t>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环江毛南族自治县长美乡中心幼儿园</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（一）贯彻执行党和国家的教育方针、政策和法律法规；拟订全县教育改革与发展规划并组织实施。</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（二）督促检查全</w:t>
      </w:r>
      <w:r>
        <w:rPr>
          <w:rFonts w:hint="eastAsia" w:ascii="仿宋_GB2312" w:eastAsia="仿宋_GB2312" w:cs="仿宋_GB2312"/>
          <w:kern w:val="0"/>
          <w:sz w:val="32"/>
          <w:szCs w:val="32"/>
          <w:lang w:val="en-US" w:eastAsia="zh-CN"/>
        </w:rPr>
        <w:t>园</w:t>
      </w:r>
      <w:r>
        <w:rPr>
          <w:rFonts w:hint="eastAsia" w:ascii="仿宋_GB2312" w:eastAsia="仿宋_GB2312" w:cs="仿宋_GB2312"/>
          <w:kern w:val="0"/>
          <w:sz w:val="32"/>
          <w:szCs w:val="32"/>
        </w:rPr>
        <w:t>贯彻执行教育方针、政策、法令、法规和上级的各项规定；评估指导全</w:t>
      </w:r>
      <w:r>
        <w:rPr>
          <w:rFonts w:hint="eastAsia" w:ascii="仿宋_GB2312" w:eastAsia="仿宋_GB2312" w:cs="仿宋_GB2312"/>
          <w:kern w:val="0"/>
          <w:sz w:val="32"/>
          <w:szCs w:val="32"/>
          <w:lang w:val="en-US" w:eastAsia="zh-CN"/>
        </w:rPr>
        <w:t>园教</w:t>
      </w:r>
      <w:r>
        <w:rPr>
          <w:rFonts w:hint="eastAsia" w:ascii="仿宋_GB2312" w:eastAsia="仿宋_GB2312" w:cs="仿宋_GB2312"/>
          <w:kern w:val="0"/>
          <w:sz w:val="32"/>
          <w:szCs w:val="32"/>
        </w:rPr>
        <w:t>育教学工作。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三</w:t>
      </w:r>
      <w:r>
        <w:rPr>
          <w:rFonts w:hint="eastAsia" w:ascii="仿宋_GB2312" w:eastAsia="仿宋_GB2312" w:cs="仿宋_GB2312"/>
          <w:kern w:val="0"/>
          <w:sz w:val="32"/>
          <w:szCs w:val="32"/>
        </w:rPr>
        <w:t>）负责全</w:t>
      </w:r>
      <w:r>
        <w:rPr>
          <w:rFonts w:hint="eastAsia" w:ascii="仿宋_GB2312" w:eastAsia="仿宋_GB2312" w:cs="仿宋_GB2312"/>
          <w:kern w:val="0"/>
          <w:sz w:val="32"/>
          <w:szCs w:val="32"/>
          <w:lang w:val="en-US" w:eastAsia="zh-CN"/>
        </w:rPr>
        <w:t>园</w:t>
      </w:r>
      <w:r>
        <w:rPr>
          <w:rFonts w:hint="eastAsia" w:ascii="仿宋_GB2312" w:eastAsia="仿宋_GB2312" w:cs="仿宋_GB2312"/>
          <w:kern w:val="0"/>
          <w:sz w:val="32"/>
          <w:szCs w:val="32"/>
        </w:rPr>
        <w:t>教育队伍、人才队伍和教师队伍建设，包括后备干部队伍建设、教师学历教育、继续教育等。</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四</w:t>
      </w:r>
      <w:r>
        <w:rPr>
          <w:rFonts w:hint="eastAsia" w:ascii="仿宋_GB2312" w:eastAsia="仿宋_GB2312" w:cs="仿宋_GB2312"/>
          <w:kern w:val="0"/>
          <w:sz w:val="32"/>
          <w:szCs w:val="32"/>
        </w:rPr>
        <w:t>）检查学校教育教学设备的装备、管理和使用工作。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五</w:t>
      </w:r>
      <w:r>
        <w:rPr>
          <w:rFonts w:hint="eastAsia" w:ascii="仿宋_GB2312" w:eastAsia="仿宋_GB2312" w:cs="仿宋_GB2312"/>
          <w:kern w:val="0"/>
          <w:sz w:val="32"/>
          <w:szCs w:val="32"/>
        </w:rPr>
        <w:t>）负责全</w:t>
      </w:r>
      <w:r>
        <w:rPr>
          <w:rFonts w:hint="eastAsia" w:ascii="仿宋_GB2312" w:eastAsia="仿宋_GB2312" w:cs="仿宋_GB2312"/>
          <w:kern w:val="0"/>
          <w:sz w:val="32"/>
          <w:szCs w:val="32"/>
          <w:lang w:val="en-US" w:eastAsia="zh-CN"/>
        </w:rPr>
        <w:t>园</w:t>
      </w:r>
      <w:r>
        <w:rPr>
          <w:rFonts w:hint="eastAsia" w:ascii="仿宋_GB2312" w:eastAsia="仿宋_GB2312" w:cs="仿宋_GB2312"/>
          <w:kern w:val="0"/>
          <w:sz w:val="32"/>
          <w:szCs w:val="32"/>
        </w:rPr>
        <w:t>教师初级专业技术职务资格的评审，中、高级专业技术职务资格的申报工作。按照管理权限对教师进行考核、聘任、奖惩、晋升等工作。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六</w:t>
      </w:r>
      <w:r>
        <w:rPr>
          <w:rFonts w:hint="eastAsia" w:ascii="仿宋_GB2312" w:eastAsia="仿宋_GB2312" w:cs="仿宋_GB2312"/>
          <w:kern w:val="0"/>
          <w:sz w:val="32"/>
          <w:szCs w:val="32"/>
        </w:rPr>
        <w:t>）负责指导全</w:t>
      </w:r>
      <w:r>
        <w:rPr>
          <w:rFonts w:hint="eastAsia" w:ascii="仿宋_GB2312" w:eastAsia="仿宋_GB2312" w:cs="仿宋_GB2312"/>
          <w:kern w:val="0"/>
          <w:sz w:val="32"/>
          <w:szCs w:val="32"/>
          <w:lang w:val="en-US" w:eastAsia="zh-CN"/>
        </w:rPr>
        <w:t>园</w:t>
      </w:r>
      <w:r>
        <w:rPr>
          <w:rFonts w:hint="eastAsia" w:ascii="仿宋_GB2312" w:eastAsia="仿宋_GB2312" w:cs="仿宋_GB2312"/>
          <w:kern w:val="0"/>
          <w:sz w:val="32"/>
          <w:szCs w:val="32"/>
        </w:rPr>
        <w:t>学生资助工作。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七</w:t>
      </w:r>
      <w:r>
        <w:rPr>
          <w:rFonts w:hint="eastAsia" w:ascii="仿宋_GB2312" w:eastAsia="仿宋_GB2312" w:cs="仿宋_GB2312"/>
          <w:kern w:val="0"/>
          <w:sz w:val="32"/>
          <w:szCs w:val="32"/>
        </w:rPr>
        <w:t>）负责语言文字和指导推广普通话工作。</w:t>
      </w:r>
    </w:p>
    <w:p>
      <w:pPr>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八</w:t>
      </w:r>
      <w:r>
        <w:rPr>
          <w:rFonts w:hint="eastAsia" w:ascii="仿宋_GB2312" w:eastAsia="仿宋_GB2312" w:cs="仿宋_GB2312"/>
          <w:kern w:val="0"/>
          <w:sz w:val="32"/>
          <w:szCs w:val="32"/>
        </w:rPr>
        <w:t>）完成</w:t>
      </w:r>
      <w:r>
        <w:rPr>
          <w:rFonts w:hint="eastAsia" w:ascii="仿宋_GB2312" w:eastAsia="仿宋_GB2312" w:cs="仿宋_GB2312"/>
          <w:kern w:val="0"/>
          <w:sz w:val="32"/>
          <w:szCs w:val="32"/>
          <w:lang w:val="en-US" w:eastAsia="zh-CN"/>
        </w:rPr>
        <w:t>教育局</w:t>
      </w:r>
      <w:r>
        <w:rPr>
          <w:rFonts w:hint="eastAsia" w:ascii="仿宋_GB2312" w:eastAsia="仿宋_GB2312" w:cs="仿宋_GB2312"/>
          <w:kern w:val="0"/>
          <w:sz w:val="32"/>
          <w:szCs w:val="32"/>
        </w:rPr>
        <w:t>交办的其他工作</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仿宋" w:hAnsi="仿宋" w:eastAsia="仿宋" w:cs="仿宋"/>
          <w:sz w:val="32"/>
          <w:szCs w:val="32"/>
        </w:rPr>
      </w:pPr>
      <w:r>
        <w:rPr>
          <w:rFonts w:hint="eastAsia" w:ascii="仿宋_GB2312" w:eastAsia="仿宋_GB2312" w:cs="仿宋_GB2312"/>
          <w:kern w:val="0"/>
          <w:sz w:val="32"/>
          <w:szCs w:val="32"/>
          <w:lang w:val="en-US" w:eastAsia="zh-CN"/>
        </w:rPr>
        <w:t>长美乡中心幼儿园</w:t>
      </w:r>
      <w:r>
        <w:rPr>
          <w:rFonts w:hint="eastAsia" w:ascii="仿宋_GB2312" w:eastAsia="仿宋_GB2312" w:cs="仿宋_GB2312"/>
          <w:kern w:val="0"/>
          <w:sz w:val="32"/>
          <w:szCs w:val="32"/>
        </w:rPr>
        <w:t>有</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个内设机构，分别为：行政办公室、</w:t>
      </w:r>
      <w:r>
        <w:rPr>
          <w:rFonts w:hint="eastAsia" w:ascii="仿宋_GB2312" w:eastAsia="仿宋_GB2312" w:cs="仿宋_GB2312"/>
          <w:kern w:val="0"/>
          <w:sz w:val="32"/>
          <w:szCs w:val="32"/>
          <w:lang w:val="en-US" w:eastAsia="zh-CN"/>
        </w:rPr>
        <w:t>财务室。</w:t>
      </w:r>
    </w:p>
    <w:p>
      <w:pPr>
        <w:ind w:firstLine="640" w:firstLineChars="200"/>
        <w:jc w:val="left"/>
        <w:rPr>
          <w:rFonts w:hint="eastAsia" w:ascii="仿宋" w:hAnsi="仿宋" w:eastAsia="仿宋" w:cs="仿宋"/>
          <w:color w:val="FF0000"/>
          <w:sz w:val="32"/>
          <w:szCs w:val="32"/>
        </w:rPr>
      </w:pP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p>
    <w:p>
      <w:pPr>
        <w:ind w:firstLine="1600" w:firstLineChars="500"/>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环江毛南族自治县长美乡中心幼儿园</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度部门决算报表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公开的</w:t>
      </w:r>
      <w:r>
        <w:rPr>
          <w:rFonts w:hint="eastAsia" w:ascii="Times New Roman" w:hAnsi="Times New Roman" w:eastAsia="仿宋_GB2312" w:cs="Times New Roman"/>
          <w:sz w:val="32"/>
          <w:szCs w:val="32"/>
          <w:lang w:eastAsia="zh-CN"/>
        </w:rPr>
        <w:t>2023年</w:t>
      </w:r>
      <w:r>
        <w:rPr>
          <w:rFonts w:ascii="Times New Roman" w:hAnsi="Times New Roman" w:eastAsia="仿宋_GB2312" w:cs="Times New Roman"/>
          <w:sz w:val="32"/>
          <w:szCs w:val="32"/>
        </w:rPr>
        <w:t>度本部门决算报表共9张（详见附表），均取数自</w:t>
      </w:r>
      <w:r>
        <w:rPr>
          <w:rFonts w:hint="eastAsia" w:ascii="Times New Roman" w:hAnsi="Times New Roman" w:eastAsia="仿宋_GB2312" w:cs="Times New Roman"/>
          <w:sz w:val="32"/>
          <w:szCs w:val="32"/>
          <w:lang w:eastAsia="zh-CN"/>
        </w:rPr>
        <w:t>2023年</w:t>
      </w:r>
      <w:r>
        <w:rPr>
          <w:rFonts w:ascii="Times New Roman" w:hAnsi="Times New Roman" w:eastAsia="仿宋_GB2312" w:cs="Times New Roman"/>
          <w:sz w:val="32"/>
          <w:szCs w:val="32"/>
        </w:rPr>
        <w:t>度部门决算报表，分别为：</w:t>
      </w:r>
    </w:p>
    <w:p>
      <w:pPr>
        <w:jc w:val="center"/>
        <w:rPr>
          <w:rFonts w:hint="eastAsia" w:ascii="黑体" w:hAnsi="黑体" w:eastAsia="黑体" w:cs="黑体"/>
          <w:sz w:val="32"/>
          <w:szCs w:val="32"/>
          <w:highlight w:val="none"/>
        </w:rPr>
      </w:pP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环江毛南族自治县长美乡中心幼儿园</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153.54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131.94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0"/>
                <w:szCs w:val="20"/>
                <w:u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0"/>
                <w:szCs w:val="20"/>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0"/>
                <w:szCs w:val="20"/>
                <w:u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0"/>
                <w:szCs w:val="20"/>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0"/>
                <w:szCs w:val="20"/>
                <w:u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0"/>
                <w:szCs w:val="20"/>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153.54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153.54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153.54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153.54</w:t>
            </w:r>
          </w:p>
        </w:tc>
      </w:tr>
      <w:tr>
        <w:tblPrEx>
          <w:tblCellMar>
            <w:top w:w="0" w:type="dxa"/>
            <w:left w:w="108" w:type="dxa"/>
            <w:bottom w:w="0" w:type="dxa"/>
            <w:right w:w="108" w:type="dxa"/>
          </w:tblCellMar>
        </w:tblPrEx>
        <w:trPr>
          <w:trHeight w:val="334" w:hRule="atLeast"/>
        </w:trPr>
        <w:tc>
          <w:tcPr>
            <w:tcW w:w="13940" w:type="dxa"/>
            <w:gridSpan w:val="6"/>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CellMar>
            <w:top w:w="0" w:type="dxa"/>
            <w:left w:w="108" w:type="dxa"/>
            <w:bottom w:w="0" w:type="dxa"/>
            <w:right w:w="108" w:type="dxa"/>
          </w:tblCellMar>
        </w:tblPrEx>
        <w:trPr>
          <w:trHeight w:val="334" w:hRule="atLeast"/>
        </w:trPr>
        <w:tc>
          <w:tcPr>
            <w:tcW w:w="13940" w:type="dxa"/>
            <w:gridSpan w:val="6"/>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环江毛南族自治县长美乡中心幼儿园</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本年收入合计</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财政拨款收入</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上级补助收入</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事业收入</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经营收入</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附属单位上缴收入</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其他收入</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科目代码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科目名称</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153.54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153.54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000000"/>
                <w:sz w:val="22"/>
                <w:szCs w:val="22"/>
                <w:u w:val="none"/>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000000"/>
                <w:sz w:val="22"/>
                <w:szCs w:val="22"/>
                <w:u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000000"/>
                <w:sz w:val="22"/>
                <w:szCs w:val="22"/>
                <w:u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000000"/>
                <w:sz w:val="22"/>
                <w:szCs w:val="22"/>
                <w:u w:val="none"/>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学前教育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131.94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131.94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环江毛南族自治县长美乡中心幼儿园</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本年支出合计</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基本支出</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项目支出</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上缴上级支出</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经营支出</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对附属单位补助支出</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科目代码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科目名称</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153.54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82.89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70.65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000000"/>
                <w:sz w:val="22"/>
                <w:szCs w:val="22"/>
                <w:u w:val="none"/>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000000"/>
                <w:sz w:val="22"/>
                <w:szCs w:val="22"/>
                <w:u w:val="none"/>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学前教育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131.94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70.65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表四：财政拨款收入支出决算总表</w:t>
      </w:r>
    </w:p>
    <w:p>
      <w:pPr>
        <w:jc w:val="left"/>
        <w:rPr>
          <w:rFonts w:hint="eastAsia" w:ascii="仿宋" w:hAnsi="仿宋" w:eastAsia="仿宋" w:cs="仿宋"/>
          <w:sz w:val="24"/>
          <w:highlight w:val="none"/>
        </w:rPr>
      </w:pPr>
    </w:p>
    <w:tbl>
      <w:tblPr>
        <w:tblStyle w:val="6"/>
        <w:tblW w:w="4965"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7"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环江毛南族自治县长美乡中心幼儿园</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行次</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金额</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行次</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合计</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栏次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153.54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131.94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131.94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0"/>
                <w:szCs w:val="20"/>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0"/>
                <w:szCs w:val="20"/>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0"/>
                <w:szCs w:val="20"/>
                <w:u w:val="none"/>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153.54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153.54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153.54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总计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153.54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153.54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153.54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0"/>
                <w:szCs w:val="20"/>
                <w:u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环江毛南族自治县长美乡中心幼儿园</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科目代码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科目名称</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小计</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基本支出</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项目支出</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153.54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82.89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70.65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学前教育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131.94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70.65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keepNext w:val="0"/>
        <w:keepLines w:val="0"/>
        <w:suppressLineNumbers w:val="0"/>
        <w:spacing w:before="0" w:beforeAutospacing="0" w:after="0" w:afterAutospacing="0"/>
        <w:ind w:left="0" w:right="0"/>
        <w:jc w:val="left"/>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496"/>
        <w:gridCol w:w="890"/>
        <w:gridCol w:w="2347"/>
        <w:gridCol w:w="1563"/>
        <w:gridCol w:w="770"/>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9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9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7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环江毛南族自治县长美乡中心幼儿园</w:t>
            </w:r>
          </w:p>
        </w:tc>
        <w:tc>
          <w:tcPr>
            <w:tcW w:w="156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7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97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人员经费</w:t>
            </w:r>
          </w:p>
        </w:tc>
        <w:tc>
          <w:tcPr>
            <w:tcW w:w="902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科目代码</w:t>
            </w: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科目名称</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决算数</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8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科目代码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科目名称</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决算数</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7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科目代码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科目名称</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决算数</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bookmarkStart w:id="0" w:name="OLE_LINK4"/>
            <w:bookmarkStart w:id="1" w:name="OLE_LINK3"/>
            <w:r>
              <w:rPr>
                <w:rFonts w:hint="eastAsia" w:ascii="宋体" w:hAnsi="宋体" w:eastAsia="宋体" w:cs="宋体"/>
                <w:i w:val="0"/>
                <w:iCs w:val="0"/>
                <w:color w:val="000000"/>
                <w:kern w:val="0"/>
                <w:sz w:val="22"/>
                <w:szCs w:val="22"/>
                <w:u w:val="none"/>
                <w:lang w:val="en-US" w:eastAsia="zh-CN" w:bidi="ar"/>
              </w:rPr>
              <w:t>工资福利支出</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81.70</w:t>
            </w: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商品和服务支出</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27.31</w:t>
            </w: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6.41</w:t>
            </w: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奖金</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15.94</w:t>
            </w: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14.99</w:t>
            </w: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水费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7.80</w:t>
            </w: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电费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3.22</w:t>
            </w: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0.39</w:t>
            </w: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5.64</w:t>
            </w: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0.01</w:t>
            </w: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0.01</w:t>
            </w: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5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2"/>
                <w:szCs w:val="22"/>
                <w:u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sz w:val="22"/>
                <w:szCs w:val="22"/>
                <w:u w:val="none"/>
              </w:rPr>
            </w:pPr>
          </w:p>
        </w:tc>
      </w:tr>
      <w:bookmarkEnd w:id="0"/>
      <w:bookmarkEnd w:id="1"/>
      <w:tr>
        <w:tblPrEx>
          <w:tblCellMar>
            <w:top w:w="0" w:type="dxa"/>
            <w:left w:w="108" w:type="dxa"/>
            <w:bottom w:w="0" w:type="dxa"/>
            <w:right w:w="108" w:type="dxa"/>
          </w:tblCellMar>
        </w:tblPrEx>
        <w:trPr>
          <w:trHeight w:val="624" w:hRule="atLeast"/>
        </w:trPr>
        <w:tc>
          <w:tcPr>
            <w:tcW w:w="34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人员经费合计</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81.70</w:t>
            </w:r>
          </w:p>
        </w:tc>
        <w:tc>
          <w:tcPr>
            <w:tcW w:w="771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公用经费合计</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keepNext w:val="0"/>
        <w:keepLines w:val="0"/>
        <w:suppressLineNumbers w:val="0"/>
        <w:spacing w:before="0" w:beforeAutospacing="0" w:after="0" w:afterAutospacing="0"/>
        <w:ind w:left="0" w:right="0"/>
        <w:jc w:val="left"/>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表</w:t>
      </w:r>
      <w:r>
        <w:rPr>
          <w:rFonts w:hint="eastAsia" w:ascii="黑体" w:hAnsi="黑体" w:eastAsia="黑体" w:cs="黑体"/>
          <w:b w:val="0"/>
          <w:bCs w:val="0"/>
          <w:sz w:val="32"/>
          <w:szCs w:val="32"/>
          <w:highlight w:val="none"/>
          <w:lang w:val="en-US" w:eastAsia="zh-CN"/>
        </w:rPr>
        <w:t>七</w:t>
      </w:r>
      <w:r>
        <w:rPr>
          <w:rFonts w:hint="eastAsia" w:ascii="黑体" w:hAnsi="黑体" w:eastAsia="黑体" w:cs="黑体"/>
          <w:b w:val="0"/>
          <w:bCs w:val="0"/>
          <w:sz w:val="32"/>
          <w:szCs w:val="32"/>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环江毛南族自治县长美乡中心幼儿园</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9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本部门2023年度没有政府性基金预算财政拨款收入，也没有政府性基金预算财政拨款安排的支出，故本表无数据。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 w:type="dxa"/>
          <w:trHeight w:val="9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表</w:t>
      </w:r>
      <w:r>
        <w:rPr>
          <w:rFonts w:hint="eastAsia" w:ascii="黑体" w:hAnsi="黑体" w:eastAsia="黑体" w:cs="黑体"/>
          <w:b w:val="0"/>
          <w:bCs w:val="0"/>
          <w:sz w:val="32"/>
          <w:szCs w:val="32"/>
          <w:highlight w:val="none"/>
          <w:lang w:val="en-US" w:eastAsia="zh-CN"/>
        </w:rPr>
        <w:t>八</w:t>
      </w:r>
      <w:r>
        <w:rPr>
          <w:rFonts w:hint="eastAsia" w:ascii="黑体" w:hAnsi="黑体" w:eastAsia="黑体" w:cs="黑体"/>
          <w:b w:val="0"/>
          <w:bCs w:val="0"/>
          <w:sz w:val="32"/>
          <w:szCs w:val="32"/>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环江毛南族自治县长美乡中心幼儿园</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本部门2023年度没有国有资本经营预算财政拨款收入，也没有国有资本经营预算财政拨款安排的支出，故本表无数据。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表九：</w:t>
            </w:r>
            <w:r>
              <w:rPr>
                <w:rFonts w:hint="eastAsia" w:ascii="黑体" w:hAnsi="黑体" w:eastAsia="黑体" w:cs="黑体"/>
                <w:b w:val="0"/>
                <w:bCs w:val="0"/>
                <w:sz w:val="32"/>
                <w:szCs w:val="32"/>
                <w:highlight w:val="none"/>
              </w:rPr>
              <w:t>财政拨款“三公”经费支出决算表</w:t>
            </w:r>
          </w:p>
          <w:p>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环江毛南族自治县长美乡中心幼儿园</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w:t>
            </w:r>
            <w:r>
              <w:rPr>
                <w:rFonts w:hint="eastAsia" w:ascii="宋体" w:hAnsi="宋体" w:eastAsia="宋体" w:cs="宋体"/>
                <w:color w:val="000000"/>
                <w:kern w:val="0"/>
                <w:sz w:val="22"/>
                <w:szCs w:val="22"/>
                <w:highlight w:val="none"/>
                <w:lang w:val="en-US" w:eastAsia="zh-CN" w:bidi="ar"/>
              </w:rPr>
              <w:t>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 xml:space="preserve">本部门2023年度没有财政拨款“三公”经费收入，也没有财政拨款“三公”经费安排的支出，故本表无数据。 </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pgNumType w:fmt="decimal"/>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环江毛南族自治县长美乡中心幼儿园</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度总收入</w:t>
      </w:r>
      <w:r>
        <w:rPr>
          <w:rFonts w:hint="eastAsia" w:ascii="仿宋" w:hAnsi="仿宋" w:eastAsia="仿宋" w:cs="仿宋"/>
          <w:sz w:val="32"/>
          <w:u w:color="auto"/>
          <w:lang w:val="en-US" w:eastAsia="zh-CN"/>
        </w:rPr>
        <w:t>153.54</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u w:color="auto"/>
          <w:lang w:val="en-US" w:eastAsia="zh-CN"/>
        </w:rPr>
        <w:t>增加39.96</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增加35</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153.54</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153.54</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39.96</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35</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主要原因：2023年较2022年学生人数有所增长，事业收入全部纳入一般公共预算财政拨款收入</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本单位本年度无</w:t>
      </w:r>
      <w:r>
        <w:rPr>
          <w:rFonts w:hint="eastAsia" w:ascii="仿宋" w:hAnsi="仿宋" w:eastAsia="仿宋" w:cs="仿宋"/>
          <w:kern w:val="2"/>
          <w:sz w:val="32"/>
          <w:szCs w:val="32"/>
          <w:highlight w:val="none"/>
          <w:lang w:val="en-US" w:eastAsia="zh-CN" w:bidi="ar"/>
        </w:rPr>
        <w:t>政府性基金预算财政拨款收入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主要原因是：本单位本年度</w:t>
      </w:r>
      <w:r>
        <w:rPr>
          <w:rFonts w:hint="eastAsia" w:ascii="仿宋" w:hAnsi="仿宋" w:eastAsia="仿宋" w:cs="仿宋"/>
          <w:kern w:val="2"/>
          <w:sz w:val="32"/>
          <w:szCs w:val="32"/>
          <w:highlight w:val="none"/>
          <w:lang w:val="en-US" w:eastAsia="zh-CN" w:bidi="ar"/>
        </w:rPr>
        <w:t>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主要原因是：本单位本年度没有上级补助收入。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本单位本年度</w:t>
      </w:r>
      <w:r>
        <w:rPr>
          <w:rFonts w:hint="eastAsia" w:ascii="Times New Roman" w:hAnsi="Times New Roman" w:eastAsia="仿宋_GB2312" w:cs="Times New Roman"/>
          <w:kern w:val="0"/>
          <w:sz w:val="32"/>
          <w:szCs w:val="32"/>
        </w:rPr>
        <w:t>保教费收入全部纳入一般公共预算财政拨款收入</w:t>
      </w:r>
      <w:r>
        <w:rPr>
          <w:rFonts w:hint="default" w:ascii="Times New Roman" w:hAnsi="Times New Roman" w:eastAsia="仿宋_GB2312" w:cs="Times New Roman"/>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本单位本年度没有经营性收入。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项目已在本年执行完毕，不需要结转至下年继续执行。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486150"/>
            <wp:effectExtent l="4445" t="4445" r="20955" b="1460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度总支出</w:t>
      </w:r>
      <w:r>
        <w:rPr>
          <w:rFonts w:hint="eastAsia" w:ascii="仿宋" w:hAnsi="仿宋" w:eastAsia="仿宋" w:cs="仿宋"/>
          <w:sz w:val="32"/>
          <w:u w:color="auto"/>
          <w:lang w:val="en-US" w:eastAsia="zh-CN"/>
        </w:rPr>
        <w:t>153.54</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153.54</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u w:color="auto"/>
          <w:lang w:val="en-US" w:eastAsia="zh-CN"/>
        </w:rPr>
        <w:t>增加39.96</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增长35</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1.19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工会活动费用</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0.7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142.8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Times New Roman" w:hAnsi="Times New Roman" w:eastAsia="仿宋_GB2312" w:cs="Times New Roman"/>
          <w:kern w:val="0"/>
          <w:sz w:val="32"/>
          <w:szCs w:val="32"/>
          <w:lang w:eastAsia="zh-CN"/>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131.94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kern w:val="0"/>
          <w:sz w:val="32"/>
          <w:szCs w:val="32"/>
        </w:rPr>
        <w:t>人员基本工资，商品服务支出。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bidi="ar"/>
        </w:rPr>
        <w:t>增加33.2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增长33.62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ascii="Times New Roman" w:hAnsi="Times New Roman" w:eastAsia="仿宋_GB2312" w:cs="Times New Roman"/>
          <w:kern w:val="0"/>
          <w:sz w:val="32"/>
          <w:szCs w:val="32"/>
        </w:rPr>
        <w:t>教职工人数</w:t>
      </w:r>
      <w:r>
        <w:rPr>
          <w:rFonts w:hint="eastAsia" w:ascii="Times New Roman" w:hAnsi="Times New Roman" w:eastAsia="仿宋_GB2312" w:cs="Times New Roman"/>
          <w:kern w:val="0"/>
          <w:sz w:val="32"/>
          <w:szCs w:val="32"/>
          <w:lang w:val="en-US" w:eastAsia="zh-CN"/>
        </w:rPr>
        <w:t>增加、</w:t>
      </w:r>
      <w:r>
        <w:rPr>
          <w:rFonts w:hint="eastAsia" w:ascii="Times New Roman" w:hAnsi="Times New Roman" w:eastAsia="仿宋_GB2312" w:cs="Times New Roman"/>
          <w:kern w:val="0"/>
          <w:sz w:val="32"/>
          <w:szCs w:val="32"/>
        </w:rPr>
        <w:t>商品服务支出</w:t>
      </w:r>
      <w:r>
        <w:rPr>
          <w:rFonts w:hint="eastAsia" w:ascii="Times New Roman" w:hAnsi="Times New Roman" w:eastAsia="仿宋_GB2312" w:cs="Times New Roman"/>
          <w:kern w:val="0"/>
          <w:sz w:val="32"/>
          <w:szCs w:val="32"/>
          <w:lang w:val="en-US" w:eastAsia="zh-CN"/>
        </w:rPr>
        <w:t>增加</w:t>
      </w:r>
      <w:r>
        <w:rPr>
          <w:rFonts w:hint="eastAsia" w:ascii="Times New Roman" w:hAnsi="Times New Roman" w:eastAsia="仿宋_GB2312" w:cs="Times New Roman"/>
          <w:kern w:val="0"/>
          <w:sz w:val="32"/>
          <w:szCs w:val="32"/>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Times New Roman" w:hAnsi="Times New Roman" w:eastAsia="仿宋_GB2312" w:cs="Times New Roman"/>
          <w:kern w:val="0"/>
          <w:sz w:val="32"/>
          <w:szCs w:val="32"/>
          <w:lang w:eastAsia="zh-CN"/>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7.8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kern w:val="0"/>
          <w:sz w:val="32"/>
          <w:szCs w:val="32"/>
        </w:rPr>
        <w:t>主要用于</w:t>
      </w:r>
      <w:r>
        <w:rPr>
          <w:rFonts w:hint="eastAsia" w:ascii="Times New Roman" w:hAnsi="Times New Roman" w:eastAsia="仿宋_GB2312" w:cs="Times New Roman"/>
          <w:kern w:val="0"/>
          <w:sz w:val="32"/>
          <w:szCs w:val="32"/>
          <w:lang w:val="en-US" w:eastAsia="zh-CN"/>
        </w:rPr>
        <w:t>五险</w:t>
      </w:r>
      <w:r>
        <w:rPr>
          <w:rFonts w:hint="eastAsia" w:ascii="Times New Roman" w:hAnsi="Times New Roman" w:eastAsia="仿宋_GB2312" w:cs="Times New Roman"/>
          <w:kern w:val="0"/>
          <w:sz w:val="32"/>
          <w:szCs w:val="32"/>
        </w:rPr>
        <w:t>单位缴费</w:t>
      </w:r>
      <w:r>
        <w:rPr>
          <w:rFonts w:hint="eastAsia" w:ascii="Times New Roman" w:hAnsi="Times New Roman" w:eastAsia="仿宋_GB2312" w:cs="Times New Roman"/>
          <w:kern w:val="0"/>
          <w:sz w:val="32"/>
          <w:szCs w:val="32"/>
          <w:lang w:val="en-US" w:eastAsia="zh-CN"/>
        </w:rPr>
        <w:t>部分</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3.17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68.47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主要原因是：教职工人数增加、</w:t>
      </w:r>
      <w:r>
        <w:rPr>
          <w:rFonts w:ascii="Times New Roman" w:hAnsi="Times New Roman" w:eastAsia="仿宋_GB2312" w:cs="Times New Roman"/>
          <w:kern w:val="0"/>
          <w:sz w:val="32"/>
          <w:szCs w:val="32"/>
        </w:rPr>
        <w:t>五险</w:t>
      </w:r>
      <w:r>
        <w:rPr>
          <w:rFonts w:hint="eastAsia" w:ascii="Times New Roman" w:hAnsi="Times New Roman" w:eastAsia="仿宋_GB2312" w:cs="Times New Roman"/>
          <w:kern w:val="0"/>
          <w:sz w:val="32"/>
          <w:szCs w:val="32"/>
          <w:lang w:val="en-US" w:eastAsia="zh-CN"/>
        </w:rPr>
        <w:t>缴费</w:t>
      </w:r>
      <w:r>
        <w:rPr>
          <w:rFonts w:ascii="Times New Roman" w:hAnsi="Times New Roman" w:eastAsia="仿宋_GB2312" w:cs="Times New Roman"/>
          <w:kern w:val="0"/>
          <w:sz w:val="32"/>
          <w:szCs w:val="32"/>
        </w:rPr>
        <w:t>基数提高</w:t>
      </w:r>
      <w:r>
        <w:rPr>
          <w:rFonts w:hint="eastAsia" w:ascii="Times New Roman" w:hAnsi="Times New Roman" w:eastAsia="仿宋_GB2312" w:cs="Times New Roman"/>
          <w:kern w:val="0"/>
          <w:sz w:val="32"/>
          <w:szCs w:val="32"/>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_GB2312" w:cs="仿宋"/>
          <w:sz w:val="32"/>
          <w:szCs w:val="32"/>
          <w:highlight w:val="none"/>
          <w:lang w:val="en-US" w:eastAsia="zh-CN"/>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3.29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kern w:val="0"/>
          <w:sz w:val="32"/>
          <w:szCs w:val="32"/>
        </w:rPr>
        <w:t>住房公积金缴费</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2.35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71.43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主要原因是：,职工人数增加、员工</w:t>
      </w:r>
      <w:r>
        <w:rPr>
          <w:rFonts w:hint="eastAsia" w:ascii="Times New Roman" w:hAnsi="Times New Roman" w:eastAsia="仿宋_GB2312" w:cs="Times New Roman"/>
          <w:kern w:val="0"/>
          <w:sz w:val="32"/>
          <w:szCs w:val="32"/>
          <w:lang w:val="en-US" w:eastAsia="zh-CN"/>
        </w:rPr>
        <w:t>缴费</w:t>
      </w:r>
      <w:r>
        <w:rPr>
          <w:rFonts w:ascii="Times New Roman" w:hAnsi="Times New Roman" w:eastAsia="仿宋_GB2312" w:cs="Times New Roman"/>
          <w:kern w:val="0"/>
          <w:sz w:val="32"/>
          <w:szCs w:val="32"/>
        </w:rPr>
        <w:t>基数提高</w:t>
      </w:r>
      <w:r>
        <w:rPr>
          <w:rFonts w:hint="eastAsia" w:ascii="Times New Roman" w:hAnsi="Times New Roman" w:eastAsia="仿宋_GB2312" w:cs="Times New Roman"/>
          <w:kern w:val="0"/>
          <w:sz w:val="32"/>
          <w:szCs w:val="32"/>
          <w:lang w:eastAsia="zh-CN"/>
        </w:rPr>
        <w:t>。</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6.96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教职工福利、办公费用、校舍维修</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0.53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8.24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大型维修刚需、办公、教师外出培训差旅报销增加。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2022年</w:t>
      </w:r>
      <w:r>
        <w:rPr>
          <w:rFonts w:hint="default" w:ascii="仿宋_GB2312" w:hAnsi="微软雅黑" w:eastAsia="仿宋_GB2312" w:cs="仿宋_GB2312"/>
          <w:i w:val="0"/>
          <w:iCs w:val="0"/>
          <w:caps w:val="0"/>
          <w:color w:val="000000"/>
          <w:spacing w:val="0"/>
          <w:sz w:val="31"/>
          <w:szCs w:val="31"/>
          <w:highlight w:val="none"/>
          <w:shd w:val="clear" w:color="auto" w:fill="FFFFFF"/>
        </w:rPr>
        <w:t>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lang w:eastAsia="zh-CN"/>
        </w:rPr>
        <w:t>。</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环江毛南族自治县长美乡中心幼儿园</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度一般公共预算财政拨款支出</w:t>
      </w:r>
      <w:r>
        <w:rPr>
          <w:rFonts w:hint="eastAsia" w:ascii="仿宋" w:hAnsi="仿宋" w:eastAsia="仿宋" w:cs="仿宋"/>
          <w:sz w:val="32"/>
          <w:u w:color="auto"/>
          <w:lang w:val="en-US" w:eastAsia="zh-CN"/>
        </w:rPr>
        <w:t>153.54</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u w:color="auto"/>
          <w:lang w:val="en-US" w:eastAsia="zh-CN"/>
        </w:rPr>
        <w:t>增加39.96</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增长35</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82.89</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70.65</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环江毛南族自治县长美乡中心幼儿园202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u w:color="auto"/>
          <w:lang w:val="en-US" w:eastAsia="zh-CN"/>
        </w:rPr>
        <w:t>140.95</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153.54</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108.9</w:t>
      </w:r>
      <w:r>
        <w:rPr>
          <w:rFonts w:ascii="仿宋" w:hAnsi="仿宋" w:eastAsia="仿宋" w:cs="仿宋"/>
          <w:sz w:val="32"/>
          <w:u w:color="auto"/>
        </w:rPr>
        <w:t>%</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1.19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1.19</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预决算无差异。</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工会活动经费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预决算无差异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工会活动经费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预决算无差异</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122.51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131.94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107.69</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原因是：本年度</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秋季学期公招新进人员1人，部分资金由上级部门预算直接下达，本单位无需预算。</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122.51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131.94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107.69%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人员工资、公用支出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秋季学期有新进人员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122.51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131.94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107.69%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人员工资、公用支出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秋季学期有新进人员</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9.86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7.8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79.1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原因是：缴费基数调整</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79.1%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职工基本养老保险单位支出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实际缴费基数低于预算基数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79.1%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职工基本养老保险单位支出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实际缴费基数低于预算基数</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7.39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5.64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76.32</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缴费基数调整。</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7.39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5.64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76.32%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职工住房公积金缴费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实际缴费基数低于预算基数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7.39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5.64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76.32%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职工住房公积金缴费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实际缴费基数低于预算基数</w:t>
            </w:r>
            <w:bookmarkStart w:id="5" w:name="_GoBack"/>
            <w:bookmarkEnd w:id="5"/>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000000" w:themeColor="text1"/>
          <w:highlight w:val="none"/>
          <w:lang w:val="en-US" w:eastAsia="zh-CN"/>
          <w14:textFill>
            <w14:solidFill>
              <w14:schemeClr w14:val="tx1"/>
            </w14:solidFill>
          </w14:textFill>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6.69</w:t>
      </w:r>
      <w:r>
        <w:rPr>
          <w:rFonts w:hint="eastAsia" w:ascii="仿宋" w:hAnsi="仿宋" w:eastAsia="仿宋"/>
          <w:sz w:val="32"/>
          <w:szCs w:val="32"/>
          <w:highlight w:val="none"/>
        </w:rPr>
        <w:t>万元。</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此项资金由上级部门直接下达，本部门无需预算。</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6.69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绩效考评奖金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此项资金由上级部门直接下达，本部门无需预算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6.69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绩效考评奖金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此项资金由上级部门直接下达，本部门无需预算</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环江毛南族自治县长美乡中心幼儿园</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度一般公共预算财政拨款基本支出</w:t>
      </w:r>
      <w:r>
        <w:rPr>
          <w:rFonts w:hint="eastAsia" w:ascii="仿宋" w:hAnsi="仿宋" w:eastAsia="仿宋" w:cs="仿宋"/>
          <w:sz w:val="32"/>
          <w:u w:color="auto"/>
          <w:lang w:val="en-US" w:eastAsia="zh-CN"/>
        </w:rPr>
        <w:t>82.89</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81.70</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1.19</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81.67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108.75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主要原因是：23年</w:t>
      </w:r>
      <w:r>
        <w:rPr>
          <w:rFonts w:hint="eastAsia" w:ascii="仿宋" w:hAnsi="仿宋" w:eastAsia="仿宋" w:cs="仿宋"/>
          <w:color w:val="auto"/>
          <w:kern w:val="2"/>
          <w:sz w:val="32"/>
          <w:szCs w:val="32"/>
          <w:highlight w:val="none"/>
          <w:lang w:val="en-US" w:eastAsia="zh-CN" w:bidi="ar"/>
        </w:rPr>
        <w:t>秋季学期公招新进1位教师。</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27.31万元，30102津贴补贴6.41万元，30103奖金15.94万元，30107绩效工资14.99万元，30108机关事业单位基本养老保险缴费7.8万元，30110职工基本医疗保险缴费3.22万元，30112其他社会保障缴费0.39万元，30113住房公积金5.64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1.19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30228工会经费1.19万元。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ascii="仿宋" w:hAnsi="仿宋" w:eastAsia="仿宋" w:cs="仿宋"/>
          <w:sz w:val="32"/>
          <w:u w:color="auto"/>
        </w:rPr>
        <w:t>0.0</w:t>
      </w:r>
      <w:r>
        <w:rPr>
          <w:rFonts w:hint="eastAsia" w:ascii="仿宋" w:hAnsi="仿宋" w:eastAsia="仿宋" w:cs="仿宋"/>
          <w:sz w:val="32"/>
          <w:u w:color="auto"/>
          <w:lang w:val="en-US" w:eastAsia="zh-CN"/>
        </w:rPr>
        <w:t>06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30305生活补助0.006万元。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环江毛南族自治县长美乡中心幼儿园</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环江毛南族自治县长美乡中心幼儿园</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rPr>
        <w:t>环江毛南族自治县长美乡中心幼儿园</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环江毛南族自治县长美乡中心幼儿园</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环江毛南族自治县长美乡中心幼儿园202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4" w:name="PO_part3A5B1C1DiffReason1"/>
      <w:r>
        <w:rPr>
          <w:rFonts w:hint="eastAsia" w:ascii="仿宋_GB2312" w:hAnsi="Times New Roman" w:eastAsia="仿宋_GB2312" w:cs="Times New Roman"/>
          <w:color w:val="auto"/>
          <w:sz w:val="32"/>
          <w:szCs w:val="32"/>
        </w:rPr>
        <w:t>环江毛南族自治县长美乡中心幼儿园</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仿宋_GB2312" w:eastAsia="仿宋_GB2312" w:cs="仿宋_GB2312"/>
          <w:color w:val="auto"/>
          <w:sz w:val="32"/>
          <w:u w:color="auto"/>
          <w:lang w:val="en-US" w:eastAsia="zh-CN"/>
        </w:rPr>
        <w:t>安排的支出</w:t>
      </w:r>
      <w:r>
        <w:rPr>
          <w:rFonts w:hint="eastAsia" w:ascii="仿宋_GB2312" w:hAnsi="Times New Roman" w:eastAsia="仿宋_GB2312" w:cs="Times New Roman"/>
          <w:color w:val="auto"/>
          <w:sz w:val="32"/>
          <w:szCs w:val="32"/>
        </w:rPr>
        <w:t>。</w:t>
      </w:r>
      <w:bookmarkEnd w:id="4"/>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无三公经费支出。</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p>
    <w:p>
      <w:pPr>
        <w:ind w:firstLine="640" w:firstLineChars="200"/>
        <w:jc w:val="left"/>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w:t>
      </w:r>
      <w:r>
        <w:rPr>
          <w:rFonts w:ascii="仿宋" w:hAnsi="仿宋" w:eastAsia="仿宋" w:cs="仿宋"/>
          <w:sz w:val="32"/>
          <w:u w:color="auto"/>
        </w:rPr>
        <w:t>环江毛南族自治县长美乡中心幼儿园</w:t>
      </w:r>
      <w:r>
        <w:rPr>
          <w:rFonts w:hint="eastAsia" w:ascii="仿宋" w:hAnsi="仿宋" w:eastAsia="仿宋" w:cs="仿宋"/>
          <w:sz w:val="32"/>
          <w:szCs w:val="32"/>
          <w:highlight w:val="none"/>
        </w:rPr>
        <w:t>及所属单位开支财政拨款的公务用车保有量为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减少0.00</w:t>
      </w:r>
      <w:r>
        <w:rPr>
          <w:rFonts w:hint="eastAsia" w:ascii="仿宋" w:hAnsi="仿宋" w:eastAsia="仿宋" w:cs="仿宋"/>
          <w:sz w:val="32"/>
          <w:szCs w:val="32"/>
          <w:highlight w:val="none"/>
        </w:rPr>
        <w:t>万元，</w:t>
      </w:r>
      <w:r>
        <w:rPr>
          <w:rFonts w:ascii="仿宋" w:hAnsi="仿宋" w:eastAsia="仿宋" w:cs="仿宋"/>
          <w:sz w:val="32"/>
          <w:szCs w:val="32"/>
          <w:highlight w:val="none"/>
        </w:rPr>
        <w:t>下降0.00%</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原因是：落实过紧日子要求</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压减办公设施设备购置经费。</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val="en-US" w:eastAsia="zh-CN"/>
          <w14:textFill>
            <w14:solidFill>
              <w14:schemeClr w14:val="tx1"/>
            </w14:solidFill>
          </w14:textFill>
        </w:rPr>
        <w:t>三等项目1个，</w:t>
      </w:r>
      <w:r>
        <w:rPr>
          <w:rFonts w:hint="eastAsia" w:ascii="仿宋" w:hAnsi="仿宋" w:eastAsia="仿宋" w:cs="仿宋"/>
          <w:color w:val="000000" w:themeColor="text1"/>
          <w:sz w:val="32"/>
          <w:szCs w:val="32"/>
          <w14:textFill>
            <w14:solidFill>
              <w14:schemeClr w14:val="tx1"/>
            </w14:solidFill>
          </w14:textFill>
        </w:rPr>
        <w:t>共涉及资金</w:t>
      </w:r>
      <w:r>
        <w:rPr>
          <w:rFonts w:hint="eastAsia" w:ascii="仿宋" w:hAnsi="仿宋" w:eastAsia="仿宋" w:cs="仿宋"/>
          <w:color w:val="000000" w:themeColor="text1"/>
          <w:sz w:val="32"/>
          <w:szCs w:val="32"/>
          <w:lang w:val="en-US" w:eastAsia="zh-CN"/>
          <w14:textFill>
            <w14:solidFill>
              <w14:schemeClr w14:val="tx1"/>
            </w14:solidFill>
          </w14:textFill>
        </w:rPr>
        <w:t>87.30</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59.52</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left"/>
        <w:rPr>
          <w:rFonts w:hint="eastAsia" w:ascii="华文仿宋" w:hAnsi="华文仿宋" w:eastAsia="华文仿宋" w:cs="华文仿宋"/>
          <w:kern w:val="0"/>
          <w:sz w:val="32"/>
          <w:szCs w:val="32"/>
          <w:lang w:eastAsia="zh-CN"/>
        </w:rPr>
      </w:pPr>
      <w:r>
        <w:rPr>
          <w:rFonts w:hint="eastAsia" w:ascii="仿宋" w:hAnsi="仿宋" w:eastAsia="仿宋" w:cs="仿宋"/>
          <w:color w:val="000000" w:themeColor="text1"/>
          <w:sz w:val="32"/>
          <w:szCs w:val="32"/>
          <w14:textFill>
            <w14:solidFill>
              <w14:schemeClr w14:val="tx1"/>
            </w14:solidFill>
          </w14:textFill>
        </w:rPr>
        <w:t>组织对“学前教育免除保教费中央补助资金”等</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87.3</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Times New Roman" w:hAnsi="Times New Roman" w:eastAsia="仿宋_GB2312" w:cs="Times New Roman"/>
          <w:kern w:val="0"/>
          <w:sz w:val="32"/>
          <w:szCs w:val="32"/>
        </w:rPr>
        <w:t>整体综合评价结果良好</w:t>
      </w:r>
      <w:r>
        <w:rPr>
          <w:rFonts w:hint="eastAsia" w:ascii="Times New Roman" w:hAnsi="Times New Roman" w:eastAsia="仿宋_GB2312" w:cs="Times New Roman"/>
          <w:kern w:val="0"/>
          <w:sz w:val="32"/>
          <w:szCs w:val="32"/>
          <w:lang w:eastAsia="zh-CN"/>
        </w:rPr>
        <w:t>，</w:t>
      </w:r>
      <w:r>
        <w:rPr>
          <w:rFonts w:hint="eastAsia" w:ascii="华文仿宋" w:hAnsi="华文仿宋" w:eastAsia="华文仿宋" w:cs="华文仿宋"/>
          <w:kern w:val="0"/>
          <w:sz w:val="32"/>
          <w:szCs w:val="32"/>
        </w:rPr>
        <w:t>项目支出绩效达到了项目申请时设定的各项绩效目标</w:t>
      </w:r>
      <w:r>
        <w:rPr>
          <w:rFonts w:hint="eastAsia" w:ascii="华文仿宋" w:hAnsi="华文仿宋" w:eastAsia="华文仿宋" w:cs="华文仿宋"/>
          <w:kern w:val="0"/>
          <w:sz w:val="32"/>
          <w:szCs w:val="32"/>
          <w:lang w:eastAsia="zh-CN"/>
        </w:rPr>
        <w:t>，保障</w:t>
      </w:r>
      <w:r>
        <w:rPr>
          <w:rFonts w:hint="eastAsia" w:ascii="华文仿宋" w:hAnsi="华文仿宋" w:eastAsia="华文仿宋" w:cs="华文仿宋"/>
          <w:kern w:val="0"/>
          <w:sz w:val="32"/>
          <w:szCs w:val="32"/>
          <w:lang w:val="en-US" w:eastAsia="zh-CN"/>
        </w:rPr>
        <w:t>了</w:t>
      </w:r>
      <w:r>
        <w:rPr>
          <w:rFonts w:hint="eastAsia" w:ascii="华文仿宋" w:hAnsi="华文仿宋" w:eastAsia="华文仿宋" w:cs="华文仿宋"/>
          <w:kern w:val="0"/>
          <w:sz w:val="32"/>
          <w:szCs w:val="32"/>
          <w:lang w:eastAsia="zh-CN"/>
        </w:rPr>
        <w:t>学校各项工作</w:t>
      </w:r>
      <w:r>
        <w:rPr>
          <w:rFonts w:hint="eastAsia" w:ascii="华文仿宋" w:hAnsi="华文仿宋" w:eastAsia="华文仿宋" w:cs="华文仿宋"/>
          <w:kern w:val="0"/>
          <w:sz w:val="32"/>
          <w:szCs w:val="32"/>
          <w:lang w:val="en-US" w:eastAsia="zh-CN"/>
        </w:rPr>
        <w:t>经费</w:t>
      </w:r>
      <w:r>
        <w:rPr>
          <w:rFonts w:hint="eastAsia" w:ascii="华文仿宋" w:hAnsi="华文仿宋" w:eastAsia="华文仿宋" w:cs="华文仿宋"/>
          <w:kern w:val="0"/>
          <w:sz w:val="32"/>
          <w:szCs w:val="32"/>
          <w:lang w:eastAsia="zh-CN"/>
        </w:rPr>
        <w:t>正常</w:t>
      </w:r>
      <w:r>
        <w:rPr>
          <w:rFonts w:hint="eastAsia" w:ascii="华文仿宋" w:hAnsi="华文仿宋" w:eastAsia="华文仿宋" w:cs="华文仿宋"/>
          <w:kern w:val="0"/>
          <w:sz w:val="32"/>
          <w:szCs w:val="32"/>
          <w:lang w:val="en-US" w:eastAsia="zh-CN"/>
        </w:rPr>
        <w:t>开支，保障了学校的正常</w:t>
      </w:r>
      <w:r>
        <w:rPr>
          <w:rFonts w:hint="eastAsia" w:ascii="华文仿宋" w:hAnsi="华文仿宋" w:eastAsia="华文仿宋" w:cs="华文仿宋"/>
          <w:kern w:val="0"/>
          <w:sz w:val="32"/>
          <w:szCs w:val="32"/>
          <w:lang w:eastAsia="zh-CN"/>
        </w:rPr>
        <w:t>运转，为</w:t>
      </w:r>
      <w:r>
        <w:rPr>
          <w:rFonts w:hint="eastAsia" w:ascii="华文仿宋" w:hAnsi="华文仿宋" w:eastAsia="华文仿宋" w:cs="华文仿宋"/>
          <w:kern w:val="0"/>
          <w:sz w:val="32"/>
          <w:szCs w:val="32"/>
          <w:lang w:val="en-US" w:eastAsia="zh-CN"/>
        </w:rPr>
        <w:t>辖区内</w:t>
      </w:r>
      <w:r>
        <w:rPr>
          <w:rFonts w:hint="eastAsia" w:ascii="华文仿宋" w:hAnsi="华文仿宋" w:eastAsia="华文仿宋" w:cs="华文仿宋"/>
          <w:kern w:val="0"/>
          <w:sz w:val="32"/>
          <w:szCs w:val="32"/>
          <w:lang w:eastAsia="zh-CN"/>
        </w:rPr>
        <w:t>幼儿提供</w:t>
      </w:r>
      <w:r>
        <w:rPr>
          <w:rFonts w:hint="eastAsia" w:ascii="华文仿宋" w:hAnsi="华文仿宋" w:eastAsia="华文仿宋" w:cs="华文仿宋"/>
          <w:kern w:val="0"/>
          <w:sz w:val="32"/>
          <w:szCs w:val="32"/>
          <w:lang w:val="en-US" w:eastAsia="zh-CN"/>
        </w:rPr>
        <w:t>了</w:t>
      </w:r>
      <w:r>
        <w:rPr>
          <w:rFonts w:hint="eastAsia" w:ascii="华文仿宋" w:hAnsi="华文仿宋" w:eastAsia="华文仿宋" w:cs="华文仿宋"/>
          <w:kern w:val="0"/>
          <w:sz w:val="32"/>
          <w:szCs w:val="32"/>
          <w:lang w:eastAsia="zh-CN"/>
        </w:rPr>
        <w:t>高质量的</w:t>
      </w:r>
      <w:r>
        <w:rPr>
          <w:rFonts w:hint="eastAsia" w:ascii="华文仿宋" w:hAnsi="华文仿宋" w:eastAsia="华文仿宋" w:cs="华文仿宋"/>
          <w:kern w:val="0"/>
          <w:sz w:val="32"/>
          <w:szCs w:val="32"/>
          <w:lang w:val="en-US" w:eastAsia="zh-CN"/>
        </w:rPr>
        <w:t>学前</w:t>
      </w:r>
      <w:r>
        <w:rPr>
          <w:rFonts w:hint="eastAsia" w:ascii="华文仿宋" w:hAnsi="华文仿宋" w:eastAsia="华文仿宋" w:cs="华文仿宋"/>
          <w:kern w:val="0"/>
          <w:sz w:val="32"/>
          <w:szCs w:val="32"/>
          <w:lang w:eastAsia="zh-CN"/>
        </w:rPr>
        <w:t>教育服务。</w:t>
      </w:r>
    </w:p>
    <w:p>
      <w:pPr>
        <w:widowControl/>
        <w:spacing w:line="560"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本部门尚未开展部门整体支出绩效评价试点工作。</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学前教育免除保教费中央补助资金项目自评得分为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96.86</w:t>
      </w:r>
      <w:r>
        <w:rPr>
          <w:rFonts w:hint="eastAsia" w:ascii="仿宋" w:hAnsi="仿宋" w:eastAsia="仿宋" w:cs="仿宋"/>
          <w:color w:val="000000" w:themeColor="text1"/>
          <w:sz w:val="32"/>
          <w:szCs w:val="32"/>
          <w14:textFill>
            <w14:solidFill>
              <w14:schemeClr w14:val="tx1"/>
            </w14:solidFill>
          </w14:textFill>
        </w:rPr>
        <w:t>分。发现的主要问题及原因：是学校报账材料未能及时整理</w:t>
      </w:r>
      <w:r>
        <w:rPr>
          <w:rFonts w:hint="eastAsia" w:ascii="仿宋" w:hAnsi="仿宋" w:eastAsia="仿宋" w:cs="仿宋"/>
          <w:color w:val="000000" w:themeColor="text1"/>
          <w:sz w:val="32"/>
          <w:szCs w:val="32"/>
          <w:lang w:val="en-US" w:eastAsia="zh-CN"/>
          <w14:textFill>
            <w14:solidFill>
              <w14:schemeClr w14:val="tx1"/>
            </w14:solidFill>
          </w14:textFill>
        </w:rPr>
        <w:t>而延误支付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及时整理相关报账材料及时支付</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奖励性补贴(非三保)</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达成设定目标。</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学前教育免保教费县本级补助资金</w:t>
      </w:r>
      <w:r>
        <w:rPr>
          <w:rFonts w:hint="eastAsia" w:ascii="仿宋" w:hAnsi="仿宋" w:eastAsia="仿宋" w:cs="仿宋"/>
          <w:color w:val="000000" w:themeColor="text1"/>
          <w:sz w:val="32"/>
          <w:szCs w:val="32"/>
          <w:lang w:val="en-US" w:eastAsia="zh-CN"/>
          <w14:textFill>
            <w14:solidFill>
              <w14:schemeClr w14:val="tx1"/>
            </w14:solidFill>
          </w14:textFill>
        </w:rPr>
        <w:t>项目自评得分为84.09分。</w:t>
      </w:r>
      <w:r>
        <w:rPr>
          <w:rFonts w:hint="eastAsia" w:ascii="仿宋" w:hAnsi="仿宋" w:eastAsia="仿宋" w:cs="仿宋"/>
          <w:color w:val="000000" w:themeColor="text1"/>
          <w:sz w:val="32"/>
          <w:szCs w:val="32"/>
          <w14:textFill>
            <w14:solidFill>
              <w14:schemeClr w14:val="tx1"/>
            </w14:solidFill>
          </w14:textFill>
        </w:rPr>
        <w:t>发现的主要问题及原因：是学校各类票据、发票未能及时整理报账。下一步改进措施：</w:t>
      </w:r>
      <w:r>
        <w:rPr>
          <w:rFonts w:hint="eastAsia" w:ascii="仿宋" w:hAnsi="仿宋" w:eastAsia="仿宋" w:cs="仿宋"/>
          <w:color w:val="000000" w:themeColor="text1"/>
          <w:sz w:val="32"/>
          <w:szCs w:val="32"/>
          <w:lang w:val="en-US" w:eastAsia="zh-CN"/>
          <w14:textFill>
            <w14:solidFill>
              <w14:schemeClr w14:val="tx1"/>
            </w14:solidFill>
          </w14:textFill>
        </w:rPr>
        <w:t>及时整理票据</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班主任津贴</w:t>
      </w:r>
      <w:r>
        <w:rPr>
          <w:rFonts w:hint="eastAsia" w:ascii="仿宋" w:hAnsi="仿宋" w:eastAsia="仿宋" w:cs="仿宋"/>
          <w:color w:val="000000" w:themeColor="text1"/>
          <w:sz w:val="32"/>
          <w:szCs w:val="32"/>
          <w:lang w:val="en-US" w:eastAsia="zh-CN"/>
          <w14:textFill>
            <w14:solidFill>
              <w14:schemeClr w14:val="tx1"/>
            </w14:solidFill>
          </w14:textFill>
        </w:rPr>
        <w:t>项目自评得分为100分，达成设定目标。</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val="en-US"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部门决算中项目绩效</w:t>
      </w:r>
      <w:r>
        <w:rPr>
          <w:rFonts w:hint="eastAsia" w:ascii="仿宋" w:hAnsi="仿宋" w:eastAsia="仿宋" w:cs="仿宋"/>
          <w:color w:val="000000" w:themeColor="text1"/>
          <w:sz w:val="32"/>
          <w:szCs w:val="32"/>
          <w:lang w:val="en-US" w:eastAsia="zh-CN"/>
          <w14:textFill>
            <w14:solidFill>
              <w14:schemeClr w14:val="tx1"/>
            </w14:solidFill>
          </w14:textFill>
        </w:rPr>
        <w:t>整体</w:t>
      </w:r>
      <w:r>
        <w:rPr>
          <w:rFonts w:hint="eastAsia" w:ascii="仿宋" w:hAnsi="仿宋" w:eastAsia="仿宋" w:cs="仿宋"/>
          <w:color w:val="000000" w:themeColor="text1"/>
          <w:sz w:val="32"/>
          <w:szCs w:val="32"/>
          <w14:textFill>
            <w14:solidFill>
              <w14:schemeClr w14:val="tx1"/>
            </w14:solidFill>
          </w14:textFill>
        </w:rPr>
        <w:t>自评</w:t>
      </w:r>
      <w:r>
        <w:rPr>
          <w:rFonts w:hint="eastAsia" w:ascii="仿宋" w:hAnsi="仿宋" w:eastAsia="仿宋" w:cs="仿宋"/>
          <w:color w:val="000000" w:themeColor="text1"/>
          <w:sz w:val="32"/>
          <w:szCs w:val="32"/>
          <w:lang w:val="en-US" w:eastAsia="zh-CN"/>
          <w14:textFill>
            <w14:solidFill>
              <w14:schemeClr w14:val="tx1"/>
            </w14:solidFill>
          </w14:textFill>
        </w:rPr>
        <w:t>良好，多数</w:t>
      </w:r>
      <w:r>
        <w:rPr>
          <w:rFonts w:hint="eastAsia" w:ascii="Times New Roman" w:hAnsi="Times New Roman" w:eastAsia="仿宋_GB2312" w:cs="Times New Roman"/>
          <w:kern w:val="0"/>
          <w:sz w:val="32"/>
          <w:szCs w:val="32"/>
        </w:rPr>
        <w:t>达到</w:t>
      </w:r>
      <w:r>
        <w:rPr>
          <w:rFonts w:hint="eastAsia" w:ascii="Times New Roman" w:hAnsi="Times New Roman" w:eastAsia="仿宋_GB2312" w:cs="Times New Roman"/>
          <w:kern w:val="0"/>
          <w:sz w:val="32"/>
          <w:szCs w:val="32"/>
          <w:lang w:val="en-US" w:eastAsia="zh-CN"/>
        </w:rPr>
        <w:t>项目</w:t>
      </w:r>
      <w:r>
        <w:rPr>
          <w:rFonts w:hint="eastAsia" w:ascii="Times New Roman" w:hAnsi="Times New Roman" w:eastAsia="仿宋_GB2312" w:cs="Times New Roman"/>
          <w:kern w:val="0"/>
          <w:sz w:val="32"/>
          <w:szCs w:val="32"/>
        </w:rPr>
        <w:t>预期绩效目标。</w:t>
      </w: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left"/>
        <w:rPr>
          <w:rFonts w:hint="eastAsia" w:ascii="仿宋" w:hAnsi="仿宋" w:eastAsia="仿宋" w:cs="仿宋"/>
          <w:sz w:val="32"/>
          <w:szCs w:val="32"/>
          <w:highlight w:val="none"/>
        </w:rPr>
      </w:pPr>
    </w:p>
    <w:sectPr>
      <w:pgSz w:w="11906" w:h="16838"/>
      <w:pgMar w:top="1440" w:right="1800" w:bottom="1440" w:left="1800"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1NmE1NTdhNDA0Y2Q0OWUxM2Q5NzkwNDNjYTZiYmYifQ=="/>
    <w:docVar w:name="KSO_WPS_MARK_KEY" w:val="fa17a97d-9d5a-4e4c-91ee-e78e89929d4e"/>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3CA5FA6"/>
    <w:rsid w:val="03F00795"/>
    <w:rsid w:val="04E54546"/>
    <w:rsid w:val="05992762"/>
    <w:rsid w:val="07B0770E"/>
    <w:rsid w:val="07D16DFD"/>
    <w:rsid w:val="0942143F"/>
    <w:rsid w:val="0ADC340C"/>
    <w:rsid w:val="0B8E1D39"/>
    <w:rsid w:val="0D100297"/>
    <w:rsid w:val="0D202B45"/>
    <w:rsid w:val="0F477476"/>
    <w:rsid w:val="0F8D4C87"/>
    <w:rsid w:val="101E2894"/>
    <w:rsid w:val="10505FAA"/>
    <w:rsid w:val="105F7E7E"/>
    <w:rsid w:val="11E56B5B"/>
    <w:rsid w:val="125C77AB"/>
    <w:rsid w:val="14180B62"/>
    <w:rsid w:val="14CB726E"/>
    <w:rsid w:val="17625E7C"/>
    <w:rsid w:val="17E92249"/>
    <w:rsid w:val="18D304F1"/>
    <w:rsid w:val="19F32577"/>
    <w:rsid w:val="19F45B80"/>
    <w:rsid w:val="1B0C078D"/>
    <w:rsid w:val="1B2B31E2"/>
    <w:rsid w:val="1B4C295A"/>
    <w:rsid w:val="1B593EEC"/>
    <w:rsid w:val="1B973C63"/>
    <w:rsid w:val="1BA1001E"/>
    <w:rsid w:val="1BAB5AFE"/>
    <w:rsid w:val="1C552B42"/>
    <w:rsid w:val="1D317259"/>
    <w:rsid w:val="1E664F5B"/>
    <w:rsid w:val="1EB34BE1"/>
    <w:rsid w:val="215E639F"/>
    <w:rsid w:val="21EC3183"/>
    <w:rsid w:val="225E72CD"/>
    <w:rsid w:val="22FD3F08"/>
    <w:rsid w:val="246E2F77"/>
    <w:rsid w:val="24C0322E"/>
    <w:rsid w:val="254B4E2B"/>
    <w:rsid w:val="283D7C94"/>
    <w:rsid w:val="29480E03"/>
    <w:rsid w:val="2983634D"/>
    <w:rsid w:val="2BB02055"/>
    <w:rsid w:val="2BD3161D"/>
    <w:rsid w:val="2C0F5312"/>
    <w:rsid w:val="2C575A56"/>
    <w:rsid w:val="2F257714"/>
    <w:rsid w:val="2F3275E5"/>
    <w:rsid w:val="2FF344B8"/>
    <w:rsid w:val="30AA08EF"/>
    <w:rsid w:val="30D23D1C"/>
    <w:rsid w:val="31221CF5"/>
    <w:rsid w:val="31400178"/>
    <w:rsid w:val="315F16D9"/>
    <w:rsid w:val="318E319D"/>
    <w:rsid w:val="321E3342"/>
    <w:rsid w:val="327759C8"/>
    <w:rsid w:val="33185FE3"/>
    <w:rsid w:val="34EE2E36"/>
    <w:rsid w:val="36777241"/>
    <w:rsid w:val="36FA0E31"/>
    <w:rsid w:val="371E78D5"/>
    <w:rsid w:val="373F4487"/>
    <w:rsid w:val="377371B6"/>
    <w:rsid w:val="38A951DB"/>
    <w:rsid w:val="38B31605"/>
    <w:rsid w:val="39003F4F"/>
    <w:rsid w:val="3C07002B"/>
    <w:rsid w:val="3D0D152A"/>
    <w:rsid w:val="3DCC0A97"/>
    <w:rsid w:val="3DF62756"/>
    <w:rsid w:val="3F1B7587"/>
    <w:rsid w:val="41E57B4F"/>
    <w:rsid w:val="42844D77"/>
    <w:rsid w:val="432F26F6"/>
    <w:rsid w:val="43880F63"/>
    <w:rsid w:val="441C5A6F"/>
    <w:rsid w:val="44C44FCC"/>
    <w:rsid w:val="44CC7369"/>
    <w:rsid w:val="457F5108"/>
    <w:rsid w:val="46951B6B"/>
    <w:rsid w:val="46B74FF0"/>
    <w:rsid w:val="49A34401"/>
    <w:rsid w:val="49A540DA"/>
    <w:rsid w:val="4A3E30AB"/>
    <w:rsid w:val="4AC14DAC"/>
    <w:rsid w:val="4C132F44"/>
    <w:rsid w:val="4D154C85"/>
    <w:rsid w:val="4E2B1033"/>
    <w:rsid w:val="4E46444C"/>
    <w:rsid w:val="4EB35ECE"/>
    <w:rsid w:val="508F4E24"/>
    <w:rsid w:val="51461E90"/>
    <w:rsid w:val="51463753"/>
    <w:rsid w:val="52553A93"/>
    <w:rsid w:val="52D25D57"/>
    <w:rsid w:val="53521F8B"/>
    <w:rsid w:val="53E22F47"/>
    <w:rsid w:val="54522FF8"/>
    <w:rsid w:val="55450629"/>
    <w:rsid w:val="5625176D"/>
    <w:rsid w:val="56692963"/>
    <w:rsid w:val="568B0F48"/>
    <w:rsid w:val="5786217B"/>
    <w:rsid w:val="58BD1DC2"/>
    <w:rsid w:val="59337A15"/>
    <w:rsid w:val="59810274"/>
    <w:rsid w:val="5CA96A00"/>
    <w:rsid w:val="5CF730BC"/>
    <w:rsid w:val="5E5F0DCE"/>
    <w:rsid w:val="5F391530"/>
    <w:rsid w:val="5FA40A7B"/>
    <w:rsid w:val="5FD56D29"/>
    <w:rsid w:val="5FEC7F3F"/>
    <w:rsid w:val="60F74BC3"/>
    <w:rsid w:val="61441B9D"/>
    <w:rsid w:val="617D3BF8"/>
    <w:rsid w:val="61841F6A"/>
    <w:rsid w:val="623007A9"/>
    <w:rsid w:val="637D7558"/>
    <w:rsid w:val="63A062DE"/>
    <w:rsid w:val="644F19AC"/>
    <w:rsid w:val="65AA4920"/>
    <w:rsid w:val="65E31D0B"/>
    <w:rsid w:val="67694F1E"/>
    <w:rsid w:val="69597934"/>
    <w:rsid w:val="696426AC"/>
    <w:rsid w:val="6B964DDC"/>
    <w:rsid w:val="6C783074"/>
    <w:rsid w:val="6D9E65C6"/>
    <w:rsid w:val="6DA81947"/>
    <w:rsid w:val="6EB66DE2"/>
    <w:rsid w:val="6ED3075F"/>
    <w:rsid w:val="6F2A2D4B"/>
    <w:rsid w:val="6F8A0C1E"/>
    <w:rsid w:val="703F45D4"/>
    <w:rsid w:val="715D6546"/>
    <w:rsid w:val="71BE069E"/>
    <w:rsid w:val="73953409"/>
    <w:rsid w:val="73E069A3"/>
    <w:rsid w:val="78104AA8"/>
    <w:rsid w:val="78E257C5"/>
    <w:rsid w:val="794B35BE"/>
    <w:rsid w:val="7A0666A4"/>
    <w:rsid w:val="7B0A3A31"/>
    <w:rsid w:val="7B3360ED"/>
    <w:rsid w:val="7BDF037E"/>
    <w:rsid w:val="7BF50948"/>
    <w:rsid w:val="7CA76083"/>
    <w:rsid w:val="7CE66A78"/>
    <w:rsid w:val="7D1234D4"/>
    <w:rsid w:val="7D23564C"/>
    <w:rsid w:val="7D5E062D"/>
    <w:rsid w:val="7DF76CD8"/>
    <w:rsid w:val="7E9D1118"/>
    <w:rsid w:val="7F695C26"/>
    <w:rsid w:val="7F93439F"/>
    <w:rsid w:val="7FBE5A6A"/>
    <w:rsid w:val="7FCF62D3"/>
    <w:rsid w:val="FBFA6727"/>
    <w:rsid w:val="FFB5C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13.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7.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153.54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0.006</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支出决算图表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1.19</c:v>
                </c:pt>
                <c:pt idx="1">
                  <c:v>131.94</c:v>
                </c:pt>
                <c:pt idx="2">
                  <c:v>7.8</c:v>
                </c:pt>
                <c:pt idx="3">
                  <c:v>5.64</c:v>
                </c:pt>
                <c:pt idx="4">
                  <c:v>6.69</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0.49</c:v>
                </c:pt>
                <c:pt idx="1">
                  <c:v>113.58</c:v>
                </c:pt>
                <c:pt idx="2">
                  <c:v>4.63</c:v>
                </c:pt>
                <c:pt idx="3">
                  <c:v>3.29</c:v>
                </c:pt>
                <c:pt idx="4">
                  <c:v>6.43</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1.19</c:v>
                </c:pt>
                <c:pt idx="1">
                  <c:v>1.19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manualLayout>
          <c:layoutTarget val="inner"/>
          <c:xMode val="edge"/>
          <c:yMode val="edge"/>
          <c:x val="0.0825315737193132"/>
          <c:y val="0.142772511848341"/>
          <c:w val="0.889797076770257"/>
          <c:h val="0.643641390205371"/>
        </c:manualLayout>
      </c:layout>
      <c:barChart>
        <c:barDir val="col"/>
        <c:grouping val="clustered"/>
        <c:varyColors val="0"/>
        <c:ser>
          <c:idx val="0"/>
          <c:order val="0"/>
          <c:spPr>
            <a:solidFill>
              <a:schemeClr val="accent1"/>
            </a:solidFill>
            <a:ln>
              <a:noFill/>
            </a:ln>
            <a:effectLst/>
          </c:spPr>
          <c:invertIfNegative val="0"/>
          <c:dLbls>
            <c:delete val="1"/>
          </c:dLbls>
          <c:cat>
            <c:strRef>
              <c:f>Sheet1!$A$2:$A$3</c:f>
              <c:strCache>
                <c:ptCount val="2"/>
                <c:pt idx="0">
                  <c:v>2050201</c:v>
                </c:pt>
                <c:pt idx="1">
                  <c:v>205x</c:v>
                </c:pt>
              </c:strCache>
            </c:strRef>
          </c:cat>
          <c:val>
            <c:numRef>
              <c:f>Sheet1!$B$2:$B$3</c:f>
              <c:numCache>
                <c:formatCode>General</c:formatCode>
                <c:ptCount val="2"/>
                <c:pt idx="0">
                  <c:v>131.94</c:v>
                </c:pt>
                <c:pt idx="1">
                  <c:v>131.94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9.86</c:v>
                </c:pt>
                <c:pt idx="1">
                  <c:v>9.86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5.64</c:v>
                </c:pt>
                <c:pt idx="1">
                  <c:v>5.64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6.43</c:v>
                </c:pt>
                <c:pt idx="1">
                  <c:v>6.43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27.31</c:v>
                </c:pt>
                <c:pt idx="1">
                  <c:v>6.41</c:v>
                </c:pt>
                <c:pt idx="2">
                  <c:v>15.94</c:v>
                </c:pt>
                <c:pt idx="3">
                  <c:v>0</c:v>
                </c:pt>
                <c:pt idx="4">
                  <c:v>14.99</c:v>
                </c:pt>
                <c:pt idx="5">
                  <c:v>7.8</c:v>
                </c:pt>
                <c:pt idx="6">
                  <c:v>0</c:v>
                </c:pt>
                <c:pt idx="7">
                  <c:v>3.22</c:v>
                </c:pt>
                <c:pt idx="8">
                  <c:v>0</c:v>
                </c:pt>
                <c:pt idx="9">
                  <c:v>0.39</c:v>
                </c:pt>
                <c:pt idx="10">
                  <c:v>5.64</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1.19</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9442</Words>
  <Characters>11248</Characters>
  <Lines>90</Lines>
  <Paragraphs>25</Paragraphs>
  <TotalTime>0</TotalTime>
  <ScaleCrop>false</ScaleCrop>
  <LinksUpToDate>false</LinksUpToDate>
  <CharactersWithSpaces>11440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2023-08-17T10:06:00Z</dcterms:created>
  <dc:creator>C D D</dc:creator>
  <cp:lastModifiedBy>hjxjyj</cp:lastModifiedBy>
  <dcterms:modified xsi:type="dcterms:W3CDTF">2025-01-02T08:31:35Z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ies>
</file>