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52"/>
          <w:szCs w:val="52"/>
        </w:rPr>
      </w:pPr>
      <w:r>
        <w:rPr>
          <w:rFonts w:hint="eastAsia" w:ascii="黑体" w:hAnsi="黑体" w:eastAsia="黑体" w:cs="黑体"/>
          <w:b/>
          <w:bCs/>
          <w:sz w:val="52"/>
          <w:szCs w:val="52"/>
        </w:rPr>
        <w:t>环江毛南族自治县驯乐苗族乡中心小学2023年度部门决算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仿宋" w:hAnsi="仿宋" w:eastAsia="仿宋" w:cs="仿宋"/>
          <w:b/>
          <w:bCs/>
          <w:sz w:val="52"/>
          <w:szCs w:val="52"/>
        </w:rPr>
      </w:pPr>
      <w:r>
        <w:rPr>
          <w:rFonts w:hint="eastAsia" w:ascii="仿宋" w:hAnsi="仿宋" w:eastAsia="仿宋" w:cs="仿宋"/>
          <w:b/>
          <w:bCs/>
          <w:sz w:val="52"/>
          <w:szCs w:val="52"/>
        </w:rPr>
        <w:t>单位负责人：黄令师</w:t>
      </w:r>
    </w:p>
    <w:p>
      <w:pPr>
        <w:jc w:val="center"/>
        <w:rPr>
          <w:rFonts w:ascii="黑体" w:hAnsi="黑体" w:eastAsia="黑体" w:cs="黑体"/>
          <w:b/>
          <w:bCs/>
          <w:sz w:val="36"/>
          <w:szCs w:val="36"/>
        </w:rPr>
      </w:pPr>
      <w:r>
        <w:rPr>
          <w:rFonts w:hint="eastAsia" w:ascii="黑体" w:hAnsi="黑体" w:eastAsia="黑体" w:cs="黑体"/>
          <w:b/>
          <w:bCs/>
          <w:sz w:val="36"/>
          <w:szCs w:val="36"/>
        </w:rPr>
        <w:t>2024年12月3日</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r>
        <w:rPr>
          <w:rFonts w:hint="eastAsia" w:ascii="黑体" w:hAnsi="黑体" w:eastAsia="黑体" w:cs="黑体"/>
          <w:sz w:val="32"/>
        </w:rPr>
        <w:t>环江毛南族自治县驯乐苗族乡中心</w:t>
      </w:r>
      <w:r>
        <w:rPr>
          <w:rFonts w:ascii="黑体" w:hAnsi="黑体" w:eastAsia="黑体" w:cs="黑体"/>
          <w:sz w:val="32"/>
        </w:rPr>
        <w:t>小学</w:t>
      </w:r>
      <w:r>
        <w:rPr>
          <w:rFonts w:hint="eastAsia" w:ascii="黑体" w:hAnsi="黑体" w:eastAsia="黑体" w:cs="黑体"/>
          <w:sz w:val="32"/>
          <w:szCs w:val="32"/>
        </w:rPr>
        <w:t>概况</w:t>
      </w:r>
    </w:p>
    <w:p>
      <w:pPr>
        <w:jc w:val="left"/>
        <w:rPr>
          <w:rFonts w:ascii="仿宋" w:hAnsi="仿宋" w:eastAsia="仿宋" w:cs="仿宋"/>
          <w:sz w:val="32"/>
          <w:szCs w:val="32"/>
        </w:rPr>
      </w:pPr>
      <w:r>
        <w:rPr>
          <w:rFonts w:hint="eastAsia" w:ascii="仿宋" w:hAnsi="仿宋" w:eastAsia="仿宋" w:cs="仿宋"/>
          <w:sz w:val="32"/>
          <w:szCs w:val="32"/>
        </w:rPr>
        <w:t>一、主要职能</w:t>
      </w:r>
    </w:p>
    <w:p>
      <w:pPr>
        <w:jc w:val="left"/>
        <w:rPr>
          <w:rFonts w:ascii="仿宋" w:hAnsi="仿宋" w:eastAsia="仿宋" w:cs="仿宋"/>
          <w:sz w:val="32"/>
          <w:szCs w:val="32"/>
        </w:rPr>
      </w:pPr>
      <w:r>
        <w:rPr>
          <w:rFonts w:hint="eastAsia" w:ascii="仿宋" w:hAnsi="仿宋" w:eastAsia="仿宋" w:cs="仿宋"/>
          <w:sz w:val="32"/>
          <w:szCs w:val="32"/>
        </w:rPr>
        <w:t>二、机构设置情况</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rPr>
        <w:t>环江毛南族自治县驯乐苗族乡中心小学</w:t>
      </w:r>
      <w:r>
        <w:rPr>
          <w:rFonts w:hint="eastAsia" w:ascii="黑体" w:hAnsi="黑体" w:eastAsia="黑体" w:cs="黑体"/>
          <w:sz w:val="32"/>
          <w:szCs w:val="32"/>
        </w:rPr>
        <w:t>2023年度部门决算报表</w:t>
      </w:r>
    </w:p>
    <w:p>
      <w:pPr>
        <w:jc w:val="left"/>
        <w:rPr>
          <w:rFonts w:ascii="仿宋_GB2312" w:eastAsia="仿宋_GB2312"/>
          <w:sz w:val="32"/>
          <w:szCs w:val="32"/>
        </w:rPr>
      </w:pPr>
      <w:r>
        <w:rPr>
          <w:rFonts w:hint="eastAsia" w:ascii="仿宋_GB2312" w:eastAsia="仿宋_GB2312"/>
          <w:sz w:val="32"/>
          <w:szCs w:val="32"/>
        </w:rPr>
        <w:t>表一：收入支出决算总表</w:t>
      </w:r>
    </w:p>
    <w:p>
      <w:pPr>
        <w:jc w:val="left"/>
        <w:rPr>
          <w:rFonts w:ascii="仿宋_GB2312" w:eastAsia="仿宋_GB2312"/>
          <w:sz w:val="32"/>
          <w:szCs w:val="32"/>
        </w:rPr>
      </w:pPr>
      <w:r>
        <w:rPr>
          <w:rFonts w:hint="eastAsia" w:ascii="仿宋_GB2312" w:eastAsia="仿宋_GB2312"/>
          <w:sz w:val="32"/>
          <w:szCs w:val="32"/>
        </w:rPr>
        <w:t>表二：收入决算表</w:t>
      </w:r>
    </w:p>
    <w:p>
      <w:pPr>
        <w:jc w:val="left"/>
        <w:rPr>
          <w:rFonts w:ascii="仿宋_GB2312" w:eastAsia="仿宋_GB2312"/>
          <w:sz w:val="32"/>
          <w:szCs w:val="32"/>
        </w:rPr>
      </w:pPr>
      <w:r>
        <w:rPr>
          <w:rFonts w:hint="eastAsia" w:ascii="仿宋_GB2312" w:eastAsia="仿宋_GB2312"/>
          <w:sz w:val="32"/>
          <w:szCs w:val="32"/>
        </w:rPr>
        <w:t>表三：支出决算表</w:t>
      </w:r>
    </w:p>
    <w:p>
      <w:pPr>
        <w:jc w:val="left"/>
        <w:rPr>
          <w:rFonts w:ascii="仿宋_GB2312" w:eastAsia="仿宋_GB2312"/>
          <w:sz w:val="32"/>
          <w:szCs w:val="32"/>
        </w:rPr>
      </w:pPr>
      <w:r>
        <w:rPr>
          <w:rFonts w:hint="eastAsia" w:ascii="仿宋_GB2312" w:eastAsia="仿宋_GB2312"/>
          <w:sz w:val="32"/>
          <w:szCs w:val="32"/>
        </w:rPr>
        <w:t>表四：财政拨款收入支出决算总表</w:t>
      </w:r>
    </w:p>
    <w:p>
      <w:pPr>
        <w:jc w:val="left"/>
        <w:rPr>
          <w:rFonts w:ascii="仿宋_GB2312" w:eastAsia="仿宋_GB2312"/>
          <w:sz w:val="32"/>
          <w:szCs w:val="32"/>
        </w:rPr>
      </w:pPr>
      <w:r>
        <w:rPr>
          <w:rFonts w:hint="eastAsia" w:ascii="仿宋_GB2312" w:eastAsia="仿宋_GB2312"/>
          <w:sz w:val="32"/>
          <w:szCs w:val="32"/>
        </w:rPr>
        <w:t>表五：一般公共预算财政拨款支出决算表</w:t>
      </w:r>
    </w:p>
    <w:p>
      <w:pPr>
        <w:jc w:val="left"/>
        <w:rPr>
          <w:rFonts w:ascii="仿宋_GB2312" w:eastAsia="仿宋_GB2312"/>
          <w:sz w:val="32"/>
          <w:szCs w:val="32"/>
        </w:rPr>
      </w:pPr>
      <w:r>
        <w:rPr>
          <w:rFonts w:hint="eastAsia" w:ascii="仿宋_GB2312" w:eastAsia="仿宋_GB2312"/>
          <w:sz w:val="32"/>
          <w:szCs w:val="32"/>
        </w:rPr>
        <w:t>表六：一般公共预算财政拨款基本支出决算明细表</w:t>
      </w:r>
    </w:p>
    <w:p>
      <w:pPr>
        <w:jc w:val="left"/>
        <w:rPr>
          <w:rFonts w:ascii="仿宋_GB2312" w:eastAsia="仿宋_GB2312"/>
          <w:sz w:val="32"/>
          <w:szCs w:val="32"/>
        </w:rPr>
      </w:pPr>
      <w:r>
        <w:rPr>
          <w:rFonts w:hint="eastAsia" w:ascii="仿宋_GB2312" w:eastAsia="仿宋_GB2312"/>
          <w:sz w:val="32"/>
          <w:szCs w:val="32"/>
        </w:rPr>
        <w:t>表七：政府性基金预算财政拨款收入支出决算表</w:t>
      </w:r>
    </w:p>
    <w:p>
      <w:pPr>
        <w:jc w:val="left"/>
        <w:rPr>
          <w:rFonts w:ascii="仿宋_GB2312" w:eastAsia="仿宋_GB2312"/>
          <w:sz w:val="32"/>
          <w:szCs w:val="32"/>
        </w:rPr>
      </w:pPr>
      <w:r>
        <w:rPr>
          <w:rFonts w:hint="eastAsia" w:ascii="仿宋_GB2312" w:eastAsia="仿宋_GB2312"/>
          <w:sz w:val="32"/>
          <w:szCs w:val="32"/>
        </w:rPr>
        <w:t>表八：国有资本经营预算财政拨款支出决算表</w:t>
      </w:r>
    </w:p>
    <w:p>
      <w:pPr>
        <w:jc w:val="left"/>
        <w:rPr>
          <w:rFonts w:ascii="仿宋_GB2312" w:eastAsia="仿宋_GB2312"/>
          <w:sz w:val="32"/>
          <w:szCs w:val="32"/>
        </w:rPr>
      </w:pPr>
      <w:r>
        <w:rPr>
          <w:rFonts w:hint="eastAsia" w:ascii="仿宋_GB2312" w:eastAsia="仿宋_GB2312"/>
          <w:sz w:val="32"/>
          <w:szCs w:val="32"/>
        </w:rPr>
        <w:t>表九：财政拨款安排的“三公”经费支出决算表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rPr>
        <w:t>环江毛南族自治县驯乐苗族乡中心小学</w:t>
      </w:r>
      <w:r>
        <w:rPr>
          <w:rFonts w:hint="eastAsia" w:ascii="黑体" w:hAnsi="黑体" w:eastAsia="黑体" w:cs="黑体"/>
          <w:sz w:val="32"/>
          <w:szCs w:val="32"/>
        </w:rPr>
        <w:t>2023年度部门决算情况说明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w:t>
      </w:r>
      <w:r>
        <w:rPr>
          <w:rFonts w:hint="eastAsia" w:ascii="仿宋_GB2312" w:eastAsia="仿宋_GB2312" w:cs="仿宋_GB2312"/>
          <w:kern w:val="0"/>
          <w:sz w:val="32"/>
          <w:szCs w:val="32"/>
        </w:rPr>
        <w:t>年度收入支出决算总体情况。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2023</w:t>
      </w:r>
      <w:r>
        <w:rPr>
          <w:rFonts w:hint="eastAsia" w:ascii="仿宋_GB2312" w:eastAsia="仿宋_GB2312" w:cs="仿宋_GB2312"/>
          <w:kern w:val="0"/>
          <w:sz w:val="32"/>
          <w:szCs w:val="32"/>
        </w:rPr>
        <w:t>年度政府性基金支出决算情况。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hint="eastAsia" w:ascii="黑体" w:hAnsi="黑体" w:eastAsia="黑体" w:cs="黑体"/>
          <w:b/>
          <w:sz w:val="32"/>
        </w:rPr>
        <w:t>环江毛南族自治县</w:t>
      </w:r>
      <w:r>
        <w:rPr>
          <w:rFonts w:hint="eastAsia" w:ascii="黑体" w:hAnsi="黑体" w:eastAsia="黑体" w:cs="黑体"/>
          <w:sz w:val="32"/>
        </w:rPr>
        <w:t>驯乐苗族乡中心小学</w:t>
      </w:r>
      <w:r>
        <w:rPr>
          <w:rFonts w:hint="eastAsia" w:ascii="黑体" w:hAnsi="黑体" w:eastAsia="黑体" w:cs="黑体"/>
          <w:b/>
          <w:bCs/>
          <w:sz w:val="32"/>
          <w:szCs w:val="32"/>
        </w:rPr>
        <w:t>概况</w:t>
      </w:r>
    </w:p>
    <w:p>
      <w:pPr>
        <w:jc w:val="left"/>
        <w:rPr>
          <w:rFonts w:ascii="仿宋" w:hAnsi="仿宋" w:eastAsia="仿宋" w:cs="仿宋"/>
          <w:sz w:val="32"/>
          <w:szCs w:val="32"/>
        </w:rPr>
      </w:pPr>
      <w:r>
        <w:rPr>
          <w:rFonts w:hint="eastAsia" w:ascii="黑体" w:hAnsi="黑体" w:eastAsia="黑体" w:cs="黑体"/>
          <w:sz w:val="32"/>
          <w:szCs w:val="32"/>
        </w:rPr>
        <w:t>一、主要职能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（一）贯彻执行党和国家的教育方针、政策和法律法规；拟订驯乐乡小学教育改革与发展规划并组织实施。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（二）编制本乡小学教育事业发展规划并检查实施情况，向人民政府和上级教育部门作出报告。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（三）督促检查学校贯彻执行教育方针、政策、法令、法规和上级的各项规定；评估指导全乡教育教学工作。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（四）负责推进义务教育均衡发展和促进教育公平，负责义务教育的宏观指导与协调，指导全乡小学教育工作。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（五）负责全乡小学人才队伍和教师队伍建设，包括校长岗位培训、后备干部队伍建设、教师学历教育、继续教育等。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（六）负责组织做好学校考务工作、招生录取工作和学籍管理工作。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（七）按照中央关于全面推进素质教育要求，负责教育教学管理、教育教学改革及教育教学科学研究工作，检查指导实施素质教育工作，并组织推广先进的教育教学经验。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（八）检查指导学校教育教学设备的装备、管理和使用工作。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（九）检查指导学校开展电化教育和信息化教学工作。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（十）负责全乡小学教师初、中、高级专业技术职务资格的申报工作。按照管理权限对教师进行考核、聘任、奖惩、晋升等工作。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（十一）负责监督驯乐乡小学教育经费管理与使用工作。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（十二）负责驯乐乡小学教学教育常规管理评估工作，指导学校德育、体育、卫生、艺术、安全工作以及团组织和少先队工作。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（十三）指导驯乐乡小学的教育督导工作，指导基础教育发展水平、质量的监测工作。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（十四）负责指导学校学生资助管理工作。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（十五）负责语言文字和指导推广普通话工作。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（十六）完成政府及上级主管部门交办的其他工作。</w:t>
      </w:r>
    </w:p>
    <w:p>
      <w:pPr>
        <w:jc w:val="left"/>
        <w:rPr>
          <w:rFonts w:ascii="黑体" w:hAnsi="黑体" w:eastAsia="黑体" w:cs="黑体"/>
          <w:sz w:val="32"/>
          <w:szCs w:val="32"/>
        </w:rPr>
      </w:pPr>
      <w:r>
        <w:rPr>
          <w:rFonts w:hint="eastAsia" w:ascii="黑体" w:hAnsi="黑体" w:eastAsia="黑体" w:cs="黑体"/>
          <w:sz w:val="32"/>
          <w:szCs w:val="32"/>
        </w:rPr>
        <w:t>二、机构设置情况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环江毛南族自治县驯乐苗族乡中心小学是一所义务教育学校，2023年部门决算单位1个，是县直属全额拨款事业单位。</w:t>
      </w:r>
    </w:p>
    <w:p>
      <w:pPr>
        <w:ind w:firstLine="640" w:firstLineChars="200"/>
        <w:jc w:val="left"/>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环江毛南族自治县驯乐苗族乡中心小学内设机构:校长室，副校长室，政教处，教导处，总务处，工会党建办6个职能室。2023年年初在职在编99人，年中有4人退休，10人调出，9月份新招4人，2023年年底在职在编89人。</w:t>
      </w:r>
    </w:p>
    <w:p>
      <w:pPr>
        <w:jc w:val="center"/>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rPr>
        <w:t>环江毛南族自治县驯乐苗族乡中心小学</w:t>
      </w:r>
      <w:r>
        <w:rPr>
          <w:rFonts w:hint="eastAsia" w:ascii="黑体" w:hAnsi="黑体" w:eastAsia="黑体" w:cs="黑体"/>
          <w:sz w:val="32"/>
          <w:szCs w:val="32"/>
        </w:rPr>
        <w:t xml:space="preserve"> 2023年度部门决算报表</w:t>
      </w:r>
    </w:p>
    <w:p>
      <w:pPr>
        <w:rPr>
          <w:rFonts w:ascii="黑体" w:hAnsi="黑体" w:eastAsia="黑体" w:cs="黑体"/>
          <w:sz w:val="32"/>
          <w:szCs w:val="32"/>
        </w:rPr>
      </w:pPr>
    </w:p>
    <w:tbl>
      <w:tblPr>
        <w:tblStyle w:val="7"/>
        <w:tblW w:w="13681" w:type="dxa"/>
        <w:jc w:val="center"/>
        <w:tblLayout w:type="autofit"/>
        <w:tblCellMar>
          <w:top w:w="0" w:type="dxa"/>
          <w:left w:w="108" w:type="dxa"/>
          <w:bottom w:w="0" w:type="dxa"/>
          <w:right w:w="108" w:type="dxa"/>
        </w:tblCellMar>
      </w:tblPr>
      <w:tblGrid>
        <w:gridCol w:w="4917"/>
        <w:gridCol w:w="637"/>
        <w:gridCol w:w="1233"/>
        <w:gridCol w:w="4510"/>
        <w:gridCol w:w="637"/>
        <w:gridCol w:w="1747"/>
      </w:tblGrid>
      <w:tr>
        <w:tblPrEx>
          <w:tblCellMar>
            <w:top w:w="0" w:type="dxa"/>
            <w:left w:w="108" w:type="dxa"/>
            <w:bottom w:w="0" w:type="dxa"/>
            <w:right w:w="108" w:type="dxa"/>
          </w:tblCellMar>
        </w:tblPrEx>
        <w:trPr>
          <w:trHeight w:val="285" w:hRule="atLeast"/>
          <w:jc w:val="center"/>
        </w:trPr>
        <w:tc>
          <w:tcPr>
            <w:tcW w:w="13681" w:type="dxa"/>
            <w:gridSpan w:val="6"/>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表一：收入支出决算总表</w:t>
            </w:r>
          </w:p>
        </w:tc>
      </w:tr>
      <w:tr>
        <w:tblPrEx>
          <w:tblCellMar>
            <w:top w:w="0" w:type="dxa"/>
            <w:left w:w="108" w:type="dxa"/>
            <w:bottom w:w="0" w:type="dxa"/>
            <w:right w:w="108" w:type="dxa"/>
          </w:tblCellMar>
        </w:tblPrEx>
        <w:trPr>
          <w:trHeight w:val="510" w:hRule="atLeast"/>
          <w:jc w:val="center"/>
        </w:trPr>
        <w:tc>
          <w:tcPr>
            <w:tcW w:w="13681" w:type="dxa"/>
            <w:gridSpan w:val="6"/>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收入支出决算总表</w:t>
            </w:r>
          </w:p>
        </w:tc>
      </w:tr>
      <w:tr>
        <w:tblPrEx>
          <w:tblCellMar>
            <w:top w:w="0" w:type="dxa"/>
            <w:left w:w="108" w:type="dxa"/>
            <w:bottom w:w="0" w:type="dxa"/>
            <w:right w:w="108" w:type="dxa"/>
          </w:tblCellMar>
        </w:tblPrEx>
        <w:trPr>
          <w:trHeight w:val="270" w:hRule="atLeast"/>
          <w:jc w:val="center"/>
        </w:trPr>
        <w:tc>
          <w:tcPr>
            <w:tcW w:w="491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3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51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4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公开01表</w:t>
            </w:r>
          </w:p>
        </w:tc>
      </w:tr>
      <w:tr>
        <w:tblPrEx>
          <w:tblCellMar>
            <w:top w:w="0" w:type="dxa"/>
            <w:left w:w="108" w:type="dxa"/>
            <w:bottom w:w="0" w:type="dxa"/>
            <w:right w:w="108" w:type="dxa"/>
          </w:tblCellMar>
        </w:tblPrEx>
        <w:trPr>
          <w:trHeight w:val="270" w:hRule="atLeast"/>
          <w:jc w:val="center"/>
        </w:trPr>
        <w:tc>
          <w:tcPr>
            <w:tcW w:w="491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6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3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51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4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00" w:hRule="atLeast"/>
          <w:jc w:val="center"/>
        </w:trPr>
        <w:tc>
          <w:tcPr>
            <w:tcW w:w="67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689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1,941.10</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四、上级补助收入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五、事业收入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1,513.12</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六、经营收入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七、附属单位上缴收入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八、其他收入</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158.93</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使用非财政拨款结余（含专用结余）</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年初结转和结余</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0" w:hRule="atLeast"/>
          <w:jc w:val="center"/>
        </w:trPr>
        <w:tc>
          <w:tcPr>
            <w:tcW w:w="491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2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c>
          <w:tcPr>
            <w:tcW w:w="45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r>
      <w:tr>
        <w:tblPrEx>
          <w:tblCellMar>
            <w:top w:w="0" w:type="dxa"/>
            <w:left w:w="108" w:type="dxa"/>
            <w:bottom w:w="0" w:type="dxa"/>
            <w:right w:w="108" w:type="dxa"/>
          </w:tblCellMar>
        </w:tblPrEx>
        <w:trPr>
          <w:trHeight w:val="300" w:hRule="atLeast"/>
          <w:jc w:val="center"/>
        </w:trPr>
        <w:tc>
          <w:tcPr>
            <w:tcW w:w="13681" w:type="dxa"/>
            <w:gridSpan w:val="6"/>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注：1.本表反映部门本年度的总收支和年末结转结余情况。</w:t>
            </w:r>
          </w:p>
        </w:tc>
      </w:tr>
      <w:tr>
        <w:tblPrEx>
          <w:tblCellMar>
            <w:top w:w="0" w:type="dxa"/>
            <w:left w:w="108" w:type="dxa"/>
            <w:bottom w:w="0" w:type="dxa"/>
            <w:right w:w="108" w:type="dxa"/>
          </w:tblCellMar>
        </w:tblPrEx>
        <w:trPr>
          <w:trHeight w:val="300" w:hRule="atLeast"/>
          <w:jc w:val="center"/>
        </w:trPr>
        <w:tc>
          <w:tcPr>
            <w:tcW w:w="13681" w:type="dxa"/>
            <w:gridSpan w:val="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2.本套报表金额单位转换时可能存在尾数误差。</w:t>
            </w:r>
          </w:p>
        </w:tc>
      </w:tr>
    </w:tbl>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3947" w:type="dxa"/>
        <w:jc w:val="center"/>
        <w:tblLayout w:type="autofit"/>
        <w:tblCellMar>
          <w:top w:w="0" w:type="dxa"/>
          <w:left w:w="108" w:type="dxa"/>
          <w:bottom w:w="0" w:type="dxa"/>
          <w:right w:w="108" w:type="dxa"/>
        </w:tblCellMar>
      </w:tblPr>
      <w:tblGrid>
        <w:gridCol w:w="397"/>
        <w:gridCol w:w="317"/>
        <w:gridCol w:w="272"/>
        <w:gridCol w:w="4298"/>
        <w:gridCol w:w="1645"/>
        <w:gridCol w:w="1645"/>
        <w:gridCol w:w="926"/>
        <w:gridCol w:w="926"/>
        <w:gridCol w:w="926"/>
        <w:gridCol w:w="926"/>
        <w:gridCol w:w="1748"/>
      </w:tblGrid>
      <w:tr>
        <w:tblPrEx>
          <w:tblCellMar>
            <w:top w:w="0" w:type="dxa"/>
            <w:left w:w="108" w:type="dxa"/>
            <w:bottom w:w="0" w:type="dxa"/>
            <w:right w:w="108" w:type="dxa"/>
          </w:tblCellMar>
        </w:tblPrEx>
        <w:trPr>
          <w:trHeight w:val="288" w:hRule="atLeast"/>
          <w:jc w:val="center"/>
        </w:trPr>
        <w:tc>
          <w:tcPr>
            <w:tcW w:w="13944" w:type="dxa"/>
            <w:gridSpan w:val="11"/>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表二：收入决算表</w:t>
            </w:r>
          </w:p>
        </w:tc>
      </w:tr>
      <w:tr>
        <w:tblPrEx>
          <w:tblCellMar>
            <w:top w:w="0" w:type="dxa"/>
            <w:left w:w="108" w:type="dxa"/>
            <w:bottom w:w="0" w:type="dxa"/>
            <w:right w:w="108" w:type="dxa"/>
          </w:tblCellMar>
        </w:tblPrEx>
        <w:trPr>
          <w:trHeight w:val="516" w:hRule="atLeast"/>
          <w:jc w:val="center"/>
        </w:trPr>
        <w:tc>
          <w:tcPr>
            <w:tcW w:w="13944" w:type="dxa"/>
            <w:gridSpan w:val="11"/>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收入决算表</w:t>
            </w:r>
          </w:p>
        </w:tc>
      </w:tr>
      <w:tr>
        <w:tblPrEx>
          <w:tblCellMar>
            <w:top w:w="0" w:type="dxa"/>
            <w:left w:w="108" w:type="dxa"/>
            <w:bottom w:w="0" w:type="dxa"/>
            <w:right w:w="108" w:type="dxa"/>
          </w:tblCellMar>
        </w:tblPrEx>
        <w:trPr>
          <w:trHeight w:val="273" w:hRule="atLeast"/>
          <w:jc w:val="center"/>
        </w:trPr>
        <w:tc>
          <w:tcPr>
            <w:tcW w:w="36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9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5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29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4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4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4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公开02表</w:t>
            </w:r>
          </w:p>
        </w:tc>
      </w:tr>
      <w:tr>
        <w:tblPrEx>
          <w:tblCellMar>
            <w:top w:w="0" w:type="dxa"/>
            <w:left w:w="108" w:type="dxa"/>
            <w:bottom w:w="0" w:type="dxa"/>
            <w:right w:w="108" w:type="dxa"/>
          </w:tblCellMar>
        </w:tblPrEx>
        <w:trPr>
          <w:trHeight w:val="273" w:hRule="atLeast"/>
          <w:jc w:val="center"/>
        </w:trPr>
        <w:tc>
          <w:tcPr>
            <w:tcW w:w="5204"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164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4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2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4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03" w:hRule="atLeast"/>
          <w:jc w:val="center"/>
        </w:trPr>
        <w:tc>
          <w:tcPr>
            <w:tcW w:w="52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财政拨款收入</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上级补助收入</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事业收入</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经营收入</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附属单位上缴收入</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其他收入</w:t>
            </w:r>
          </w:p>
        </w:tc>
      </w:tr>
      <w:tr>
        <w:tblPrEx>
          <w:tblCellMar>
            <w:top w:w="0" w:type="dxa"/>
            <w:left w:w="108" w:type="dxa"/>
            <w:bottom w:w="0" w:type="dxa"/>
            <w:right w:w="108" w:type="dxa"/>
          </w:tblCellMar>
        </w:tblPrEx>
        <w:trPr>
          <w:trHeight w:val="316" w:hRule="atLeast"/>
          <w:jc w:val="center"/>
        </w:trPr>
        <w:tc>
          <w:tcPr>
            <w:tcW w:w="9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4298"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6" w:hRule="atLeast"/>
          <w:jc w:val="center"/>
        </w:trPr>
        <w:tc>
          <w:tcPr>
            <w:tcW w:w="9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6" w:hRule="atLeast"/>
          <w:jc w:val="center"/>
        </w:trPr>
        <w:tc>
          <w:tcPr>
            <w:tcW w:w="9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29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10" w:hRule="atLeast"/>
          <w:jc w:val="center"/>
        </w:trPr>
        <w:tc>
          <w:tcPr>
            <w:tcW w:w="52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9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9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9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7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trHeight w:val="410" w:hRule="atLeast"/>
          <w:jc w:val="center"/>
        </w:trPr>
        <w:tc>
          <w:tcPr>
            <w:tcW w:w="52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1,942.90</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1,942.90</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小学教育</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1,508.33</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1,508.33</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特殊学校教育</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用于教育事业的彩票公益金支出</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9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429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16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3" w:hRule="atLeast"/>
          <w:jc w:val="center"/>
        </w:trPr>
        <w:tc>
          <w:tcPr>
            <w:tcW w:w="13944" w:type="dxa"/>
            <w:gridSpan w:val="11"/>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注：本表反映部门本年度取得的各项收入情况。</w:t>
            </w:r>
          </w:p>
        </w:tc>
      </w:tr>
    </w:tbl>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3827" w:type="dxa"/>
        <w:jc w:val="center"/>
        <w:tblLayout w:type="autofit"/>
        <w:tblCellMar>
          <w:top w:w="0" w:type="dxa"/>
          <w:left w:w="108" w:type="dxa"/>
          <w:bottom w:w="0" w:type="dxa"/>
          <w:right w:w="108" w:type="dxa"/>
        </w:tblCellMar>
      </w:tblPr>
      <w:tblGrid>
        <w:gridCol w:w="396"/>
        <w:gridCol w:w="318"/>
        <w:gridCol w:w="272"/>
        <w:gridCol w:w="4568"/>
        <w:gridCol w:w="1555"/>
        <w:gridCol w:w="1580"/>
        <w:gridCol w:w="1387"/>
        <w:gridCol w:w="946"/>
        <w:gridCol w:w="946"/>
        <w:gridCol w:w="1898"/>
      </w:tblGrid>
      <w:tr>
        <w:tblPrEx>
          <w:tblCellMar>
            <w:top w:w="0" w:type="dxa"/>
            <w:left w:w="108" w:type="dxa"/>
            <w:bottom w:w="0" w:type="dxa"/>
            <w:right w:w="108" w:type="dxa"/>
          </w:tblCellMar>
        </w:tblPrEx>
        <w:trPr>
          <w:trHeight w:val="289" w:hRule="atLeast"/>
          <w:jc w:val="center"/>
        </w:trPr>
        <w:tc>
          <w:tcPr>
            <w:tcW w:w="13826" w:type="dxa"/>
            <w:gridSpan w:val="10"/>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表三：支出决算表</w:t>
            </w:r>
          </w:p>
        </w:tc>
      </w:tr>
      <w:tr>
        <w:tblPrEx>
          <w:tblCellMar>
            <w:top w:w="0" w:type="dxa"/>
            <w:left w:w="108" w:type="dxa"/>
            <w:bottom w:w="0" w:type="dxa"/>
            <w:right w:w="108" w:type="dxa"/>
          </w:tblCellMar>
        </w:tblPrEx>
        <w:trPr>
          <w:trHeight w:val="517" w:hRule="atLeast"/>
          <w:jc w:val="center"/>
        </w:trPr>
        <w:tc>
          <w:tcPr>
            <w:tcW w:w="13826"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支出决算表</w:t>
            </w:r>
          </w:p>
        </w:tc>
      </w:tr>
      <w:tr>
        <w:tblPrEx>
          <w:tblCellMar>
            <w:top w:w="0" w:type="dxa"/>
            <w:left w:w="108" w:type="dxa"/>
            <w:bottom w:w="0" w:type="dxa"/>
            <w:right w:w="108" w:type="dxa"/>
          </w:tblCellMar>
        </w:tblPrEx>
        <w:trPr>
          <w:trHeight w:val="274" w:hRule="atLeast"/>
          <w:jc w:val="center"/>
        </w:trPr>
        <w:tc>
          <w:tcPr>
            <w:tcW w:w="3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56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5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38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89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公开03表</w:t>
            </w:r>
          </w:p>
        </w:tc>
      </w:tr>
      <w:tr>
        <w:tblPrEx>
          <w:tblCellMar>
            <w:top w:w="0" w:type="dxa"/>
            <w:left w:w="108" w:type="dxa"/>
            <w:bottom w:w="0" w:type="dxa"/>
            <w:right w:w="108" w:type="dxa"/>
          </w:tblCellMar>
        </w:tblPrEx>
        <w:trPr>
          <w:trHeight w:val="274" w:hRule="atLeast"/>
          <w:jc w:val="center"/>
        </w:trPr>
        <w:tc>
          <w:tcPr>
            <w:tcW w:w="5514"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155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38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89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04" w:hRule="atLeast"/>
          <w:jc w:val="center"/>
        </w:trPr>
        <w:tc>
          <w:tcPr>
            <w:tcW w:w="5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上缴上级支出</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经营支出</w:t>
            </w:r>
          </w:p>
        </w:tc>
        <w:tc>
          <w:tcPr>
            <w:tcW w:w="1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16" w:hRule="atLeast"/>
          <w:jc w:val="center"/>
        </w:trPr>
        <w:tc>
          <w:tcPr>
            <w:tcW w:w="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4568"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8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6" w:hRule="atLeast"/>
          <w:jc w:val="center"/>
        </w:trPr>
        <w:tc>
          <w:tcPr>
            <w:tcW w:w="94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8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6" w:hRule="atLeast"/>
          <w:jc w:val="center"/>
        </w:trPr>
        <w:tc>
          <w:tcPr>
            <w:tcW w:w="94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8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04" w:hRule="atLeast"/>
          <w:jc w:val="center"/>
        </w:trPr>
        <w:tc>
          <w:tcPr>
            <w:tcW w:w="5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5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89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304" w:hRule="atLeast"/>
          <w:jc w:val="center"/>
        </w:trPr>
        <w:tc>
          <w:tcPr>
            <w:tcW w:w="5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1,942.90</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1,674.27</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268.64</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小学教育</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1,508.33</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1,242.92</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265.41</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特殊学校教育</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用于教育事业的彩票公益金支出</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45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13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13826" w:type="dxa"/>
            <w:gridSpan w:val="10"/>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注：本表反映部门本年度各项支出情况。</w:t>
            </w:r>
          </w:p>
        </w:tc>
      </w:tr>
    </w:tbl>
    <w:p>
      <w:pPr>
        <w:jc w:val="cente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3690" w:type="dxa"/>
        <w:jc w:val="center"/>
        <w:tblLayout w:type="autofit"/>
        <w:tblCellMar>
          <w:top w:w="0" w:type="dxa"/>
          <w:left w:w="108" w:type="dxa"/>
          <w:bottom w:w="0" w:type="dxa"/>
          <w:right w:w="108" w:type="dxa"/>
        </w:tblCellMar>
      </w:tblPr>
      <w:tblGrid>
        <w:gridCol w:w="3341"/>
        <w:gridCol w:w="468"/>
        <w:gridCol w:w="1246"/>
        <w:gridCol w:w="3656"/>
        <w:gridCol w:w="460"/>
        <w:gridCol w:w="1096"/>
        <w:gridCol w:w="1218"/>
        <w:gridCol w:w="785"/>
        <w:gridCol w:w="1512"/>
      </w:tblGrid>
      <w:tr>
        <w:tblPrEx>
          <w:tblCellMar>
            <w:top w:w="0" w:type="dxa"/>
            <w:left w:w="108" w:type="dxa"/>
            <w:bottom w:w="0" w:type="dxa"/>
            <w:right w:w="108" w:type="dxa"/>
          </w:tblCellMar>
        </w:tblPrEx>
        <w:trPr>
          <w:trHeight w:val="302" w:hRule="atLeast"/>
          <w:jc w:val="center"/>
        </w:trPr>
        <w:tc>
          <w:tcPr>
            <w:tcW w:w="13689" w:type="dxa"/>
            <w:gridSpan w:val="9"/>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表四：财政拨款收入支出决算总表</w:t>
            </w:r>
          </w:p>
        </w:tc>
      </w:tr>
      <w:tr>
        <w:tblPrEx>
          <w:tblCellMar>
            <w:top w:w="0" w:type="dxa"/>
            <w:left w:w="108" w:type="dxa"/>
            <w:bottom w:w="0" w:type="dxa"/>
            <w:right w:w="108" w:type="dxa"/>
          </w:tblCellMar>
        </w:tblPrEx>
        <w:trPr>
          <w:trHeight w:val="540" w:hRule="atLeast"/>
          <w:jc w:val="center"/>
        </w:trPr>
        <w:tc>
          <w:tcPr>
            <w:tcW w:w="13689" w:type="dxa"/>
            <w:gridSpan w:val="9"/>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财政拨款收入支出决算总表</w:t>
            </w:r>
          </w:p>
        </w:tc>
      </w:tr>
      <w:tr>
        <w:tblPrEx>
          <w:tblCellMar>
            <w:top w:w="0" w:type="dxa"/>
            <w:left w:w="108" w:type="dxa"/>
            <w:bottom w:w="0" w:type="dxa"/>
            <w:right w:w="108" w:type="dxa"/>
          </w:tblCellMar>
        </w:tblPrEx>
        <w:trPr>
          <w:trHeight w:val="286" w:hRule="atLeast"/>
          <w:jc w:val="center"/>
        </w:trPr>
        <w:tc>
          <w:tcPr>
            <w:tcW w:w="334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6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5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0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1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1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公开04表</w:t>
            </w:r>
          </w:p>
        </w:tc>
      </w:tr>
      <w:tr>
        <w:tblPrEx>
          <w:tblCellMar>
            <w:top w:w="0" w:type="dxa"/>
            <w:left w:w="108" w:type="dxa"/>
            <w:bottom w:w="0" w:type="dxa"/>
            <w:right w:w="108" w:type="dxa"/>
          </w:tblCellMar>
        </w:tblPrEx>
        <w:trPr>
          <w:trHeight w:val="286" w:hRule="atLeast"/>
          <w:jc w:val="center"/>
        </w:trPr>
        <w:tc>
          <w:tcPr>
            <w:tcW w:w="3809"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12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5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0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1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1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18" w:hRule="atLeast"/>
          <w:jc w:val="center"/>
        </w:trPr>
        <w:tc>
          <w:tcPr>
            <w:tcW w:w="5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     入</w:t>
            </w:r>
          </w:p>
        </w:tc>
        <w:tc>
          <w:tcPr>
            <w:tcW w:w="8634"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587" w:hRule="atLeast"/>
          <w:jc w:val="center"/>
        </w:trPr>
        <w:tc>
          <w:tcPr>
            <w:tcW w:w="334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24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36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100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一般公共预算财政拨款</w:t>
            </w:r>
          </w:p>
        </w:tc>
        <w:tc>
          <w:tcPr>
            <w:tcW w:w="7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政府性基金预算财政拨款</w:t>
            </w:r>
          </w:p>
        </w:tc>
        <w:tc>
          <w:tcPr>
            <w:tcW w:w="151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预算财政拨款</w:t>
            </w:r>
          </w:p>
        </w:tc>
      </w:tr>
      <w:tr>
        <w:tblPrEx>
          <w:tblCellMar>
            <w:top w:w="0" w:type="dxa"/>
            <w:left w:w="108" w:type="dxa"/>
            <w:bottom w:w="0" w:type="dxa"/>
            <w:right w:w="108" w:type="dxa"/>
          </w:tblCellMar>
        </w:tblPrEx>
        <w:trPr>
          <w:trHeight w:val="969" w:hRule="atLeast"/>
          <w:jc w:val="center"/>
        </w:trPr>
        <w:tc>
          <w:tcPr>
            <w:tcW w:w="334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36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7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5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1,941.10</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1,513.12</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1,513.12</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158.93</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1,941.10</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年末财政拨款结转和结余</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国有资本经营预算财政拨款</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334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2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c>
          <w:tcPr>
            <w:tcW w:w="365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4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0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1,942.90</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1,941.10</w:t>
            </w:r>
          </w:p>
        </w:tc>
        <w:tc>
          <w:tcPr>
            <w:tcW w:w="7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5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8" w:hRule="atLeast"/>
          <w:jc w:val="center"/>
        </w:trPr>
        <w:tc>
          <w:tcPr>
            <w:tcW w:w="12177" w:type="dxa"/>
            <w:gridSpan w:val="8"/>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w:t>
            </w:r>
          </w:p>
        </w:tc>
        <w:tc>
          <w:tcPr>
            <w:tcW w:w="151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jc w:val="cente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4030" w:type="dxa"/>
        <w:tblInd w:w="93" w:type="dxa"/>
        <w:tblLayout w:type="autofit"/>
        <w:tblCellMar>
          <w:top w:w="0" w:type="dxa"/>
          <w:left w:w="108" w:type="dxa"/>
          <w:bottom w:w="0" w:type="dxa"/>
          <w:right w:w="108" w:type="dxa"/>
        </w:tblCellMar>
      </w:tblPr>
      <w:tblGrid>
        <w:gridCol w:w="467"/>
        <w:gridCol w:w="375"/>
        <w:gridCol w:w="321"/>
        <w:gridCol w:w="5597"/>
        <w:gridCol w:w="2157"/>
        <w:gridCol w:w="2157"/>
        <w:gridCol w:w="2956"/>
      </w:tblGrid>
      <w:tr>
        <w:tblPrEx>
          <w:tblCellMar>
            <w:top w:w="0" w:type="dxa"/>
            <w:left w:w="108" w:type="dxa"/>
            <w:bottom w:w="0" w:type="dxa"/>
            <w:right w:w="108" w:type="dxa"/>
          </w:tblCellMar>
        </w:tblPrEx>
        <w:trPr>
          <w:trHeight w:val="326" w:hRule="atLeast"/>
        </w:trPr>
        <w:tc>
          <w:tcPr>
            <w:tcW w:w="14030" w:type="dxa"/>
            <w:gridSpan w:val="7"/>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表五：一般公共预算财政拨款支出决算表</w:t>
            </w:r>
          </w:p>
        </w:tc>
      </w:tr>
      <w:tr>
        <w:tblPrEx>
          <w:tblCellMar>
            <w:top w:w="0" w:type="dxa"/>
            <w:left w:w="108" w:type="dxa"/>
            <w:bottom w:w="0" w:type="dxa"/>
            <w:right w:w="108" w:type="dxa"/>
          </w:tblCellMar>
        </w:tblPrEx>
        <w:trPr>
          <w:trHeight w:val="583" w:hRule="atLeast"/>
        </w:trPr>
        <w:tc>
          <w:tcPr>
            <w:tcW w:w="14030" w:type="dxa"/>
            <w:gridSpan w:val="7"/>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一般公共预算财政拨款支出决算表</w:t>
            </w:r>
          </w:p>
        </w:tc>
      </w:tr>
      <w:tr>
        <w:tblPrEx>
          <w:tblCellMar>
            <w:top w:w="0" w:type="dxa"/>
            <w:left w:w="108" w:type="dxa"/>
            <w:bottom w:w="0" w:type="dxa"/>
            <w:right w:w="108" w:type="dxa"/>
          </w:tblCellMar>
        </w:tblPrEx>
        <w:trPr>
          <w:trHeight w:val="309" w:hRule="atLeast"/>
        </w:trPr>
        <w:tc>
          <w:tcPr>
            <w:tcW w:w="46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2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59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5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5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95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公开05表</w:t>
            </w:r>
          </w:p>
        </w:tc>
      </w:tr>
      <w:tr>
        <w:tblPrEx>
          <w:tblCellMar>
            <w:top w:w="0" w:type="dxa"/>
            <w:left w:w="108" w:type="dxa"/>
            <w:bottom w:w="0" w:type="dxa"/>
            <w:right w:w="108" w:type="dxa"/>
          </w:tblCellMar>
        </w:tblPrEx>
        <w:trPr>
          <w:trHeight w:val="309" w:hRule="atLeast"/>
        </w:trPr>
        <w:tc>
          <w:tcPr>
            <w:tcW w:w="6759"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215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5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95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43" w:hRule="atLeast"/>
        </w:trPr>
        <w:tc>
          <w:tcPr>
            <w:tcW w:w="6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727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57" w:hRule="atLeast"/>
        </w:trPr>
        <w:tc>
          <w:tcPr>
            <w:tcW w:w="11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5597"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21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21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29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57" w:hRule="atLeast"/>
        </w:trPr>
        <w:tc>
          <w:tcPr>
            <w:tcW w:w="116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5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1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1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9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57" w:hRule="atLeast"/>
        </w:trPr>
        <w:tc>
          <w:tcPr>
            <w:tcW w:w="116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55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1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1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9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80" w:hRule="atLeast"/>
        </w:trPr>
        <w:tc>
          <w:tcPr>
            <w:tcW w:w="6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463" w:hRule="atLeast"/>
        </w:trPr>
        <w:tc>
          <w:tcPr>
            <w:tcW w:w="6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1,941.10</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1,674.27</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266.84</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19.69</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小学教育</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1,508.33</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1,242.92</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265.41</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3.37</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特殊学校教育</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145.07</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106.10</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3"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55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21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157.13</w:t>
            </w:r>
          </w:p>
        </w:tc>
        <w:tc>
          <w:tcPr>
            <w:tcW w:w="29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43" w:hRule="atLeast"/>
        </w:trPr>
        <w:tc>
          <w:tcPr>
            <w:tcW w:w="14030" w:type="dxa"/>
            <w:gridSpan w:val="7"/>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注：本表反映部门本年度一般公共预算财政拨款支出情况。</w:t>
            </w:r>
          </w:p>
        </w:tc>
      </w:tr>
    </w:tbl>
    <w:p>
      <w:pPr>
        <w:jc w:val="cente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3899" w:type="dxa"/>
        <w:jc w:val="center"/>
        <w:tblLayout w:type="autofit"/>
        <w:tblCellMar>
          <w:top w:w="0" w:type="dxa"/>
          <w:left w:w="108" w:type="dxa"/>
          <w:bottom w:w="0" w:type="dxa"/>
          <w:right w:w="108" w:type="dxa"/>
        </w:tblCellMar>
      </w:tblPr>
      <w:tblGrid>
        <w:gridCol w:w="731"/>
        <w:gridCol w:w="2884"/>
        <w:gridCol w:w="988"/>
        <w:gridCol w:w="666"/>
        <w:gridCol w:w="2173"/>
        <w:gridCol w:w="751"/>
        <w:gridCol w:w="666"/>
        <w:gridCol w:w="3535"/>
        <w:gridCol w:w="1521"/>
      </w:tblGrid>
      <w:tr>
        <w:tblPrEx>
          <w:tblCellMar>
            <w:top w:w="0" w:type="dxa"/>
            <w:left w:w="108" w:type="dxa"/>
            <w:bottom w:w="0" w:type="dxa"/>
            <w:right w:w="108" w:type="dxa"/>
          </w:tblCellMar>
        </w:tblPrEx>
        <w:trPr>
          <w:trHeight w:val="287" w:hRule="atLeast"/>
          <w:jc w:val="center"/>
        </w:trPr>
        <w:tc>
          <w:tcPr>
            <w:tcW w:w="13897" w:type="dxa"/>
            <w:gridSpan w:val="9"/>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表六：一般公共预算财政拨款基本支出决算明细表</w:t>
            </w:r>
          </w:p>
        </w:tc>
      </w:tr>
      <w:tr>
        <w:tblPrEx>
          <w:tblCellMar>
            <w:top w:w="0" w:type="dxa"/>
            <w:left w:w="108" w:type="dxa"/>
            <w:bottom w:w="0" w:type="dxa"/>
            <w:right w:w="108" w:type="dxa"/>
          </w:tblCellMar>
        </w:tblPrEx>
        <w:trPr>
          <w:trHeight w:val="514" w:hRule="atLeast"/>
          <w:jc w:val="center"/>
        </w:trPr>
        <w:tc>
          <w:tcPr>
            <w:tcW w:w="13897" w:type="dxa"/>
            <w:gridSpan w:val="9"/>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一般公共预算财政拨款基本支出决算明细表</w:t>
            </w:r>
          </w:p>
        </w:tc>
      </w:tr>
      <w:tr>
        <w:tblPrEx>
          <w:tblCellMar>
            <w:top w:w="0" w:type="dxa"/>
            <w:left w:w="108" w:type="dxa"/>
            <w:bottom w:w="0" w:type="dxa"/>
            <w:right w:w="108" w:type="dxa"/>
          </w:tblCellMar>
        </w:tblPrEx>
        <w:trPr>
          <w:trHeight w:val="272" w:hRule="atLeast"/>
          <w:jc w:val="center"/>
        </w:trPr>
        <w:tc>
          <w:tcPr>
            <w:tcW w:w="73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88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8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5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2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公开06表</w:t>
            </w:r>
          </w:p>
        </w:tc>
      </w:tr>
      <w:tr>
        <w:tblPrEx>
          <w:tblCellMar>
            <w:top w:w="0" w:type="dxa"/>
            <w:left w:w="108" w:type="dxa"/>
            <w:bottom w:w="0" w:type="dxa"/>
            <w:right w:w="108" w:type="dxa"/>
          </w:tblCellMar>
        </w:tblPrEx>
        <w:trPr>
          <w:trHeight w:val="272" w:hRule="atLeast"/>
          <w:jc w:val="center"/>
        </w:trPr>
        <w:tc>
          <w:tcPr>
            <w:tcW w:w="4602"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65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5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52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02" w:hRule="atLeast"/>
          <w:jc w:val="center"/>
        </w:trPr>
        <w:tc>
          <w:tcPr>
            <w:tcW w:w="46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人员经费</w:t>
            </w:r>
          </w:p>
        </w:tc>
        <w:tc>
          <w:tcPr>
            <w:tcW w:w="9295"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315" w:hRule="atLeast"/>
          <w:jc w:val="center"/>
        </w:trPr>
        <w:tc>
          <w:tcPr>
            <w:tcW w:w="73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科目代码</w:t>
            </w:r>
          </w:p>
        </w:tc>
        <w:tc>
          <w:tcPr>
            <w:tcW w:w="28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9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6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科目代码</w:t>
            </w:r>
          </w:p>
        </w:tc>
        <w:tc>
          <w:tcPr>
            <w:tcW w:w="21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7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6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科目代码</w:t>
            </w:r>
          </w:p>
        </w:tc>
        <w:tc>
          <w:tcPr>
            <w:tcW w:w="35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5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315" w:hRule="atLeast"/>
          <w:jc w:val="center"/>
        </w:trPr>
        <w:tc>
          <w:tcPr>
            <w:tcW w:w="7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8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9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6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21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7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6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35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52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1,528.96</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19.69</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429.91</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144.83</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426.63</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211.62</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145.07</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57.72</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7.08</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106.10</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125.62</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15.53</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110.08</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19.69</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73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8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7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5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2"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9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1,654.58</w:t>
            </w:r>
          </w:p>
        </w:tc>
        <w:tc>
          <w:tcPr>
            <w:tcW w:w="7774"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15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19.69</w:t>
            </w:r>
          </w:p>
        </w:tc>
      </w:tr>
      <w:tr>
        <w:tblPrEx>
          <w:tblCellMar>
            <w:top w:w="0" w:type="dxa"/>
            <w:left w:w="108" w:type="dxa"/>
            <w:bottom w:w="0" w:type="dxa"/>
            <w:right w:w="108" w:type="dxa"/>
          </w:tblCellMar>
        </w:tblPrEx>
        <w:trPr>
          <w:trHeight w:val="302" w:hRule="atLeast"/>
          <w:jc w:val="center"/>
        </w:trPr>
        <w:tc>
          <w:tcPr>
            <w:tcW w:w="13897" w:type="dxa"/>
            <w:gridSpan w:val="9"/>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rPr>
          <w:rFonts w:ascii="宋体" w:hAnsi="宋体" w:eastAsia="宋体" w:cs="宋体"/>
          <w:kern w:val="0"/>
          <w:sz w:val="30"/>
          <w:szCs w:val="30"/>
          <w:lang w:bidi="ar"/>
        </w:rPr>
      </w:pPr>
    </w:p>
    <w:tbl>
      <w:tblPr>
        <w:tblStyle w:val="7"/>
        <w:tblW w:w="14057" w:type="dxa"/>
        <w:jc w:val="center"/>
        <w:tblLayout w:type="autofit"/>
        <w:tblCellMar>
          <w:top w:w="0" w:type="dxa"/>
          <w:left w:w="108" w:type="dxa"/>
          <w:bottom w:w="0" w:type="dxa"/>
          <w:right w:w="108" w:type="dxa"/>
        </w:tblCellMar>
      </w:tblPr>
      <w:tblGrid>
        <w:gridCol w:w="432"/>
        <w:gridCol w:w="349"/>
        <w:gridCol w:w="297"/>
        <w:gridCol w:w="4735"/>
        <w:gridCol w:w="1119"/>
        <w:gridCol w:w="1259"/>
        <w:gridCol w:w="1259"/>
        <w:gridCol w:w="1088"/>
        <w:gridCol w:w="1259"/>
        <w:gridCol w:w="2260"/>
      </w:tblGrid>
      <w:tr>
        <w:tblPrEx>
          <w:tblCellMar>
            <w:top w:w="0" w:type="dxa"/>
            <w:left w:w="108" w:type="dxa"/>
            <w:bottom w:w="0" w:type="dxa"/>
            <w:right w:w="108" w:type="dxa"/>
          </w:tblCellMar>
        </w:tblPrEx>
        <w:trPr>
          <w:trHeight w:val="288" w:hRule="atLeast"/>
          <w:jc w:val="center"/>
        </w:trPr>
        <w:tc>
          <w:tcPr>
            <w:tcW w:w="14055" w:type="dxa"/>
            <w:gridSpan w:val="10"/>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表七：政府性基金预算财政拨款收入支出决算表</w:t>
            </w:r>
          </w:p>
        </w:tc>
      </w:tr>
      <w:tr>
        <w:tblPrEx>
          <w:tblCellMar>
            <w:top w:w="0" w:type="dxa"/>
            <w:left w:w="108" w:type="dxa"/>
            <w:bottom w:w="0" w:type="dxa"/>
            <w:right w:w="108" w:type="dxa"/>
          </w:tblCellMar>
        </w:tblPrEx>
        <w:trPr>
          <w:trHeight w:val="516" w:hRule="atLeast"/>
          <w:jc w:val="center"/>
        </w:trPr>
        <w:tc>
          <w:tcPr>
            <w:tcW w:w="14055"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政府性基金预算财政拨款收入支出决算表</w:t>
            </w:r>
          </w:p>
        </w:tc>
      </w:tr>
      <w:tr>
        <w:tblPrEx>
          <w:tblCellMar>
            <w:top w:w="0" w:type="dxa"/>
            <w:left w:w="108" w:type="dxa"/>
            <w:bottom w:w="0" w:type="dxa"/>
            <w:right w:w="108" w:type="dxa"/>
          </w:tblCellMar>
        </w:tblPrEx>
        <w:trPr>
          <w:trHeight w:val="273" w:hRule="atLeast"/>
          <w:jc w:val="center"/>
        </w:trPr>
        <w:tc>
          <w:tcPr>
            <w:tcW w:w="43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4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9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7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11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8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26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公开07表</w:t>
            </w:r>
          </w:p>
        </w:tc>
      </w:tr>
      <w:tr>
        <w:tblPrEx>
          <w:tblCellMar>
            <w:top w:w="0" w:type="dxa"/>
            <w:left w:w="108" w:type="dxa"/>
            <w:bottom w:w="0" w:type="dxa"/>
            <w:right w:w="108" w:type="dxa"/>
          </w:tblCellMar>
        </w:tblPrEx>
        <w:trPr>
          <w:trHeight w:val="273" w:hRule="atLeast"/>
          <w:jc w:val="center"/>
        </w:trPr>
        <w:tc>
          <w:tcPr>
            <w:tcW w:w="5813"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111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8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26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304" w:hRule="atLeast"/>
          <w:jc w:val="center"/>
        </w:trPr>
        <w:tc>
          <w:tcPr>
            <w:tcW w:w="5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年初结转和结余</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w:t>
            </w:r>
          </w:p>
        </w:tc>
        <w:tc>
          <w:tcPr>
            <w:tcW w:w="360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6" w:hRule="atLeast"/>
          <w:jc w:val="center"/>
        </w:trPr>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4735"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0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25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6" w:hRule="atLeast"/>
          <w:jc w:val="center"/>
        </w:trPr>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7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0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6" w:hRule="atLeast"/>
          <w:jc w:val="center"/>
        </w:trPr>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7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0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04" w:hRule="atLeast"/>
          <w:jc w:val="center"/>
        </w:trPr>
        <w:tc>
          <w:tcPr>
            <w:tcW w:w="5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1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304" w:hRule="atLeast"/>
          <w:jc w:val="center"/>
        </w:trPr>
        <w:tc>
          <w:tcPr>
            <w:tcW w:w="5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1.80</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1.80</w:t>
            </w:r>
          </w:p>
        </w:tc>
        <w:tc>
          <w:tcPr>
            <w:tcW w:w="10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304" w:hRule="atLeast"/>
          <w:jc w:val="center"/>
        </w:trPr>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473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用于教育事业的彩票公益金支出</w:t>
            </w:r>
          </w:p>
        </w:tc>
        <w:tc>
          <w:tcPr>
            <w:tcW w:w="1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10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4" w:hRule="atLeast"/>
          <w:jc w:val="center"/>
        </w:trPr>
        <w:tc>
          <w:tcPr>
            <w:tcW w:w="14055" w:type="dxa"/>
            <w:gridSpan w:val="10"/>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3585" w:type="dxa"/>
        <w:tblInd w:w="93" w:type="dxa"/>
        <w:tblLayout w:type="autofit"/>
        <w:tblCellMar>
          <w:top w:w="0" w:type="dxa"/>
          <w:left w:w="108" w:type="dxa"/>
          <w:bottom w:w="0" w:type="dxa"/>
          <w:right w:w="108" w:type="dxa"/>
        </w:tblCellMar>
      </w:tblPr>
      <w:tblGrid>
        <w:gridCol w:w="222"/>
        <w:gridCol w:w="222"/>
        <w:gridCol w:w="222"/>
        <w:gridCol w:w="3245"/>
        <w:gridCol w:w="2789"/>
        <w:gridCol w:w="2789"/>
        <w:gridCol w:w="4377"/>
      </w:tblGrid>
      <w:tr>
        <w:tblPrEx>
          <w:tblCellMar>
            <w:top w:w="0" w:type="dxa"/>
            <w:left w:w="108" w:type="dxa"/>
            <w:bottom w:w="0" w:type="dxa"/>
            <w:right w:w="108" w:type="dxa"/>
          </w:tblCellMar>
        </w:tblPrEx>
        <w:trPr>
          <w:trHeight w:val="285" w:hRule="atLeast"/>
        </w:trPr>
        <w:tc>
          <w:tcPr>
            <w:tcW w:w="13585" w:type="dxa"/>
            <w:gridSpan w:val="7"/>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表八：国有资本经营预算财政拨款支出决算表</w:t>
            </w:r>
          </w:p>
        </w:tc>
      </w:tr>
      <w:tr>
        <w:tblPrEx>
          <w:tblCellMar>
            <w:top w:w="0" w:type="dxa"/>
            <w:left w:w="108" w:type="dxa"/>
            <w:bottom w:w="0" w:type="dxa"/>
            <w:right w:w="108" w:type="dxa"/>
          </w:tblCellMar>
        </w:tblPrEx>
        <w:trPr>
          <w:trHeight w:val="510" w:hRule="atLeast"/>
        </w:trPr>
        <w:tc>
          <w:tcPr>
            <w:tcW w:w="13585" w:type="dxa"/>
            <w:gridSpan w:val="7"/>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国有资本经营预算财政拨款支出决算表</w:t>
            </w:r>
          </w:p>
        </w:tc>
      </w:tr>
      <w:tr>
        <w:tblPrEx>
          <w:tblCellMar>
            <w:top w:w="0" w:type="dxa"/>
            <w:left w:w="108" w:type="dxa"/>
            <w:bottom w:w="0" w:type="dxa"/>
            <w:right w:w="108" w:type="dxa"/>
          </w:tblCellMar>
        </w:tblPrEx>
        <w:trPr>
          <w:trHeight w:val="270" w:hRule="atLeast"/>
        </w:trPr>
        <w:tc>
          <w:tcPr>
            <w:tcW w:w="12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24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78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78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7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公开08表</w:t>
            </w:r>
          </w:p>
        </w:tc>
      </w:tr>
      <w:tr>
        <w:trPr>
          <w:trHeight w:val="270" w:hRule="atLeast"/>
        </w:trPr>
        <w:tc>
          <w:tcPr>
            <w:tcW w:w="3630"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278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78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7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420" w:hRule="atLeast"/>
        </w:trPr>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995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3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科目代码</w:t>
            </w:r>
          </w:p>
        </w:tc>
        <w:tc>
          <w:tcPr>
            <w:tcW w:w="3245"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27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7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43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38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32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3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38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32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27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43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7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7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37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420" w:hRule="atLeast"/>
        </w:trPr>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7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7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43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300" w:hRule="atLeast"/>
        </w:trPr>
        <w:tc>
          <w:tcPr>
            <w:tcW w:w="3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rPr>
          <w:trHeight w:val="300" w:hRule="atLeast"/>
        </w:trPr>
        <w:tc>
          <w:tcPr>
            <w:tcW w:w="13585" w:type="dxa"/>
            <w:gridSpan w:val="7"/>
            <w:tcBorders>
              <w:top w:val="single" w:color="000000" w:sz="4" w:space="0"/>
              <w:left w:val="nil"/>
              <w:bottom w:val="nil"/>
              <w:right w:val="nil"/>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widowControl/>
              <w:jc w:val="left"/>
              <w:rPr>
                <w:rFonts w:ascii="宋体" w:hAnsi="宋体" w:eastAsia="宋体" w:cs="宋体"/>
                <w:color w:val="000000"/>
                <w:kern w:val="0"/>
                <w:sz w:val="22"/>
                <w:szCs w:val="22"/>
              </w:rPr>
            </w:pPr>
          </w:p>
        </w:tc>
      </w:tr>
    </w:tbl>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tbl>
      <w:tblPr>
        <w:tblStyle w:val="7"/>
        <w:tblW w:w="13764" w:type="dxa"/>
        <w:tblInd w:w="93" w:type="dxa"/>
        <w:tblLayout w:type="autofit"/>
        <w:tblCellMar>
          <w:top w:w="0" w:type="dxa"/>
          <w:left w:w="108" w:type="dxa"/>
          <w:bottom w:w="0" w:type="dxa"/>
          <w:right w:w="108" w:type="dxa"/>
        </w:tblCellMar>
      </w:tblPr>
      <w:tblGrid>
        <w:gridCol w:w="986"/>
        <w:gridCol w:w="1373"/>
        <w:gridCol w:w="1005"/>
        <w:gridCol w:w="1082"/>
        <w:gridCol w:w="1373"/>
        <w:gridCol w:w="1005"/>
        <w:gridCol w:w="793"/>
        <w:gridCol w:w="1256"/>
        <w:gridCol w:w="1063"/>
        <w:gridCol w:w="1025"/>
        <w:gridCol w:w="1373"/>
        <w:gridCol w:w="1430"/>
      </w:tblGrid>
      <w:tr>
        <w:tblPrEx>
          <w:tblCellMar>
            <w:top w:w="0" w:type="dxa"/>
            <w:left w:w="108" w:type="dxa"/>
            <w:bottom w:w="0" w:type="dxa"/>
            <w:right w:w="108" w:type="dxa"/>
          </w:tblCellMar>
        </w:tblPrEx>
        <w:trPr>
          <w:trHeight w:val="264" w:hRule="atLeast"/>
        </w:trPr>
        <w:tc>
          <w:tcPr>
            <w:tcW w:w="13764" w:type="dxa"/>
            <w:gridSpan w:val="1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表九：财政拨款“三公”经费支出决算表</w:t>
            </w:r>
          </w:p>
        </w:tc>
      </w:tr>
      <w:tr>
        <w:tblPrEx>
          <w:tblCellMar>
            <w:top w:w="0" w:type="dxa"/>
            <w:left w:w="108" w:type="dxa"/>
            <w:bottom w:w="0" w:type="dxa"/>
            <w:right w:w="108" w:type="dxa"/>
          </w:tblCellMar>
        </w:tblPrEx>
        <w:trPr>
          <w:trHeight w:val="472" w:hRule="atLeast"/>
        </w:trPr>
        <w:tc>
          <w:tcPr>
            <w:tcW w:w="13764" w:type="dxa"/>
            <w:gridSpan w:val="12"/>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财政拨款“三公”经费支出决算表</w:t>
            </w:r>
          </w:p>
        </w:tc>
      </w:tr>
      <w:tr>
        <w:tblPrEx>
          <w:tblCellMar>
            <w:top w:w="0" w:type="dxa"/>
            <w:left w:w="108" w:type="dxa"/>
            <w:bottom w:w="0" w:type="dxa"/>
            <w:right w:w="108" w:type="dxa"/>
          </w:tblCellMar>
        </w:tblPrEx>
        <w:trPr>
          <w:trHeight w:val="250" w:hRule="atLeast"/>
        </w:trPr>
        <w:tc>
          <w:tcPr>
            <w:tcW w:w="9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3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8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3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6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2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3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3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公开09表</w:t>
            </w:r>
          </w:p>
        </w:tc>
      </w:tr>
      <w:tr>
        <w:tblPrEx>
          <w:tblCellMar>
            <w:top w:w="0" w:type="dxa"/>
            <w:left w:w="108" w:type="dxa"/>
            <w:bottom w:w="0" w:type="dxa"/>
            <w:right w:w="108" w:type="dxa"/>
          </w:tblCellMar>
        </w:tblPrEx>
        <w:trPr>
          <w:trHeight w:val="250" w:hRule="atLeast"/>
        </w:trPr>
        <w:tc>
          <w:tcPr>
            <w:tcW w:w="444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部门：环江毛南族自治县驯乐苗族乡中心小学</w:t>
            </w:r>
          </w:p>
        </w:tc>
        <w:tc>
          <w:tcPr>
            <w:tcW w:w="13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25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6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2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3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3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278" w:hRule="atLeast"/>
        </w:trPr>
        <w:tc>
          <w:tcPr>
            <w:tcW w:w="68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预算数</w:t>
            </w:r>
          </w:p>
        </w:tc>
        <w:tc>
          <w:tcPr>
            <w:tcW w:w="694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555" w:hRule="atLeast"/>
        </w:trPr>
        <w:tc>
          <w:tcPr>
            <w:tcW w:w="98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因公出国（境）费</w:t>
            </w:r>
          </w:p>
        </w:tc>
        <w:tc>
          <w:tcPr>
            <w:tcW w:w="34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公务用车购置及运行维护费</w:t>
            </w:r>
          </w:p>
        </w:tc>
        <w:tc>
          <w:tcPr>
            <w:tcW w:w="100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c>
          <w:tcPr>
            <w:tcW w:w="79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2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因公出国（境）费</w:t>
            </w:r>
          </w:p>
        </w:tc>
        <w:tc>
          <w:tcPr>
            <w:tcW w:w="34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公务用车购置及运行维护费</w:t>
            </w:r>
          </w:p>
        </w:tc>
        <w:tc>
          <w:tcPr>
            <w:tcW w:w="14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r>
      <w:tr>
        <w:tblPrEx>
          <w:tblCellMar>
            <w:top w:w="0" w:type="dxa"/>
            <w:left w:w="108" w:type="dxa"/>
            <w:bottom w:w="0" w:type="dxa"/>
            <w:right w:w="108" w:type="dxa"/>
          </w:tblCellMar>
        </w:tblPrEx>
        <w:trPr>
          <w:trHeight w:val="555"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3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0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0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公务用车购置费</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公务用车运行维护费</w:t>
            </w:r>
          </w:p>
        </w:tc>
        <w:tc>
          <w:tcPr>
            <w:tcW w:w="10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79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2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公务用车购置费</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公务用车运行维护费</w:t>
            </w:r>
          </w:p>
        </w:tc>
        <w:tc>
          <w:tcPr>
            <w:tcW w:w="14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7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7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2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6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3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trHeight w:val="27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14" w:hRule="atLeast"/>
        </w:trPr>
        <w:tc>
          <w:tcPr>
            <w:tcW w:w="13764" w:type="dxa"/>
            <w:gridSpan w:val="12"/>
            <w:vMerge w:val="restart"/>
            <w:tcBorders>
              <w:top w:val="single" w:color="000000" w:sz="4" w:space="0"/>
              <w:left w:val="nil"/>
              <w:bottom w:val="nil"/>
              <w:right w:val="nil"/>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注：本表反映部门本年度财政拨款“三公”经费支出预决算情况。其中，预算数为“三公”经费全年预算数，反映按规定程序调整后的预算数；决算数是包括当年财政拨款和以前年度结转资金安排的实际支出。</w:t>
            </w:r>
          </w:p>
          <w:p>
            <w:pPr>
              <w:widowControl/>
              <w:jc w:val="left"/>
              <w:rPr>
                <w:rFonts w:ascii="宋体" w:hAnsi="宋体" w:eastAsia="宋体" w:cs="宋体"/>
                <w:color w:val="000000"/>
                <w:kern w:val="0"/>
                <w:sz w:val="22"/>
                <w:szCs w:val="22"/>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r>
        <w:tblPrEx>
          <w:tblCellMar>
            <w:top w:w="0" w:type="dxa"/>
            <w:left w:w="108" w:type="dxa"/>
            <w:bottom w:w="0" w:type="dxa"/>
            <w:right w:w="108" w:type="dxa"/>
          </w:tblCellMar>
        </w:tblPrEx>
        <w:trPr>
          <w:trHeight w:val="514" w:hRule="atLeast"/>
        </w:trPr>
        <w:tc>
          <w:tcPr>
            <w:tcW w:w="13764" w:type="dxa"/>
            <w:gridSpan w:val="12"/>
            <w:vMerge w:val="continue"/>
            <w:tcBorders>
              <w:top w:val="single" w:color="000000" w:sz="4" w:space="0"/>
              <w:left w:val="nil"/>
              <w:bottom w:val="nil"/>
              <w:right w:val="nil"/>
            </w:tcBorders>
            <w:vAlign w:val="center"/>
          </w:tcPr>
          <w:p>
            <w:pPr>
              <w:widowControl/>
              <w:jc w:val="left"/>
              <w:rPr>
                <w:rFonts w:ascii="宋体" w:hAnsi="宋体" w:eastAsia="宋体" w:cs="宋体"/>
                <w:color w:val="000000"/>
                <w:kern w:val="0"/>
                <w:sz w:val="22"/>
                <w:szCs w:val="22"/>
              </w:rPr>
            </w:pPr>
          </w:p>
        </w:tc>
      </w:tr>
    </w:tbl>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rPr>
          <w:rFonts w:ascii="宋体" w:hAnsi="宋体" w:eastAsia="宋体" w:cs="宋体"/>
          <w:kern w:val="0"/>
          <w:sz w:val="30"/>
          <w:szCs w:val="30"/>
          <w:lang w:bidi="ar"/>
        </w:rPr>
      </w:pPr>
    </w:p>
    <w:p>
      <w:pPr>
        <w:ind w:firstLine="420"/>
        <w:jc w:val="left"/>
        <w:rPr>
          <w:rFonts w:ascii="仿宋" w:hAnsi="仿宋" w:eastAsia="仿宋" w:cs="仿宋"/>
          <w:sz w:val="24"/>
        </w:rPr>
        <w:sectPr>
          <w:pgSz w:w="16838" w:h="11906" w:orient="landscape"/>
          <w:pgMar w:top="1418" w:right="1418" w:bottom="1134" w:left="1418"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hint="eastAsia" w:ascii="黑体" w:hAnsi="黑体" w:eastAsia="黑体" w:cs="黑体"/>
          <w:sz w:val="32"/>
        </w:rPr>
        <w:t>环江毛南族自治县驯乐苗族乡中心小学</w:t>
      </w:r>
      <w:r>
        <w:rPr>
          <w:rFonts w:hint="eastAsia" w:ascii="黑体" w:hAnsi="黑体" w:eastAsia="黑体" w:cs="黑体"/>
          <w:sz w:val="32"/>
          <w:szCs w:val="32"/>
        </w:rPr>
        <w:t>2023年度部门决算情况说明</w:t>
      </w:r>
    </w:p>
    <w:p>
      <w:pPr>
        <w:jc w:val="left"/>
        <w:rPr>
          <w:rFonts w:ascii="黑体" w:hAnsi="黑体" w:eastAsia="黑体" w:cs="黑体"/>
          <w:sz w:val="32"/>
          <w:szCs w:val="32"/>
        </w:rPr>
      </w:pPr>
      <w:r>
        <w:rPr>
          <w:rFonts w:hint="eastAsia" w:ascii="黑体" w:hAnsi="黑体" w:eastAsia="黑体" w:cs="黑体"/>
          <w:sz w:val="32"/>
          <w:szCs w:val="32"/>
        </w:rPr>
        <w:t>一、2023年度收入支出决算总体情况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（一）本部门2023年度总收入</w:t>
      </w:r>
      <w:r>
        <w:rPr>
          <w:rFonts w:ascii="宋体" w:hAnsi="宋体" w:eastAsia="宋体" w:cs="宋体"/>
          <w:color w:val="000000"/>
          <w:kern w:val="0"/>
          <w:sz w:val="32"/>
          <w:szCs w:val="32"/>
          <w:lang w:bidi="ar"/>
        </w:rPr>
        <w:t>1942</w:t>
      </w:r>
      <w:r>
        <w:rPr>
          <w:rFonts w:hint="eastAsia" w:ascii="宋体" w:hAnsi="宋体" w:eastAsia="宋体" w:cs="宋体"/>
          <w:color w:val="000000"/>
          <w:kern w:val="0"/>
          <w:sz w:val="32"/>
          <w:szCs w:val="32"/>
          <w:lang w:bidi="ar"/>
        </w:rPr>
        <w:t>.</w:t>
      </w:r>
      <w:r>
        <w:rPr>
          <w:rFonts w:ascii="宋体" w:hAnsi="宋体" w:eastAsia="宋体" w:cs="宋体"/>
          <w:color w:val="000000"/>
          <w:kern w:val="0"/>
          <w:sz w:val="32"/>
          <w:szCs w:val="32"/>
          <w:lang w:bidi="ar"/>
        </w:rPr>
        <w:t>90</w:t>
      </w:r>
      <w:r>
        <w:rPr>
          <w:rFonts w:hint="eastAsia" w:ascii="仿宋" w:hAnsi="仿宋" w:eastAsia="仿宋" w:cs="仿宋"/>
          <w:sz w:val="32"/>
          <w:szCs w:val="32"/>
        </w:rPr>
        <w:t>万元，其中本年收入</w:t>
      </w:r>
      <w:r>
        <w:rPr>
          <w:rFonts w:ascii="宋体" w:hAnsi="宋体" w:eastAsia="宋体" w:cs="宋体"/>
          <w:color w:val="000000"/>
          <w:kern w:val="0"/>
          <w:sz w:val="32"/>
          <w:szCs w:val="32"/>
          <w:lang w:bidi="ar"/>
        </w:rPr>
        <w:t>1942.90</w:t>
      </w:r>
      <w:r>
        <w:rPr>
          <w:rFonts w:hint="eastAsia" w:ascii="仿宋" w:hAnsi="仿宋" w:eastAsia="仿宋" w:cs="仿宋"/>
          <w:sz w:val="32"/>
          <w:szCs w:val="32"/>
        </w:rPr>
        <w:t>万元。较2022年度决算数</w:t>
      </w:r>
      <w:r>
        <w:rPr>
          <w:rFonts w:hint="eastAsia" w:ascii="仿宋" w:hAnsi="仿宋" w:eastAsia="仿宋" w:cs="仿宋"/>
          <w:sz w:val="32"/>
        </w:rPr>
        <w:t>增加183.94</w:t>
      </w:r>
      <w:r>
        <w:rPr>
          <w:rFonts w:hint="eastAsia" w:ascii="仿宋" w:hAnsi="仿宋" w:eastAsia="仿宋" w:cs="仿宋"/>
          <w:sz w:val="32"/>
          <w:szCs w:val="32"/>
        </w:rPr>
        <w:t>万元，</w:t>
      </w:r>
      <w:r>
        <w:rPr>
          <w:rFonts w:hint="eastAsia" w:ascii="仿宋" w:hAnsi="仿宋" w:eastAsia="仿宋" w:cs="仿宋"/>
          <w:sz w:val="32"/>
        </w:rPr>
        <w:t>增加10.46</w:t>
      </w:r>
      <w:r>
        <w:rPr>
          <w:rFonts w:ascii="仿宋" w:hAnsi="仿宋" w:eastAsia="仿宋" w:cs="仿宋"/>
          <w:sz w:val="32"/>
        </w:rPr>
        <w:t>%</w:t>
      </w:r>
      <w:r>
        <w:rPr>
          <w:rFonts w:hint="eastAsia" w:ascii="仿宋" w:hAnsi="仿宋" w:eastAsia="仿宋" w:cs="仿宋"/>
          <w:sz w:val="32"/>
          <w:szCs w:val="32"/>
        </w:rPr>
        <w:t>，收入具体情况如下。</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1.一般公共预算财政拨款收入</w:t>
      </w:r>
      <w:r>
        <w:rPr>
          <w:rFonts w:ascii="仿宋" w:hAnsi="仿宋" w:eastAsia="仿宋" w:cs="仿宋"/>
          <w:sz w:val="32"/>
        </w:rPr>
        <w:t>1941</w:t>
      </w:r>
      <w:r>
        <w:rPr>
          <w:rFonts w:hint="eastAsia" w:ascii="仿宋" w:hAnsi="仿宋" w:eastAsia="仿宋" w:cs="仿宋"/>
          <w:sz w:val="32"/>
        </w:rPr>
        <w:t>.</w:t>
      </w:r>
      <w:r>
        <w:rPr>
          <w:rFonts w:ascii="仿宋" w:hAnsi="仿宋" w:eastAsia="仿宋" w:cs="仿宋"/>
          <w:sz w:val="32"/>
        </w:rPr>
        <w:t>1</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hint="eastAsia" w:ascii="仿宋" w:hAnsi="仿宋" w:eastAsia="仿宋" w:cs="仿宋"/>
          <w:sz w:val="32"/>
        </w:rPr>
        <w:t>增加185.17</w:t>
      </w:r>
      <w:r>
        <w:rPr>
          <w:rFonts w:hint="eastAsia" w:ascii="仿宋" w:hAnsi="仿宋" w:eastAsia="仿宋" w:cs="仿宋"/>
          <w:sz w:val="32"/>
          <w:szCs w:val="32"/>
          <w:lang w:bidi="ar"/>
        </w:rPr>
        <w:t>万元，</w:t>
      </w:r>
      <w:r>
        <w:rPr>
          <w:rFonts w:hint="eastAsia" w:ascii="仿宋" w:hAnsi="仿宋" w:eastAsia="仿宋" w:cs="仿宋"/>
          <w:sz w:val="32"/>
        </w:rPr>
        <w:t>增加10.55</w:t>
      </w:r>
      <w:r>
        <w:rPr>
          <w:rFonts w:ascii="仿宋" w:hAnsi="仿宋" w:eastAsia="仿宋" w:cs="仿宋"/>
          <w:sz w:val="32"/>
        </w:rPr>
        <w:t>%</w:t>
      </w:r>
      <w:r>
        <w:rPr>
          <w:rFonts w:hint="eastAsia" w:ascii="仿宋" w:hAnsi="仿宋" w:eastAsia="仿宋" w:cs="仿宋"/>
          <w:sz w:val="32"/>
          <w:szCs w:val="32"/>
          <w:lang w:bidi="ar"/>
        </w:rPr>
        <w:t>，主要原因：财政拨款增加。</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2.政府性基金预算财政拨款收入</w:t>
      </w:r>
      <w:r>
        <w:rPr>
          <w:rFonts w:hint="eastAsia" w:ascii="仿宋" w:hAnsi="仿宋" w:eastAsia="仿宋" w:cs="仿宋"/>
          <w:sz w:val="32"/>
        </w:rPr>
        <w:t>1.8</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hint="eastAsia" w:ascii="仿宋" w:hAnsi="仿宋" w:eastAsia="仿宋" w:cs="仿宋"/>
          <w:sz w:val="32"/>
        </w:rPr>
        <w:t>减少1.23</w:t>
      </w:r>
      <w:r>
        <w:rPr>
          <w:rFonts w:hint="eastAsia" w:ascii="仿宋" w:hAnsi="仿宋" w:eastAsia="仿宋" w:cs="仿宋"/>
          <w:sz w:val="32"/>
          <w:szCs w:val="32"/>
          <w:lang w:bidi="ar"/>
        </w:rPr>
        <w:t>万元，</w:t>
      </w:r>
      <w:r>
        <w:rPr>
          <w:rFonts w:hint="eastAsia" w:ascii="仿宋" w:hAnsi="仿宋" w:eastAsia="仿宋" w:cs="仿宋"/>
          <w:sz w:val="32"/>
        </w:rPr>
        <w:t>减少40.51</w:t>
      </w:r>
      <w:r>
        <w:rPr>
          <w:rFonts w:ascii="仿宋" w:hAnsi="仿宋" w:eastAsia="仿宋" w:cs="仿宋"/>
          <w:sz w:val="32"/>
        </w:rPr>
        <w:t>%</w:t>
      </w:r>
      <w:r>
        <w:rPr>
          <w:rFonts w:hint="eastAsia" w:ascii="仿宋" w:hAnsi="仿宋" w:eastAsia="仿宋" w:cs="仿宋"/>
          <w:sz w:val="32"/>
          <w:szCs w:val="32"/>
          <w:lang w:bidi="ar"/>
        </w:rPr>
        <w:t>，主要原因：本年度彩票公益基金安排的少年宫项目经费减少。</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3.国有资本经营预算财政拨款收入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，主要原因是：本单位没有国有资本经营预算财政拨款收入。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4.事业收入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万元，为事业单位开展业务活动取得的收入。较2021年度决算数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，主要原因是：本单位没有事业收入。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5.</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，主要原因是：本单位没有经营性收入。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7.附属单位上缴收入</w:t>
      </w:r>
      <w:r>
        <w:rPr>
          <w:rFonts w:ascii="仿宋" w:hAnsi="仿宋" w:eastAsia="仿宋" w:cs="仿宋"/>
          <w:sz w:val="32"/>
        </w:rPr>
        <w:t>0.00</w:t>
      </w:r>
      <w:r>
        <w:rPr>
          <w:rFonts w:hint="eastAsia" w:ascii="仿宋" w:hAnsi="仿宋" w:eastAsia="仿宋" w:cs="仿宋"/>
          <w:sz w:val="32"/>
          <w:szCs w:val="32"/>
          <w:lang w:bidi="ar"/>
        </w:rPr>
        <w:t>万元。较2022年度决算数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，主要原因是：本单位无附属单位。</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6.其他收入</w:t>
      </w:r>
      <w:r>
        <w:rPr>
          <w:rFonts w:ascii="仿宋" w:hAnsi="仿宋" w:eastAsia="仿宋" w:cs="仿宋"/>
          <w:sz w:val="32"/>
        </w:rPr>
        <w:t>0.00</w:t>
      </w:r>
      <w:r>
        <w:rPr>
          <w:rFonts w:hint="eastAsia" w:ascii="仿宋" w:hAnsi="仿宋" w:eastAsia="仿宋" w:cs="仿宋"/>
          <w:sz w:val="32"/>
          <w:szCs w:val="32"/>
          <w:lang w:bidi="ar"/>
        </w:rPr>
        <w:t>万元,为预算单位在“财政拨款收入”“事业收入”“经营收入”之外取得的收入。较2022年度决算数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，主要原因是：本单位没有其他收入。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bidi="ar"/>
        </w:rPr>
        <w:t>7.使用非财政拨款结余</w:t>
      </w:r>
      <w:r>
        <w:rPr>
          <w:rFonts w:ascii="仿宋" w:hAnsi="仿宋" w:eastAsia="仿宋" w:cs="仿宋"/>
          <w:sz w:val="32"/>
        </w:rPr>
        <w:t>0.00</w:t>
      </w:r>
      <w:r>
        <w:rPr>
          <w:rFonts w:hint="eastAsia" w:ascii="仿宋" w:hAnsi="仿宋" w:eastAsia="仿宋" w:cs="仿宋"/>
          <w:sz w:val="32"/>
          <w:szCs w:val="32"/>
          <w:lang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，主要原因是：本单位没有非财政拨款结余。</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8.上年结转和结余</w:t>
      </w:r>
      <w:r>
        <w:rPr>
          <w:rFonts w:ascii="仿宋" w:hAnsi="仿宋" w:eastAsia="仿宋" w:cs="仿宋"/>
          <w:sz w:val="32"/>
        </w:rPr>
        <w:t>0.00</w:t>
      </w:r>
      <w:r>
        <w:rPr>
          <w:rFonts w:hint="eastAsia" w:ascii="仿宋" w:hAnsi="仿宋" w:eastAsia="仿宋" w:cs="仿宋"/>
          <w:sz w:val="32"/>
          <w:szCs w:val="32"/>
          <w:lang w:bidi="ar"/>
        </w:rPr>
        <w:t>万元，为以前年度支出预算因客观条件变化未执行完毕、结转到本年度按有关规定继续使用的资金。较2022年度决算数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，主要原因：部分项目已在本年执行完毕，不需要结转至下年继续执行。</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794250" cy="2886075"/>
            <wp:effectExtent l="0" t="0" r="25400" b="9525"/>
            <wp:docPr id="1" name="图表 1"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（二）本部门2023年度总支出</w:t>
      </w:r>
      <w:r>
        <w:rPr>
          <w:rFonts w:ascii="仿宋" w:hAnsi="仿宋" w:eastAsia="仿宋" w:cs="仿宋"/>
          <w:sz w:val="32"/>
        </w:rPr>
        <w:t>1942.90</w:t>
      </w:r>
      <w:r>
        <w:rPr>
          <w:rFonts w:hint="eastAsia" w:ascii="仿宋" w:hAnsi="仿宋" w:eastAsia="仿宋" w:cs="仿宋"/>
          <w:sz w:val="32"/>
          <w:szCs w:val="32"/>
        </w:rPr>
        <w:t>万元，其中本年支出</w:t>
      </w:r>
      <w:r>
        <w:rPr>
          <w:rFonts w:ascii="仿宋" w:hAnsi="仿宋" w:eastAsia="仿宋" w:cs="仿宋"/>
          <w:sz w:val="32"/>
        </w:rPr>
        <w:t>1942.90</w:t>
      </w:r>
      <w:r>
        <w:rPr>
          <w:rFonts w:hint="eastAsia" w:ascii="仿宋" w:hAnsi="仿宋" w:eastAsia="仿宋" w:cs="仿宋"/>
          <w:sz w:val="32"/>
          <w:szCs w:val="32"/>
        </w:rPr>
        <w:t>万元，较2022年度决算数</w:t>
      </w:r>
      <w:r>
        <w:rPr>
          <w:rFonts w:hint="eastAsia" w:ascii="仿宋" w:hAnsi="仿宋" w:eastAsia="仿宋" w:cs="仿宋"/>
          <w:sz w:val="32"/>
        </w:rPr>
        <w:t>增加183.94</w:t>
      </w:r>
      <w:r>
        <w:rPr>
          <w:rFonts w:hint="eastAsia" w:ascii="仿宋" w:hAnsi="仿宋" w:eastAsia="仿宋" w:cs="仿宋"/>
          <w:sz w:val="32"/>
          <w:szCs w:val="32"/>
        </w:rPr>
        <w:t>万元，</w:t>
      </w:r>
      <w:r>
        <w:rPr>
          <w:rFonts w:ascii="仿宋" w:hAnsi="仿宋" w:eastAsia="仿宋" w:cs="仿宋"/>
          <w:sz w:val="32"/>
        </w:rPr>
        <w:t>增长10.46%</w:t>
      </w:r>
      <w:r>
        <w:rPr>
          <w:rFonts w:hint="eastAsia" w:ascii="仿宋" w:hAnsi="仿宋" w:eastAsia="仿宋" w:cs="仿宋"/>
          <w:sz w:val="32"/>
          <w:szCs w:val="32"/>
        </w:rPr>
        <w:t>。支出具体情况如下：</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z w:val="32"/>
          <w:szCs w:val="32"/>
          <w:lang w:bidi="ar"/>
        </w:rPr>
        <w:t>一般公共服务支出（201类）</w:t>
      </w:r>
      <w:r>
        <w:rPr>
          <w:rFonts w:hint="eastAsia" w:ascii="仿宋" w:hAnsi="仿宋" w:eastAsia="仿宋" w:cs="仿宋"/>
          <w:sz w:val="32"/>
          <w:szCs w:val="32"/>
        </w:rPr>
        <w:t>19.69万元：主要用于：教职工工会活动支出。较2022年度决算数</w:t>
      </w:r>
      <w:r>
        <w:rPr>
          <w:rFonts w:hint="eastAsia" w:ascii="仿宋" w:hAnsi="仿宋" w:eastAsia="仿宋" w:cs="仿宋"/>
          <w:sz w:val="32"/>
          <w:szCs w:val="32"/>
          <w:lang w:bidi="ar"/>
        </w:rPr>
        <w:t>减少1.27</w:t>
      </w:r>
      <w:r>
        <w:rPr>
          <w:rFonts w:hint="eastAsia" w:ascii="仿宋" w:hAnsi="仿宋" w:eastAsia="仿宋" w:cs="仿宋"/>
          <w:sz w:val="32"/>
          <w:szCs w:val="32"/>
        </w:rPr>
        <w:t>万元，</w:t>
      </w:r>
      <w:r>
        <w:rPr>
          <w:rFonts w:hint="eastAsia" w:ascii="仿宋" w:hAnsi="仿宋" w:eastAsia="仿宋" w:cs="仿宋"/>
          <w:sz w:val="32"/>
          <w:szCs w:val="32"/>
          <w:lang w:bidi="ar"/>
        </w:rPr>
        <w:t>减少7.4%</w:t>
      </w:r>
      <w:r>
        <w:rPr>
          <w:rFonts w:hint="eastAsia" w:ascii="仿宋" w:hAnsi="仿宋" w:eastAsia="仿宋" w:cs="仿宋"/>
          <w:sz w:val="32"/>
          <w:szCs w:val="32"/>
        </w:rPr>
        <w:t>，</w:t>
      </w:r>
      <w:r>
        <w:rPr>
          <w:rFonts w:hint="eastAsia" w:ascii="仿宋" w:hAnsi="仿宋" w:eastAsia="仿宋" w:cs="仿宋"/>
          <w:sz w:val="32"/>
          <w:szCs w:val="32"/>
          <w:lang w:bidi="ar"/>
        </w:rPr>
        <w:t>主要原因是：</w:t>
      </w:r>
      <w:r>
        <w:rPr>
          <w:rFonts w:hint="eastAsia" w:ascii="仿宋" w:hAnsi="仿宋" w:eastAsia="仿宋" w:cs="仿宋"/>
          <w:sz w:val="32"/>
          <w:szCs w:val="32"/>
        </w:rPr>
        <w:t>本年度工会活动项目减少</w:t>
      </w:r>
      <w:r>
        <w:rPr>
          <w:rFonts w:hint="eastAsia" w:ascii="仿宋" w:hAnsi="仿宋" w:eastAsia="仿宋" w:cs="仿宋"/>
          <w:sz w:val="32"/>
          <w:szCs w:val="32"/>
          <w:lang w:bidi="ar"/>
        </w:rPr>
        <w:t>。</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lang w:bidi="ar"/>
        </w:rPr>
        <w:t>教育支出</w:t>
      </w:r>
      <w:r>
        <w:rPr>
          <w:rFonts w:hint="eastAsia" w:ascii="仿宋" w:hAnsi="仿宋" w:eastAsia="仿宋" w:cs="仿宋"/>
          <w:sz w:val="32"/>
          <w:szCs w:val="32"/>
        </w:rPr>
        <w:t>（</w:t>
      </w:r>
      <w:r>
        <w:rPr>
          <w:rFonts w:hint="eastAsia" w:ascii="仿宋" w:hAnsi="仿宋" w:eastAsia="仿宋" w:cs="仿宋"/>
          <w:sz w:val="32"/>
          <w:szCs w:val="32"/>
          <w:lang w:bidi="ar"/>
        </w:rPr>
        <w:t>205</w:t>
      </w:r>
      <w:r>
        <w:rPr>
          <w:rFonts w:ascii="Calibri" w:hAnsi="Calibri" w:eastAsia="宋体" w:cs="Times New Roman"/>
          <w:lang w:bidi="ar"/>
        </w:rPr>
        <w:t xml:space="preserve"> </w:t>
      </w:r>
      <w:r>
        <w:rPr>
          <w:rFonts w:hint="eastAsia" w:ascii="仿宋" w:hAnsi="仿宋" w:eastAsia="仿宋" w:cs="仿宋"/>
          <w:sz w:val="32"/>
          <w:szCs w:val="32"/>
        </w:rPr>
        <w:t>类）</w:t>
      </w:r>
      <w:r>
        <w:rPr>
          <w:rFonts w:ascii="仿宋" w:hAnsi="仿宋" w:eastAsia="仿宋" w:cs="仿宋"/>
          <w:sz w:val="32"/>
          <w:szCs w:val="32"/>
          <w:lang w:bidi="ar"/>
        </w:rPr>
        <w:t>1513</w:t>
      </w:r>
      <w:r>
        <w:rPr>
          <w:rFonts w:hint="eastAsia" w:ascii="仿宋" w:hAnsi="仿宋" w:eastAsia="仿宋" w:cs="仿宋"/>
          <w:sz w:val="32"/>
          <w:szCs w:val="32"/>
          <w:lang w:bidi="ar"/>
        </w:rPr>
        <w:t>.</w:t>
      </w:r>
      <w:r>
        <w:rPr>
          <w:rFonts w:ascii="仿宋" w:hAnsi="仿宋" w:eastAsia="仿宋" w:cs="仿宋"/>
          <w:sz w:val="32"/>
          <w:szCs w:val="32"/>
          <w:lang w:bidi="ar"/>
        </w:rPr>
        <w:t>1</w:t>
      </w:r>
      <w:r>
        <w:rPr>
          <w:rFonts w:hint="eastAsia" w:ascii="仿宋" w:hAnsi="仿宋" w:eastAsia="仿宋" w:cs="仿宋"/>
          <w:sz w:val="32"/>
          <w:szCs w:val="32"/>
          <w:lang w:bidi="ar"/>
        </w:rPr>
        <w:t>2</w:t>
      </w:r>
      <w:r>
        <w:rPr>
          <w:rFonts w:hint="eastAsia" w:ascii="仿宋" w:hAnsi="仿宋" w:eastAsia="仿宋" w:cs="仿宋"/>
          <w:sz w:val="32"/>
          <w:szCs w:val="32"/>
        </w:rPr>
        <w:t>万元：主要用于：人员基本工资，商品服务支出。较2022年度决算数</w:t>
      </w:r>
      <w:r>
        <w:rPr>
          <w:rFonts w:hint="eastAsia" w:ascii="仿宋" w:hAnsi="仿宋" w:eastAsia="仿宋" w:cs="仿宋"/>
          <w:sz w:val="32"/>
          <w:szCs w:val="32"/>
          <w:lang w:bidi="ar"/>
        </w:rPr>
        <w:t>增加242.15</w:t>
      </w:r>
      <w:r>
        <w:rPr>
          <w:rFonts w:hint="eastAsia" w:ascii="仿宋" w:hAnsi="仿宋" w:eastAsia="仿宋" w:cs="仿宋"/>
          <w:sz w:val="32"/>
          <w:szCs w:val="32"/>
        </w:rPr>
        <w:t>万元，</w:t>
      </w:r>
      <w:r>
        <w:rPr>
          <w:rFonts w:hint="eastAsia" w:ascii="仿宋" w:hAnsi="仿宋" w:eastAsia="仿宋" w:cs="仿宋"/>
          <w:sz w:val="32"/>
          <w:szCs w:val="32"/>
          <w:lang w:bidi="ar"/>
        </w:rPr>
        <w:t>增加19.05%</w:t>
      </w:r>
      <w:r>
        <w:rPr>
          <w:rFonts w:hint="eastAsia" w:ascii="仿宋" w:hAnsi="仿宋" w:eastAsia="仿宋" w:cs="仿宋"/>
          <w:sz w:val="32"/>
          <w:szCs w:val="32"/>
        </w:rPr>
        <w:t>，</w:t>
      </w:r>
      <w:r>
        <w:rPr>
          <w:rFonts w:hint="eastAsia" w:ascii="仿宋" w:hAnsi="仿宋" w:eastAsia="仿宋" w:cs="仿宋"/>
          <w:sz w:val="32"/>
          <w:szCs w:val="32"/>
          <w:lang w:bidi="ar"/>
        </w:rPr>
        <w:t>主要原因是：各种教育教学支出增加。</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3.社会保障和就业支出</w:t>
      </w:r>
      <w:r>
        <w:rPr>
          <w:rFonts w:hint="eastAsia" w:ascii="仿宋" w:hAnsi="仿宋" w:eastAsia="仿宋" w:cs="仿宋"/>
          <w:sz w:val="32"/>
          <w:szCs w:val="32"/>
        </w:rPr>
        <w:t>（</w:t>
      </w:r>
      <w:r>
        <w:rPr>
          <w:rFonts w:hint="eastAsia" w:ascii="仿宋" w:hAnsi="仿宋" w:eastAsia="仿宋" w:cs="仿宋"/>
          <w:sz w:val="32"/>
          <w:szCs w:val="32"/>
          <w:lang w:bidi="ar"/>
        </w:rPr>
        <w:t>208</w:t>
      </w:r>
      <w:r>
        <w:rPr>
          <w:rFonts w:ascii="Calibri" w:hAnsi="Calibri" w:eastAsia="宋体" w:cs="Times New Roman"/>
          <w:lang w:bidi="ar"/>
        </w:rPr>
        <w:t xml:space="preserve"> </w:t>
      </w:r>
      <w:r>
        <w:rPr>
          <w:rFonts w:hint="eastAsia" w:ascii="仿宋" w:hAnsi="仿宋" w:eastAsia="仿宋" w:cs="仿宋"/>
          <w:sz w:val="32"/>
          <w:szCs w:val="32"/>
        </w:rPr>
        <w:t>类）</w:t>
      </w:r>
      <w:r>
        <w:rPr>
          <w:rFonts w:ascii="仿宋" w:hAnsi="仿宋" w:eastAsia="仿宋" w:cs="仿宋"/>
          <w:sz w:val="32"/>
          <w:szCs w:val="32"/>
          <w:lang w:bidi="ar"/>
        </w:rPr>
        <w:t>145</w:t>
      </w:r>
      <w:r>
        <w:rPr>
          <w:rFonts w:hint="eastAsia" w:ascii="仿宋" w:hAnsi="仿宋" w:eastAsia="仿宋" w:cs="仿宋"/>
          <w:sz w:val="32"/>
          <w:szCs w:val="32"/>
          <w:lang w:bidi="ar"/>
        </w:rPr>
        <w:t>.</w:t>
      </w:r>
      <w:r>
        <w:rPr>
          <w:rFonts w:ascii="仿宋" w:hAnsi="仿宋" w:eastAsia="仿宋" w:cs="仿宋"/>
          <w:sz w:val="32"/>
          <w:szCs w:val="32"/>
          <w:lang w:bidi="ar"/>
        </w:rPr>
        <w:t>0</w:t>
      </w:r>
      <w:r>
        <w:rPr>
          <w:rFonts w:hint="eastAsia" w:ascii="仿宋" w:hAnsi="仿宋" w:eastAsia="仿宋" w:cs="仿宋"/>
          <w:sz w:val="32"/>
          <w:szCs w:val="32"/>
          <w:lang w:bidi="ar"/>
        </w:rPr>
        <w:t>7</w:t>
      </w:r>
      <w:r>
        <w:rPr>
          <w:rFonts w:hint="eastAsia" w:ascii="仿宋" w:hAnsi="仿宋" w:eastAsia="仿宋" w:cs="仿宋"/>
          <w:sz w:val="32"/>
          <w:szCs w:val="32"/>
        </w:rPr>
        <w:t>万元：主要用于：单位基本养老缴费。较2022年度决算数</w:t>
      </w:r>
      <w:r>
        <w:rPr>
          <w:rFonts w:hint="eastAsia" w:ascii="仿宋" w:hAnsi="仿宋" w:eastAsia="仿宋" w:cs="仿宋"/>
          <w:sz w:val="32"/>
          <w:szCs w:val="32"/>
          <w:lang w:bidi="ar"/>
        </w:rPr>
        <w:t>增加21.88</w:t>
      </w:r>
      <w:r>
        <w:rPr>
          <w:rFonts w:hint="eastAsia" w:ascii="仿宋" w:hAnsi="仿宋" w:eastAsia="仿宋" w:cs="仿宋"/>
          <w:sz w:val="32"/>
          <w:szCs w:val="32"/>
        </w:rPr>
        <w:t>万元，</w:t>
      </w:r>
      <w:r>
        <w:rPr>
          <w:rFonts w:hint="eastAsia" w:ascii="仿宋" w:hAnsi="仿宋" w:eastAsia="仿宋" w:cs="仿宋"/>
          <w:sz w:val="32"/>
          <w:szCs w:val="32"/>
          <w:lang w:bidi="ar"/>
        </w:rPr>
        <w:t>增长17.76%</w:t>
      </w:r>
      <w:r>
        <w:rPr>
          <w:rFonts w:hint="eastAsia" w:ascii="仿宋" w:hAnsi="仿宋" w:eastAsia="仿宋" w:cs="仿宋"/>
          <w:sz w:val="32"/>
          <w:szCs w:val="32"/>
        </w:rPr>
        <w:t>，</w:t>
      </w:r>
      <w:r>
        <w:rPr>
          <w:rFonts w:hint="eastAsia" w:ascii="仿宋" w:hAnsi="仿宋" w:eastAsia="仿宋" w:cs="仿宋"/>
          <w:sz w:val="32"/>
          <w:szCs w:val="32"/>
          <w:lang w:bidi="ar"/>
        </w:rPr>
        <w:t>主要原因是：教职工“五险”缴费基数增加。</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lang w:bidi="ar"/>
        </w:rPr>
        <w:t>住房保障支出</w:t>
      </w:r>
      <w:r>
        <w:rPr>
          <w:rFonts w:hint="eastAsia" w:ascii="仿宋" w:hAnsi="仿宋" w:eastAsia="仿宋" w:cs="仿宋"/>
          <w:sz w:val="32"/>
          <w:szCs w:val="32"/>
        </w:rPr>
        <w:t>（</w:t>
      </w:r>
      <w:r>
        <w:rPr>
          <w:rFonts w:hint="eastAsia" w:ascii="仿宋" w:hAnsi="仿宋" w:eastAsia="仿宋" w:cs="仿宋"/>
          <w:sz w:val="32"/>
          <w:szCs w:val="32"/>
          <w:lang w:bidi="ar"/>
        </w:rPr>
        <w:t>221</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106.10</w:t>
      </w:r>
      <w:r>
        <w:rPr>
          <w:rFonts w:hint="eastAsia" w:ascii="仿宋" w:hAnsi="仿宋" w:eastAsia="仿宋" w:cs="仿宋"/>
          <w:sz w:val="32"/>
          <w:szCs w:val="32"/>
        </w:rPr>
        <w:t>万元：主要用于：住房公积金缴费。较2022年度决算数</w:t>
      </w:r>
      <w:r>
        <w:rPr>
          <w:rFonts w:hint="eastAsia" w:ascii="仿宋" w:hAnsi="仿宋" w:eastAsia="仿宋" w:cs="仿宋"/>
          <w:sz w:val="32"/>
          <w:szCs w:val="32"/>
          <w:lang w:bidi="ar"/>
        </w:rPr>
        <w:t>增加9.32</w:t>
      </w:r>
      <w:r>
        <w:rPr>
          <w:rFonts w:hint="eastAsia" w:ascii="仿宋" w:hAnsi="仿宋" w:eastAsia="仿宋" w:cs="仿宋"/>
          <w:sz w:val="32"/>
          <w:szCs w:val="32"/>
        </w:rPr>
        <w:t>万元，</w:t>
      </w:r>
      <w:r>
        <w:rPr>
          <w:rFonts w:hint="eastAsia" w:ascii="仿宋" w:hAnsi="仿宋" w:eastAsia="仿宋" w:cs="仿宋"/>
          <w:sz w:val="32"/>
          <w:szCs w:val="32"/>
          <w:lang w:bidi="ar"/>
        </w:rPr>
        <w:t>增加9.63%</w:t>
      </w:r>
      <w:r>
        <w:rPr>
          <w:rFonts w:hint="eastAsia" w:ascii="仿宋" w:hAnsi="仿宋" w:eastAsia="仿宋" w:cs="仿宋"/>
          <w:sz w:val="32"/>
          <w:szCs w:val="32"/>
        </w:rPr>
        <w:t>，</w:t>
      </w:r>
      <w:r>
        <w:rPr>
          <w:rFonts w:hint="eastAsia" w:ascii="仿宋" w:hAnsi="仿宋" w:eastAsia="仿宋" w:cs="仿宋"/>
          <w:sz w:val="32"/>
          <w:szCs w:val="32"/>
          <w:lang w:bidi="ar"/>
        </w:rPr>
        <w:t>主要原因是：住房公积金缴费基数增加。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z w:val="32"/>
          <w:szCs w:val="32"/>
          <w:lang w:bidi="ar"/>
        </w:rPr>
        <w:t>其他支出</w:t>
      </w:r>
      <w:r>
        <w:rPr>
          <w:rFonts w:hint="eastAsia" w:ascii="仿宋" w:hAnsi="仿宋" w:eastAsia="仿宋" w:cs="仿宋"/>
          <w:sz w:val="32"/>
          <w:szCs w:val="32"/>
        </w:rPr>
        <w:t>（</w:t>
      </w:r>
      <w:r>
        <w:rPr>
          <w:rFonts w:hint="eastAsia" w:ascii="仿宋" w:hAnsi="仿宋" w:eastAsia="仿宋" w:cs="仿宋"/>
          <w:sz w:val="32"/>
          <w:szCs w:val="32"/>
          <w:lang w:bidi="ar"/>
        </w:rPr>
        <w:t>229</w:t>
      </w:r>
      <w:r>
        <w:rPr>
          <w:rFonts w:ascii="Calibri" w:hAnsi="Calibri" w:eastAsia="宋体" w:cs="Times New Roman"/>
          <w:lang w:bidi="ar"/>
        </w:rPr>
        <w:t xml:space="preserve"> </w:t>
      </w:r>
      <w:r>
        <w:rPr>
          <w:rFonts w:hint="eastAsia" w:ascii="仿宋" w:hAnsi="仿宋" w:eastAsia="仿宋" w:cs="仿宋"/>
          <w:sz w:val="32"/>
          <w:szCs w:val="32"/>
        </w:rPr>
        <w:t>类）</w:t>
      </w:r>
      <w:r>
        <w:rPr>
          <w:rFonts w:ascii="仿宋" w:hAnsi="仿宋" w:eastAsia="仿宋" w:cs="仿宋"/>
          <w:sz w:val="32"/>
          <w:szCs w:val="32"/>
          <w:lang w:bidi="ar"/>
        </w:rPr>
        <w:t>158</w:t>
      </w:r>
      <w:r>
        <w:rPr>
          <w:rFonts w:hint="eastAsia" w:ascii="仿宋" w:hAnsi="仿宋" w:eastAsia="仿宋" w:cs="仿宋"/>
          <w:sz w:val="32"/>
          <w:szCs w:val="32"/>
          <w:lang w:bidi="ar"/>
        </w:rPr>
        <w:t>.</w:t>
      </w:r>
      <w:r>
        <w:rPr>
          <w:rFonts w:ascii="仿宋" w:hAnsi="仿宋" w:eastAsia="仿宋" w:cs="仿宋"/>
          <w:sz w:val="32"/>
          <w:szCs w:val="32"/>
          <w:lang w:bidi="ar"/>
        </w:rPr>
        <w:t>9</w:t>
      </w:r>
      <w:r>
        <w:rPr>
          <w:rFonts w:hint="eastAsia" w:ascii="仿宋" w:hAnsi="仿宋" w:eastAsia="仿宋" w:cs="仿宋"/>
          <w:sz w:val="32"/>
          <w:szCs w:val="32"/>
          <w:lang w:bidi="ar"/>
        </w:rPr>
        <w:t>3</w:t>
      </w:r>
      <w:r>
        <w:rPr>
          <w:rFonts w:hint="eastAsia" w:ascii="仿宋" w:hAnsi="仿宋" w:eastAsia="仿宋" w:cs="仿宋"/>
          <w:sz w:val="32"/>
          <w:szCs w:val="32"/>
        </w:rPr>
        <w:t>万元：主要用于：人员工资福利及其他商品服务支出。较2022年度决算数</w:t>
      </w:r>
      <w:r>
        <w:rPr>
          <w:rFonts w:hint="eastAsia" w:ascii="仿宋" w:hAnsi="仿宋" w:eastAsia="仿宋" w:cs="仿宋"/>
          <w:sz w:val="32"/>
          <w:szCs w:val="32"/>
          <w:lang w:bidi="ar"/>
        </w:rPr>
        <w:t>减少87.81</w:t>
      </w:r>
      <w:r>
        <w:rPr>
          <w:rFonts w:hint="eastAsia" w:ascii="仿宋" w:hAnsi="仿宋" w:eastAsia="仿宋" w:cs="仿宋"/>
          <w:sz w:val="32"/>
          <w:szCs w:val="32"/>
        </w:rPr>
        <w:t>万元，</w:t>
      </w:r>
      <w:r>
        <w:rPr>
          <w:rFonts w:hint="eastAsia" w:ascii="仿宋" w:hAnsi="仿宋" w:eastAsia="仿宋" w:cs="仿宋"/>
          <w:sz w:val="32"/>
          <w:szCs w:val="32"/>
          <w:lang w:bidi="ar"/>
        </w:rPr>
        <w:t>下降35.59%</w:t>
      </w:r>
      <w:r>
        <w:rPr>
          <w:rFonts w:hint="eastAsia" w:ascii="仿宋" w:hAnsi="仿宋" w:eastAsia="仿宋" w:cs="仿宋"/>
          <w:sz w:val="32"/>
          <w:szCs w:val="32"/>
        </w:rPr>
        <w:t>，</w:t>
      </w:r>
      <w:r>
        <w:rPr>
          <w:rFonts w:hint="eastAsia" w:ascii="仿宋" w:hAnsi="仿宋" w:eastAsia="仿宋" w:cs="仿宋"/>
          <w:sz w:val="32"/>
          <w:szCs w:val="32"/>
          <w:lang w:bidi="ar"/>
        </w:rPr>
        <w:t>主要原因是：本年度师生人数减少其他商品服务支出费用也减少。</w:t>
      </w:r>
    </w:p>
    <w:p>
      <w:pPr>
        <w:ind w:firstLine="620" w:firstLineChars="200"/>
        <w:jc w:val="left"/>
        <w:rPr>
          <w:rFonts w:ascii="仿宋" w:hAnsi="仿宋" w:eastAsia="仿宋_GB2312" w:cs="仿宋"/>
          <w:sz w:val="32"/>
          <w:szCs w:val="32"/>
          <w:lang w:bidi="ar"/>
        </w:rPr>
      </w:pPr>
      <w:r>
        <w:rPr>
          <w:rFonts w:ascii="仿宋_GB2312" w:hAnsi="微软雅黑" w:eastAsia="仿宋_GB2312" w:cs="仿宋_GB2312"/>
          <w:sz w:val="31"/>
          <w:szCs w:val="31"/>
          <w:shd w:val="clear" w:color="auto" w:fill="FFFFFF"/>
        </w:rPr>
        <w:t>结余分配</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sz w:val="31"/>
          <w:szCs w:val="31"/>
          <w:shd w:val="clear" w:color="auto" w:fill="FFFFFF"/>
        </w:rPr>
        <w:t>2</w:t>
      </w:r>
      <w:r>
        <w:rPr>
          <w:rFonts w:ascii="仿宋_GB2312" w:hAnsi="微软雅黑" w:eastAsia="仿宋_GB2312" w:cs="仿宋_GB2312"/>
          <w:sz w:val="31"/>
          <w:szCs w:val="31"/>
          <w:shd w:val="clear" w:color="auto" w:fill="FFFFFF"/>
        </w:rPr>
        <w:t>年决算</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,增加0.00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增长0%</w:t>
      </w:r>
      <w:r>
        <w:rPr>
          <w:rFonts w:ascii="仿宋_GB2312" w:hAnsi="微软雅黑" w:eastAsia="仿宋_GB2312" w:cs="仿宋_GB2312"/>
          <w:sz w:val="31"/>
          <w:szCs w:val="31"/>
          <w:shd w:val="clear" w:color="auto" w:fill="FFFFFF"/>
        </w:rPr>
        <w:t>，主要原因是</w:t>
      </w:r>
      <w:r>
        <w:rPr>
          <w:rFonts w:hint="eastAsia" w:ascii="仿宋" w:hAnsi="仿宋" w:eastAsia="仿宋" w:cs="仿宋"/>
          <w:sz w:val="32"/>
          <w:szCs w:val="32"/>
          <w:lang w:bidi="ar"/>
        </w:rPr>
        <w:t>：本年度无结余。</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万元，为本年度或以前年度预算安排、因客观条件发生变化无法按原计划实施，需要延迟到以后年度按有关规定继续使用的资金。较2022年度决算数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sz w:val="32"/>
          <w:szCs w:val="32"/>
          <w:lang w:bidi="ar"/>
        </w:rPr>
        <w:t>主要原因是：各项目已在本年执行完毕，不需要结转至下年继续执行。</w:t>
      </w:r>
    </w:p>
    <w:p>
      <w:pPr>
        <w:jc w:val="left"/>
        <w:rPr>
          <w:rFonts w:ascii="仿宋" w:hAnsi="仿宋" w:eastAsia="仿宋" w:cs="仿宋"/>
          <w:sz w:val="32"/>
          <w:szCs w:val="32"/>
          <w:lang w:bidi="ar"/>
        </w:rPr>
      </w:pPr>
      <w:r>
        <w:rPr>
          <w:rFonts w:hint="eastAsia" w:ascii="仿宋" w:hAnsi="仿宋" w:eastAsia="仿宋" w:cs="仿宋"/>
          <w:sz w:val="32"/>
          <w:szCs w:val="32"/>
        </w:rPr>
        <w:drawing>
          <wp:inline distT="0" distB="0" distL="114300" distR="114300">
            <wp:extent cx="5080000" cy="2679065"/>
            <wp:effectExtent l="4445" t="4445" r="20955" b="2159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仿宋" w:hAnsi="仿宋" w:eastAsia="仿宋" w:cs="仿宋"/>
          <w:sz w:val="32"/>
          <w:szCs w:val="32"/>
          <w:lang w:bidi="ar"/>
        </w:rPr>
      </w:pPr>
    </w:p>
    <w:p>
      <w:pPr>
        <w:jc w:val="left"/>
        <w:rPr>
          <w:rFonts w:ascii="黑体" w:hAnsi="黑体" w:eastAsia="黑体" w:cs="黑体"/>
          <w:sz w:val="32"/>
          <w:szCs w:val="32"/>
        </w:rPr>
      </w:pPr>
      <w:r>
        <w:rPr>
          <w:rFonts w:hint="eastAsia" w:ascii="黑体" w:hAnsi="黑体" w:eastAsia="黑体" w:cs="黑体"/>
          <w:sz w:val="32"/>
          <w:szCs w:val="32"/>
        </w:rPr>
        <w:t>二、2023年度</w:t>
      </w:r>
      <w:bookmarkStart w:id="0" w:name="OLE_LINK1"/>
      <w:r>
        <w:rPr>
          <w:rFonts w:hint="eastAsia" w:ascii="黑体" w:hAnsi="黑体" w:eastAsia="黑体" w:cs="黑体"/>
          <w:sz w:val="32"/>
          <w:szCs w:val="32"/>
        </w:rPr>
        <w:t>一般公共预算财政拨款支出决算情况</w:t>
      </w:r>
      <w:bookmarkEnd w:id="0"/>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环江毛南族自治县驯乐苗族乡中心小学2023年度一般公共预算财政拨款支出</w:t>
      </w:r>
      <w:r>
        <w:rPr>
          <w:rFonts w:ascii="仿宋" w:hAnsi="仿宋" w:eastAsia="仿宋" w:cs="仿宋"/>
          <w:sz w:val="32"/>
        </w:rPr>
        <w:t>1941</w:t>
      </w:r>
      <w:r>
        <w:rPr>
          <w:rFonts w:hint="eastAsia" w:ascii="仿宋" w:hAnsi="仿宋" w:eastAsia="仿宋" w:cs="仿宋"/>
          <w:sz w:val="32"/>
        </w:rPr>
        <w:t>.</w:t>
      </w:r>
      <w:r>
        <w:rPr>
          <w:rFonts w:ascii="仿宋" w:hAnsi="仿宋" w:eastAsia="仿宋" w:cs="仿宋"/>
          <w:sz w:val="32"/>
        </w:rPr>
        <w:t>10</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185.17</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10.55</w:t>
      </w:r>
      <w:r>
        <w:rPr>
          <w:rFonts w:ascii="仿宋" w:hAnsi="仿宋" w:eastAsia="仿宋" w:cs="仿宋"/>
          <w:sz w:val="32"/>
        </w:rPr>
        <w:t>%</w:t>
      </w:r>
      <w:r>
        <w:rPr>
          <w:rFonts w:hint="eastAsia" w:ascii="仿宋" w:hAnsi="仿宋" w:eastAsia="仿宋" w:cs="仿宋"/>
          <w:sz w:val="32"/>
          <w:szCs w:val="32"/>
        </w:rPr>
        <w:t>。其中：基本支出</w:t>
      </w:r>
      <w:r>
        <w:rPr>
          <w:rFonts w:ascii="仿宋" w:hAnsi="仿宋" w:eastAsia="仿宋" w:cs="仿宋"/>
          <w:sz w:val="32"/>
        </w:rPr>
        <w:t>1674</w:t>
      </w:r>
      <w:r>
        <w:rPr>
          <w:rFonts w:hint="eastAsia" w:ascii="仿宋" w:hAnsi="仿宋" w:eastAsia="仿宋" w:cs="仿宋"/>
          <w:sz w:val="32"/>
        </w:rPr>
        <w:t>.</w:t>
      </w:r>
      <w:r>
        <w:rPr>
          <w:rFonts w:ascii="仿宋" w:hAnsi="仿宋" w:eastAsia="仿宋" w:cs="仿宋"/>
          <w:sz w:val="32"/>
        </w:rPr>
        <w:t>2</w:t>
      </w:r>
      <w:r>
        <w:rPr>
          <w:rFonts w:hint="eastAsia" w:ascii="仿宋" w:hAnsi="仿宋" w:eastAsia="仿宋" w:cs="仿宋"/>
          <w:sz w:val="32"/>
        </w:rPr>
        <w:t>7</w:t>
      </w:r>
      <w:r>
        <w:rPr>
          <w:rFonts w:hint="eastAsia" w:ascii="仿宋" w:hAnsi="仿宋" w:eastAsia="仿宋" w:cs="仿宋"/>
          <w:sz w:val="32"/>
          <w:szCs w:val="32"/>
        </w:rPr>
        <w:t>万元，项目支出</w:t>
      </w:r>
      <w:r>
        <w:rPr>
          <w:rFonts w:ascii="仿宋" w:hAnsi="仿宋" w:eastAsia="仿宋" w:cs="仿宋"/>
          <w:sz w:val="32"/>
        </w:rPr>
        <w:t>266</w:t>
      </w:r>
      <w:r>
        <w:rPr>
          <w:rFonts w:hint="eastAsia" w:ascii="仿宋" w:hAnsi="仿宋" w:eastAsia="仿宋" w:cs="仿宋"/>
          <w:sz w:val="32"/>
        </w:rPr>
        <w:t>.</w:t>
      </w:r>
      <w:r>
        <w:rPr>
          <w:rFonts w:ascii="仿宋" w:hAnsi="仿宋" w:eastAsia="仿宋" w:cs="仿宋"/>
          <w:sz w:val="32"/>
        </w:rPr>
        <w:t>8</w:t>
      </w:r>
      <w:r>
        <w:rPr>
          <w:rFonts w:hint="eastAsia" w:ascii="仿宋" w:hAnsi="仿宋" w:eastAsia="仿宋" w:cs="仿宋"/>
          <w:sz w:val="32"/>
        </w:rPr>
        <w:t>3</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环江毛南族自治县驯乐苗族乡中心小学2023年度一般公共预算财政拨款支出年初预算为</w:t>
      </w:r>
      <w:r>
        <w:rPr>
          <w:rFonts w:hint="eastAsia" w:ascii="仿宋" w:hAnsi="仿宋" w:eastAsia="仿宋" w:cs="仿宋"/>
          <w:sz w:val="32"/>
        </w:rPr>
        <w:t>1377.28</w:t>
      </w:r>
      <w:r>
        <w:rPr>
          <w:rFonts w:hint="eastAsia" w:ascii="仿宋" w:hAnsi="仿宋" w:eastAsia="仿宋" w:cs="仿宋"/>
          <w:sz w:val="32"/>
          <w:szCs w:val="32"/>
        </w:rPr>
        <w:t>万元，支出决算为</w:t>
      </w:r>
      <w:r>
        <w:rPr>
          <w:rFonts w:ascii="仿宋" w:hAnsi="仿宋" w:eastAsia="仿宋" w:cs="仿宋"/>
          <w:sz w:val="32"/>
        </w:rPr>
        <w:t>1941.10</w:t>
      </w:r>
      <w:r>
        <w:rPr>
          <w:rFonts w:hint="eastAsia" w:ascii="仿宋" w:hAnsi="仿宋" w:eastAsia="仿宋" w:cs="仿宋"/>
          <w:sz w:val="32"/>
          <w:szCs w:val="32"/>
        </w:rPr>
        <w:t>万元，完成年初预算的</w:t>
      </w:r>
      <w:r>
        <w:rPr>
          <w:rFonts w:hint="eastAsia" w:ascii="仿宋" w:hAnsi="仿宋" w:eastAsia="仿宋" w:cs="仿宋"/>
          <w:sz w:val="32"/>
        </w:rPr>
        <w:t>140.94</w:t>
      </w:r>
      <w:r>
        <w:rPr>
          <w:rFonts w:ascii="仿宋" w:hAnsi="仿宋" w:eastAsia="仿宋" w:cs="仿宋"/>
          <w:sz w:val="32"/>
        </w:rPr>
        <w:t>%</w:t>
      </w:r>
      <w:r>
        <w:rPr>
          <w:rFonts w:hint="eastAsia" w:ascii="仿宋" w:hAnsi="仿宋" w:eastAsia="仿宋" w:cs="仿宋"/>
          <w:sz w:val="32"/>
          <w:szCs w:val="32"/>
        </w:rPr>
        <w:t>。</w:t>
      </w:r>
      <w:bookmarkStart w:id="1" w:name="OLE_LINK2"/>
      <w:bookmarkEnd w:id="1"/>
    </w:p>
    <w:p>
      <w:pPr>
        <w:ind w:firstLine="420"/>
        <w:jc w:val="left"/>
        <w:rPr>
          <w:rFonts w:ascii="仿宋" w:hAnsi="仿宋" w:eastAsia="仿宋"/>
          <w:sz w:val="32"/>
          <w:szCs w:val="32"/>
        </w:rPr>
      </w:pPr>
      <w:r>
        <w:rPr>
          <w:rFonts w:hint="eastAsia" w:eastAsia="仿宋"/>
          <w:sz w:val="32"/>
          <w:szCs w:val="32"/>
        </w:rPr>
        <w:t>（一）</w:t>
      </w: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类）年初预算为19.69万元，支出决算为19.69万元，收入支出持平。</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223"/>
        <w:gridCol w:w="1138"/>
        <w:gridCol w:w="787"/>
        <w:gridCol w:w="1750"/>
        <w:gridCol w:w="1713"/>
        <w:gridCol w:w="970"/>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类款项</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科目名称</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年初预算数</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决算</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完成预算百分比</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主要用于</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2012999</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其他群众团体事务支出</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19.69</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19.69</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本年度工会活动支出</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无偏差</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19.69</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rPr>
              <w:t>19.69</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本年度工会活动支出</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无偏差</w:t>
            </w: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5379085" cy="2732405"/>
            <wp:effectExtent l="4445" t="4445" r="7620" b="635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420"/>
        <w:jc w:val="left"/>
        <w:rPr>
          <w:rFonts w:eastAsia="仿宋"/>
        </w:rPr>
      </w:pPr>
      <w:r>
        <w:rPr>
          <w:rFonts w:hint="eastAsia" w:ascii="仿宋" w:hAnsi="仿宋" w:eastAsia="仿宋"/>
          <w:sz w:val="32"/>
          <w:szCs w:val="32"/>
        </w:rPr>
        <w:t>（二）教育支出</w:t>
      </w:r>
      <w:r>
        <w:rPr>
          <w:rFonts w:ascii="仿宋" w:hAnsi="仿宋" w:eastAsia="仿宋"/>
          <w:sz w:val="32"/>
        </w:rPr>
        <w:t>（205</w:t>
      </w:r>
      <w:r>
        <w:rPr>
          <w:rFonts w:hint="eastAsia" w:ascii="仿宋" w:hAnsi="仿宋" w:eastAsia="仿宋"/>
          <w:sz w:val="32"/>
          <w:szCs w:val="32"/>
        </w:rPr>
        <w:t>类）年初预算为</w:t>
      </w:r>
      <w:r>
        <w:rPr>
          <w:rFonts w:ascii="仿宋" w:hAnsi="仿宋" w:eastAsia="仿宋"/>
          <w:sz w:val="32"/>
          <w:szCs w:val="32"/>
        </w:rPr>
        <w:t>1070.90</w:t>
      </w:r>
      <w:r>
        <w:rPr>
          <w:rFonts w:hint="eastAsia" w:ascii="仿宋" w:hAnsi="仿宋" w:eastAsia="仿宋"/>
          <w:sz w:val="32"/>
          <w:szCs w:val="32"/>
        </w:rPr>
        <w:t>万元，支出决算为</w:t>
      </w:r>
      <w:r>
        <w:rPr>
          <w:rFonts w:ascii="仿宋" w:hAnsi="仿宋" w:eastAsia="仿宋"/>
          <w:sz w:val="32"/>
          <w:szCs w:val="32"/>
        </w:rPr>
        <w:t>1513.13</w:t>
      </w:r>
      <w:r>
        <w:rPr>
          <w:rFonts w:hint="eastAsia" w:ascii="仿宋" w:hAnsi="仿宋" w:eastAsia="仿宋"/>
          <w:sz w:val="32"/>
          <w:szCs w:val="32"/>
        </w:rPr>
        <w:t>万元，完成年初预算的141.30</w:t>
      </w:r>
      <w:r>
        <w:rPr>
          <w:rFonts w:ascii="仿宋" w:hAnsi="仿宋" w:eastAsia="仿宋"/>
          <w:sz w:val="32"/>
          <w:szCs w:val="32"/>
        </w:rPr>
        <w:t>%</w:t>
      </w:r>
      <w:r>
        <w:rPr>
          <w:rFonts w:hint="eastAsia" w:ascii="仿宋" w:hAnsi="仿宋" w:eastAsia="仿宋"/>
          <w:sz w:val="32"/>
          <w:szCs w:val="32"/>
        </w:rPr>
        <w:t>。预决算存有差异原因是：人员工资增长且营餐经费和寄宿生补助经费由上级部门预算下达，本单位无需预算。。</w:t>
      </w:r>
    </w:p>
    <w:p>
      <w:pPr>
        <w:jc w:val="left"/>
        <w:rPr>
          <w:rFonts w:ascii="仿宋" w:hAnsi="仿宋" w:eastAsia="仿宋"/>
          <w:color w:val="FF0000"/>
          <w:sz w:val="32"/>
          <w:szCs w:val="32"/>
        </w:rPr>
      </w:pPr>
      <w:r>
        <w:rPr>
          <w:rFonts w:hint="eastAsia" w:ascii="仿宋" w:hAnsi="仿宋" w:eastAsia="仿宋"/>
          <w:sz w:val="32"/>
          <w:szCs w:val="32"/>
        </w:rPr>
        <w:t>支出具体情况如下：</w:t>
      </w:r>
    </w:p>
    <w:tbl>
      <w:tblPr>
        <w:tblStyle w:val="7"/>
        <w:tblW w:w="9226" w:type="dxa"/>
        <w:tblInd w:w="96" w:type="dxa"/>
        <w:tblLayout w:type="fixed"/>
        <w:tblCellMar>
          <w:top w:w="0" w:type="dxa"/>
          <w:left w:w="108" w:type="dxa"/>
          <w:bottom w:w="0" w:type="dxa"/>
          <w:right w:w="108" w:type="dxa"/>
        </w:tblCellMar>
      </w:tblPr>
      <w:tblGrid>
        <w:gridCol w:w="955"/>
        <w:gridCol w:w="1522"/>
        <w:gridCol w:w="850"/>
        <w:gridCol w:w="938"/>
        <w:gridCol w:w="1134"/>
        <w:gridCol w:w="1578"/>
        <w:gridCol w:w="2249"/>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类款项</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科目名称</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年初预算数</w:t>
            </w:r>
          </w:p>
        </w:tc>
        <w:tc>
          <w:tcPr>
            <w:tcW w:w="9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决算</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完成预算百分比</w:t>
            </w:r>
          </w:p>
        </w:tc>
        <w:tc>
          <w:tcPr>
            <w:tcW w:w="15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主要用于</w:t>
            </w:r>
          </w:p>
        </w:tc>
        <w:tc>
          <w:tcPr>
            <w:tcW w:w="2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原因</w:t>
            </w:r>
          </w:p>
        </w:tc>
      </w:tr>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2050202</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小学教育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1070.90</w:t>
            </w:r>
          </w:p>
        </w:tc>
        <w:tc>
          <w:tcPr>
            <w:tcW w:w="9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1508.33</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140.85%</w:t>
            </w:r>
          </w:p>
        </w:tc>
        <w:tc>
          <w:tcPr>
            <w:tcW w:w="15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人员工资福利、学校办公费等以及学生营餐经费及寄宿生补助经费支出</w:t>
            </w:r>
          </w:p>
        </w:tc>
        <w:tc>
          <w:tcPr>
            <w:tcW w:w="2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人员工资增长且营餐经费和寄宿生补助经费由上级部门预算下达，本单位无需预算。</w:t>
            </w:r>
          </w:p>
        </w:tc>
      </w:tr>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2050299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其他普通教育支出</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0.00</w:t>
            </w:r>
          </w:p>
        </w:tc>
        <w:tc>
          <w:tcPr>
            <w:tcW w:w="9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3.37</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p>
        </w:tc>
        <w:tc>
          <w:tcPr>
            <w:tcW w:w="15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部分学生营餐经费及寄宿生补助经费支出</w:t>
            </w:r>
          </w:p>
        </w:tc>
        <w:tc>
          <w:tcPr>
            <w:tcW w:w="2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此项经费由上级部门预算下达，本单位无需预算。</w:t>
            </w:r>
          </w:p>
        </w:tc>
      </w:tr>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2050701</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特殊学校教育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0.00</w:t>
            </w:r>
          </w:p>
        </w:tc>
        <w:tc>
          <w:tcPr>
            <w:tcW w:w="9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1.43</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p>
        </w:tc>
        <w:tc>
          <w:tcPr>
            <w:tcW w:w="15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送教上门经费支出</w:t>
            </w:r>
          </w:p>
        </w:tc>
        <w:tc>
          <w:tcPr>
            <w:tcW w:w="2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此项经费由上级部门预算下达，本单位无需预算。</w:t>
            </w:r>
          </w:p>
        </w:tc>
      </w:tr>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合计数</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6"/>
                <w:szCs w:val="16"/>
                <w:lang w:bidi="ar"/>
              </w:rPr>
            </w:pP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1070.90</w:t>
            </w:r>
          </w:p>
        </w:tc>
        <w:tc>
          <w:tcPr>
            <w:tcW w:w="9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1513.13</w:t>
            </w:r>
          </w:p>
        </w:tc>
        <w:tc>
          <w:tcPr>
            <w:tcW w:w="11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14</w:t>
            </w:r>
            <w:r>
              <w:rPr>
                <w:rFonts w:hint="eastAsia" w:ascii="宋体" w:hAnsi="宋体" w:eastAsia="宋体" w:cs="宋体"/>
                <w:kern w:val="0"/>
                <w:sz w:val="18"/>
                <w:szCs w:val="18"/>
                <w:lang w:bidi="ar"/>
              </w:rPr>
              <w:t>1.30</w:t>
            </w:r>
            <w:r>
              <w:rPr>
                <w:rFonts w:ascii="宋体" w:hAnsi="宋体" w:eastAsia="宋体" w:cs="宋体"/>
                <w:kern w:val="0"/>
                <w:sz w:val="18"/>
                <w:szCs w:val="18"/>
                <w:lang w:bidi="ar"/>
              </w:rPr>
              <w:t>%</w:t>
            </w:r>
          </w:p>
        </w:tc>
        <w:tc>
          <w:tcPr>
            <w:tcW w:w="15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p>
        </w:tc>
        <w:tc>
          <w:tcPr>
            <w:tcW w:w="2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kern w:val="0"/>
                <w:sz w:val="18"/>
                <w:szCs w:val="18"/>
                <w:lang w:bidi="ar"/>
              </w:rPr>
            </w:pPr>
          </w:p>
        </w:tc>
      </w:tr>
    </w:tbl>
    <w:p>
      <w:pPr>
        <w:jc w:val="left"/>
        <w:rPr>
          <w:rFonts w:ascii="仿宋" w:hAnsi="仿宋" w:eastAsia="仿宋"/>
          <w:sz w:val="18"/>
          <w:szCs w:val="18"/>
        </w:rPr>
      </w:pPr>
    </w:p>
    <w:p>
      <w:pPr>
        <w:jc w:val="left"/>
        <w:rPr>
          <w:rFonts w:ascii="仿宋" w:hAnsi="仿宋" w:eastAsia="仿宋"/>
          <w:sz w:val="18"/>
          <w:szCs w:val="18"/>
        </w:rPr>
      </w:pPr>
      <w:r>
        <w:rPr>
          <w:rFonts w:hint="eastAsia" w:ascii="仿宋" w:hAnsi="仿宋" w:eastAsia="仿宋" w:cs="仿宋"/>
          <w:sz w:val="32"/>
          <w:szCs w:val="32"/>
        </w:rPr>
        <w:drawing>
          <wp:inline distT="0" distB="0" distL="114300" distR="114300">
            <wp:extent cx="5541645" cy="3211830"/>
            <wp:effectExtent l="0" t="0" r="20955" b="26670"/>
            <wp:docPr id="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仿宋" w:hAnsi="仿宋" w:eastAsia="仿宋"/>
          <w:sz w:val="32"/>
          <w:szCs w:val="32"/>
        </w:rPr>
      </w:pPr>
    </w:p>
    <w:p>
      <w:pPr>
        <w:ind w:firstLine="420"/>
        <w:jc w:val="left"/>
        <w:rPr>
          <w:rFonts w:eastAsia="仿宋"/>
        </w:rPr>
      </w:pPr>
      <w:r>
        <w:rPr>
          <w:rFonts w:hint="eastAsia" w:eastAsia="仿宋"/>
          <w:sz w:val="32"/>
          <w:szCs w:val="32"/>
        </w:rPr>
        <w:t>（三）</w:t>
      </w: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w:t>
      </w:r>
      <w:r>
        <w:rPr>
          <w:rFonts w:ascii="仿宋" w:hAnsi="仿宋" w:eastAsia="仿宋"/>
          <w:sz w:val="32"/>
          <w:szCs w:val="32"/>
        </w:rPr>
        <w:t>163.83</w:t>
      </w:r>
      <w:r>
        <w:rPr>
          <w:rFonts w:hint="eastAsia" w:ascii="仿宋" w:hAnsi="仿宋" w:eastAsia="仿宋"/>
          <w:sz w:val="32"/>
          <w:szCs w:val="32"/>
        </w:rPr>
        <w:t>万元，支出决算为</w:t>
      </w:r>
      <w:r>
        <w:rPr>
          <w:rFonts w:ascii="仿宋" w:hAnsi="仿宋" w:eastAsia="仿宋"/>
          <w:sz w:val="32"/>
          <w:szCs w:val="32"/>
        </w:rPr>
        <w:t>145.07</w:t>
      </w:r>
      <w:r>
        <w:rPr>
          <w:rFonts w:hint="eastAsia" w:ascii="仿宋" w:hAnsi="仿宋" w:eastAsia="仿宋"/>
          <w:sz w:val="32"/>
          <w:szCs w:val="32"/>
        </w:rPr>
        <w:t>万元，完成年初预算的</w:t>
      </w:r>
      <w:r>
        <w:rPr>
          <w:rFonts w:ascii="仿宋" w:hAnsi="仿宋" w:eastAsia="仿宋"/>
          <w:sz w:val="32"/>
          <w:szCs w:val="32"/>
        </w:rPr>
        <w:t>88.55%</w:t>
      </w:r>
      <w:r>
        <w:rPr>
          <w:rFonts w:hint="eastAsia" w:ascii="仿宋" w:hAnsi="仿宋" w:eastAsia="仿宋"/>
          <w:sz w:val="32"/>
          <w:szCs w:val="32"/>
        </w:rPr>
        <w:t>。预决算存有差异原因是：2023年度</w:t>
      </w:r>
      <w:r>
        <w:rPr>
          <w:rFonts w:hint="eastAsia" w:ascii="仿宋" w:hAnsi="仿宋" w:eastAsia="仿宋" w:cs="仿宋"/>
          <w:sz w:val="32"/>
          <w:szCs w:val="32"/>
        </w:rPr>
        <w:t>教师人数减少</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943"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2232"/>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主要用于</w:t>
            </w:r>
          </w:p>
        </w:tc>
        <w:tc>
          <w:tcPr>
            <w:tcW w:w="223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163.83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sz w:val="16"/>
                <w:szCs w:val="16"/>
              </w:rPr>
              <w:t>145.07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88.55%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教职工</w:t>
            </w:r>
            <w:r>
              <w:rPr>
                <w:rFonts w:hint="eastAsia" w:ascii="宋体" w:hAnsi="宋体" w:eastAsia="宋体" w:cs="宋体"/>
                <w:sz w:val="20"/>
                <w:szCs w:val="20"/>
              </w:rPr>
              <w:t>基本养老保险支出</w:t>
            </w:r>
          </w:p>
        </w:tc>
        <w:tc>
          <w:tcPr>
            <w:tcW w:w="223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教师人数减少</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ascii="宋体" w:hAnsi="宋体" w:eastAsia="宋体" w:cs="宋体"/>
                <w:sz w:val="18"/>
                <w:szCs w:val="18"/>
              </w:rPr>
              <w:t>163.83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ascii="宋体" w:hAnsi="宋体" w:eastAsia="宋体" w:cs="宋体"/>
                <w:sz w:val="18"/>
                <w:szCs w:val="18"/>
              </w:rPr>
              <w:t>145.07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88.55%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223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cs="仿宋"/>
          <w:sz w:val="32"/>
          <w:szCs w:val="32"/>
        </w:rPr>
      </w:pPr>
      <w:r>
        <w:drawing>
          <wp:inline distT="0" distB="0" distL="114300" distR="114300">
            <wp:extent cx="4581525" cy="3028950"/>
            <wp:effectExtent l="4445" t="4445" r="5080" b="14605"/>
            <wp:docPr id="10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420"/>
        <w:jc w:val="left"/>
        <w:rPr>
          <w:rFonts w:eastAsia="仿宋"/>
        </w:rPr>
      </w:pPr>
      <w:r>
        <w:rPr>
          <w:rFonts w:hint="eastAsia" w:ascii="仿宋" w:hAnsi="仿宋" w:eastAsia="仿宋" w:cs="仿宋"/>
          <w:sz w:val="32"/>
          <w:szCs w:val="32"/>
        </w:rPr>
        <w:t xml:space="preserve">   （四）</w:t>
      </w: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w:t>
      </w:r>
      <w:r>
        <w:rPr>
          <w:rFonts w:ascii="仿宋" w:hAnsi="仿宋" w:eastAsia="仿宋"/>
          <w:sz w:val="32"/>
          <w:szCs w:val="32"/>
        </w:rPr>
        <w:t>122.87</w:t>
      </w:r>
      <w:r>
        <w:rPr>
          <w:rFonts w:hint="eastAsia" w:ascii="仿宋" w:hAnsi="仿宋" w:eastAsia="仿宋"/>
          <w:sz w:val="32"/>
          <w:szCs w:val="32"/>
        </w:rPr>
        <w:t>万元，支出决算为</w:t>
      </w:r>
      <w:r>
        <w:rPr>
          <w:rFonts w:ascii="仿宋" w:hAnsi="仿宋" w:eastAsia="仿宋"/>
          <w:sz w:val="32"/>
          <w:szCs w:val="32"/>
        </w:rPr>
        <w:t>106.10</w:t>
      </w:r>
      <w:r>
        <w:rPr>
          <w:rFonts w:hint="eastAsia" w:ascii="仿宋" w:hAnsi="仿宋" w:eastAsia="仿宋"/>
          <w:sz w:val="32"/>
          <w:szCs w:val="32"/>
        </w:rPr>
        <w:t>万元，完成年初预算的</w:t>
      </w:r>
      <w:r>
        <w:rPr>
          <w:rFonts w:ascii="仿宋" w:hAnsi="仿宋" w:eastAsia="仿宋"/>
          <w:sz w:val="32"/>
          <w:szCs w:val="32"/>
        </w:rPr>
        <w:t>86.35%</w:t>
      </w:r>
      <w:r>
        <w:rPr>
          <w:rFonts w:hint="eastAsia" w:ascii="仿宋" w:hAnsi="仿宋" w:eastAsia="仿宋"/>
          <w:sz w:val="32"/>
          <w:szCs w:val="32"/>
        </w:rPr>
        <w:t>。预决算存有差异原因是：2023年度教师人数减少。</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122.87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106.10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86.35%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Times New Roman" w:hAnsi="Times New Roman" w:eastAsia="仿宋_GB2312" w:cs="Times New Roman"/>
                <w:kern w:val="0"/>
                <w:sz w:val="22"/>
                <w:szCs w:val="22"/>
              </w:rPr>
              <w:t>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教师人数减少</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ascii="宋体" w:hAnsi="宋体" w:eastAsia="宋体" w:cs="宋体"/>
                <w:sz w:val="18"/>
                <w:szCs w:val="18"/>
              </w:rPr>
              <w:t>122.87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ascii="宋体" w:hAnsi="宋体" w:eastAsia="宋体" w:cs="宋体"/>
                <w:sz w:val="18"/>
                <w:szCs w:val="18"/>
              </w:rPr>
              <w:t>106.10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86.35%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bookmarkStart w:id="4" w:name="_GoBack"/>
      <w:bookmarkEnd w:id="4"/>
      <w:r>
        <w:drawing>
          <wp:inline distT="0" distB="0" distL="114300" distR="114300">
            <wp:extent cx="4581525" cy="3028950"/>
            <wp:effectExtent l="4445" t="4445" r="5080"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420"/>
        <w:jc w:val="left"/>
        <w:rPr>
          <w:rFonts w:eastAsia="仿宋"/>
        </w:rPr>
      </w:pPr>
      <w:r>
        <w:rPr>
          <w:rFonts w:hint="eastAsia" w:eastAsia="仿宋"/>
          <w:sz w:val="32"/>
          <w:szCs w:val="32"/>
        </w:rPr>
        <w:t>（五）</w:t>
      </w:r>
      <w:r>
        <w:rPr>
          <w:rFonts w:hint="eastAsia" w:ascii="仿宋" w:hAnsi="仿宋" w:eastAsia="仿宋"/>
          <w:sz w:val="32"/>
          <w:szCs w:val="32"/>
        </w:rPr>
        <w:t>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w:t>
      </w:r>
      <w:r>
        <w:rPr>
          <w:rFonts w:ascii="仿宋" w:hAnsi="仿宋" w:eastAsia="仿宋"/>
          <w:sz w:val="32"/>
          <w:szCs w:val="32"/>
        </w:rPr>
        <w:t>157.13</w:t>
      </w:r>
      <w:r>
        <w:rPr>
          <w:rFonts w:hint="eastAsia" w:ascii="仿宋" w:hAnsi="仿宋" w:eastAsia="仿宋"/>
          <w:sz w:val="32"/>
          <w:szCs w:val="32"/>
        </w:rPr>
        <w:t>万元，。预决算存有差异原因是：</w:t>
      </w:r>
      <w:r>
        <w:rPr>
          <w:rFonts w:hint="eastAsia" w:ascii="仿宋" w:hAnsi="仿宋" w:eastAsia="仿宋" w:cs="仿宋"/>
          <w:sz w:val="32"/>
          <w:szCs w:val="32"/>
        </w:rPr>
        <w:t>2023年教育教学活动增加及其他商品服务支出增加。</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157.13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发放绩效考评奖金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r>
              <w:rPr>
                <w:rFonts w:hint="eastAsia" w:ascii="宋体" w:hAnsi="宋体" w:eastAsia="宋体" w:cs="宋体"/>
                <w:sz w:val="18"/>
                <w:szCs w:val="18"/>
              </w:rPr>
              <w:t>此项资金由上级部门预算下达，本单位无需预算。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ascii="宋体" w:hAnsi="宋体" w:eastAsia="宋体" w:cs="宋体"/>
                <w:sz w:val="18"/>
                <w:szCs w:val="18"/>
              </w:rPr>
              <w:t>157.13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18"/>
                <w:szCs w:val="18"/>
              </w:rPr>
            </w:pP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5188585" cy="2567940"/>
            <wp:effectExtent l="4445" t="4445" r="762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hint="eastAsia" w:ascii="黑体" w:hAnsi="黑体" w:eastAsia="黑体" w:cs="黑体"/>
          <w:sz w:val="32"/>
          <w:szCs w:val="32"/>
        </w:rPr>
      </w:pPr>
    </w:p>
    <w:p>
      <w:pPr>
        <w:jc w:val="left"/>
        <w:rPr>
          <w:rFonts w:ascii="仿宋" w:hAnsi="仿宋" w:eastAsia="仿宋" w:cs="仿宋"/>
          <w:sz w:val="32"/>
          <w:szCs w:val="32"/>
        </w:rPr>
      </w:pPr>
      <w:r>
        <w:rPr>
          <w:rFonts w:hint="eastAsia" w:ascii="黑体" w:hAnsi="黑体" w:eastAsia="黑体" w:cs="黑体"/>
          <w:sz w:val="32"/>
          <w:szCs w:val="32"/>
        </w:rPr>
        <w:t>三、2023年度一般公共预算财政拨款基本支出决算情况说明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环江毛南族自治县驯乐苗族乡中心小学2023年度一般公共预算财政拨款基本支出</w:t>
      </w:r>
      <w:r>
        <w:rPr>
          <w:rFonts w:hint="eastAsia" w:ascii="宋体" w:hAnsi="宋体" w:eastAsia="宋体" w:cs="宋体"/>
          <w:color w:val="000000"/>
          <w:kern w:val="0"/>
          <w:sz w:val="32"/>
          <w:szCs w:val="32"/>
          <w:lang w:bidi="ar"/>
        </w:rPr>
        <w:t>1674.27</w:t>
      </w:r>
      <w:r>
        <w:rPr>
          <w:rFonts w:hint="eastAsia" w:ascii="仿宋" w:hAnsi="仿宋" w:eastAsia="仿宋" w:cs="仿宋"/>
          <w:sz w:val="32"/>
          <w:szCs w:val="32"/>
        </w:rPr>
        <w:t>万元，</w:t>
      </w:r>
      <w:r>
        <w:rPr>
          <w:rFonts w:ascii="仿宋_GB2312" w:hAnsi="微软雅黑" w:eastAsia="仿宋_GB2312" w:cs="仿宋_GB2312"/>
          <w:sz w:val="31"/>
          <w:szCs w:val="31"/>
          <w:shd w:val="clear" w:color="auto" w:fill="FFFFFF"/>
        </w:rPr>
        <w:t>其中：人员经费支出</w:t>
      </w:r>
      <w:r>
        <w:rPr>
          <w:rFonts w:ascii="仿宋" w:hAnsi="仿宋" w:eastAsia="仿宋" w:cs="仿宋"/>
          <w:sz w:val="32"/>
          <w:szCs w:val="32"/>
        </w:rPr>
        <w:t>1654</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8</w:t>
      </w:r>
      <w:r>
        <w:rPr>
          <w:rFonts w:ascii="仿宋_GB2312" w:hAnsi="微软雅黑" w:eastAsia="仿宋_GB2312" w:cs="仿宋_GB2312"/>
          <w:sz w:val="31"/>
          <w:szCs w:val="31"/>
          <w:shd w:val="clear" w:color="auto" w:fill="FFFFFF"/>
        </w:rPr>
        <w:t>万元，公用经费支出</w:t>
      </w:r>
      <w:r>
        <w:rPr>
          <w:rFonts w:ascii="仿宋" w:hAnsi="仿宋" w:eastAsia="仿宋" w:cs="仿宋"/>
          <w:sz w:val="32"/>
          <w:szCs w:val="32"/>
        </w:rPr>
        <w:t>19.69</w:t>
      </w:r>
      <w:r>
        <w:rPr>
          <w:rFonts w:ascii="仿宋_GB2312" w:hAnsi="微软雅黑" w:eastAsia="仿宋_GB2312" w:cs="仿宋_GB2312"/>
          <w:sz w:val="31"/>
          <w:szCs w:val="31"/>
          <w:shd w:val="clear" w:color="auto" w:fill="FFFFFF"/>
        </w:rPr>
        <w:t>万元，</w:t>
      </w:r>
      <w:r>
        <w:rPr>
          <w:rFonts w:hint="eastAsia" w:ascii="仿宋" w:hAnsi="仿宋" w:eastAsia="仿宋" w:cs="仿宋"/>
          <w:sz w:val="32"/>
          <w:szCs w:val="32"/>
        </w:rPr>
        <w:t>支出具体情况如下：</w:t>
      </w:r>
    </w:p>
    <w:p>
      <w:pPr>
        <w:numPr>
          <w:ilvl w:val="0"/>
          <w:numId w:val="1"/>
        </w:numPr>
        <w:jc w:val="left"/>
        <w:rPr>
          <w:rFonts w:ascii="仿宋" w:hAnsi="仿宋" w:eastAsia="仿宋" w:cs="仿宋"/>
          <w:sz w:val="32"/>
          <w:szCs w:val="32"/>
        </w:rPr>
      </w:pPr>
      <w:r>
        <w:rPr>
          <w:rFonts w:hint="eastAsia" w:ascii="仿宋" w:hAnsi="仿宋" w:eastAsia="仿宋" w:cs="仿宋"/>
          <w:sz w:val="32"/>
          <w:szCs w:val="32"/>
        </w:rPr>
        <w:t>工资福利支出</w:t>
      </w:r>
      <w:r>
        <w:rPr>
          <w:rFonts w:ascii="仿宋" w:hAnsi="仿宋" w:eastAsia="仿宋" w:cs="仿宋"/>
          <w:sz w:val="32"/>
        </w:rPr>
        <w:t>1528</w:t>
      </w:r>
      <w:r>
        <w:rPr>
          <w:rFonts w:hint="eastAsia" w:ascii="仿宋" w:hAnsi="仿宋" w:eastAsia="仿宋" w:cs="仿宋"/>
          <w:sz w:val="32"/>
        </w:rPr>
        <w:t>.</w:t>
      </w:r>
      <w:r>
        <w:rPr>
          <w:rFonts w:ascii="仿宋" w:hAnsi="仿宋" w:eastAsia="仿宋" w:cs="仿宋"/>
          <w:sz w:val="32"/>
        </w:rPr>
        <w:t>9</w:t>
      </w:r>
      <w:r>
        <w:rPr>
          <w:rFonts w:hint="eastAsia" w:ascii="仿宋" w:hAnsi="仿宋" w:eastAsia="仿宋" w:cs="仿宋"/>
          <w:sz w:val="32"/>
        </w:rPr>
        <w:t>6</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119.27%</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lang w:bidi="ar"/>
        </w:rPr>
        <w:t>主要原因是：2023年工资及五险基数增加。</w:t>
      </w:r>
    </w:p>
    <w:p>
      <w:pPr>
        <w:ind w:firstLine="640" w:firstLineChars="200"/>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w:t>
      </w:r>
      <w:r>
        <w:rPr>
          <w:rFonts w:ascii="仿宋" w:hAnsi="仿宋" w:eastAsia="仿宋" w:cs="仿宋"/>
          <w:sz w:val="32"/>
          <w:szCs w:val="32"/>
        </w:rPr>
        <w:t>429</w:t>
      </w:r>
      <w:r>
        <w:rPr>
          <w:rFonts w:hint="eastAsia" w:ascii="仿宋" w:hAnsi="仿宋" w:eastAsia="仿宋" w:cs="仿宋"/>
          <w:sz w:val="32"/>
          <w:szCs w:val="32"/>
        </w:rPr>
        <w:t>.</w:t>
      </w:r>
      <w:r>
        <w:rPr>
          <w:rFonts w:ascii="仿宋" w:hAnsi="仿宋" w:eastAsia="仿宋" w:cs="仿宋"/>
          <w:sz w:val="32"/>
          <w:szCs w:val="32"/>
        </w:rPr>
        <w:t>91</w:t>
      </w:r>
      <w:r>
        <w:rPr>
          <w:rFonts w:hint="eastAsia" w:ascii="仿宋" w:hAnsi="仿宋" w:eastAsia="仿宋" w:cs="仿宋"/>
          <w:sz w:val="32"/>
          <w:szCs w:val="32"/>
        </w:rPr>
        <w:t>万元，30102津贴补贴</w:t>
      </w:r>
      <w:r>
        <w:rPr>
          <w:rFonts w:ascii="仿宋" w:hAnsi="仿宋" w:eastAsia="仿宋" w:cs="仿宋"/>
          <w:sz w:val="32"/>
          <w:szCs w:val="32"/>
        </w:rPr>
        <w:t>144</w:t>
      </w: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3万元，30103奖金</w:t>
      </w:r>
      <w:r>
        <w:rPr>
          <w:rFonts w:ascii="仿宋" w:hAnsi="仿宋" w:eastAsia="仿宋" w:cs="仿宋"/>
          <w:sz w:val="32"/>
          <w:szCs w:val="32"/>
        </w:rPr>
        <w:t>426</w:t>
      </w: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3万元，30107绩效工资</w:t>
      </w:r>
      <w:r>
        <w:rPr>
          <w:rFonts w:ascii="仿宋" w:hAnsi="仿宋" w:eastAsia="仿宋" w:cs="仿宋"/>
          <w:sz w:val="32"/>
          <w:szCs w:val="32"/>
        </w:rPr>
        <w:t>211</w:t>
      </w: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2万元，30108机关事业单位基本养老保险缴费</w:t>
      </w:r>
      <w:r>
        <w:rPr>
          <w:rFonts w:ascii="仿宋" w:hAnsi="仿宋" w:eastAsia="仿宋" w:cs="仿宋"/>
          <w:sz w:val="32"/>
          <w:szCs w:val="32"/>
        </w:rPr>
        <w:t>145</w:t>
      </w:r>
      <w:r>
        <w:rPr>
          <w:rFonts w:hint="eastAsia" w:ascii="仿宋" w:hAnsi="仿宋" w:eastAsia="仿宋" w:cs="仿宋"/>
          <w:sz w:val="32"/>
          <w:szCs w:val="32"/>
        </w:rPr>
        <w:t>.</w:t>
      </w:r>
      <w:r>
        <w:rPr>
          <w:rFonts w:ascii="仿宋" w:hAnsi="仿宋" w:eastAsia="仿宋" w:cs="仿宋"/>
          <w:sz w:val="32"/>
          <w:szCs w:val="32"/>
        </w:rPr>
        <w:t>0</w:t>
      </w:r>
      <w:r>
        <w:rPr>
          <w:rFonts w:hint="eastAsia" w:ascii="仿宋" w:hAnsi="仿宋" w:eastAsia="仿宋" w:cs="仿宋"/>
          <w:sz w:val="32"/>
          <w:szCs w:val="32"/>
        </w:rPr>
        <w:t>7万元，30110职工基本医疗保险缴费</w:t>
      </w:r>
      <w:r>
        <w:rPr>
          <w:rFonts w:ascii="仿宋" w:hAnsi="仿宋" w:eastAsia="仿宋" w:cs="仿宋"/>
          <w:sz w:val="32"/>
          <w:szCs w:val="32"/>
        </w:rPr>
        <w:t>57</w:t>
      </w:r>
      <w:r>
        <w:rPr>
          <w:rFonts w:hint="eastAsia" w:ascii="仿宋" w:hAnsi="仿宋" w:eastAsia="仿宋" w:cs="仿宋"/>
          <w:sz w:val="32"/>
          <w:szCs w:val="32"/>
        </w:rPr>
        <w:t>.</w:t>
      </w:r>
      <w:r>
        <w:rPr>
          <w:rFonts w:ascii="仿宋" w:hAnsi="仿宋" w:eastAsia="仿宋" w:cs="仿宋"/>
          <w:sz w:val="32"/>
          <w:szCs w:val="32"/>
        </w:rPr>
        <w:t>72</w:t>
      </w:r>
      <w:r>
        <w:rPr>
          <w:rFonts w:hint="eastAsia" w:ascii="仿宋" w:hAnsi="仿宋" w:eastAsia="仿宋" w:cs="仿宋"/>
          <w:sz w:val="32"/>
          <w:szCs w:val="32"/>
        </w:rPr>
        <w:t>万元， 30112其他社会保障缴费</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08</w:t>
      </w:r>
      <w:r>
        <w:rPr>
          <w:rFonts w:hint="eastAsia" w:ascii="仿宋" w:hAnsi="仿宋" w:eastAsia="仿宋" w:cs="仿宋"/>
          <w:sz w:val="32"/>
          <w:szCs w:val="32"/>
        </w:rPr>
        <w:t>万元，30113住房公积金</w:t>
      </w:r>
      <w:r>
        <w:rPr>
          <w:rFonts w:ascii="仿宋" w:hAnsi="仿宋" w:eastAsia="仿宋" w:cs="仿宋"/>
          <w:sz w:val="32"/>
          <w:szCs w:val="32"/>
        </w:rPr>
        <w:t>106</w:t>
      </w:r>
      <w:r>
        <w:rPr>
          <w:rFonts w:hint="eastAsia" w:ascii="仿宋" w:hAnsi="仿宋" w:eastAsia="仿宋" w:cs="仿宋"/>
          <w:sz w:val="32"/>
          <w:szCs w:val="32"/>
        </w:rPr>
        <w:t>.10万元。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581650" cy="2694940"/>
            <wp:effectExtent l="0" t="0" r="19050" b="1016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1"/>
        </w:numPr>
        <w:jc w:val="left"/>
        <w:rPr>
          <w:rFonts w:hint="eastAsia" w:ascii="仿宋" w:hAnsi="仿宋" w:eastAsia="仿宋" w:cs="仿宋"/>
          <w:sz w:val="32"/>
          <w:szCs w:val="32"/>
        </w:rPr>
      </w:pPr>
      <w:r>
        <w:rPr>
          <w:rFonts w:hint="eastAsia" w:ascii="仿宋" w:hAnsi="仿宋" w:eastAsia="仿宋" w:cs="仿宋"/>
          <w:sz w:val="32"/>
          <w:szCs w:val="32"/>
        </w:rPr>
        <w:t>商品和服务支出</w:t>
      </w:r>
      <w:r>
        <w:rPr>
          <w:rFonts w:ascii="仿宋" w:hAnsi="仿宋" w:eastAsia="仿宋" w:cs="仿宋"/>
          <w:sz w:val="32"/>
        </w:rPr>
        <w:t>19</w:t>
      </w:r>
      <w:r>
        <w:rPr>
          <w:rFonts w:hint="eastAsia" w:ascii="仿宋" w:hAnsi="仿宋" w:eastAsia="仿宋" w:cs="仿宋"/>
          <w:sz w:val="32"/>
        </w:rPr>
        <w:t>.</w:t>
      </w:r>
      <w:r>
        <w:rPr>
          <w:rFonts w:ascii="仿宋" w:hAnsi="仿宋" w:eastAsia="仿宋" w:cs="仿宋"/>
          <w:sz w:val="32"/>
        </w:rPr>
        <w:t>69万元，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100%</w:t>
      </w:r>
      <w:r>
        <w:rPr>
          <w:rFonts w:hint="eastAsia" w:ascii="仿宋" w:hAnsi="仿宋" w:eastAsia="仿宋" w:cs="仿宋"/>
          <w:sz w:val="32"/>
          <w:szCs w:val="32"/>
          <w:lang w:bidi="ar"/>
        </w:rPr>
        <w:t>。</w:t>
      </w:r>
      <w:r>
        <w:rPr>
          <w:rFonts w:hint="eastAsia" w:ascii="仿宋" w:hAnsi="仿宋" w:eastAsia="仿宋" w:cs="仿宋"/>
          <w:sz w:val="32"/>
          <w:szCs w:val="32"/>
        </w:rPr>
        <w:t>预算决算无差异</w:t>
      </w:r>
      <w:r>
        <w:rPr>
          <w:rFonts w:hint="eastAsia" w:ascii="仿宋" w:hAnsi="仿宋" w:eastAsia="仿宋" w:cs="仿宋"/>
          <w:sz w:val="32"/>
          <w:szCs w:val="32"/>
          <w:lang w:bidi="ar"/>
        </w:rPr>
        <w:t>。</w:t>
      </w:r>
    </w:p>
    <w:p>
      <w:pPr>
        <w:ind w:left="420"/>
        <w:jc w:val="left"/>
        <w:rPr>
          <w:rFonts w:ascii="仿宋" w:hAnsi="仿宋" w:eastAsia="仿宋" w:cs="仿宋"/>
          <w:sz w:val="32"/>
          <w:szCs w:val="32"/>
        </w:rPr>
      </w:pPr>
      <w:r>
        <w:rPr>
          <w:rFonts w:hint="eastAsia" w:ascii="仿宋" w:hAnsi="仿宋" w:eastAsia="仿宋" w:cs="仿宋"/>
          <w:sz w:val="32"/>
        </w:rPr>
        <w:t>支出具体情况如下：30228工会活动经费支出</w:t>
      </w:r>
      <w:r>
        <w:rPr>
          <w:rFonts w:ascii="仿宋" w:hAnsi="仿宋" w:eastAsia="仿宋" w:cs="仿宋"/>
          <w:sz w:val="32"/>
        </w:rPr>
        <w:t>19</w:t>
      </w:r>
      <w:r>
        <w:rPr>
          <w:rFonts w:hint="eastAsia" w:ascii="仿宋" w:hAnsi="仿宋" w:eastAsia="仿宋" w:cs="仿宋"/>
          <w:sz w:val="32"/>
        </w:rPr>
        <w:t>.</w:t>
      </w:r>
      <w:r>
        <w:rPr>
          <w:rFonts w:ascii="仿宋" w:hAnsi="仿宋" w:eastAsia="仿宋" w:cs="仿宋"/>
          <w:sz w:val="32"/>
        </w:rPr>
        <w:t>69万元</w:t>
      </w:r>
      <w:r>
        <w:rPr>
          <w:rFonts w:hint="eastAsia" w:ascii="仿宋" w:hAnsi="仿宋" w:eastAsia="仿宋" w:cs="仿宋"/>
          <w:sz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788025" cy="3243580"/>
            <wp:effectExtent l="0" t="0" r="22225" b="1397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1"/>
        </w:numPr>
        <w:jc w:val="left"/>
        <w:rPr>
          <w:rFonts w:ascii="仿宋" w:hAnsi="仿宋" w:eastAsia="仿宋" w:cs="仿宋"/>
          <w:sz w:val="32"/>
          <w:szCs w:val="32"/>
        </w:rPr>
      </w:pPr>
      <w:r>
        <w:rPr>
          <w:rFonts w:hint="eastAsia" w:ascii="仿宋" w:hAnsi="仿宋" w:eastAsia="仿宋" w:cs="仿宋"/>
          <w:sz w:val="32"/>
          <w:szCs w:val="32"/>
        </w:rPr>
        <w:t>对个人和家庭的补助</w:t>
      </w:r>
      <w:r>
        <w:rPr>
          <w:rFonts w:ascii="仿宋" w:hAnsi="仿宋" w:eastAsia="仿宋" w:cs="仿宋"/>
          <w:sz w:val="32"/>
          <w:szCs w:val="32"/>
        </w:rPr>
        <w:t>125</w:t>
      </w: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2</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653.25%</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主要差异原因是：享受人数和生活补助标准都有增加，且30304抚恤金年初无法预算</w:t>
      </w:r>
      <w:r>
        <w:rPr>
          <w:rFonts w:hint="eastAsia" w:ascii="仿宋" w:hAnsi="仿宋" w:eastAsia="仿宋" w:cs="仿宋"/>
          <w:sz w:val="32"/>
          <w:szCs w:val="32"/>
          <w:lang w:bidi="ar"/>
        </w:rPr>
        <w:t>。</w:t>
      </w:r>
    </w:p>
    <w:p>
      <w:pPr>
        <w:ind w:firstLine="566" w:firstLineChars="177"/>
        <w:jc w:val="left"/>
        <w:rPr>
          <w:rFonts w:ascii="仿宋" w:hAnsi="仿宋" w:eastAsia="仿宋" w:cs="仿宋"/>
          <w:sz w:val="32"/>
          <w:szCs w:val="32"/>
        </w:rPr>
      </w:pPr>
      <w:r>
        <w:rPr>
          <w:rFonts w:hint="eastAsia" w:ascii="仿宋" w:hAnsi="仿宋" w:eastAsia="仿宋" w:cs="仿宋"/>
          <w:sz w:val="32"/>
          <w:szCs w:val="32"/>
        </w:rPr>
        <w:t>支出具体情况如下：30304抚恤金</w:t>
      </w:r>
      <w:r>
        <w:rPr>
          <w:rFonts w:ascii="仿宋" w:hAnsi="仿宋" w:eastAsia="仿宋" w:cs="仿宋"/>
          <w:sz w:val="32"/>
          <w:szCs w:val="32"/>
        </w:rPr>
        <w:t>15</w:t>
      </w:r>
      <w:r>
        <w:rPr>
          <w:rFonts w:hint="eastAsia" w:ascii="仿宋" w:hAnsi="仿宋" w:eastAsia="仿宋" w:cs="仿宋"/>
          <w:sz w:val="32"/>
          <w:szCs w:val="32"/>
        </w:rPr>
        <w:t>.</w:t>
      </w:r>
      <w:r>
        <w:rPr>
          <w:rFonts w:ascii="仿宋" w:hAnsi="仿宋" w:eastAsia="仿宋" w:cs="仿宋"/>
          <w:sz w:val="32"/>
          <w:szCs w:val="32"/>
        </w:rPr>
        <w:t>53</w:t>
      </w:r>
      <w:r>
        <w:rPr>
          <w:rFonts w:hint="eastAsia" w:ascii="仿宋" w:hAnsi="仿宋" w:eastAsia="仿宋" w:cs="仿宋"/>
          <w:sz w:val="32"/>
          <w:szCs w:val="32"/>
        </w:rPr>
        <w:t>万元，30305生活补助</w:t>
      </w:r>
      <w:r>
        <w:rPr>
          <w:rFonts w:ascii="仿宋" w:hAnsi="仿宋" w:eastAsia="仿宋" w:cs="仿宋"/>
          <w:sz w:val="32"/>
          <w:szCs w:val="32"/>
        </w:rPr>
        <w:t>110</w:t>
      </w:r>
      <w:r>
        <w:rPr>
          <w:rFonts w:hint="eastAsia" w:ascii="仿宋" w:hAnsi="仿宋" w:eastAsia="仿宋" w:cs="仿宋"/>
          <w:sz w:val="32"/>
          <w:szCs w:val="32"/>
        </w:rPr>
        <w:t>.</w:t>
      </w:r>
      <w:r>
        <w:rPr>
          <w:rFonts w:ascii="仿宋" w:hAnsi="仿宋" w:eastAsia="仿宋" w:cs="仿宋"/>
          <w:sz w:val="32"/>
          <w:szCs w:val="32"/>
        </w:rPr>
        <w:t>08</w:t>
      </w:r>
      <w:r>
        <w:rPr>
          <w:rFonts w:hint="eastAsia" w:ascii="仿宋" w:hAnsi="仿宋" w:eastAsia="仿宋" w:cs="仿宋"/>
          <w:sz w:val="32"/>
          <w:szCs w:val="32"/>
        </w:rPr>
        <w:t>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130800" cy="3291205"/>
            <wp:effectExtent l="4445" t="4445" r="15875" b="1143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仿宋" w:hAnsi="仿宋" w:eastAsia="仿宋" w:cs="仿宋"/>
          <w:sz w:val="32"/>
          <w:szCs w:val="32"/>
        </w:rPr>
      </w:pPr>
    </w:p>
    <w:p>
      <w:pPr>
        <w:numPr>
          <w:ilvl w:val="0"/>
          <w:numId w:val="1"/>
        </w:numPr>
        <w:jc w:val="left"/>
        <w:rPr>
          <w:rFonts w:ascii="仿宋" w:hAnsi="仿宋" w:eastAsia="仿宋" w:cs="仿宋"/>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无</w:t>
      </w:r>
      <w:r>
        <w:rPr>
          <w:rFonts w:hint="eastAsia" w:ascii="仿宋" w:hAnsi="仿宋" w:eastAsia="仿宋" w:cs="仿宋"/>
          <w:sz w:val="32"/>
          <w:szCs w:val="32"/>
        </w:rPr>
        <w:t>债务利息及费用支出。</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55235" cy="3206115"/>
            <wp:effectExtent l="4445" t="4445" r="762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仿宋" w:hAnsi="仿宋" w:eastAsia="仿宋" w:cs="仿宋"/>
          <w:sz w:val="32"/>
          <w:szCs w:val="32"/>
        </w:rPr>
      </w:pPr>
    </w:p>
    <w:p>
      <w:pPr>
        <w:numPr>
          <w:ilvl w:val="0"/>
          <w:numId w:val="1"/>
        </w:numPr>
        <w:jc w:val="left"/>
        <w:rPr>
          <w:rFonts w:hint="eastAsia" w:ascii="仿宋" w:hAnsi="仿宋" w:eastAsia="仿宋" w:cs="仿宋"/>
          <w:sz w:val="32"/>
          <w:szCs w:val="32"/>
        </w:rPr>
      </w:pPr>
      <w:r>
        <w:rPr>
          <w:rFonts w:hint="eastAsia" w:ascii="仿宋" w:hAnsi="仿宋" w:eastAsia="仿宋" w:cs="仿宋"/>
          <w:sz w:val="32"/>
          <w:szCs w:val="32"/>
        </w:rPr>
        <w:t>资本性支出</w:t>
      </w:r>
      <w:r>
        <w:rPr>
          <w:rFonts w:hint="eastAsia" w:ascii="仿宋" w:hAnsi="仿宋" w:eastAsia="仿宋" w:cs="仿宋"/>
          <w:sz w:val="32"/>
        </w:rPr>
        <w:t>0</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无资本性支出</w:t>
      </w:r>
      <w:r>
        <w:rPr>
          <w:rFonts w:hint="eastAsia" w:ascii="仿宋" w:hAnsi="仿宋" w:eastAsia="仿宋" w:cs="仿宋"/>
          <w:sz w:val="32"/>
          <w:szCs w:val="32"/>
        </w:rPr>
        <w:t>。</w:t>
      </w:r>
    </w:p>
    <w:p>
      <w:pPr>
        <w:ind w:left="420"/>
        <w:jc w:val="left"/>
        <w:rPr>
          <w:rFonts w:ascii="仿宋" w:hAnsi="仿宋" w:eastAsia="仿宋" w:cs="仿宋"/>
          <w:sz w:val="32"/>
          <w:szCs w:val="32"/>
        </w:rPr>
      </w:pPr>
      <w:r>
        <w:rPr>
          <w:rFonts w:hint="eastAsia" w:ascii="仿宋" w:hAnsi="仿宋" w:eastAsia="仿宋" w:cs="仿宋"/>
          <w:sz w:val="32"/>
          <w:szCs w:val="32"/>
        </w:rPr>
        <w:t>支出具体情况如下：</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311775" cy="2527300"/>
            <wp:effectExtent l="4445" t="4445" r="17780" b="209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hint="eastAsia" w:ascii="仿宋" w:hAnsi="仿宋" w:eastAsia="仿宋" w:cs="仿宋"/>
          <w:sz w:val="32"/>
          <w:szCs w:val="32"/>
        </w:rPr>
      </w:pPr>
    </w:p>
    <w:p>
      <w:pPr>
        <w:rPr>
          <w:rFonts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（六）其他支出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无</w:t>
      </w:r>
      <w:r>
        <w:rPr>
          <w:rFonts w:hint="eastAsia" w:ascii="仿宋" w:hAnsi="仿宋" w:eastAsia="仿宋" w:cs="仿宋"/>
          <w:sz w:val="32"/>
          <w:szCs w:val="32"/>
        </w:rPr>
        <w:t>其他支出。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支出具体情况如下：</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387975" cy="3291840"/>
            <wp:effectExtent l="4445" t="4445" r="1778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仿宋" w:hAnsi="仿宋" w:eastAsia="仿宋" w:cs="仿宋"/>
          <w:sz w:val="32"/>
          <w:szCs w:val="32"/>
        </w:rPr>
      </w:pPr>
    </w:p>
    <w:p>
      <w:pPr>
        <w:jc w:val="left"/>
        <w:rPr>
          <w:rFonts w:ascii="仿宋" w:hAnsi="仿宋" w:eastAsia="仿宋" w:cs="仿宋"/>
          <w:sz w:val="32"/>
          <w:szCs w:val="32"/>
        </w:rPr>
      </w:pPr>
    </w:p>
    <w:p>
      <w:pPr>
        <w:jc w:val="left"/>
        <w:rPr>
          <w:rFonts w:ascii="黑体" w:hAnsi="黑体" w:eastAsia="黑体" w:cs="黑体"/>
          <w:sz w:val="32"/>
          <w:szCs w:val="32"/>
        </w:rPr>
      </w:pPr>
      <w:r>
        <w:rPr>
          <w:rFonts w:hint="eastAsia" w:ascii="黑体" w:hAnsi="黑体" w:eastAsia="黑体" w:cs="黑体"/>
          <w:sz w:val="32"/>
          <w:szCs w:val="32"/>
        </w:rPr>
        <w:t>四、2023年度政府性基金支出决算情况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环江毛南族自治县驯乐苗族乡中心小学2023年度政府性基金支出1.80万元，较2022年度决算数减少1.23万元，减少168.33</w:t>
      </w:r>
      <w:r>
        <w:rPr>
          <w:rFonts w:ascii="仿宋" w:hAnsi="仿宋" w:eastAsia="仿宋" w:cs="仿宋"/>
          <w:sz w:val="32"/>
          <w:szCs w:val="32"/>
        </w:rPr>
        <w:t>%</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1.80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环江毛南族自治县驯乐苗族乡中心小学2023年度政府性基金支出年初预算为1.61万元，支出决算为</w:t>
      </w:r>
      <w:r>
        <w:rPr>
          <w:rFonts w:ascii="仿宋" w:hAnsi="仿宋" w:eastAsia="仿宋" w:cs="仿宋"/>
          <w:sz w:val="32"/>
          <w:szCs w:val="32"/>
        </w:rPr>
        <w:t>1.80</w:t>
      </w:r>
      <w:r>
        <w:rPr>
          <w:rFonts w:hint="eastAsia" w:ascii="仿宋" w:hAnsi="仿宋" w:eastAsia="仿宋" w:cs="仿宋"/>
          <w:sz w:val="32"/>
          <w:szCs w:val="32"/>
        </w:rPr>
        <w:t>万元，完成年初预算</w:t>
      </w:r>
      <w:r>
        <w:rPr>
          <w:rFonts w:hint="eastAsia" w:ascii="仿宋" w:hAnsi="仿宋" w:eastAsia="仿宋" w:cs="仿宋"/>
          <w:sz w:val="28"/>
          <w:szCs w:val="28"/>
        </w:rPr>
        <w:t>的111.80</w:t>
      </w:r>
      <w:r>
        <w:rPr>
          <w:rFonts w:ascii="仿宋" w:hAnsi="仿宋" w:eastAsia="仿宋" w:cs="仿宋"/>
          <w:sz w:val="28"/>
          <w:szCs w:val="28"/>
        </w:rPr>
        <w:t>%</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p>
    <w:p>
      <w:pPr>
        <w:jc w:val="left"/>
        <w:rPr>
          <w:rFonts w:ascii="仿宋" w:hAnsi="仿宋" w:eastAsia="仿宋" w:cs="仿宋"/>
          <w:sz w:val="32"/>
          <w:szCs w:val="32"/>
        </w:rPr>
      </w:pPr>
      <w:r>
        <w:rPr>
          <w:rFonts w:hint="eastAsia" w:ascii="黑体" w:hAnsi="黑体" w:eastAsia="黑体" w:cs="黑体"/>
          <w:sz w:val="32"/>
          <w:szCs w:val="32"/>
        </w:rPr>
        <w:t>五、2023年度国有资本经营预算支出决算情况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环江毛南族自治县驯乐苗族乡中心小学2023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2" w:name="PO_part3A5B1C1DiffReason1"/>
      <w:r>
        <w:rPr>
          <w:rFonts w:hint="eastAsia" w:ascii="仿宋_GB2312" w:hAnsi="Times New Roman" w:eastAsia="仿宋_GB2312" w:cs="Times New Roman"/>
          <w:sz w:val="32"/>
          <w:szCs w:val="32"/>
        </w:rPr>
        <w:t>环江毛南族自治县驯乐苗族乡中心小学</w:t>
      </w:r>
      <w:r>
        <w:rPr>
          <w:rFonts w:ascii="仿宋_GB2312" w:hAnsi="仿宋_GB2312" w:eastAsia="仿宋_GB2312" w:cs="仿宋_GB2312"/>
          <w:sz w:val="32"/>
        </w:rPr>
        <w:t>没有国有资本经营预算收入，也没有国有资本经营预算收入</w:t>
      </w:r>
      <w:r>
        <w:rPr>
          <w:rFonts w:hint="eastAsia" w:ascii="仿宋_GB2312" w:hAnsi="Times New Roman" w:eastAsia="仿宋_GB2312" w:cs="Times New Roman"/>
          <w:sz w:val="32"/>
          <w:szCs w:val="32"/>
        </w:rPr>
        <w:t>。安排的支出，故本段落无表述。</w:t>
      </w:r>
      <w:bookmarkEnd w:id="2"/>
    </w:p>
    <w:p>
      <w:pPr>
        <w:jc w:val="left"/>
        <w:rPr>
          <w:rFonts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2023年预算财政拨款安排的“三公”经费支出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sz w:val="32"/>
          <w:szCs w:val="32"/>
          <w:lang w:bidi="ar"/>
        </w:rPr>
        <w:t>主要原因是：学校没有“三公”经费。</w:t>
      </w:r>
      <w:r>
        <w:rPr>
          <w:rFonts w:hint="eastAsia" w:ascii="仿宋" w:hAnsi="仿宋" w:eastAsia="仿宋" w:cs="仿宋"/>
          <w:sz w:val="32"/>
          <w:szCs w:val="32"/>
        </w:rPr>
        <w:t>其中：因公出国（境）费支出决算</w:t>
      </w:r>
      <w:r>
        <w:rPr>
          <w:rFonts w:ascii="仿宋" w:hAnsi="仿宋" w:eastAsia="仿宋" w:cs="仿宋"/>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numPr>
          <w:ilvl w:val="0"/>
          <w:numId w:val="2"/>
        </w:numPr>
        <w:ind w:firstLine="640" w:firstLineChars="200"/>
        <w:jc w:val="left"/>
        <w:rPr>
          <w:rFonts w:ascii="仿宋" w:hAnsi="仿宋" w:eastAsia="仿宋" w:cs="仿宋"/>
          <w:sz w:val="32"/>
          <w:szCs w:val="32"/>
        </w:rPr>
      </w:pPr>
      <w:r>
        <w:rPr>
          <w:rFonts w:hint="eastAsia" w:ascii="仿宋" w:hAnsi="仿宋" w:eastAsia="仿宋" w:cs="仿宋"/>
          <w:sz w:val="32"/>
          <w:szCs w:val="32"/>
        </w:rPr>
        <w:t>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万元。原因是：</w:t>
      </w:r>
      <w:r>
        <w:rPr>
          <w:rFonts w:hint="eastAsia" w:ascii="仿宋" w:hAnsi="仿宋" w:eastAsia="仿宋" w:cs="仿宋"/>
          <w:sz w:val="32"/>
          <w:szCs w:val="32"/>
          <w:lang w:bidi="ar"/>
        </w:rPr>
        <w:t>学校没有“三公”经费</w:t>
      </w:r>
      <w:r>
        <w:rPr>
          <w:rFonts w:hint="eastAsia" w:ascii="仿宋_GB2312" w:hAnsi="Times New Roman" w:eastAsia="仿宋_GB2312" w:cs="Times New Roman"/>
          <w:sz w:val="32"/>
          <w:szCs w:val="32"/>
        </w:rPr>
        <w:t>。全年使用财政拨款安排</w:t>
      </w:r>
      <w:r>
        <w:rPr>
          <w:rFonts w:hint="eastAsia" w:ascii="仿宋_GB2312" w:hAnsi="Times New Roman" w:eastAsia="仿宋_GB2312" w:cs="Times New Roman"/>
          <w:sz w:val="32"/>
          <w:szCs w:val="32"/>
          <w:u w:val="single"/>
        </w:rPr>
        <w:t xml:space="preserve"> 0 </w:t>
      </w:r>
      <w:r>
        <w:rPr>
          <w:rFonts w:hint="eastAsia" w:ascii="仿宋_GB2312" w:hAnsi="Times New Roman" w:eastAsia="仿宋_GB2312" w:cs="Times New Roman"/>
          <w:sz w:val="32"/>
          <w:szCs w:val="32"/>
        </w:rPr>
        <w:t>（局、办、镇）机关、</w:t>
      </w:r>
      <w:r>
        <w:rPr>
          <w:rFonts w:hint="eastAsia" w:ascii="仿宋_GB2312" w:hAnsi="Times New Roman" w:eastAsia="仿宋_GB2312" w:cs="Times New Roman"/>
          <w:sz w:val="32"/>
          <w:szCs w:val="32"/>
          <w:u w:val="single"/>
        </w:rPr>
        <w:t xml:space="preserve"> 0 </w:t>
      </w:r>
      <w:r>
        <w:rPr>
          <w:rFonts w:hint="eastAsia" w:ascii="仿宋_GB2312" w:hAnsi="Times New Roman" w:eastAsia="仿宋_GB2312" w:cs="Times New Roman"/>
          <w:sz w:val="32"/>
          <w:szCs w:val="32"/>
        </w:rPr>
        <w:t>个所属单位出国团组</w:t>
      </w:r>
      <w:r>
        <w:rPr>
          <w:rFonts w:hint="eastAsia" w:ascii="仿宋_GB2312" w:hAnsi="Times New Roman" w:eastAsia="仿宋_GB2312" w:cs="Times New Roman"/>
          <w:sz w:val="32"/>
          <w:szCs w:val="32"/>
          <w:u w:val="single"/>
        </w:rPr>
        <w:t xml:space="preserve"> 0 </w:t>
      </w:r>
      <w:r>
        <w:rPr>
          <w:rFonts w:hint="eastAsia" w:ascii="仿宋_GB2312" w:hAnsi="Times New Roman" w:eastAsia="仿宋_GB2312" w:cs="Times New Roman"/>
          <w:sz w:val="32"/>
          <w:szCs w:val="32"/>
        </w:rPr>
        <w:t>个，参加其他单位组织的出国团组</w:t>
      </w:r>
      <w:r>
        <w:rPr>
          <w:rFonts w:hint="eastAsia" w:ascii="仿宋_GB2312" w:hAnsi="Times New Roman" w:eastAsia="仿宋_GB2312" w:cs="Times New Roman"/>
          <w:sz w:val="32"/>
          <w:szCs w:val="32"/>
          <w:u w:val="single"/>
        </w:rPr>
        <w:t xml:space="preserve"> 0 </w:t>
      </w:r>
      <w:r>
        <w:rPr>
          <w:rFonts w:hint="eastAsia" w:ascii="仿宋_GB2312" w:hAnsi="Times New Roman" w:eastAsia="仿宋_GB2312" w:cs="Times New Roman"/>
          <w:sz w:val="32"/>
          <w:szCs w:val="32"/>
        </w:rPr>
        <w:t>个</w:t>
      </w:r>
      <w:r>
        <w:rPr>
          <w:rFonts w:hint="eastAsia" w:ascii="仿宋" w:hAnsi="仿宋" w:eastAsia="仿宋" w:cs="仿宋"/>
          <w:sz w:val="32"/>
          <w:szCs w:val="32"/>
        </w:rPr>
        <w:t>，全年因公出国（境）团组共计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万元。主要原因</w:t>
      </w:r>
      <w:bookmarkStart w:id="3" w:name="PO_part3A6B2IncReason1"/>
      <w:r>
        <w:rPr>
          <w:rFonts w:hint="eastAsia" w:ascii="仿宋" w:hAnsi="仿宋" w:eastAsia="仿宋" w:cs="仿宋"/>
          <w:sz w:val="32"/>
          <w:szCs w:val="32"/>
        </w:rPr>
        <w:t>：本部门无公务用车购置</w:t>
      </w:r>
      <w:bookmarkEnd w:id="3"/>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公务用车运行维护支出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万元。主要原因是：本单位无公务用车。2023年，</w:t>
      </w:r>
      <w:r>
        <w:rPr>
          <w:rFonts w:hint="eastAsia" w:ascii="仿宋" w:hAnsi="仿宋" w:eastAsia="仿宋" w:cs="仿宋"/>
          <w:sz w:val="32"/>
        </w:rPr>
        <w:t>环江毛南族自治县驯乐苗族乡中心小学</w:t>
      </w:r>
      <w:r>
        <w:rPr>
          <w:rFonts w:hint="eastAsia" w:ascii="仿宋" w:hAnsi="仿宋" w:eastAsia="仿宋" w:cs="仿宋"/>
          <w:sz w:val="32"/>
          <w:szCs w:val="32"/>
        </w:rPr>
        <w:t>及</w:t>
      </w:r>
      <w:r>
        <w:rPr>
          <w:rFonts w:hint="eastAsia" w:ascii="仿宋" w:hAnsi="仿宋" w:eastAsia="仿宋" w:cs="仿宋"/>
          <w:sz w:val="32"/>
          <w:szCs w:val="32"/>
          <w:u w:val="single"/>
        </w:rPr>
        <w:t xml:space="preserve">  0 个</w:t>
      </w:r>
      <w:r>
        <w:rPr>
          <w:rFonts w:hint="eastAsia" w:ascii="仿宋" w:hAnsi="仿宋" w:eastAsia="仿宋" w:cs="仿宋"/>
          <w:sz w:val="32"/>
          <w:szCs w:val="32"/>
        </w:rPr>
        <w:t>所属单位开支财政拨款的公务用车保有量为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万元，平均每辆0.00万元。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比上年</w:t>
      </w:r>
      <w:r>
        <w:rPr>
          <w:rFonts w:ascii="仿宋" w:hAnsi="仿宋" w:eastAsia="仿宋" w:cs="仿宋"/>
          <w:sz w:val="32"/>
          <w:szCs w:val="32"/>
        </w:rPr>
        <w:t>增加0.00</w:t>
      </w:r>
      <w:r>
        <w:rPr>
          <w:rFonts w:hint="eastAsia" w:ascii="仿宋" w:hAnsi="仿宋" w:eastAsia="仿宋" w:cs="仿宋"/>
          <w:sz w:val="32"/>
          <w:szCs w:val="32"/>
        </w:rPr>
        <w:t>万元，国内公务接待批次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本单位2023年度机关运行经费支出</w:t>
      </w:r>
      <w:r>
        <w:rPr>
          <w:rFonts w:ascii="仿宋" w:hAnsi="仿宋" w:eastAsia="仿宋" w:cs="仿宋"/>
          <w:sz w:val="32"/>
          <w:szCs w:val="32"/>
        </w:rPr>
        <w:t>0.00</w:t>
      </w:r>
      <w:r>
        <w:rPr>
          <w:rFonts w:hint="eastAsia" w:ascii="仿宋" w:hAnsi="仿宋" w:eastAsia="仿宋" w:cs="仿宋"/>
          <w:sz w:val="32"/>
          <w:szCs w:val="32"/>
        </w:rPr>
        <w:t>万元，比年初预算数</w:t>
      </w:r>
      <w:r>
        <w:rPr>
          <w:rFonts w:ascii="仿宋" w:hAnsi="仿宋" w:eastAsia="仿宋" w:cs="仿宋"/>
          <w:sz w:val="32"/>
          <w:szCs w:val="32"/>
        </w:rPr>
        <w:t>减少</w:t>
      </w:r>
      <w:r>
        <w:rPr>
          <w:rFonts w:hint="eastAsia" w:ascii="仿宋" w:hAnsi="仿宋" w:eastAsia="仿宋" w:cs="仿宋"/>
          <w:sz w:val="32"/>
          <w:szCs w:val="32"/>
        </w:rPr>
        <w:t>0.00万元，</w:t>
      </w:r>
      <w:r>
        <w:rPr>
          <w:rFonts w:ascii="仿宋" w:hAnsi="仿宋" w:eastAsia="仿宋" w:cs="仿宋"/>
          <w:sz w:val="32"/>
          <w:szCs w:val="32"/>
        </w:rPr>
        <w:t>下降100%</w:t>
      </w:r>
      <w:r>
        <w:rPr>
          <w:rFonts w:hint="eastAsia" w:ascii="仿宋" w:hAnsi="仿宋" w:eastAsia="仿宋" w:cs="仿宋"/>
          <w:sz w:val="32"/>
          <w:szCs w:val="32"/>
        </w:rPr>
        <w:t>，比上年决算数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。原因是</w:t>
      </w:r>
      <w:r>
        <w:rPr>
          <w:rFonts w:hint="eastAsia" w:ascii="仿宋" w:hAnsi="仿宋" w:eastAsia="仿宋" w:cs="仿宋"/>
          <w:sz w:val="32"/>
          <w:szCs w:val="32"/>
          <w:lang w:bidi="ar"/>
        </w:rPr>
        <w:t>学校没有机关运行经费。</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本部门2023年度政府采购支出总额</w:t>
      </w:r>
      <w:r>
        <w:rPr>
          <w:rFonts w:ascii="仿宋" w:hAnsi="仿宋" w:eastAsia="仿宋" w:cs="仿宋"/>
          <w:sz w:val="32"/>
          <w:szCs w:val="32"/>
        </w:rPr>
        <w:t>0.00</w:t>
      </w:r>
      <w:r>
        <w:rPr>
          <w:rFonts w:hint="eastAsia" w:ascii="仿宋" w:hAnsi="仿宋" w:eastAsia="仿宋" w:cs="仿宋"/>
          <w:sz w:val="32"/>
          <w:szCs w:val="32"/>
        </w:rPr>
        <w:t>万元，其中：政府采购货物支出</w:t>
      </w:r>
      <w:r>
        <w:rPr>
          <w:rFonts w:ascii="仿宋" w:hAnsi="仿宋" w:eastAsia="仿宋" w:cs="仿宋"/>
          <w:sz w:val="32"/>
          <w:szCs w:val="32"/>
        </w:rPr>
        <w:t>0.00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截至2023年12月31日，本部门共有车辆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autoSpaceDE w:val="0"/>
        <w:autoSpaceDN w:val="0"/>
        <w:adjustRightInd w:val="0"/>
        <w:spacing w:line="560" w:lineRule="exact"/>
        <w:ind w:firstLine="640" w:firstLineChars="200"/>
        <w:rPr>
          <w:rFonts w:ascii="仿宋_GB2312" w:eastAsia="仿宋_GB2312" w:cs="仿宋_GB2312"/>
          <w:kern w:val="0"/>
          <w:sz w:val="32"/>
          <w:szCs w:val="32"/>
          <w:lang w:bidi="ar"/>
        </w:rPr>
      </w:pPr>
      <w:r>
        <w:rPr>
          <w:rFonts w:ascii="仿宋_GB2312" w:hAnsi="Times New Roman" w:eastAsia="仿宋_GB2312" w:cs="仿宋_GB2312"/>
          <w:kern w:val="0"/>
          <w:sz w:val="32"/>
          <w:szCs w:val="32"/>
          <w:lang w:bidi="ar"/>
        </w:rPr>
        <w:t>1.</w:t>
      </w:r>
      <w:r>
        <w:rPr>
          <w:rFonts w:hint="eastAsia" w:ascii="仿宋_GB2312" w:hAnsi="Times New Roman" w:eastAsia="仿宋_GB2312" w:cs="仿宋_GB2312"/>
          <w:kern w:val="0"/>
          <w:sz w:val="32"/>
          <w:szCs w:val="32"/>
          <w:lang w:bidi="ar"/>
        </w:rPr>
        <w:t>整体支出绩效自评结果。</w:t>
      </w:r>
    </w:p>
    <w:p>
      <w:pPr>
        <w:tabs>
          <w:tab w:val="left" w:pos="0"/>
        </w:tabs>
        <w:autoSpaceDE w:val="0"/>
        <w:autoSpaceDN w:val="0"/>
        <w:adjustRightInd w:val="0"/>
        <w:spacing w:line="560" w:lineRule="exact"/>
        <w:ind w:firstLine="480" w:firstLineChars="150"/>
        <w:rPr>
          <w:rFonts w:ascii="仿宋_GB2312" w:eastAsia="仿宋" w:cs="仿宋_GB2312"/>
          <w:kern w:val="0"/>
          <w:sz w:val="32"/>
          <w:szCs w:val="32"/>
          <w:lang w:bidi="ar"/>
        </w:rPr>
      </w:pPr>
      <w:r>
        <w:rPr>
          <w:rFonts w:hint="eastAsia" w:ascii="仿宋_GB2312" w:hAnsi="Times New Roman" w:eastAsia="仿宋_GB2312" w:cs="仿宋_GB2312"/>
          <w:kern w:val="0"/>
          <w:sz w:val="32"/>
          <w:szCs w:val="32"/>
          <w:lang w:bidi="ar"/>
        </w:rPr>
        <w:t>项目绩效自评总体情况：我部门2023年度项目共</w:t>
      </w:r>
      <w:r>
        <w:rPr>
          <w:rFonts w:hint="eastAsia" w:ascii="仿宋_GB2312" w:eastAsia="仿宋_GB2312" w:cs="仿宋_GB2312"/>
          <w:kern w:val="0"/>
          <w:sz w:val="32"/>
          <w:szCs w:val="32"/>
        </w:rPr>
        <w:t>27</w:t>
      </w:r>
      <w:r>
        <w:rPr>
          <w:rFonts w:hint="eastAsia" w:ascii="仿宋_GB2312" w:hAnsi="Times New Roman" w:eastAsia="仿宋_GB2312" w:cs="仿宋_GB2312"/>
          <w:kern w:val="0"/>
          <w:sz w:val="32"/>
          <w:szCs w:val="32"/>
          <w:lang w:bidi="ar"/>
        </w:rPr>
        <w:t>个，项目支出总额</w:t>
      </w:r>
      <w:r>
        <w:rPr>
          <w:rFonts w:ascii="仿宋_GB2312" w:eastAsia="仿宋_GB2312" w:cs="仿宋_GB2312"/>
          <w:kern w:val="0"/>
          <w:sz w:val="32"/>
          <w:szCs w:val="32"/>
        </w:rPr>
        <w:t>834</w:t>
      </w:r>
      <w:r>
        <w:rPr>
          <w:rFonts w:hint="eastAsia" w:ascii="仿宋_GB2312" w:eastAsia="仿宋_GB2312" w:cs="仿宋_GB2312"/>
          <w:kern w:val="0"/>
          <w:sz w:val="32"/>
          <w:szCs w:val="32"/>
        </w:rPr>
        <w:t>.2</w:t>
      </w:r>
      <w:r>
        <w:rPr>
          <w:rFonts w:ascii="仿宋_GB2312" w:eastAsia="仿宋_GB2312" w:cs="仿宋_GB2312"/>
          <w:kern w:val="0"/>
          <w:sz w:val="32"/>
          <w:szCs w:val="32"/>
        </w:rPr>
        <w:t>0</w:t>
      </w:r>
      <w:r>
        <w:rPr>
          <w:rFonts w:hint="eastAsia" w:ascii="仿宋_GB2312" w:hAnsi="Times New Roman" w:eastAsia="仿宋_GB2312" w:cs="仿宋_GB2312"/>
          <w:kern w:val="0"/>
          <w:sz w:val="32"/>
          <w:szCs w:val="32"/>
          <w:lang w:bidi="ar"/>
        </w:rPr>
        <w:t>万元。其中，本级项目</w:t>
      </w:r>
      <w:r>
        <w:rPr>
          <w:rFonts w:ascii="仿宋_GB2312" w:eastAsia="仿宋_GB2312" w:cs="仿宋_GB2312"/>
          <w:kern w:val="0"/>
          <w:sz w:val="32"/>
          <w:szCs w:val="32"/>
        </w:rPr>
        <w:t>27</w:t>
      </w:r>
      <w:r>
        <w:rPr>
          <w:rFonts w:hint="eastAsia" w:ascii="仿宋_GB2312" w:hAnsi="Times New Roman" w:eastAsia="仿宋_GB2312" w:cs="仿宋_GB2312"/>
          <w:kern w:val="0"/>
          <w:sz w:val="32"/>
          <w:szCs w:val="32"/>
          <w:lang w:bidi="ar"/>
        </w:rPr>
        <w:t>个，本级项目支出</w:t>
      </w:r>
      <w:r>
        <w:rPr>
          <w:rFonts w:ascii="仿宋_GB2312" w:eastAsia="仿宋_GB2312" w:cs="仿宋_GB2312"/>
          <w:kern w:val="0"/>
          <w:sz w:val="32"/>
          <w:szCs w:val="32"/>
        </w:rPr>
        <w:t>834.20</w:t>
      </w:r>
      <w:r>
        <w:rPr>
          <w:rFonts w:hint="eastAsia" w:ascii="仿宋_GB2312" w:hAnsi="Times New Roman" w:eastAsia="仿宋_GB2312" w:cs="仿宋_GB2312"/>
          <w:kern w:val="0"/>
          <w:sz w:val="32"/>
          <w:szCs w:val="32"/>
          <w:lang w:bidi="ar"/>
        </w:rPr>
        <w:t>万元。</w:t>
      </w:r>
      <w:r>
        <w:rPr>
          <w:rFonts w:hint="eastAsia" w:ascii="仿宋" w:hAnsi="仿宋" w:eastAsia="仿宋" w:cs="仿宋"/>
          <w:sz w:val="32"/>
          <w:szCs w:val="32"/>
        </w:rPr>
        <w:t>从评价情况来看，所有项目自评分都在80分以上，</w:t>
      </w:r>
      <w:r>
        <w:rPr>
          <w:rFonts w:hint="eastAsia" w:ascii="仿宋_GB2312" w:eastAsia="仿宋_GB2312" w:cs="仿宋_GB2312"/>
          <w:kern w:val="0"/>
          <w:sz w:val="32"/>
          <w:szCs w:val="32"/>
        </w:rPr>
        <w:t>26</w:t>
      </w:r>
      <w:r>
        <w:rPr>
          <w:rFonts w:hint="eastAsia" w:ascii="仿宋_GB2312" w:hAnsi="Times New Roman" w:eastAsia="仿宋_GB2312" w:cs="仿宋_GB2312"/>
          <w:kern w:val="0"/>
          <w:sz w:val="32"/>
          <w:szCs w:val="32"/>
          <w:lang w:bidi="ar"/>
        </w:rPr>
        <w:t>个项目评为一等，</w:t>
      </w:r>
      <w:r>
        <w:rPr>
          <w:rFonts w:hint="eastAsia" w:ascii="仿宋_GB2312" w:eastAsia="仿宋_GB2312" w:cs="仿宋_GB2312"/>
          <w:kern w:val="0"/>
          <w:sz w:val="32"/>
          <w:szCs w:val="32"/>
        </w:rPr>
        <w:t>1</w:t>
      </w:r>
      <w:r>
        <w:rPr>
          <w:rFonts w:hint="eastAsia" w:ascii="仿宋_GB2312" w:hAnsi="Times New Roman" w:eastAsia="仿宋_GB2312" w:cs="仿宋_GB2312"/>
          <w:kern w:val="0"/>
          <w:sz w:val="32"/>
          <w:szCs w:val="32"/>
          <w:lang w:bidi="ar"/>
        </w:rPr>
        <w:t>个项目评为二等，评价等级为优秀等级，达到预期绩效目标。</w:t>
      </w:r>
    </w:p>
    <w:p>
      <w:pPr>
        <w:ind w:firstLine="640" w:firstLineChars="200"/>
        <w:jc w:val="left"/>
        <w:rPr>
          <w:rFonts w:ascii="仿宋" w:hAnsi="仿宋" w:eastAsia="仿宋" w:cs="仿宋"/>
          <w:sz w:val="32"/>
          <w:szCs w:val="32"/>
        </w:rPr>
      </w:pPr>
      <w:r>
        <w:rPr>
          <w:rFonts w:hint="eastAsia" w:ascii="仿宋_GB2312" w:hAnsi="Times New Roman" w:eastAsia="仿宋_GB2312" w:cs="仿宋_GB2312"/>
          <w:kern w:val="0"/>
          <w:sz w:val="32"/>
          <w:szCs w:val="32"/>
          <w:lang w:bidi="ar"/>
        </w:rPr>
        <w:t xml:space="preserve"> </w:t>
      </w:r>
      <w:r>
        <w:rPr>
          <w:rFonts w:hint="eastAsia" w:ascii="仿宋" w:hAnsi="仿宋" w:eastAsia="仿宋" w:cs="仿宋"/>
          <w:sz w:val="32"/>
          <w:szCs w:val="32"/>
        </w:rPr>
        <w:t>2.部门决算中项目绩效自评结果。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（1）义务教育阶段家庭经济困难学生生活县级补助资金项目自评得分为</w:t>
      </w:r>
      <w:r>
        <w:rPr>
          <w:rFonts w:ascii="仿宋" w:hAnsi="仿宋" w:eastAsia="仿宋" w:cs="仿宋"/>
          <w:sz w:val="32"/>
          <w:szCs w:val="32"/>
        </w:rPr>
        <w:t>99.86</w:t>
      </w:r>
      <w:r>
        <w:rPr>
          <w:rFonts w:hint="eastAsia" w:ascii="仿宋" w:hAnsi="仿宋" w:eastAsia="仿宋" w:cs="仿宋"/>
          <w:sz w:val="32"/>
          <w:szCs w:val="32"/>
        </w:rPr>
        <w:t>分，自评结论为一等。通过发放义务教育阶段家庭困难学生生活费补助资金补贴，解决家庭经济困难生活问题，提高学生的生活质量。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死亡抚恤金项目自评得分为100分，自评结论为一等。通通过发放抚恤金补助，一定程度上减轻家属家庭经济负担，为职工家庭提供一定的生活保障，改善职工家属生活条件，同时又体现国家及单位对职工家庭和个人在生活上的关心和帮助，达成该项目的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（3）营养改善计划膳食补助资金项目自评得分为</w:t>
      </w:r>
      <w:r>
        <w:rPr>
          <w:rFonts w:ascii="仿宋" w:hAnsi="仿宋" w:eastAsia="仿宋" w:cs="仿宋"/>
          <w:sz w:val="32"/>
          <w:szCs w:val="32"/>
        </w:rPr>
        <w:t>98.09</w:t>
      </w:r>
      <w:r>
        <w:rPr>
          <w:rFonts w:hint="eastAsia" w:ascii="仿宋" w:hAnsi="仿宋" w:eastAsia="仿宋" w:cs="仿宋"/>
          <w:sz w:val="32"/>
          <w:szCs w:val="32"/>
        </w:rPr>
        <w:t>分，自评结论为一等。通过发放营养改善计划膳食补助资金，减轻家长经济负担改善学生生活条件，提高学生生活水学生在校饮食营养均衡，搭配合理，为在校学生生活提供长期保障，消除家长后顾之忧，改善学生生活水平、教育教学正常开展，师生及家长满意度提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（4）驯乐苗族乡中心小学年初预算经费(门面租金)项目自评得分为</w:t>
      </w:r>
      <w:r>
        <w:rPr>
          <w:rFonts w:ascii="仿宋" w:hAnsi="仿宋" w:eastAsia="仿宋" w:cs="仿宋"/>
          <w:sz w:val="32"/>
          <w:szCs w:val="32"/>
        </w:rPr>
        <w:t>92.09</w:t>
      </w:r>
      <w:r>
        <w:rPr>
          <w:rFonts w:hint="eastAsia" w:ascii="仿宋" w:hAnsi="仿宋" w:eastAsia="仿宋" w:cs="仿宋"/>
          <w:sz w:val="32"/>
          <w:szCs w:val="32"/>
        </w:rPr>
        <w:t>分，自评结论为一等。发现的主要问题及原因：由商户生意不景气，未能收到租金。下一步改进措施：积极与财政沟通，在下一年度支付，以保障了学校教学正常运转</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河财教〔2021〕64号拨付2021年中央专项彩票公益金支持乡村学校少年宫项目经费(环江17.08万)项目自评得分为100分，自评结论为一等。通过中央专项彩票公益金支持乡村学校少年宫项目经费，保障学校少年宫活动项目的顺利开展，促进乡村学生的全面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（6）公用经费（特教）中央补助项目自评得分为100分，自评结论为一等。通过拨付该项目经费，保障学校正常运转，持续改善学校基本办学条件，促进教育健康发展，达成该项目绩效目标。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奖励性补贴(非三保)项目自评得分为100分，自评结论为一等。通过发放奖励性补贴，提高教职工的工资待遇，提高教职工的生活水平，提升教职工的工作积极性，进而促进学校教育事业发展，达到了该项目的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（8）全县校长绩效工资项目自评得分为</w:t>
      </w:r>
      <w:r>
        <w:rPr>
          <w:rFonts w:ascii="仿宋" w:hAnsi="仿宋" w:eastAsia="仿宋" w:cs="仿宋"/>
          <w:sz w:val="32"/>
          <w:szCs w:val="32"/>
        </w:rPr>
        <w:t>94.74</w:t>
      </w:r>
      <w:r>
        <w:rPr>
          <w:rFonts w:hint="eastAsia" w:ascii="仿宋" w:hAnsi="仿宋" w:eastAsia="仿宋" w:cs="仿宋"/>
          <w:sz w:val="32"/>
          <w:szCs w:val="32"/>
        </w:rPr>
        <w:t>分，自评结论为一等。通过发放校长绩效工资，改善一些教职工的生活质量，提高教师的工作积极性，为留住教育人才及教师队伍的稳定提供了可靠保障，达成该项目的绩效目标。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（9）驯乐乡中心小学2022年年初预算经费(门面租金)项目自评得分为</w:t>
      </w:r>
      <w:r>
        <w:rPr>
          <w:rFonts w:ascii="仿宋" w:hAnsi="仿宋" w:eastAsia="仿宋" w:cs="仿宋"/>
          <w:sz w:val="32"/>
          <w:szCs w:val="32"/>
        </w:rPr>
        <w:t>97.9</w:t>
      </w:r>
      <w:r>
        <w:rPr>
          <w:rFonts w:hint="eastAsia" w:ascii="仿宋" w:hAnsi="仿宋" w:eastAsia="仿宋" w:cs="仿宋"/>
          <w:sz w:val="32"/>
          <w:szCs w:val="32"/>
        </w:rPr>
        <w:t>分，自评结论为一等。通过年初预算资金的拨付，解决学校聘用人员经费及办公等支出的实际困难，改善学校办学条件。但由商户生意不景气，未能收到全部租金，没有完成目标，已与财政沟通，下一年度支付。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10）奖励性补贴项目自评得分为100分，自评结论为一等。通过发放奖励性补贴，提高教职工的工资待遇，提高教职工的生活水平，提升教职工的工作积极性，进而促进学校教育事业发展，达到了该项目的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（11）自治区级乡村教师生活补助项目自评得分为</w:t>
      </w:r>
      <w:r>
        <w:rPr>
          <w:rFonts w:ascii="仿宋" w:hAnsi="仿宋" w:eastAsia="仿宋" w:cs="仿宋"/>
          <w:sz w:val="32"/>
          <w:szCs w:val="32"/>
        </w:rPr>
        <w:t>98.81</w:t>
      </w:r>
      <w:r>
        <w:rPr>
          <w:rFonts w:hint="eastAsia" w:ascii="仿宋" w:hAnsi="仿宋" w:eastAsia="仿宋" w:cs="仿宋"/>
          <w:sz w:val="32"/>
          <w:szCs w:val="32"/>
        </w:rPr>
        <w:t>分，自评结论为一等。通过发放乡村教师生活补助，减轻教师生活负担，改善教师生活条件，提高教师生活水平，更加热忱于教学服务，为教师队伍的稳定提供保障。使生活水平提高，工作环境舒适，教师满意度提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（12）自治区公用经费项目自评得分为</w:t>
      </w:r>
      <w:r>
        <w:rPr>
          <w:rFonts w:ascii="仿宋" w:hAnsi="仿宋" w:eastAsia="仿宋" w:cs="仿宋"/>
          <w:sz w:val="32"/>
          <w:szCs w:val="32"/>
        </w:rPr>
        <w:t>98.82</w:t>
      </w:r>
      <w:r>
        <w:rPr>
          <w:rFonts w:hint="eastAsia" w:ascii="仿宋" w:hAnsi="仿宋" w:eastAsia="仿宋" w:cs="仿宋"/>
          <w:sz w:val="32"/>
          <w:szCs w:val="32"/>
        </w:rPr>
        <w:t>分，自评结论为一等。通过拨付该项目经费，保障学校正常运转，持续改善学校基本办学条件，促进教育健康发展，达成该项目绩效目标。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（13）义务教育阶段家庭经济困难学生生活中央补助资金项目自评得分为</w:t>
      </w:r>
      <w:r>
        <w:rPr>
          <w:rFonts w:ascii="仿宋" w:hAnsi="仿宋" w:eastAsia="仿宋" w:cs="仿宋"/>
          <w:sz w:val="32"/>
          <w:szCs w:val="32"/>
        </w:rPr>
        <w:t>99.89</w:t>
      </w:r>
      <w:r>
        <w:rPr>
          <w:rFonts w:hint="eastAsia" w:ascii="仿宋" w:hAnsi="仿宋" w:eastAsia="仿宋" w:cs="仿宋"/>
          <w:sz w:val="32"/>
          <w:szCs w:val="32"/>
        </w:rPr>
        <w:t>分，自评结论为一等。通过发放义务教育阶段家庭困难学生生活费补助资金，帮助学校家庭经济困难学生减轻家庭经济负担，改善家庭经济困难学生的生活质量，提升家庭经济困难学生的幸福感，保障学校稳定的教学秩序，促进学校教育发展，达成该项目的预期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（14）党建工作经费项目自评得分为90分，自评结论为一等。与达成预期指标有偏差，发现的主要问题及原因是部分发票未能及时整理送审。下一步改进措施是及时整理材料送审支付。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（15）教师节经费项目自评得分为100分自评结论为一等。通过拨付教师节经费，提高教职工工作的积极性，提升学校的教育服务质量，达成预期目标。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（16）六一儿童节活动经费项目自评得分为90分，自评结论为一等。与达成预期指标有偏差，发现的主要问题及原因是部分发票未能及时整理送审。下一步改进措施是及时整理材料送审支付。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（17）民族班及壮文经费项目自评得分为90分，自评结论为一等。与达成预期指标有偏差，发现的主要问题及原因是部分发票未能及时整理送审。下一步改进措施是及时整理材料送审支付。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（18）城乡义务教育公用经费县级配套资金项目自评得分为</w:t>
      </w:r>
      <w:r>
        <w:rPr>
          <w:rFonts w:ascii="仿宋" w:hAnsi="仿宋" w:eastAsia="仿宋" w:cs="仿宋"/>
          <w:sz w:val="32"/>
          <w:szCs w:val="32"/>
        </w:rPr>
        <w:t>92.91</w:t>
      </w:r>
      <w:r>
        <w:rPr>
          <w:rFonts w:hint="eastAsia" w:ascii="仿宋" w:hAnsi="仿宋" w:eastAsia="仿宋" w:cs="仿宋"/>
          <w:sz w:val="32"/>
          <w:szCs w:val="32"/>
        </w:rPr>
        <w:t>分，自评结论为一等。发现的主要问题及原因是优先使用中央公用经费，义务教育公用经费县级配套资金本年度未完成100%支付，与达成预期指标稍有偏差，与财政协商2024年初支付。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19）全县校园安全保卫经费项目自评得分为80分，自评结论为二等。发现的主要问题及原因：校园安全保卫经费主要用于协管员人员工资，由于管员人员调整，本年度本单位已没有协管员人员，人员减少产生偏差。下一步改进措施：加强预算管理，尽量做到预算项目准确无误。</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基础性绩效工资增量事业项目自评得分为100分，自评结论为一等。通过拨付该项目经费，提高教师的工资福利水平，提高教师的工作积极性，提升工作效率，促进学校教育发展，达成该项目的预期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21）驯乐苗族乡中心小学年初预算经费(行政办公务费)项目自评得分为90分，自评结论为一等。发现的主要问题及原因是优先使用中央公用经费，驯乐苗族乡中心小学年初预算经费(行政办公务费)本年度未完成100%支付，与达成预期指标稍有偏差，与财政协商2024年初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（22）特岗教师工资项目自评得分为100分，自评结论为一等。通过特岗教师工资的发放，提高特岗教师待遇，改善特岗教师生活水平，减轻生活负担，激发工作积极性。</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23）班主任津贴项目自评得分为99.8分，自评结论为一等。通过发放班主任津贴，进一步改善班主任的待遇，提高班主任教师的工作积极性，促进教育的均衡发展及教育教学质量的提高，推动教育发展，达成该项目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（24）义务教育中央级公用经费项目自评得分为98.32分，自评结论为一等。通过拨付该项目经费，保障学校正常运转，持续改善学校基本办学条件，促进教育健康发展，达成该项目绩效目标。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25）驯乐乡中心小学2022年年初预算经费(行政办公务费)项目自评得分为90分，自评结论为一等。发现的主要问题及原因是优先使用中央公用经费，驯乐苗族乡中心小学2022年年初预算经费(行政办公务费)本年度未完成100%支付，与达成预期指标稍有偏差，与财政协商2024年初支付。</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26）义务教育阶段家庭经济困难学生生活自治区补助资金项目自评得分为100分，自评结论为一等。通过发放义务教育阶段家庭困难学生生活费补助资金，帮助学校家庭经济困难学生减轻家庭经济负担，改善家庭经济困难学生的生活质量，提升家庭经济困难学生的幸福感，保障学校稳定的教学秩序，促进学校教育发展，达成该项目的预期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（27）食堂钟点工补贴资金项目自评得分为100分，自评结论为一等。通过拨付学校食堂钟点工补贴资金，聘请食堂钟点工，确保学校食堂正常运转，保障学校各项工作正常开展。</w:t>
      </w:r>
    </w:p>
    <w:p>
      <w:pPr>
        <w:autoSpaceDE w:val="0"/>
        <w:autoSpaceDN w:val="0"/>
        <w:adjustRightInd w:val="0"/>
        <w:spacing w:line="560" w:lineRule="exact"/>
        <w:ind w:firstLine="640" w:firstLineChars="200"/>
        <w:rPr>
          <w:rFonts w:ascii="仿宋_GB2312" w:eastAsia="仿宋_GB2312" w:cs="仿宋_GB2312"/>
          <w:kern w:val="0"/>
          <w:sz w:val="32"/>
          <w:szCs w:val="32"/>
          <w:lang w:bidi="ar"/>
        </w:rPr>
      </w:pPr>
      <w:r>
        <w:rPr>
          <w:rFonts w:hint="eastAsia" w:ascii="仿宋_GB2312" w:hAnsi="Times New Roman" w:eastAsia="仿宋_GB2312" w:cs="仿宋_GB2312"/>
          <w:kern w:val="0"/>
          <w:sz w:val="32"/>
          <w:szCs w:val="32"/>
          <w:lang w:bidi="ar"/>
        </w:rPr>
        <w:t>3.部门绩效评价结果。</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组织对“义务教育阶段家庭经济困难学生生活县级补助资金”等27个项目进行了部门评价，涉及一般公共预算支出832.59万元，政府性基金预算支出1.61万元，国有资本经营预算支出0.00万元。</w:t>
      </w:r>
      <w:r>
        <w:rPr>
          <w:rFonts w:hint="eastAsia" w:ascii="仿宋_GB2312" w:hAnsi="Times New Roman" w:eastAsia="仿宋_GB2312" w:cs="仿宋_GB2312"/>
          <w:kern w:val="0"/>
          <w:sz w:val="32"/>
          <w:szCs w:val="32"/>
          <w:lang w:bidi="ar"/>
        </w:rPr>
        <w:t>自评结果为：</w:t>
      </w:r>
      <w:r>
        <w:rPr>
          <w:rFonts w:hint="eastAsia" w:ascii="仿宋_GB2312" w:eastAsia="仿宋_GB2312" w:cs="仿宋_GB2312"/>
          <w:kern w:val="0"/>
          <w:sz w:val="32"/>
          <w:szCs w:val="32"/>
        </w:rPr>
        <w:t>26</w:t>
      </w:r>
      <w:r>
        <w:rPr>
          <w:rFonts w:hint="eastAsia" w:ascii="仿宋_GB2312" w:hAnsi="Times New Roman" w:eastAsia="仿宋_GB2312" w:cs="仿宋_GB2312"/>
          <w:kern w:val="0"/>
          <w:sz w:val="32"/>
          <w:szCs w:val="32"/>
          <w:lang w:bidi="ar"/>
        </w:rPr>
        <w:t>个项目评为一等，涉及资金</w:t>
      </w:r>
      <w:r>
        <w:rPr>
          <w:rFonts w:hint="eastAsia" w:ascii="仿宋" w:hAnsi="仿宋" w:eastAsia="仿宋" w:cs="仿宋"/>
          <w:sz w:val="32"/>
          <w:szCs w:val="32"/>
        </w:rPr>
        <w:t>831.77</w:t>
      </w:r>
      <w:r>
        <w:rPr>
          <w:rFonts w:hint="eastAsia" w:ascii="仿宋_GB2312" w:hAnsi="Times New Roman" w:eastAsia="仿宋_GB2312" w:cs="仿宋_GB2312"/>
          <w:kern w:val="0"/>
          <w:sz w:val="32"/>
          <w:szCs w:val="32"/>
          <w:lang w:bidi="ar"/>
        </w:rPr>
        <w:t>万元，占项目总数比例</w:t>
      </w:r>
      <w:r>
        <w:rPr>
          <w:rFonts w:hint="eastAsia" w:ascii="仿宋_GB2312" w:eastAsia="仿宋_GB2312" w:cs="仿宋_GB2312"/>
          <w:kern w:val="0"/>
          <w:sz w:val="32"/>
          <w:szCs w:val="32"/>
        </w:rPr>
        <w:t>96.3</w:t>
      </w:r>
      <w:r>
        <w:rPr>
          <w:rFonts w:hint="eastAsia" w:ascii="仿宋_GB2312" w:hAnsi="Times New Roman" w:eastAsia="仿宋_GB2312" w:cs="仿宋_GB2312"/>
          <w:kern w:val="0"/>
          <w:sz w:val="32"/>
          <w:szCs w:val="32"/>
          <w:lang w:bidi="ar"/>
        </w:rPr>
        <w:t>%，占项目支出总额比例</w:t>
      </w:r>
      <w:r>
        <w:rPr>
          <w:rFonts w:ascii="仿宋_GB2312" w:eastAsia="仿宋_GB2312" w:cs="仿宋_GB2312"/>
          <w:kern w:val="0"/>
          <w:sz w:val="32"/>
          <w:szCs w:val="32"/>
        </w:rPr>
        <w:t>99.71</w:t>
      </w:r>
      <w:r>
        <w:rPr>
          <w:rFonts w:hint="eastAsia" w:ascii="仿宋_GB2312" w:hAnsi="Times New Roman" w:eastAsia="仿宋_GB2312" w:cs="仿宋_GB2312"/>
          <w:kern w:val="0"/>
          <w:sz w:val="32"/>
          <w:szCs w:val="32"/>
          <w:lang w:bidi="ar"/>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0个部门（单位）开展整体支出绩效评价试点，涉及一般公共预算支出0.00万元，政府性基金预算支出0.00万元。从评价情况来看，本单位是本级预算单位，无二级预算单位，所以没有开展整体支出绩效评价试点。</w:t>
      </w:r>
    </w:p>
    <w:p>
      <w:pPr>
        <w:ind w:firstLine="640" w:firstLineChars="200"/>
        <w:jc w:val="left"/>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环江毛南族自治县财政部门当年拨付的资金。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vanish/>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18" w:bottom="1134" w:left="141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5A0E2BF4"/>
    <w:multiLevelType w:val="singleLevel"/>
    <w:tmpl w:val="5A0E2B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WFhYjE5ZWM3OGZhYTBkMGJlMmYxNmVjNGViMzYifQ=="/>
  </w:docVars>
  <w:rsids>
    <w:rsidRoot w:val="00172A27"/>
    <w:rsid w:val="00002C84"/>
    <w:rsid w:val="00005AAF"/>
    <w:rsid w:val="00022149"/>
    <w:rsid w:val="0002517F"/>
    <w:rsid w:val="00047F6C"/>
    <w:rsid w:val="00051B6D"/>
    <w:rsid w:val="000748FC"/>
    <w:rsid w:val="000860A7"/>
    <w:rsid w:val="00092E33"/>
    <w:rsid w:val="00093C26"/>
    <w:rsid w:val="00094613"/>
    <w:rsid w:val="00094B91"/>
    <w:rsid w:val="000B06D8"/>
    <w:rsid w:val="000E5855"/>
    <w:rsid w:val="001418A5"/>
    <w:rsid w:val="00147D40"/>
    <w:rsid w:val="00156EF2"/>
    <w:rsid w:val="001607B4"/>
    <w:rsid w:val="00172A27"/>
    <w:rsid w:val="00175DBF"/>
    <w:rsid w:val="00187C94"/>
    <w:rsid w:val="001C0B51"/>
    <w:rsid w:val="001D7B97"/>
    <w:rsid w:val="001E5559"/>
    <w:rsid w:val="001E7FE3"/>
    <w:rsid w:val="00210E20"/>
    <w:rsid w:val="002230D0"/>
    <w:rsid w:val="00223F38"/>
    <w:rsid w:val="00224D6A"/>
    <w:rsid w:val="00233613"/>
    <w:rsid w:val="00254DBE"/>
    <w:rsid w:val="00270C1F"/>
    <w:rsid w:val="00275CAB"/>
    <w:rsid w:val="0028709C"/>
    <w:rsid w:val="0029328F"/>
    <w:rsid w:val="002A577D"/>
    <w:rsid w:val="002B2731"/>
    <w:rsid w:val="002D6B42"/>
    <w:rsid w:val="002E6302"/>
    <w:rsid w:val="00314880"/>
    <w:rsid w:val="003369BE"/>
    <w:rsid w:val="00372195"/>
    <w:rsid w:val="00382867"/>
    <w:rsid w:val="003A459E"/>
    <w:rsid w:val="003A4973"/>
    <w:rsid w:val="003C1C96"/>
    <w:rsid w:val="003C69F8"/>
    <w:rsid w:val="003E40BA"/>
    <w:rsid w:val="003E7165"/>
    <w:rsid w:val="0041579D"/>
    <w:rsid w:val="00427074"/>
    <w:rsid w:val="0043361E"/>
    <w:rsid w:val="00434D04"/>
    <w:rsid w:val="004616B8"/>
    <w:rsid w:val="004C4D73"/>
    <w:rsid w:val="004D7D0E"/>
    <w:rsid w:val="005234F5"/>
    <w:rsid w:val="00531745"/>
    <w:rsid w:val="00574196"/>
    <w:rsid w:val="005C6A65"/>
    <w:rsid w:val="00605101"/>
    <w:rsid w:val="006123AD"/>
    <w:rsid w:val="00622029"/>
    <w:rsid w:val="00644844"/>
    <w:rsid w:val="00645B83"/>
    <w:rsid w:val="0066173C"/>
    <w:rsid w:val="006623B7"/>
    <w:rsid w:val="00671B0E"/>
    <w:rsid w:val="0067503B"/>
    <w:rsid w:val="006B2725"/>
    <w:rsid w:val="006D2773"/>
    <w:rsid w:val="006D677A"/>
    <w:rsid w:val="006F4C04"/>
    <w:rsid w:val="007235FD"/>
    <w:rsid w:val="00734BF6"/>
    <w:rsid w:val="00746DB0"/>
    <w:rsid w:val="007640BB"/>
    <w:rsid w:val="0077103B"/>
    <w:rsid w:val="00771953"/>
    <w:rsid w:val="00776E0B"/>
    <w:rsid w:val="00793117"/>
    <w:rsid w:val="007A0641"/>
    <w:rsid w:val="007A58FD"/>
    <w:rsid w:val="007C18DE"/>
    <w:rsid w:val="007C52E7"/>
    <w:rsid w:val="007C54EA"/>
    <w:rsid w:val="007C776D"/>
    <w:rsid w:val="007D60FF"/>
    <w:rsid w:val="007D7CE3"/>
    <w:rsid w:val="007E2F6C"/>
    <w:rsid w:val="008045E6"/>
    <w:rsid w:val="00817C69"/>
    <w:rsid w:val="00823A94"/>
    <w:rsid w:val="00824151"/>
    <w:rsid w:val="008315A9"/>
    <w:rsid w:val="00834354"/>
    <w:rsid w:val="008C3A45"/>
    <w:rsid w:val="008E1862"/>
    <w:rsid w:val="008F1B95"/>
    <w:rsid w:val="008F4AE2"/>
    <w:rsid w:val="008F6882"/>
    <w:rsid w:val="00934C72"/>
    <w:rsid w:val="00946CCF"/>
    <w:rsid w:val="00974EB5"/>
    <w:rsid w:val="0097721B"/>
    <w:rsid w:val="009831F8"/>
    <w:rsid w:val="009921C3"/>
    <w:rsid w:val="009A3129"/>
    <w:rsid w:val="009A4E55"/>
    <w:rsid w:val="009B3E00"/>
    <w:rsid w:val="009D1667"/>
    <w:rsid w:val="00A05A3D"/>
    <w:rsid w:val="00A07CCE"/>
    <w:rsid w:val="00A27624"/>
    <w:rsid w:val="00A358E6"/>
    <w:rsid w:val="00AA78EE"/>
    <w:rsid w:val="00AB2557"/>
    <w:rsid w:val="00AB53E1"/>
    <w:rsid w:val="00AC445B"/>
    <w:rsid w:val="00AD4002"/>
    <w:rsid w:val="00AE283B"/>
    <w:rsid w:val="00AE5F66"/>
    <w:rsid w:val="00AF33CB"/>
    <w:rsid w:val="00B01676"/>
    <w:rsid w:val="00B07A0B"/>
    <w:rsid w:val="00B212EF"/>
    <w:rsid w:val="00B22F28"/>
    <w:rsid w:val="00B37453"/>
    <w:rsid w:val="00B45479"/>
    <w:rsid w:val="00B60171"/>
    <w:rsid w:val="00B62F12"/>
    <w:rsid w:val="00B650FB"/>
    <w:rsid w:val="00B70E38"/>
    <w:rsid w:val="00B81266"/>
    <w:rsid w:val="00B837AC"/>
    <w:rsid w:val="00B85FE3"/>
    <w:rsid w:val="00BB4FB8"/>
    <w:rsid w:val="00BD315D"/>
    <w:rsid w:val="00C3279E"/>
    <w:rsid w:val="00C34857"/>
    <w:rsid w:val="00C372FC"/>
    <w:rsid w:val="00CA2E26"/>
    <w:rsid w:val="00CA3892"/>
    <w:rsid w:val="00D00918"/>
    <w:rsid w:val="00D02868"/>
    <w:rsid w:val="00D14326"/>
    <w:rsid w:val="00D6636A"/>
    <w:rsid w:val="00D772CC"/>
    <w:rsid w:val="00D84F30"/>
    <w:rsid w:val="00D878A6"/>
    <w:rsid w:val="00DB55F6"/>
    <w:rsid w:val="00DC7B6F"/>
    <w:rsid w:val="00DE1F7C"/>
    <w:rsid w:val="00DE74BD"/>
    <w:rsid w:val="00DE74C3"/>
    <w:rsid w:val="00DE7D07"/>
    <w:rsid w:val="00E81A4E"/>
    <w:rsid w:val="00E9132B"/>
    <w:rsid w:val="00EB7822"/>
    <w:rsid w:val="00EC50A9"/>
    <w:rsid w:val="00ED04DB"/>
    <w:rsid w:val="00EF1662"/>
    <w:rsid w:val="00F06368"/>
    <w:rsid w:val="00F21455"/>
    <w:rsid w:val="00F5354B"/>
    <w:rsid w:val="00F95135"/>
    <w:rsid w:val="00F9658C"/>
    <w:rsid w:val="00F978FD"/>
    <w:rsid w:val="00FA738E"/>
    <w:rsid w:val="00FC438B"/>
    <w:rsid w:val="00FE6B41"/>
    <w:rsid w:val="01234E98"/>
    <w:rsid w:val="015F1951"/>
    <w:rsid w:val="020C171D"/>
    <w:rsid w:val="0216715F"/>
    <w:rsid w:val="02C941D1"/>
    <w:rsid w:val="02E0291A"/>
    <w:rsid w:val="03E24559"/>
    <w:rsid w:val="04E54546"/>
    <w:rsid w:val="05992762"/>
    <w:rsid w:val="07A1571D"/>
    <w:rsid w:val="07B0770E"/>
    <w:rsid w:val="0942143F"/>
    <w:rsid w:val="0AED3EA7"/>
    <w:rsid w:val="0D100297"/>
    <w:rsid w:val="0D202B45"/>
    <w:rsid w:val="0DA5522B"/>
    <w:rsid w:val="0F8D4C87"/>
    <w:rsid w:val="10505FAA"/>
    <w:rsid w:val="105A08E7"/>
    <w:rsid w:val="105F7E7E"/>
    <w:rsid w:val="11E56B5B"/>
    <w:rsid w:val="11FA192D"/>
    <w:rsid w:val="125C77AB"/>
    <w:rsid w:val="14773A8D"/>
    <w:rsid w:val="14CB726E"/>
    <w:rsid w:val="17636501"/>
    <w:rsid w:val="17E92249"/>
    <w:rsid w:val="18D304F1"/>
    <w:rsid w:val="19F32577"/>
    <w:rsid w:val="19F45B80"/>
    <w:rsid w:val="1B0C078D"/>
    <w:rsid w:val="1B254CC9"/>
    <w:rsid w:val="1B266B3B"/>
    <w:rsid w:val="1B2B31E2"/>
    <w:rsid w:val="1B4C295A"/>
    <w:rsid w:val="1B973C63"/>
    <w:rsid w:val="1BA1001E"/>
    <w:rsid w:val="1D317259"/>
    <w:rsid w:val="1D8611E5"/>
    <w:rsid w:val="1D874AEC"/>
    <w:rsid w:val="1DFB5E8E"/>
    <w:rsid w:val="1E664F5B"/>
    <w:rsid w:val="1EB12291"/>
    <w:rsid w:val="1EB34BE1"/>
    <w:rsid w:val="215E639F"/>
    <w:rsid w:val="21EC3183"/>
    <w:rsid w:val="225E72CD"/>
    <w:rsid w:val="23775CB2"/>
    <w:rsid w:val="237C18C4"/>
    <w:rsid w:val="2445162D"/>
    <w:rsid w:val="246E2F77"/>
    <w:rsid w:val="254B4E2B"/>
    <w:rsid w:val="26B4291F"/>
    <w:rsid w:val="2786250D"/>
    <w:rsid w:val="2838338C"/>
    <w:rsid w:val="283D7C94"/>
    <w:rsid w:val="29480E03"/>
    <w:rsid w:val="296E23EE"/>
    <w:rsid w:val="2983634D"/>
    <w:rsid w:val="2AAF706A"/>
    <w:rsid w:val="2BB02055"/>
    <w:rsid w:val="2C575A56"/>
    <w:rsid w:val="2DC420CF"/>
    <w:rsid w:val="2EE21858"/>
    <w:rsid w:val="2F257714"/>
    <w:rsid w:val="2F3275E5"/>
    <w:rsid w:val="30AA08EF"/>
    <w:rsid w:val="30D23D1C"/>
    <w:rsid w:val="31221CF5"/>
    <w:rsid w:val="31400178"/>
    <w:rsid w:val="321E3342"/>
    <w:rsid w:val="324F48C0"/>
    <w:rsid w:val="327759C8"/>
    <w:rsid w:val="33185FE3"/>
    <w:rsid w:val="33BD3D11"/>
    <w:rsid w:val="34EE2E36"/>
    <w:rsid w:val="364E2A02"/>
    <w:rsid w:val="36777241"/>
    <w:rsid w:val="37054AD1"/>
    <w:rsid w:val="371E78D5"/>
    <w:rsid w:val="38A951DB"/>
    <w:rsid w:val="38B31605"/>
    <w:rsid w:val="39003F4F"/>
    <w:rsid w:val="3A3C355E"/>
    <w:rsid w:val="3BB94898"/>
    <w:rsid w:val="3C07002B"/>
    <w:rsid w:val="3CE50BC7"/>
    <w:rsid w:val="3D0D152A"/>
    <w:rsid w:val="3DF62756"/>
    <w:rsid w:val="3DFA4C63"/>
    <w:rsid w:val="3F1B7587"/>
    <w:rsid w:val="41E57B4F"/>
    <w:rsid w:val="432F26F6"/>
    <w:rsid w:val="43880F63"/>
    <w:rsid w:val="441C5A6F"/>
    <w:rsid w:val="44C44FCC"/>
    <w:rsid w:val="44CC7369"/>
    <w:rsid w:val="45196317"/>
    <w:rsid w:val="457F5108"/>
    <w:rsid w:val="462134F8"/>
    <w:rsid w:val="46951B6B"/>
    <w:rsid w:val="49A34401"/>
    <w:rsid w:val="49F41101"/>
    <w:rsid w:val="4A3E30AB"/>
    <w:rsid w:val="4AA97395"/>
    <w:rsid w:val="4AC14DAC"/>
    <w:rsid w:val="4B38326F"/>
    <w:rsid w:val="4D154C85"/>
    <w:rsid w:val="4EB35ECE"/>
    <w:rsid w:val="4EBC65AE"/>
    <w:rsid w:val="508F4E24"/>
    <w:rsid w:val="51461E90"/>
    <w:rsid w:val="51463753"/>
    <w:rsid w:val="52553A93"/>
    <w:rsid w:val="53521F8B"/>
    <w:rsid w:val="53E22F47"/>
    <w:rsid w:val="54522FF8"/>
    <w:rsid w:val="55450629"/>
    <w:rsid w:val="56692963"/>
    <w:rsid w:val="568B0F48"/>
    <w:rsid w:val="574F21C5"/>
    <w:rsid w:val="5786217B"/>
    <w:rsid w:val="589653B5"/>
    <w:rsid w:val="59337A15"/>
    <w:rsid w:val="59810274"/>
    <w:rsid w:val="59B30690"/>
    <w:rsid w:val="5A461504"/>
    <w:rsid w:val="5B634120"/>
    <w:rsid w:val="5B6A4C6B"/>
    <w:rsid w:val="5CA96A00"/>
    <w:rsid w:val="5CF730BC"/>
    <w:rsid w:val="5E5F0DCE"/>
    <w:rsid w:val="5E7F74A1"/>
    <w:rsid w:val="5F544F2F"/>
    <w:rsid w:val="5FA40A7B"/>
    <w:rsid w:val="5FD56D29"/>
    <w:rsid w:val="5FEC7F3F"/>
    <w:rsid w:val="60F74BC3"/>
    <w:rsid w:val="617D3BF8"/>
    <w:rsid w:val="61841F6A"/>
    <w:rsid w:val="623007A9"/>
    <w:rsid w:val="62540537"/>
    <w:rsid w:val="637D7558"/>
    <w:rsid w:val="644F19AC"/>
    <w:rsid w:val="65AA4920"/>
    <w:rsid w:val="65E31D0B"/>
    <w:rsid w:val="66C76244"/>
    <w:rsid w:val="67694F1E"/>
    <w:rsid w:val="69597934"/>
    <w:rsid w:val="6B964DDC"/>
    <w:rsid w:val="6C783074"/>
    <w:rsid w:val="6D9E65C6"/>
    <w:rsid w:val="6DA81947"/>
    <w:rsid w:val="6EB66DE2"/>
    <w:rsid w:val="6ED3075F"/>
    <w:rsid w:val="6F2A2D4B"/>
    <w:rsid w:val="6F8A0C1E"/>
    <w:rsid w:val="703F45D4"/>
    <w:rsid w:val="70C20D61"/>
    <w:rsid w:val="715D6546"/>
    <w:rsid w:val="71BE069E"/>
    <w:rsid w:val="71C70755"/>
    <w:rsid w:val="723932A5"/>
    <w:rsid w:val="73953409"/>
    <w:rsid w:val="73E069A3"/>
    <w:rsid w:val="75404027"/>
    <w:rsid w:val="75DA498C"/>
    <w:rsid w:val="76042396"/>
    <w:rsid w:val="78104AA8"/>
    <w:rsid w:val="78D21D5D"/>
    <w:rsid w:val="78E257C5"/>
    <w:rsid w:val="794B35BE"/>
    <w:rsid w:val="7B0A3A31"/>
    <w:rsid w:val="7B3360ED"/>
    <w:rsid w:val="7BDF037E"/>
    <w:rsid w:val="7BF50948"/>
    <w:rsid w:val="7CE66A78"/>
    <w:rsid w:val="7D23564C"/>
    <w:rsid w:val="7D5E062D"/>
    <w:rsid w:val="7DF76CD8"/>
    <w:rsid w:val="7F695C26"/>
    <w:rsid w:val="7F790D4A"/>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font31"/>
    <w:basedOn w:val="8"/>
    <w:uiPriority w:val="0"/>
    <w:rPr>
      <w:rFonts w:hint="eastAsia" w:ascii="宋体" w:hAnsi="宋体" w:eastAsia="宋体" w:cs="宋体"/>
      <w:color w:val="000000"/>
      <w:sz w:val="20"/>
      <w:szCs w:val="20"/>
      <w:u w:val="none"/>
    </w:rPr>
  </w:style>
  <w:style w:type="character" w:customStyle="1" w:styleId="14">
    <w:name w:val="font61"/>
    <w:basedOn w:val="8"/>
    <w:uiPriority w:val="0"/>
    <w:rPr>
      <w:rFonts w:hint="eastAsia" w:ascii="宋体" w:hAnsi="宋体" w:eastAsia="宋体" w:cs="宋体"/>
      <w:color w:val="000000"/>
      <w:sz w:val="22"/>
      <w:szCs w:val="22"/>
      <w:u w:val="none"/>
    </w:rPr>
  </w:style>
  <w:style w:type="character" w:customStyle="1" w:styleId="15">
    <w:name w:val="font01"/>
    <w:basedOn w:val="8"/>
    <w:uiPriority w:val="0"/>
    <w:rPr>
      <w:rFonts w:hint="eastAsia" w:ascii="宋体" w:hAnsi="宋体" w:eastAsia="宋体" w:cs="宋体"/>
      <w:color w:val="000000"/>
      <w:sz w:val="24"/>
      <w:szCs w:val="24"/>
      <w:u w:val="none"/>
    </w:rPr>
  </w:style>
  <w:style w:type="character" w:customStyle="1" w:styleId="16">
    <w:name w:val="font41"/>
    <w:basedOn w:val="8"/>
    <w:uiPriority w:val="0"/>
    <w:rPr>
      <w:rFonts w:hint="default" w:ascii="华文中宋" w:hAnsi="华文中宋" w:eastAsia="华文中宋" w:cs="华文中宋"/>
      <w:color w:val="000000"/>
      <w:sz w:val="44"/>
      <w:szCs w:val="44"/>
      <w:u w:val="none"/>
    </w:rPr>
  </w:style>
  <w:style w:type="character" w:customStyle="1" w:styleId="17">
    <w:name w:val="font71"/>
    <w:basedOn w:val="8"/>
    <w:uiPriority w:val="0"/>
    <w:rPr>
      <w:rFonts w:hint="eastAsia" w:ascii="宋体" w:hAnsi="宋体" w:eastAsia="宋体" w:cs="宋体"/>
      <w:color w:val="000000"/>
      <w:sz w:val="22"/>
      <w:szCs w:val="22"/>
      <w:u w:val="none"/>
    </w:rPr>
  </w:style>
  <w:style w:type="character" w:customStyle="1" w:styleId="18">
    <w:name w:val="font11"/>
    <w:basedOn w:val="8"/>
    <w:uiPriority w:val="0"/>
    <w:rPr>
      <w:rFonts w:hint="eastAsia" w:ascii="宋体" w:hAnsi="宋体" w:eastAsia="宋体" w:cs="宋体"/>
      <w:color w:val="000000"/>
      <w:sz w:val="20"/>
      <w:szCs w:val="20"/>
      <w:u w:val="none"/>
    </w:rPr>
  </w:style>
  <w:style w:type="character" w:customStyle="1" w:styleId="19">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1941.1</c:v>
                </c:pt>
                <c:pt idx="1">
                  <c:v>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15.53</c:v>
                </c:pt>
                <c:pt idx="4">
                  <c:v>110.08</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268297728"/>
        <c:axId val="268299264"/>
      </c:barChart>
      <c:catAx>
        <c:axId val="268297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299264"/>
        <c:crosses val="autoZero"/>
        <c:auto val="1"/>
        <c:lblAlgn val="ctr"/>
        <c:lblOffset val="100"/>
        <c:noMultiLvlLbl val="0"/>
      </c:catAx>
      <c:valAx>
        <c:axId val="268299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297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336281600"/>
        <c:axId val="336283136"/>
      </c:barChart>
      <c:catAx>
        <c:axId val="33628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283136"/>
        <c:crosses val="autoZero"/>
        <c:auto val="1"/>
        <c:lblAlgn val="ctr"/>
        <c:lblOffset val="100"/>
        <c:noMultiLvlLbl val="0"/>
      </c:catAx>
      <c:valAx>
        <c:axId val="3362831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281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336312192"/>
        <c:axId val="336313728"/>
      </c:barChart>
      <c:catAx>
        <c:axId val="336312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313728"/>
        <c:crosses val="autoZero"/>
        <c:auto val="1"/>
        <c:lblAlgn val="ctr"/>
        <c:lblOffset val="100"/>
        <c:noMultiLvlLbl val="0"/>
      </c:catAx>
      <c:valAx>
        <c:axId val="336313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312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336482304"/>
        <c:axId val="336483840"/>
      </c:barChart>
      <c:catAx>
        <c:axId val="3364823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483840"/>
        <c:crosses val="autoZero"/>
        <c:auto val="1"/>
        <c:lblAlgn val="ctr"/>
        <c:lblOffset val="100"/>
        <c:noMultiLvlLbl val="0"/>
      </c:catAx>
      <c:valAx>
        <c:axId val="336483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482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21.27</c:v>
                </c:pt>
                <c:pt idx="1">
                  <c:v>1270.97</c:v>
                </c:pt>
                <c:pt idx="2">
                  <c:v>123.19</c:v>
                </c:pt>
                <c:pt idx="3">
                  <c:v>96.78</c:v>
                </c:pt>
                <c:pt idx="4">
                  <c:v>246.74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19.69</c:v>
                </c:pt>
                <c:pt idx="1">
                  <c:v>1513.12</c:v>
                </c:pt>
                <c:pt idx="2">
                  <c:v>145.07</c:v>
                </c:pt>
                <c:pt idx="3">
                  <c:v>106.1</c:v>
                </c:pt>
                <c:pt idx="4">
                  <c:v>158.93</c:v>
                </c:pt>
              </c:numCache>
            </c:numRef>
          </c:val>
        </c:ser>
        <c:dLbls>
          <c:showLegendKey val="0"/>
          <c:showVal val="0"/>
          <c:showCatName val="0"/>
          <c:showSerName val="0"/>
          <c:showPercent val="0"/>
          <c:showBubbleSize val="0"/>
        </c:dLbls>
        <c:gapWidth val="219"/>
        <c:overlap val="-27"/>
        <c:axId val="214558592"/>
        <c:axId val="214560128"/>
      </c:barChart>
      <c:catAx>
        <c:axId val="214558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560128"/>
        <c:crosses val="autoZero"/>
        <c:auto val="1"/>
        <c:lblAlgn val="ctr"/>
        <c:lblOffset val="100"/>
        <c:noMultiLvlLbl val="0"/>
      </c:catAx>
      <c:valAx>
        <c:axId val="214560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558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19.69</c:v>
                </c:pt>
                <c:pt idx="1">
                  <c:v>19.69</c:v>
                </c:pt>
              </c:numCache>
            </c:numRef>
          </c:val>
        </c:ser>
        <c:dLbls>
          <c:showLegendKey val="0"/>
          <c:showVal val="0"/>
          <c:showCatName val="0"/>
          <c:showSerName val="0"/>
          <c:showPercent val="0"/>
          <c:showBubbleSize val="0"/>
        </c:dLbls>
        <c:gapWidth val="219"/>
        <c:overlap val="-27"/>
        <c:axId val="264499200"/>
        <c:axId val="264500736"/>
      </c:barChart>
      <c:catAx>
        <c:axId val="2644992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500736"/>
        <c:crosses val="autoZero"/>
        <c:auto val="1"/>
        <c:lblAlgn val="ctr"/>
        <c:lblOffset val="100"/>
        <c:noMultiLvlLbl val="0"/>
      </c:catAx>
      <c:valAx>
        <c:axId val="2645007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499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2050202</c:v>
                </c:pt>
                <c:pt idx="1">
                  <c:v>2050299</c:v>
                </c:pt>
                <c:pt idx="2">
                  <c:v>2050701</c:v>
                </c:pt>
                <c:pt idx="3">
                  <c:v>205x</c:v>
                </c:pt>
              </c:strCache>
            </c:strRef>
          </c:cat>
          <c:val>
            <c:numRef>
              <c:f>Sheet1!$B$2:$B$5</c:f>
              <c:numCache>
                <c:formatCode>General</c:formatCode>
                <c:ptCount val="4"/>
                <c:pt idx="0">
                  <c:v>1508.33</c:v>
                </c:pt>
                <c:pt idx="1">
                  <c:v>3.37</c:v>
                </c:pt>
                <c:pt idx="2">
                  <c:v>1.43</c:v>
                </c:pt>
                <c:pt idx="3">
                  <c:v>1513.13</c:v>
                </c:pt>
              </c:numCache>
            </c:numRef>
          </c:val>
        </c:ser>
        <c:dLbls>
          <c:showLegendKey val="0"/>
          <c:showVal val="0"/>
          <c:showCatName val="0"/>
          <c:showSerName val="0"/>
          <c:showPercent val="0"/>
          <c:showBubbleSize val="0"/>
        </c:dLbls>
        <c:gapWidth val="219"/>
        <c:overlap val="-27"/>
        <c:axId val="264521216"/>
        <c:axId val="264522752"/>
      </c:barChart>
      <c:catAx>
        <c:axId val="2645212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522752"/>
        <c:crosses val="autoZero"/>
        <c:auto val="1"/>
        <c:lblAlgn val="ctr"/>
        <c:lblOffset val="100"/>
        <c:noMultiLvlLbl val="0"/>
      </c:catAx>
      <c:valAx>
        <c:axId val="264522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521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社会保障和就业支出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45807345807346"/>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2080505</c:v>
                </c:pt>
                <c:pt idx="1">
                  <c:v>208x</c:v>
                </c:pt>
              </c:strCache>
            </c:strRef>
          </c:cat>
          <c:val>
            <c:numRef>
              <c:f>[图表.xls]Sheet1!$D$11:$D$12</c:f>
              <c:numCache>
                <c:formatCode>General</c:formatCode>
                <c:ptCount val="2"/>
                <c:pt idx="0">
                  <c:v>145.07</c:v>
                </c:pt>
                <c:pt idx="1">
                  <c:v>145.07</c:v>
                </c:pt>
              </c:numCache>
            </c:numRef>
          </c:val>
        </c:ser>
        <c:dLbls>
          <c:showLegendKey val="0"/>
          <c:showVal val="0"/>
          <c:showCatName val="0"/>
          <c:showSerName val="0"/>
          <c:showPercent val="0"/>
          <c:showBubbleSize val="0"/>
        </c:dLbls>
        <c:gapWidth val="219"/>
        <c:overlap val="-27"/>
        <c:axId val="349025456"/>
        <c:axId val="116045171"/>
      </c:barChart>
      <c:catAx>
        <c:axId val="3490254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045171"/>
        <c:crosses val="autoZero"/>
        <c:auto val="1"/>
        <c:lblAlgn val="ctr"/>
        <c:lblOffset val="100"/>
        <c:noMultiLvlLbl val="0"/>
      </c:catAx>
      <c:valAx>
        <c:axId val="11604517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025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住房保障支出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45807345807346"/>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2210201</c:v>
                </c:pt>
                <c:pt idx="1">
                  <c:v>221x</c:v>
                </c:pt>
              </c:strCache>
            </c:strRef>
          </c:cat>
          <c:val>
            <c:numRef>
              <c:f>[图表.xls]Sheet1!$D$11:$D$12</c:f>
              <c:numCache>
                <c:formatCode>General</c:formatCode>
                <c:ptCount val="2"/>
                <c:pt idx="0">
                  <c:v>106.1</c:v>
                </c:pt>
                <c:pt idx="1">
                  <c:v>106.1</c:v>
                </c:pt>
              </c:numCache>
            </c:numRef>
          </c:val>
        </c:ser>
        <c:dLbls>
          <c:showLegendKey val="0"/>
          <c:showVal val="0"/>
          <c:showCatName val="0"/>
          <c:showSerName val="0"/>
          <c:showPercent val="0"/>
          <c:showBubbleSize val="0"/>
        </c:dLbls>
        <c:gapWidth val="219"/>
        <c:overlap val="-27"/>
        <c:axId val="349025456"/>
        <c:axId val="116045171"/>
      </c:barChart>
      <c:catAx>
        <c:axId val="3490254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6045171"/>
        <c:crosses val="autoZero"/>
        <c:auto val="1"/>
        <c:lblAlgn val="ctr"/>
        <c:lblOffset val="100"/>
        <c:noMultiLvlLbl val="0"/>
      </c:catAx>
      <c:valAx>
        <c:axId val="11604517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025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157.13</c:v>
                </c:pt>
                <c:pt idx="1">
                  <c:v>157.13</c:v>
                </c:pt>
              </c:numCache>
            </c:numRef>
          </c:val>
        </c:ser>
        <c:dLbls>
          <c:showLegendKey val="0"/>
          <c:showVal val="0"/>
          <c:showCatName val="0"/>
          <c:showSerName val="0"/>
          <c:showPercent val="0"/>
          <c:showBubbleSize val="0"/>
        </c:dLbls>
        <c:gapWidth val="219"/>
        <c:overlap val="-27"/>
        <c:axId val="265006464"/>
        <c:axId val="265016448"/>
      </c:barChart>
      <c:catAx>
        <c:axId val="265006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016448"/>
        <c:crosses val="autoZero"/>
        <c:auto val="1"/>
        <c:lblAlgn val="ctr"/>
        <c:lblOffset val="100"/>
        <c:noMultiLvlLbl val="0"/>
      </c:catAx>
      <c:valAx>
        <c:axId val="265016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006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Sheet1!$A$2:$A$9</c:f>
              <c:strCache>
                <c:ptCount val="8"/>
                <c:pt idx="0">
                  <c:v>30101</c:v>
                </c:pt>
                <c:pt idx="1">
                  <c:v>30102</c:v>
                </c:pt>
                <c:pt idx="2">
                  <c:v>30103</c:v>
                </c:pt>
                <c:pt idx="3">
                  <c:v>30107</c:v>
                </c:pt>
                <c:pt idx="4">
                  <c:v>30108</c:v>
                </c:pt>
                <c:pt idx="5">
                  <c:v>30110</c:v>
                </c:pt>
                <c:pt idx="6">
                  <c:v>30112</c:v>
                </c:pt>
                <c:pt idx="7">
                  <c:v>30113</c:v>
                </c:pt>
              </c:strCache>
            </c:strRef>
          </c:cat>
          <c:val>
            <c:numRef>
              <c:f>Sheet1!$B$2:$B$9</c:f>
              <c:numCache>
                <c:formatCode>General</c:formatCode>
                <c:ptCount val="8"/>
                <c:pt idx="0">
                  <c:v>429.91</c:v>
                </c:pt>
                <c:pt idx="1">
                  <c:v>144.83</c:v>
                </c:pt>
                <c:pt idx="2">
                  <c:v>426.63</c:v>
                </c:pt>
                <c:pt idx="3">
                  <c:v>211.62</c:v>
                </c:pt>
                <c:pt idx="4">
                  <c:v>145.07</c:v>
                </c:pt>
                <c:pt idx="5">
                  <c:v>57.72</c:v>
                </c:pt>
                <c:pt idx="6">
                  <c:v>7.08</c:v>
                </c:pt>
                <c:pt idx="7">
                  <c:v>106.1</c:v>
                </c:pt>
              </c:numCache>
            </c:numRef>
          </c:val>
        </c:ser>
        <c:dLbls>
          <c:showLegendKey val="0"/>
          <c:showVal val="0"/>
          <c:showCatName val="0"/>
          <c:showSerName val="0"/>
          <c:showPercent val="0"/>
          <c:showBubbleSize val="0"/>
        </c:dLbls>
        <c:gapWidth val="219"/>
        <c:overlap val="-27"/>
        <c:axId val="265025024"/>
        <c:axId val="265026560"/>
      </c:barChart>
      <c:catAx>
        <c:axId val="265025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026560"/>
        <c:crosses val="autoZero"/>
        <c:auto val="1"/>
        <c:lblAlgn val="ctr"/>
        <c:lblOffset val="100"/>
        <c:noMultiLvlLbl val="0"/>
      </c:catAx>
      <c:valAx>
        <c:axId val="265026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025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19.69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267190272"/>
        <c:axId val="267191808"/>
      </c:barChart>
      <c:catAx>
        <c:axId val="2671902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191808"/>
        <c:crosses val="autoZero"/>
        <c:auto val="1"/>
        <c:lblAlgn val="ctr"/>
        <c:lblOffset val="100"/>
        <c:noMultiLvlLbl val="0"/>
      </c:catAx>
      <c:valAx>
        <c:axId val="267191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190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38</Pages>
  <Words>2607</Words>
  <Characters>14861</Characters>
  <Lines>123</Lines>
  <Paragraphs>34</Paragraphs>
  <TotalTime>7</TotalTime>
  <ScaleCrop>false</ScaleCrop>
  <LinksUpToDate>false</LinksUpToDate>
  <CharactersWithSpaces>17434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2023-11-20T01:55:00Z</cp:lastPrinted>
  <dcterms:modified xsi:type="dcterms:W3CDTF">2025-01-04T07:20:24Z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77653846F26444BFBA04448ED5E38BCE_13</vt:lpwstr>
  </property>
  <property fmtid="{D5CDD505-2E9C-101B-9397-08002B2CF9AE}" pid="4" name="KSOTemplateDocerSaveRecord">
    <vt:lpwstr>eyJoZGlkIjoiYmRjMTljYzA4Nzg3OWZiMmU3NTliNjlkY2E5MGRiMzUiLCJ1c2VySWQiOiI0NTUwODUzNzMifQ==</vt:lpwstr>
  </property>
</Properties>
</file>