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highlight w:val="none"/>
          <w:lang w:val="en-US"/>
        </w:rPr>
      </w:pPr>
      <w:r>
        <w:rPr>
          <w:rFonts w:hint="default" w:ascii="仿宋" w:hAnsi="仿宋" w:eastAsia="仿宋" w:cs="仿宋"/>
          <w:sz w:val="32"/>
          <w:szCs w:val="32"/>
          <w:highlight w:val="none"/>
          <w:lang w:val="en-US"/>
        </w:rPr>
        <w:t xml:space="preserve"> </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环江毛南族自治县下南乡中心幼儿园202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1928" w:firstLineChars="400"/>
        <w:jc w:val="left"/>
        <w:rPr>
          <w:rFonts w:hint="eastAsia" w:ascii="黑体" w:hAnsi="黑体" w:eastAsia="黑体" w:cs="黑体"/>
          <w:b/>
          <w:bCs/>
          <w:sz w:val="48"/>
          <w:szCs w:val="48"/>
          <w:highlight w:val="none"/>
          <w:lang w:val="en-US" w:eastAsia="zh-CN"/>
        </w:rPr>
      </w:pPr>
      <w:r>
        <w:rPr>
          <w:rFonts w:hint="eastAsia" w:ascii="黑体" w:hAnsi="黑体" w:eastAsia="黑体" w:cs="黑体"/>
          <w:b/>
          <w:bCs/>
          <w:sz w:val="48"/>
          <w:szCs w:val="48"/>
          <w:highlight w:val="none"/>
          <w:lang w:val="en-US" w:eastAsia="zh-CN"/>
        </w:rPr>
        <w:t>单位负责人：谭壮宇</w:t>
      </w: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环江毛南族自治县下南乡中心幼儿园</w:t>
      </w:r>
      <w:r>
        <w:rPr>
          <w:rFonts w:hint="eastAsia" w:ascii="黑体" w:hAnsi="黑体" w:eastAsia="黑体" w:cs="黑体"/>
          <w:b/>
          <w:bCs/>
          <w:sz w:val="32"/>
          <w:szCs w:val="32"/>
          <w:highlight w:val="none"/>
        </w:rPr>
        <w:t>概况</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（一）贯彻执行党和国家的教育方针、政策和法律法规；拟</w:t>
      </w:r>
      <w:r>
        <w:rPr>
          <w:rStyle w:val="12"/>
          <w:rFonts w:ascii="仿宋_GB2312" w:eastAsia="仿宋_GB2312"/>
          <w:b w:val="0"/>
          <w:i w:val="0"/>
          <w:caps w:val="0"/>
          <w:color w:val="auto"/>
          <w:spacing w:val="0"/>
          <w:w w:val="100"/>
          <w:kern w:val="0"/>
          <w:sz w:val="32"/>
          <w:szCs w:val="32"/>
          <w:shd w:val="clear" w:color="FFFFFF" w:fill="D9D9D9"/>
          <w:lang w:val="en-US" w:eastAsia="zh-CN" w:bidi="ar-SA"/>
        </w:rPr>
        <w:t>订全</w:t>
      </w:r>
      <w:r>
        <w:rPr>
          <w:rStyle w:val="12"/>
          <w:rFonts w:hint="eastAsia" w:ascii="仿宋_GB2312" w:eastAsia="仿宋_GB2312"/>
          <w:b w:val="0"/>
          <w:i w:val="0"/>
          <w:caps w:val="0"/>
          <w:color w:val="auto"/>
          <w:spacing w:val="0"/>
          <w:w w:val="100"/>
          <w:kern w:val="0"/>
          <w:sz w:val="32"/>
          <w:szCs w:val="32"/>
          <w:shd w:val="clear" w:color="FFFFFF" w:fill="D9D9D9"/>
          <w:lang w:val="en-US" w:eastAsia="zh-CN" w:bidi="ar-SA"/>
        </w:rPr>
        <w:t>园</w:t>
      </w:r>
      <w:r>
        <w:rPr>
          <w:rStyle w:val="12"/>
          <w:rFonts w:ascii="仿宋_GB2312" w:eastAsia="仿宋_GB2312"/>
          <w:b w:val="0"/>
          <w:i w:val="0"/>
          <w:caps w:val="0"/>
          <w:spacing w:val="0"/>
          <w:w w:val="100"/>
          <w:kern w:val="0"/>
          <w:sz w:val="32"/>
          <w:szCs w:val="32"/>
          <w:lang w:val="en-US" w:eastAsia="zh-CN" w:bidi="ar-SA"/>
        </w:rPr>
        <w:t>教育改革与发展规划并组织实施。</w:t>
      </w:r>
      <w:bookmarkStart w:id="5" w:name="_GoBack"/>
      <w:bookmarkEnd w:id="5"/>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（二）编制本园教育事业发展规划并检查实施情况，向上级教育部门作出报告。</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（三）督促检查</w:t>
      </w:r>
      <w:r>
        <w:rPr>
          <w:rStyle w:val="12"/>
          <w:rFonts w:hint="eastAsia" w:ascii="仿宋_GB2312" w:eastAsia="仿宋_GB2312"/>
          <w:b w:val="0"/>
          <w:i w:val="0"/>
          <w:caps w:val="0"/>
          <w:spacing w:val="0"/>
          <w:w w:val="100"/>
          <w:kern w:val="0"/>
          <w:sz w:val="32"/>
          <w:szCs w:val="32"/>
          <w:lang w:val="en-US" w:eastAsia="zh-CN" w:bidi="ar-SA"/>
        </w:rPr>
        <w:t>本单位</w:t>
      </w:r>
      <w:r>
        <w:rPr>
          <w:rStyle w:val="12"/>
          <w:rFonts w:ascii="仿宋_GB2312" w:eastAsia="仿宋_GB2312"/>
          <w:b w:val="0"/>
          <w:i w:val="0"/>
          <w:caps w:val="0"/>
          <w:spacing w:val="0"/>
          <w:w w:val="100"/>
          <w:kern w:val="0"/>
          <w:sz w:val="32"/>
          <w:szCs w:val="32"/>
          <w:lang w:val="en-US" w:eastAsia="zh-CN" w:bidi="ar-SA"/>
        </w:rPr>
        <w:t>贯彻执行教育方针、政策、法令、法规和上级的各项规定。</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（四）按照中央关于全面推进素质教育要求。</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（五）检查指导</w:t>
      </w:r>
      <w:r>
        <w:rPr>
          <w:rStyle w:val="12"/>
          <w:rFonts w:hint="eastAsia" w:ascii="仿宋_GB2312" w:eastAsia="仿宋_GB2312"/>
          <w:b w:val="0"/>
          <w:i w:val="0"/>
          <w:caps w:val="0"/>
          <w:spacing w:val="0"/>
          <w:w w:val="100"/>
          <w:kern w:val="0"/>
          <w:sz w:val="32"/>
          <w:szCs w:val="32"/>
          <w:lang w:val="en-US" w:eastAsia="zh-CN" w:bidi="ar-SA"/>
        </w:rPr>
        <w:t>本园</w:t>
      </w:r>
      <w:r>
        <w:rPr>
          <w:rStyle w:val="12"/>
          <w:rFonts w:ascii="仿宋_GB2312" w:eastAsia="仿宋_GB2312"/>
          <w:b w:val="0"/>
          <w:i w:val="0"/>
          <w:caps w:val="0"/>
          <w:spacing w:val="0"/>
          <w:w w:val="100"/>
          <w:kern w:val="0"/>
          <w:sz w:val="32"/>
          <w:szCs w:val="32"/>
          <w:lang w:val="en-US" w:eastAsia="zh-CN" w:bidi="ar-SA"/>
        </w:rPr>
        <w:t>教育教学设备的装备、管理和使用工作。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w:t>
      </w:r>
      <w:r>
        <w:rPr>
          <w:rStyle w:val="12"/>
          <w:rFonts w:hint="eastAsia" w:ascii="仿宋_GB2312" w:eastAsia="仿宋_GB2312"/>
          <w:b w:val="0"/>
          <w:i w:val="0"/>
          <w:caps w:val="0"/>
          <w:spacing w:val="0"/>
          <w:w w:val="100"/>
          <w:kern w:val="0"/>
          <w:sz w:val="32"/>
          <w:szCs w:val="32"/>
          <w:lang w:val="en-US" w:eastAsia="zh-CN" w:bidi="ar-SA"/>
        </w:rPr>
        <w:t>六</w:t>
      </w:r>
      <w:r>
        <w:rPr>
          <w:rStyle w:val="12"/>
          <w:rFonts w:ascii="仿宋_GB2312" w:eastAsia="仿宋_GB2312"/>
          <w:b w:val="0"/>
          <w:i w:val="0"/>
          <w:caps w:val="0"/>
          <w:spacing w:val="0"/>
          <w:w w:val="100"/>
          <w:kern w:val="0"/>
          <w:sz w:val="32"/>
          <w:szCs w:val="32"/>
          <w:lang w:val="en-US" w:eastAsia="zh-CN" w:bidi="ar-SA"/>
        </w:rPr>
        <w:t>）检查指导</w:t>
      </w:r>
      <w:r>
        <w:rPr>
          <w:rStyle w:val="12"/>
          <w:rFonts w:hint="eastAsia" w:ascii="仿宋_GB2312" w:eastAsia="仿宋_GB2312"/>
          <w:b w:val="0"/>
          <w:i w:val="0"/>
          <w:caps w:val="0"/>
          <w:spacing w:val="0"/>
          <w:w w:val="100"/>
          <w:kern w:val="0"/>
          <w:sz w:val="32"/>
          <w:szCs w:val="32"/>
          <w:lang w:val="en-US" w:eastAsia="zh-CN" w:bidi="ar-SA"/>
        </w:rPr>
        <w:t>本园</w:t>
      </w:r>
      <w:r>
        <w:rPr>
          <w:rStyle w:val="12"/>
          <w:rFonts w:ascii="仿宋_GB2312" w:eastAsia="仿宋_GB2312"/>
          <w:b w:val="0"/>
          <w:i w:val="0"/>
          <w:caps w:val="0"/>
          <w:spacing w:val="0"/>
          <w:w w:val="100"/>
          <w:kern w:val="0"/>
          <w:sz w:val="32"/>
          <w:szCs w:val="32"/>
          <w:lang w:val="en-US" w:eastAsia="zh-CN" w:bidi="ar-SA"/>
        </w:rPr>
        <w:t>开展电化教育和信息化教学工作。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w:t>
      </w:r>
      <w:r>
        <w:rPr>
          <w:rStyle w:val="12"/>
          <w:rFonts w:hint="eastAsia" w:ascii="仿宋_GB2312" w:eastAsia="仿宋_GB2312"/>
          <w:b w:val="0"/>
          <w:i w:val="0"/>
          <w:caps w:val="0"/>
          <w:spacing w:val="0"/>
          <w:w w:val="100"/>
          <w:kern w:val="0"/>
          <w:sz w:val="32"/>
          <w:szCs w:val="32"/>
          <w:lang w:val="en-US" w:eastAsia="zh-CN" w:bidi="ar-SA"/>
        </w:rPr>
        <w:t>七</w:t>
      </w:r>
      <w:r>
        <w:rPr>
          <w:rStyle w:val="12"/>
          <w:rFonts w:ascii="仿宋_GB2312" w:eastAsia="仿宋_GB2312"/>
          <w:b w:val="0"/>
          <w:i w:val="0"/>
          <w:caps w:val="0"/>
          <w:spacing w:val="0"/>
          <w:w w:val="100"/>
          <w:kern w:val="0"/>
          <w:sz w:val="32"/>
          <w:szCs w:val="32"/>
          <w:lang w:val="en-US" w:eastAsia="zh-CN" w:bidi="ar-SA"/>
        </w:rPr>
        <w:t>）负责</w:t>
      </w:r>
      <w:r>
        <w:rPr>
          <w:rStyle w:val="12"/>
          <w:rFonts w:hint="eastAsia" w:ascii="仿宋_GB2312" w:eastAsia="仿宋_GB2312"/>
          <w:b w:val="0"/>
          <w:i w:val="0"/>
          <w:caps w:val="0"/>
          <w:spacing w:val="0"/>
          <w:w w:val="100"/>
          <w:kern w:val="0"/>
          <w:sz w:val="32"/>
          <w:szCs w:val="32"/>
          <w:lang w:val="en-US" w:eastAsia="zh-CN" w:bidi="ar-SA"/>
        </w:rPr>
        <w:t>本园</w:t>
      </w:r>
      <w:r>
        <w:rPr>
          <w:rStyle w:val="12"/>
          <w:rFonts w:ascii="仿宋_GB2312" w:eastAsia="仿宋_GB2312"/>
          <w:b w:val="0"/>
          <w:i w:val="0"/>
          <w:caps w:val="0"/>
          <w:spacing w:val="0"/>
          <w:w w:val="100"/>
          <w:kern w:val="0"/>
          <w:sz w:val="32"/>
          <w:szCs w:val="32"/>
          <w:lang w:val="en-US" w:eastAsia="zh-CN" w:bidi="ar-SA"/>
        </w:rPr>
        <w:t>教师初级专业技术职务资格的评审，中、高级专业技术职务资格的申报工作。按照管理权限对教师进行考核、聘任、奖惩、晋升等工作。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w:t>
      </w:r>
      <w:r>
        <w:rPr>
          <w:rStyle w:val="12"/>
          <w:rFonts w:hint="eastAsia" w:ascii="仿宋_GB2312" w:eastAsia="仿宋_GB2312"/>
          <w:b w:val="0"/>
          <w:i w:val="0"/>
          <w:caps w:val="0"/>
          <w:spacing w:val="0"/>
          <w:w w:val="100"/>
          <w:kern w:val="0"/>
          <w:sz w:val="32"/>
          <w:szCs w:val="32"/>
          <w:lang w:val="en-US" w:eastAsia="zh-CN" w:bidi="ar-SA"/>
        </w:rPr>
        <w:t>八</w:t>
      </w:r>
      <w:r>
        <w:rPr>
          <w:rStyle w:val="12"/>
          <w:rFonts w:ascii="仿宋_GB2312" w:eastAsia="仿宋_GB2312"/>
          <w:b w:val="0"/>
          <w:i w:val="0"/>
          <w:caps w:val="0"/>
          <w:spacing w:val="0"/>
          <w:w w:val="100"/>
          <w:kern w:val="0"/>
          <w:sz w:val="32"/>
          <w:szCs w:val="32"/>
          <w:lang w:val="en-US" w:eastAsia="zh-CN" w:bidi="ar-SA"/>
        </w:rPr>
        <w:t>）负责监督审计</w:t>
      </w:r>
      <w:r>
        <w:rPr>
          <w:rStyle w:val="12"/>
          <w:rFonts w:hint="eastAsia" w:ascii="仿宋_GB2312" w:eastAsia="仿宋_GB2312"/>
          <w:b w:val="0"/>
          <w:i w:val="0"/>
          <w:caps w:val="0"/>
          <w:spacing w:val="0"/>
          <w:w w:val="100"/>
          <w:kern w:val="0"/>
          <w:sz w:val="32"/>
          <w:szCs w:val="32"/>
          <w:lang w:val="en-US" w:eastAsia="zh-CN" w:bidi="ar-SA"/>
        </w:rPr>
        <w:t>本园的</w:t>
      </w:r>
      <w:r>
        <w:rPr>
          <w:rStyle w:val="12"/>
          <w:rFonts w:ascii="仿宋_GB2312" w:eastAsia="仿宋_GB2312"/>
          <w:b w:val="0"/>
          <w:i w:val="0"/>
          <w:caps w:val="0"/>
          <w:spacing w:val="0"/>
          <w:w w:val="100"/>
          <w:kern w:val="0"/>
          <w:sz w:val="32"/>
          <w:szCs w:val="32"/>
          <w:lang w:val="en-US" w:eastAsia="zh-CN" w:bidi="ar-SA"/>
        </w:rPr>
        <w:t>教育经费管理与使用工作。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w:t>
      </w:r>
      <w:r>
        <w:rPr>
          <w:rStyle w:val="12"/>
          <w:rFonts w:hint="eastAsia" w:ascii="仿宋_GB2312" w:eastAsia="仿宋_GB2312"/>
          <w:b w:val="0"/>
          <w:i w:val="0"/>
          <w:caps w:val="0"/>
          <w:spacing w:val="0"/>
          <w:w w:val="100"/>
          <w:kern w:val="0"/>
          <w:sz w:val="32"/>
          <w:szCs w:val="32"/>
          <w:lang w:val="en-US" w:eastAsia="zh-CN" w:bidi="ar-SA"/>
        </w:rPr>
        <w:t>九</w:t>
      </w:r>
      <w:r>
        <w:rPr>
          <w:rStyle w:val="12"/>
          <w:rFonts w:ascii="仿宋_GB2312" w:eastAsia="仿宋_GB2312"/>
          <w:b w:val="0"/>
          <w:i w:val="0"/>
          <w:caps w:val="0"/>
          <w:spacing w:val="0"/>
          <w:w w:val="100"/>
          <w:kern w:val="0"/>
          <w:sz w:val="32"/>
          <w:szCs w:val="32"/>
          <w:lang w:val="en-US" w:eastAsia="zh-CN" w:bidi="ar-SA"/>
        </w:rPr>
        <w:t>）负责</w:t>
      </w:r>
      <w:r>
        <w:rPr>
          <w:rStyle w:val="12"/>
          <w:rFonts w:hint="eastAsia" w:ascii="仿宋_GB2312" w:eastAsia="仿宋_GB2312"/>
          <w:b w:val="0"/>
          <w:i w:val="0"/>
          <w:caps w:val="0"/>
          <w:spacing w:val="0"/>
          <w:w w:val="100"/>
          <w:kern w:val="0"/>
          <w:sz w:val="32"/>
          <w:szCs w:val="32"/>
          <w:lang w:val="en-US" w:eastAsia="zh-CN" w:bidi="ar-SA"/>
        </w:rPr>
        <w:t>本园</w:t>
      </w:r>
      <w:r>
        <w:rPr>
          <w:rStyle w:val="12"/>
          <w:rFonts w:ascii="仿宋_GB2312" w:eastAsia="仿宋_GB2312"/>
          <w:b w:val="0"/>
          <w:i w:val="0"/>
          <w:caps w:val="0"/>
          <w:spacing w:val="0"/>
          <w:w w:val="100"/>
          <w:kern w:val="0"/>
          <w:sz w:val="32"/>
          <w:szCs w:val="32"/>
          <w:lang w:val="en-US" w:eastAsia="zh-CN" w:bidi="ar-SA"/>
        </w:rPr>
        <w:t>教学教育常规管理评估工作</w:t>
      </w:r>
      <w:r>
        <w:rPr>
          <w:rStyle w:val="12"/>
          <w:rFonts w:hint="eastAsia" w:ascii="仿宋_GB2312" w:eastAsia="仿宋_GB2312"/>
          <w:b w:val="0"/>
          <w:i w:val="0"/>
          <w:caps w:val="0"/>
          <w:spacing w:val="0"/>
          <w:w w:val="100"/>
          <w:kern w:val="0"/>
          <w:sz w:val="32"/>
          <w:szCs w:val="32"/>
          <w:lang w:val="en-US" w:eastAsia="zh-CN" w:bidi="ar-SA"/>
        </w:rPr>
        <w:t>。</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（十）负责指导</w:t>
      </w:r>
      <w:r>
        <w:rPr>
          <w:rStyle w:val="12"/>
          <w:rFonts w:hint="eastAsia" w:ascii="仿宋_GB2312" w:eastAsia="仿宋_GB2312"/>
          <w:b w:val="0"/>
          <w:i w:val="0"/>
          <w:caps w:val="0"/>
          <w:spacing w:val="0"/>
          <w:w w:val="100"/>
          <w:kern w:val="0"/>
          <w:sz w:val="32"/>
          <w:szCs w:val="32"/>
          <w:lang w:val="en-US" w:eastAsia="zh-CN" w:bidi="ar-SA"/>
        </w:rPr>
        <w:t>中心园幼儿</w:t>
      </w:r>
      <w:r>
        <w:rPr>
          <w:rStyle w:val="12"/>
          <w:rFonts w:ascii="仿宋_GB2312" w:eastAsia="仿宋_GB2312"/>
          <w:b w:val="0"/>
          <w:i w:val="0"/>
          <w:caps w:val="0"/>
          <w:spacing w:val="0"/>
          <w:w w:val="100"/>
          <w:kern w:val="0"/>
          <w:sz w:val="32"/>
          <w:szCs w:val="32"/>
          <w:lang w:val="en-US" w:eastAsia="zh-CN" w:bidi="ar-SA"/>
        </w:rPr>
        <w:t>资助管理工作。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（十</w:t>
      </w:r>
      <w:r>
        <w:rPr>
          <w:rStyle w:val="12"/>
          <w:rFonts w:hint="eastAsia" w:ascii="仿宋_GB2312" w:eastAsia="仿宋_GB2312"/>
          <w:b w:val="0"/>
          <w:i w:val="0"/>
          <w:caps w:val="0"/>
          <w:spacing w:val="0"/>
          <w:w w:val="100"/>
          <w:kern w:val="0"/>
          <w:sz w:val="32"/>
          <w:szCs w:val="32"/>
          <w:lang w:val="en-US" w:eastAsia="zh-CN" w:bidi="ar-SA"/>
        </w:rPr>
        <w:t>一</w:t>
      </w:r>
      <w:r>
        <w:rPr>
          <w:rStyle w:val="12"/>
          <w:rFonts w:ascii="仿宋_GB2312" w:eastAsia="仿宋_GB2312"/>
          <w:b w:val="0"/>
          <w:i w:val="0"/>
          <w:caps w:val="0"/>
          <w:spacing w:val="0"/>
          <w:w w:val="100"/>
          <w:kern w:val="0"/>
          <w:sz w:val="32"/>
          <w:szCs w:val="32"/>
          <w:lang w:val="en-US" w:eastAsia="zh-CN" w:bidi="ar-SA"/>
        </w:rPr>
        <w:t>）负责语言文字和指导推广普通话工作。</w:t>
      </w:r>
    </w:p>
    <w:p>
      <w:pPr>
        <w:jc w:val="left"/>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w:t>
      </w:r>
      <w:r>
        <w:rPr>
          <w:rStyle w:val="12"/>
          <w:rFonts w:hint="eastAsia" w:ascii="仿宋_GB2312" w:eastAsia="仿宋_GB2312"/>
          <w:b w:val="0"/>
          <w:i w:val="0"/>
          <w:caps w:val="0"/>
          <w:spacing w:val="0"/>
          <w:w w:val="100"/>
          <w:kern w:val="0"/>
          <w:sz w:val="32"/>
          <w:szCs w:val="32"/>
          <w:lang w:val="en-US" w:eastAsia="zh-CN" w:bidi="ar-SA"/>
        </w:rPr>
        <w:t xml:space="preserve">   </w:t>
      </w:r>
      <w:r>
        <w:rPr>
          <w:rStyle w:val="12"/>
          <w:rFonts w:ascii="仿宋_GB2312" w:eastAsia="仿宋_GB2312"/>
          <w:b w:val="0"/>
          <w:i w:val="0"/>
          <w:caps w:val="0"/>
          <w:spacing w:val="0"/>
          <w:w w:val="100"/>
          <w:kern w:val="0"/>
          <w:sz w:val="32"/>
          <w:szCs w:val="32"/>
          <w:lang w:val="en-US" w:eastAsia="zh-CN" w:bidi="ar-SA"/>
        </w:rPr>
        <w:t>（十</w:t>
      </w:r>
      <w:r>
        <w:rPr>
          <w:rStyle w:val="12"/>
          <w:rFonts w:hint="eastAsia" w:ascii="仿宋_GB2312" w:eastAsia="仿宋_GB2312"/>
          <w:b w:val="0"/>
          <w:i w:val="0"/>
          <w:caps w:val="0"/>
          <w:spacing w:val="0"/>
          <w:w w:val="100"/>
          <w:kern w:val="0"/>
          <w:sz w:val="32"/>
          <w:szCs w:val="32"/>
          <w:lang w:val="en-US" w:eastAsia="zh-CN" w:bidi="ar-SA"/>
        </w:rPr>
        <w:t>二</w:t>
      </w:r>
      <w:r>
        <w:rPr>
          <w:rStyle w:val="12"/>
          <w:rFonts w:ascii="仿宋_GB2312" w:eastAsia="仿宋_GB2312"/>
          <w:b w:val="0"/>
          <w:i w:val="0"/>
          <w:caps w:val="0"/>
          <w:spacing w:val="0"/>
          <w:w w:val="100"/>
          <w:kern w:val="0"/>
          <w:sz w:val="32"/>
          <w:szCs w:val="32"/>
          <w:lang w:val="en-US" w:eastAsia="zh-CN" w:bidi="ar-SA"/>
        </w:rPr>
        <w:t>）完成自治县教育局交办的其他工作。</w:t>
      </w:r>
    </w:p>
    <w:p>
      <w:pPr>
        <w:ind w:firstLine="640" w:firstLineChars="200"/>
        <w:jc w:val="left"/>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二、部门决算单位构成</w:t>
      </w:r>
    </w:p>
    <w:p>
      <w:pPr>
        <w:snapToGrid/>
        <w:spacing w:before="0" w:beforeAutospacing="0" w:after="0" w:afterAutospacing="0" w:line="460" w:lineRule="exact"/>
        <w:ind w:firstLine="543" w:firstLineChars="193"/>
        <w:jc w:val="both"/>
        <w:textAlignment w:val="baseline"/>
        <w:outlineLvl w:val="2"/>
        <w:rPr>
          <w:rStyle w:val="12"/>
          <w:rFonts w:ascii="宋体" w:hAnsi="宋体" w:cs="宋体"/>
          <w:b/>
          <w:bCs/>
          <w:i w:val="0"/>
          <w:caps w:val="0"/>
          <w:color w:val="333333"/>
          <w:spacing w:val="0"/>
          <w:w w:val="100"/>
          <w:kern w:val="2"/>
          <w:sz w:val="28"/>
          <w:szCs w:val="28"/>
          <w:lang w:val="en-US" w:eastAsia="zh-CN" w:bidi="ar-SA"/>
        </w:rPr>
      </w:pPr>
      <w:r>
        <w:rPr>
          <w:rStyle w:val="12"/>
          <w:rFonts w:ascii="宋体" w:hAnsi="宋体" w:cs="宋体"/>
          <w:b/>
          <w:bCs/>
          <w:i w:val="0"/>
          <w:caps w:val="0"/>
          <w:color w:val="333333"/>
          <w:spacing w:val="0"/>
          <w:w w:val="100"/>
          <w:kern w:val="2"/>
          <w:sz w:val="28"/>
          <w:szCs w:val="28"/>
          <w:lang w:val="en-US" w:eastAsia="zh-CN" w:bidi="ar-SA"/>
        </w:rPr>
        <w:t>（一）内设机构情况</w:t>
      </w:r>
    </w:p>
    <w:p>
      <w:pPr>
        <w:snapToGrid/>
        <w:spacing w:before="0" w:beforeAutospacing="0" w:after="0" w:afterAutospacing="0" w:line="460" w:lineRule="exact"/>
        <w:ind w:firstLine="640" w:firstLineChars="200"/>
        <w:jc w:val="both"/>
        <w:textAlignment w:val="baseline"/>
        <w:rPr>
          <w:rStyle w:val="12"/>
          <w:rFonts w:hint="default" w:ascii="仿宋_GB2312" w:eastAsia="仿宋_GB2312"/>
          <w:b w:val="0"/>
          <w:i w:val="0"/>
          <w:caps w:val="0"/>
          <w:spacing w:val="0"/>
          <w:w w:val="100"/>
          <w:kern w:val="0"/>
          <w:sz w:val="32"/>
          <w:szCs w:val="32"/>
          <w:lang w:val="en-US" w:eastAsia="zh-CN" w:bidi="ar-SA"/>
        </w:rPr>
      </w:pPr>
      <w:r>
        <w:rPr>
          <w:rStyle w:val="12"/>
          <w:rFonts w:hint="eastAsia" w:ascii="仿宋_GB2312" w:eastAsia="仿宋_GB2312"/>
          <w:b w:val="0"/>
          <w:i w:val="0"/>
          <w:caps w:val="0"/>
          <w:spacing w:val="0"/>
          <w:w w:val="100"/>
          <w:kern w:val="0"/>
          <w:sz w:val="32"/>
          <w:szCs w:val="32"/>
          <w:lang w:val="en-US" w:eastAsia="zh-CN" w:bidi="ar-SA"/>
        </w:rPr>
        <w:t>环江毛南族自治县下南乡中心幼儿园有四个内设机构，分别为：行政办公室、保教室、财务室、安全办。</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177.16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90"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10.13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7.19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203.97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203.97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177.16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177.16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7.19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203.96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117.57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86.40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1.82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177.16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90.76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color w:val="000000"/>
                <w:sz w:val="22"/>
                <w:szCs w:val="22"/>
                <w:highlight w:val="none"/>
                <w:lang w:val="en-US" w:eastAsia="zh-CN"/>
              </w:rPr>
              <w:t>86.40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7.19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7.66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203.97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177.16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177.16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7.19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7.19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203.97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203.97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203.97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203.97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203.97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117.57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86.4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1.82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1.82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177.16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90.76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86.4</w:t>
            </w:r>
          </w:p>
        </w:tc>
      </w:tr>
      <w:tr>
        <w:tblPrEx>
          <w:tblCellMar>
            <w:top w:w="0" w:type="dxa"/>
            <w:left w:w="108" w:type="dxa"/>
            <w:bottom w:w="0" w:type="dxa"/>
            <w:right w:w="108" w:type="dxa"/>
          </w:tblCellMar>
        </w:tblPrEx>
        <w:trPr>
          <w:trHeight w:val="62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10.13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10.13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7.19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7.19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7.66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7.66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115.75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36.83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9.8</w:t>
            </w:r>
            <w:r>
              <w:rPr>
                <w:rFonts w:hint="default" w:ascii="宋体" w:hAnsi="宋体" w:eastAsia="宋体" w:cs="宋体"/>
                <w:color w:val="000000"/>
                <w:kern w:val="0"/>
                <w:sz w:val="22"/>
                <w:szCs w:val="22"/>
                <w:highlight w:val="none"/>
                <w:lang w:val="en-US" w:eastAsia="zh-CN" w:bidi="ar"/>
              </w:rPr>
              <w:t>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23.01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23.70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4.33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default" w:ascii="宋体" w:hAnsi="宋体" w:eastAsia="宋体" w:cs="宋体"/>
                <w:color w:val="000000"/>
                <w:kern w:val="0"/>
                <w:sz w:val="22"/>
                <w:szCs w:val="22"/>
                <w:highlight w:val="none"/>
                <w:lang w:val="en-US"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default" w:ascii="宋体" w:hAnsi="宋体" w:eastAsia="宋体" w:cs="宋体"/>
                <w:color w:val="000000"/>
                <w:kern w:val="0"/>
                <w:sz w:val="22"/>
                <w:szCs w:val="22"/>
                <w:highlight w:val="none"/>
                <w:lang w:val="en-US"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default" w:ascii="宋体" w:hAnsi="宋体" w:eastAsia="宋体" w:cs="宋体"/>
                <w:color w:val="000000"/>
                <w:kern w:val="0"/>
                <w:sz w:val="22"/>
                <w:szCs w:val="22"/>
                <w:highlight w:val="none"/>
                <w:lang w:val="en-US"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115.75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203.97</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28.05</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15.96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203.96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203.97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highlight w:val="none"/>
          <w:u w:color="auto"/>
          <w:lang w:val="en-US" w:eastAsia="zh-CN"/>
        </w:rPr>
        <w:t>28.05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15.96</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主要原因：2023年9月新公招新进人员4人。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10.上年结转和结余0万元，为以前年度支出预算因客观条件变化未执行完毕、结转到本年度按有关规定继续使用的资金。较2022年度决算数增加0万元，增长0%。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989195" cy="3353435"/>
            <wp:effectExtent l="4445" t="4445" r="5080" b="1016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203.96</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203.96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28.05</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15.96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1.82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单位职工工会活动支出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277.08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主要原因是：2023年8月份新公招教师控制数4人。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类）万</w:t>
      </w:r>
      <w:r>
        <w:rPr>
          <w:rFonts w:hint="eastAsia" w:ascii="仿宋" w:hAnsi="仿宋" w:eastAsia="仿宋" w:cs="仿宋"/>
          <w:sz w:val="32"/>
          <w:szCs w:val="32"/>
          <w:highlight w:val="none"/>
          <w:lang w:val="en-US" w:eastAsia="zh-CN" w:bidi="ar"/>
        </w:rPr>
        <w:t>177.16</w:t>
      </w:r>
      <w:r>
        <w:rPr>
          <w:rFonts w:hint="eastAsia" w:ascii="仿宋" w:hAnsi="仿宋" w:eastAsia="仿宋" w:cs="仿宋"/>
          <w:sz w:val="32"/>
          <w:szCs w:val="32"/>
          <w:highlight w:val="none"/>
        </w:rPr>
        <w:t>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人员工资，商品服务支出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16.89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10.54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主要原因是：幼儿人数增多，非税收入增加。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单位职工基本养老保险缴费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5.01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97.85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主要原因是：2023年9月新公招新进人员4人及职工基本养老保险基数调整。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7.19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99.72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主要原因是：2023年9月新公招新进人员8人及住房公积金基数调整。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19.13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主要原因是：2023年9月新公招新进人员8人。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kern w:val="2"/>
          <w:sz w:val="32"/>
          <w:szCs w:val="32"/>
          <w:lang w:val="en-US" w:eastAsia="zh-CN" w:bidi="ar"/>
          <w14:textFill>
            <w14:solidFill>
              <w14:schemeClr w14:val="tx1"/>
            </w14:solidFill>
          </w14:textFill>
        </w:rPr>
        <w:t>本部门2023年度没有国结余分配资金。</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2"/>
          <w:szCs w:val="32"/>
          <w:lang w:val="en-US" w:eastAsia="zh-CN" w:bidi="ar"/>
          <w14:textFill>
            <w14:solidFill>
              <w14:schemeClr w14:val="tx1"/>
            </w14:solidFill>
          </w14:textFill>
        </w:rPr>
        <w:t>本部门2023年度没有年末结转和结余资金。</w:t>
      </w: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960" w:firstLineChars="300"/>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环江毛南族自治县下南乡中心幼儿园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203.97</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28.05</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15.96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117.57</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86..4</w:t>
      </w:r>
      <w:r>
        <w:rPr>
          <w:rFonts w:hint="eastAsia" w:ascii="仿宋" w:hAnsi="仿宋" w:eastAsia="仿宋" w:cs="仿宋"/>
          <w:sz w:val="32"/>
          <w:szCs w:val="32"/>
          <w:highlight w:val="none"/>
        </w:rPr>
        <w:t>万元。</w:t>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eastAsia="仿宋"/>
          <w:color w:val="FF0000"/>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环江毛南族自治县下南乡中心幼儿园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highlight w:val="none"/>
          <w:u w:color="auto"/>
          <w:lang w:val="en-US" w:eastAsia="zh-CN"/>
        </w:rPr>
        <w:t>207.9</w:t>
      </w:r>
      <w:r>
        <w:rPr>
          <w:rFonts w:hint="eastAsia" w:ascii="仿宋" w:hAnsi="仿宋" w:eastAsia="仿宋" w:cs="仿宋"/>
          <w:sz w:val="32"/>
          <w:szCs w:val="32"/>
          <w:highlight w:val="none"/>
        </w:rPr>
        <w:t>万元，支出决算为</w:t>
      </w:r>
      <w:r>
        <w:rPr>
          <w:rFonts w:hint="eastAsia" w:ascii="仿宋" w:hAnsi="仿宋" w:eastAsia="仿宋" w:cs="仿宋"/>
          <w:sz w:val="32"/>
          <w:highlight w:val="none"/>
          <w:u w:color="auto"/>
          <w:lang w:val="en-US" w:eastAsia="zh-CN"/>
        </w:rPr>
        <w:t>203.97</w:t>
      </w:r>
      <w:r>
        <w:rPr>
          <w:rFonts w:hint="eastAsia" w:ascii="仿宋" w:hAnsi="仿宋" w:eastAsia="仿宋" w:cs="仿宋"/>
          <w:sz w:val="32"/>
          <w:szCs w:val="32"/>
          <w:highlight w:val="none"/>
        </w:rPr>
        <w:t>万元，完成年初预算的</w:t>
      </w:r>
      <w:r>
        <w:rPr>
          <w:rFonts w:hint="eastAsia" w:ascii="仿宋" w:hAnsi="仿宋" w:eastAsia="仿宋" w:cs="仿宋"/>
          <w:sz w:val="32"/>
          <w:highlight w:val="none"/>
          <w:u w:color="auto"/>
          <w:lang w:val="en-US" w:eastAsia="zh-CN"/>
        </w:rPr>
        <w:t>98.11</w:t>
      </w:r>
      <w:r>
        <w:rPr>
          <w:rFonts w:ascii="仿宋" w:hAnsi="仿宋" w:eastAsia="仿宋" w:cs="仿宋"/>
          <w:sz w:val="32"/>
          <w:highlight w:val="none"/>
          <w:u w:color="auto"/>
        </w:rPr>
        <w:t>%</w:t>
      </w:r>
      <w:r>
        <w:rPr>
          <w:rFonts w:hint="eastAsia" w:ascii="仿宋" w:hAnsi="仿宋" w:eastAsia="仿宋" w:cs="仿宋"/>
          <w:sz w:val="32"/>
          <w:szCs w:val="32"/>
          <w:highlight w:val="none"/>
        </w:rPr>
        <w:t>。</w:t>
      </w:r>
      <w:bookmarkStart w:id="3" w:name="OLE_LINK2"/>
      <w:bookmarkEnd w:id="3"/>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原因是：采购货物未及时整理材料上交，导致预决算有点差异，以后尽快整理材料及时报账。</w:t>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100.55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原因是：2023年8月新公招新进人员4人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100.55%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left"/>
        <w:rPr>
          <w:rFonts w:hint="eastAsia" w:ascii="仿宋" w:hAnsi="仿宋" w:eastAsia="仿宋" w:cs="仿宋"/>
          <w:sz w:val="32"/>
          <w:szCs w:val="32"/>
          <w:highlight w:val="none"/>
        </w:rPr>
      </w:pPr>
      <w:r>
        <w:drawing>
          <wp:inline distT="0" distB="0" distL="114300" distR="114300">
            <wp:extent cx="4953000" cy="3466465"/>
            <wp:effectExtent l="4445" t="4445" r="14605" b="15240"/>
            <wp:docPr id="10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教育支出</w:t>
      </w:r>
      <w:r>
        <w:rPr>
          <w:rFonts w:ascii="仿宋" w:hAnsi="仿宋" w:eastAsia="仿宋"/>
          <w:sz w:val="32"/>
          <w:highlight w:val="none"/>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198.11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177.16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89.43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原因是：2023年报账不及时导致</w:t>
      </w:r>
      <w:r>
        <w:rPr>
          <w:rFonts w:hint="eastAsia" w:ascii="宋体" w:hAnsi="宋体" w:eastAsia="宋体" w:cs="宋体"/>
          <w:i w:val="0"/>
          <w:iCs w:val="0"/>
          <w:color w:val="auto"/>
          <w:sz w:val="32"/>
          <w:szCs w:val="32"/>
          <w:highlight w:val="none"/>
          <w:u w:val="none"/>
          <w:lang w:val="en-US" w:eastAsia="zh-CN"/>
        </w:rPr>
        <w:t>公用支出等减少。</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198.11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人员基本工资支出、商品和服务支出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报账不及时导致公用支出等减少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198.11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r>
        <w:drawing>
          <wp:inline distT="0" distB="0" distL="114300" distR="114300">
            <wp:extent cx="4980940" cy="3866515"/>
            <wp:effectExtent l="4445" t="4445" r="5715" b="1524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社会保障和就业支出</w:t>
      </w:r>
      <w:r>
        <w:rPr>
          <w:rFonts w:ascii="仿宋" w:hAnsi="仿宋" w:eastAsia="仿宋"/>
          <w:sz w:val="32"/>
          <w:highlight w:val="none"/>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4.31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10.13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235.03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原因是：2023年8月新公招新进人员4人社保基数高，导致年初预算基数高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235.03%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2023年8月新公招新进人员4人。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235.03%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2023年8月新公招新进人员4人。</w:t>
            </w: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3.67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7.19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208.72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原因是：2023年9月新公招新进人员8人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2023年8月新公招新进人员4人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208.72%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2023年8月新公招新进人员4人</w:t>
            </w:r>
          </w:p>
        </w:tc>
      </w:tr>
    </w:tbl>
    <w:p>
      <w:pPr>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7.66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7.66</w:t>
      </w:r>
      <w:r>
        <w:rPr>
          <w:rFonts w:hint="eastAsia" w:ascii="仿宋" w:hAnsi="仿宋" w:eastAsia="仿宋"/>
          <w:sz w:val="32"/>
          <w:szCs w:val="32"/>
          <w:highlight w:val="none"/>
        </w:rPr>
        <w:t>元，</w:t>
      </w:r>
      <w:r>
        <w:rPr>
          <w:rFonts w:hint="eastAsia" w:ascii="仿宋" w:hAnsi="仿宋" w:eastAsia="仿宋"/>
          <w:sz w:val="32"/>
          <w:szCs w:val="32"/>
          <w:highlight w:val="none"/>
          <w:lang w:val="en-US" w:eastAsia="zh-CN"/>
        </w:rPr>
        <w:t>预决算存有差异原因是：此部分资金每年上级部门都做有预算，直接下达，本部门无需做预算。支出具体情况如下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7.66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在职在编教师奖励性补贴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此部分资金上级部门每年都做有预算，直接下达，本部门无需做预算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7.66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在职在编教师奖励性补贴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此部分资金上级部门每年都做有预算，直接下达，本部门无需做预算</w:t>
            </w:r>
          </w:p>
        </w:tc>
      </w:tr>
    </w:tbl>
    <w:p>
      <w:pPr>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13885" cy="2779395"/>
            <wp:effectExtent l="4445" t="4445" r="16510" b="508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highlight w:val="none"/>
          <w:u w:color="auto"/>
          <w:lang w:val="en-US" w:eastAsia="zh-CN"/>
        </w:rPr>
        <w:t>117.57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115.75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1.82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b w:val="0"/>
          <w:bCs w:val="0"/>
          <w:color w:val="000000"/>
          <w:kern w:val="0"/>
          <w:sz w:val="32"/>
          <w:szCs w:val="32"/>
          <w:highlight w:val="none"/>
          <w:lang w:val="en-US" w:eastAsia="zh-CN" w:bidi="ar"/>
        </w:rPr>
        <w:t>115.75</w:t>
      </w:r>
      <w:r>
        <w:rPr>
          <w:rFonts w:ascii="仿宋" w:hAnsi="仿宋" w:eastAsia="仿宋" w:cs="仿宋"/>
          <w:sz w:val="32"/>
          <w:highlight w:val="none"/>
          <w:u w:color="auto"/>
        </w:rPr>
        <w:t>万</w:t>
      </w:r>
      <w:r>
        <w:rPr>
          <w:rFonts w:ascii="仿宋" w:hAnsi="仿宋" w:eastAsia="仿宋" w:cs="仿宋"/>
          <w:sz w:val="32"/>
          <w:u w:color="auto"/>
        </w:rPr>
        <w:t>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w:t>
      </w:r>
      <w:r>
        <w:rPr>
          <w:rFonts w:hint="eastAsia" w:ascii="仿宋" w:hAnsi="仿宋" w:eastAsia="仿宋"/>
          <w:color w:val="000000" w:themeColor="text1"/>
          <w:sz w:val="32"/>
          <w:szCs w:val="32"/>
          <w:highlight w:val="none"/>
          <w14:textFill>
            <w14:solidFill>
              <w14:schemeClr w14:val="tx1"/>
            </w14:solidFill>
          </w14:textFill>
        </w:rPr>
        <w:t>差异</w:t>
      </w:r>
    </w:p>
    <w:p>
      <w:pPr>
        <w:ind w:firstLine="640" w:firstLineChars="200"/>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w:t>
      </w:r>
      <w:r>
        <w:rPr>
          <w:rFonts w:hint="default" w:ascii="仿宋" w:hAnsi="仿宋" w:eastAsia="仿宋" w:cs="仿宋"/>
          <w:sz w:val="32"/>
          <w:szCs w:val="32"/>
          <w:highlight w:val="none"/>
          <w:lang w:val="en-US" w:eastAsia="zh-CN"/>
        </w:rPr>
        <w:t>36.</w:t>
      </w:r>
      <w:r>
        <w:rPr>
          <w:rFonts w:hint="eastAsia" w:ascii="仿宋" w:hAnsi="仿宋" w:eastAsia="仿宋" w:cs="仿宋"/>
          <w:sz w:val="32"/>
          <w:szCs w:val="32"/>
          <w:highlight w:val="none"/>
          <w:lang w:val="en-US" w:eastAsia="zh-CN"/>
        </w:rPr>
        <w:t>94万元，30102津贴补贴</w:t>
      </w:r>
      <w:r>
        <w:rPr>
          <w:rFonts w:hint="default" w:ascii="仿宋" w:hAnsi="仿宋" w:eastAsia="仿宋" w:cs="仿宋"/>
          <w:sz w:val="32"/>
          <w:szCs w:val="32"/>
          <w:highlight w:val="none"/>
          <w:lang w:val="en-US" w:eastAsia="zh-CN"/>
        </w:rPr>
        <w:t>9.8</w:t>
      </w:r>
      <w:r>
        <w:rPr>
          <w:rFonts w:hint="eastAsia" w:ascii="仿宋" w:hAnsi="仿宋" w:eastAsia="仿宋" w:cs="仿宋"/>
          <w:sz w:val="32"/>
          <w:szCs w:val="32"/>
          <w:highlight w:val="none"/>
          <w:lang w:val="en-US" w:eastAsia="zh-CN"/>
        </w:rPr>
        <w:t>3万元，30103奖金</w:t>
      </w:r>
      <w:r>
        <w:rPr>
          <w:rFonts w:hint="default" w:ascii="仿宋" w:hAnsi="仿宋" w:eastAsia="仿宋" w:cs="仿宋"/>
          <w:sz w:val="32"/>
          <w:szCs w:val="32"/>
          <w:highlight w:val="none"/>
          <w:lang w:val="en-US" w:eastAsia="zh-CN"/>
        </w:rPr>
        <w:t>23.0</w:t>
      </w:r>
      <w:r>
        <w:rPr>
          <w:rFonts w:hint="eastAsia" w:ascii="仿宋" w:hAnsi="仿宋" w:eastAsia="仿宋" w:cs="仿宋"/>
          <w:sz w:val="32"/>
          <w:szCs w:val="32"/>
          <w:highlight w:val="none"/>
          <w:lang w:val="en-US" w:eastAsia="zh-CN"/>
        </w:rPr>
        <w:t>5万元，30107绩效工资</w:t>
      </w:r>
      <w:r>
        <w:rPr>
          <w:rFonts w:hint="default" w:ascii="仿宋" w:hAnsi="仿宋" w:eastAsia="仿宋" w:cs="仿宋"/>
          <w:sz w:val="32"/>
          <w:szCs w:val="32"/>
          <w:highlight w:val="none"/>
          <w:lang w:val="en-US" w:eastAsia="zh-CN"/>
        </w:rPr>
        <w:t>23.7</w:t>
      </w:r>
      <w:r>
        <w:rPr>
          <w:rFonts w:hint="eastAsia" w:ascii="仿宋" w:hAnsi="仿宋" w:eastAsia="仿宋" w:cs="仿宋"/>
          <w:sz w:val="32"/>
          <w:szCs w:val="32"/>
          <w:highlight w:val="none"/>
          <w:lang w:val="en-US" w:eastAsia="zh-CN"/>
        </w:rPr>
        <w:t>万元，30108机关事业单位基本养老保险缴费</w:t>
      </w:r>
      <w:r>
        <w:rPr>
          <w:rFonts w:hint="default" w:ascii="仿宋" w:hAnsi="仿宋" w:eastAsia="仿宋" w:cs="仿宋"/>
          <w:sz w:val="32"/>
          <w:szCs w:val="32"/>
          <w:highlight w:val="none"/>
          <w:lang w:val="en-US" w:eastAsia="zh-CN"/>
        </w:rPr>
        <w:t>10.1</w:t>
      </w:r>
      <w:r>
        <w:rPr>
          <w:rFonts w:hint="eastAsia" w:ascii="仿宋" w:hAnsi="仿宋" w:eastAsia="仿宋" w:cs="仿宋"/>
          <w:sz w:val="32"/>
          <w:szCs w:val="32"/>
          <w:highlight w:val="none"/>
          <w:lang w:val="en-US" w:eastAsia="zh-CN"/>
        </w:rPr>
        <w:t>4万元，30110职工基本医疗保险缴费</w:t>
      </w:r>
      <w:r>
        <w:rPr>
          <w:rFonts w:hint="default" w:ascii="仿宋" w:hAnsi="仿宋" w:eastAsia="仿宋" w:cs="仿宋"/>
          <w:sz w:val="32"/>
          <w:szCs w:val="32"/>
          <w:highlight w:val="none"/>
          <w:lang w:val="en-US" w:eastAsia="zh-CN"/>
        </w:rPr>
        <w:t>4.</w:t>
      </w:r>
      <w:r>
        <w:rPr>
          <w:rFonts w:hint="eastAsia" w:ascii="仿宋" w:hAnsi="仿宋" w:eastAsia="仿宋" w:cs="仿宋"/>
          <w:sz w:val="32"/>
          <w:szCs w:val="32"/>
          <w:highlight w:val="none"/>
          <w:lang w:val="en-US" w:eastAsia="zh-CN"/>
        </w:rPr>
        <w:t>33万元，30112其他社会保障缴费</w:t>
      </w:r>
      <w:r>
        <w:rPr>
          <w:rFonts w:hint="default" w:ascii="仿宋" w:hAnsi="仿宋" w:eastAsia="仿宋" w:cs="仿宋"/>
          <w:sz w:val="32"/>
          <w:szCs w:val="32"/>
          <w:highlight w:val="none"/>
          <w:lang w:val="en-US" w:eastAsia="zh-CN"/>
        </w:rPr>
        <w:t>0.5</w:t>
      </w:r>
      <w:r>
        <w:rPr>
          <w:rFonts w:hint="eastAsia" w:ascii="仿宋" w:hAnsi="仿宋" w:eastAsia="仿宋" w:cs="仿宋"/>
          <w:sz w:val="32"/>
          <w:szCs w:val="32"/>
          <w:highlight w:val="none"/>
          <w:lang w:val="en-US" w:eastAsia="zh-CN"/>
        </w:rPr>
        <w:t>万元，30113住房公积金</w:t>
      </w:r>
      <w:r>
        <w:rPr>
          <w:rFonts w:hint="default" w:ascii="仿宋" w:hAnsi="仿宋" w:eastAsia="仿宋" w:cs="仿宋"/>
          <w:sz w:val="32"/>
          <w:szCs w:val="32"/>
          <w:highlight w:val="none"/>
          <w:lang w:val="en-US" w:eastAsia="zh-CN"/>
        </w:rPr>
        <w:t>7.</w:t>
      </w:r>
      <w:r>
        <w:rPr>
          <w:rFonts w:hint="eastAsia" w:ascii="仿宋" w:hAnsi="仿宋" w:eastAsia="仿宋" w:cs="仿宋"/>
          <w:sz w:val="32"/>
          <w:szCs w:val="32"/>
          <w:highlight w:val="none"/>
          <w:lang w:val="en-US" w:eastAsia="zh-CN"/>
        </w:rPr>
        <w:t>2万元。</w:t>
      </w:r>
      <w:r>
        <w:rPr>
          <w:rFonts w:hint="eastAsia" w:ascii="仿宋" w:hAnsi="仿宋" w:eastAsia="仿宋" w:cs="仿宋"/>
          <w:sz w:val="32"/>
          <w:szCs w:val="32"/>
          <w:highlight w:val="none"/>
        </w:rPr>
        <w:drawing>
          <wp:inline distT="0" distB="0" distL="114300" distR="114300">
            <wp:extent cx="4474845" cy="3215640"/>
            <wp:effectExtent l="4445" t="4445" r="16510" b="1079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320" w:firstLineChars="1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商品和服务</w:t>
      </w:r>
      <w:r>
        <w:rPr>
          <w:rFonts w:hint="eastAsia" w:ascii="仿宋" w:hAnsi="仿宋" w:eastAsia="仿宋" w:cs="仿宋"/>
          <w:sz w:val="32"/>
          <w:szCs w:val="32"/>
          <w:highlight w:val="none"/>
          <w:lang w:val="en-US" w:eastAsia="zh-CN"/>
        </w:rPr>
        <w:t>年初预算1.81，决算</w:t>
      </w:r>
      <w:r>
        <w:rPr>
          <w:rFonts w:hint="eastAsia" w:ascii="仿宋" w:hAnsi="仿宋" w:eastAsia="仿宋" w:cs="仿宋"/>
          <w:sz w:val="32"/>
          <w:szCs w:val="32"/>
          <w:highlight w:val="none"/>
        </w:rPr>
        <w:t>支出</w:t>
      </w:r>
      <w:r>
        <w:rPr>
          <w:rFonts w:hint="eastAsia" w:ascii="仿宋" w:hAnsi="仿宋" w:eastAsia="仿宋" w:cs="仿宋"/>
          <w:sz w:val="32"/>
          <w:u w:color="auto"/>
          <w:lang w:val="en-US" w:eastAsia="zh-CN"/>
        </w:rPr>
        <w:t>1.82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val="en-US" w:eastAsia="zh-CN"/>
        </w:rPr>
        <w:t>.55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差异原因：2023年8月薪增4位新公招老师，</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30228工会经费1.82万元。</w:t>
      </w:r>
      <w:r>
        <w:rPr>
          <w:rFonts w:hint="eastAsia" w:ascii="仿宋" w:hAnsi="仿宋" w:eastAsia="仿宋" w:cs="仿宋"/>
          <w:sz w:val="32"/>
          <w:szCs w:val="32"/>
          <w:highlight w:val="none"/>
        </w:rPr>
        <w:drawing>
          <wp:inline distT="0" distB="0" distL="114300" distR="114300">
            <wp:extent cx="4474845" cy="3215640"/>
            <wp:effectExtent l="4445" t="4445" r="16510" b="1079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320" w:firstLineChars="100"/>
        <w:jc w:val="left"/>
        <w:rPr>
          <w:rFonts w:ascii="仿宋" w:hAnsi="仿宋" w:eastAsia="仿宋" w:cs="仿宋"/>
          <w:sz w:val="32"/>
          <w:szCs w:val="32"/>
          <w:highlight w:val="none"/>
        </w:rPr>
      </w:pPr>
      <w:r>
        <w:rPr>
          <w:rFonts w:hint="eastAsia" w:ascii="仿宋" w:hAnsi="仿宋" w:eastAsia="仿宋"/>
          <w:sz w:val="32"/>
          <w:szCs w:val="32"/>
          <w:highlight w:val="none"/>
          <w:lang w:val="en-US" w:eastAsia="zh-CN"/>
        </w:rPr>
        <w:t>（三）支出具体情况如下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30228工会经费1.82万元。</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环江毛南族自治县下南乡中心幼儿园</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环江毛南族自治县下南乡中心幼儿园</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4"/>
    </w:p>
    <w:p>
      <w:pPr>
        <w:numPr>
          <w:ilvl w:val="0"/>
          <w:numId w:val="0"/>
        </w:numPr>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财政拨款“三公”经费支出决算情况说明</w:t>
      </w:r>
    </w:p>
    <w:p>
      <w:pPr>
        <w:numPr>
          <w:ilvl w:val="0"/>
          <w:numId w:val="0"/>
        </w:num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环江毛南族自治县川山镇中心幼儿园没有一般公共预算财政拨款安排的“三公”经费预算收入，也没有一般公共预算财政拨款安排的“三公”经费安排的支出，故本段落无表述。</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ind w:firstLine="320" w:firstLineChars="1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 机关运行经费支出情况说明</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没有机关运行经费预算收入，也没有机关运行经费支出。</w:t>
      </w:r>
    </w:p>
    <w:p>
      <w:pPr>
        <w:ind w:firstLine="640" w:firstLineChars="2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）政府采购支出情况说明。</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本部门没有政府采购经费预算收入，也没有政府采购经费支出。</w:t>
      </w:r>
    </w:p>
    <w:p>
      <w:pPr>
        <w:ind w:firstLine="640" w:firstLineChars="2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（三）国有资产占用情况说明。</w:t>
      </w:r>
    </w:p>
    <w:p>
      <w:pPr>
        <w:jc w:val="left"/>
        <w:rPr>
          <w:rFonts w:ascii="仿宋" w:hAnsi="仿宋" w:eastAsia="仿宋" w:cs="仿宋"/>
          <w:sz w:val="32"/>
          <w:szCs w:val="32"/>
          <w:highlight w:val="none"/>
        </w:rPr>
      </w:pPr>
      <w:r>
        <w:rPr>
          <w:rFonts w:hint="eastAsia" w:ascii="仿宋_GB2312" w:hAnsi="仿宋_GB2312" w:eastAsia="仿宋_GB2312" w:cs="仿宋_GB2312"/>
          <w:sz w:val="32"/>
          <w:szCs w:val="32"/>
          <w:highlight w:val="none"/>
        </w:rPr>
        <w:t>截至2023年12月31日，本部门共有车辆0辆，其中：副部（省）级领导干部用车0辆、机要通信用车0辆、应急保障用车0辆、执法执勤用车0辆、特种专业技术用车0辆、其他用车0辆，单位价值50万元以上通用设备0台（套</w:t>
      </w:r>
      <w:r>
        <w:rPr>
          <w:rFonts w:hint="eastAsia" w:ascii="黑体" w:hAnsi="黑体" w:eastAsia="黑体" w:cs="黑体"/>
          <w:sz w:val="32"/>
          <w:szCs w:val="32"/>
          <w:highlight w:val="none"/>
        </w:rPr>
        <w:t>）；</w:t>
      </w:r>
      <w:r>
        <w:rPr>
          <w:rFonts w:hint="eastAsia" w:ascii="仿宋" w:hAnsi="仿宋" w:eastAsia="仿宋" w:cs="仿宋"/>
          <w:sz w:val="32"/>
          <w:szCs w:val="32"/>
          <w:highlight w:val="none"/>
        </w:rPr>
        <w:t>单位价值100万元以上专用设备 0台（套）。</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960" w:firstLineChars="3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项目支出绩效自评结果。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（1）项目绩效自评总体情况：我部门2023年度项目1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个，项目支出总额</w:t>
      </w:r>
      <w:r>
        <w:rPr>
          <w:rFonts w:hint="eastAsia" w:ascii="仿宋" w:hAnsi="仿宋" w:eastAsia="仿宋" w:cs="仿宋"/>
          <w:color w:val="000000" w:themeColor="text1"/>
          <w:sz w:val="32"/>
          <w:szCs w:val="32"/>
          <w:lang w:val="en-US" w:eastAsia="zh-CN"/>
          <w14:textFill>
            <w14:solidFill>
              <w14:schemeClr w14:val="tx1"/>
            </w14:solidFill>
          </w14:textFill>
        </w:rPr>
        <w:t>86.4</w:t>
      </w:r>
      <w:r>
        <w:rPr>
          <w:rFonts w:hint="eastAsia" w:ascii="仿宋" w:hAnsi="仿宋" w:eastAsia="仿宋" w:cs="仿宋"/>
          <w:color w:val="000000" w:themeColor="text1"/>
          <w:sz w:val="32"/>
          <w:szCs w:val="32"/>
          <w14:textFill>
            <w14:solidFill>
              <w14:schemeClr w14:val="tx1"/>
            </w14:solidFill>
          </w14:textFill>
        </w:rPr>
        <w:t>万元。其中，本级项目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个，本级项目支出</w:t>
      </w:r>
      <w:r>
        <w:rPr>
          <w:rFonts w:hint="eastAsia" w:ascii="仿宋" w:hAnsi="仿宋" w:eastAsia="仿宋" w:cs="仿宋"/>
          <w:color w:val="000000" w:themeColor="text1"/>
          <w:sz w:val="32"/>
          <w:szCs w:val="32"/>
          <w:lang w:val="en-US" w:eastAsia="zh-CN"/>
          <w14:textFill>
            <w14:solidFill>
              <w14:schemeClr w14:val="tx1"/>
            </w14:solidFill>
          </w14:textFill>
        </w:rPr>
        <w:t>86.4</w:t>
      </w:r>
      <w:r>
        <w:rPr>
          <w:rFonts w:hint="eastAsia" w:ascii="仿宋" w:hAnsi="仿宋" w:eastAsia="仿宋" w:cs="仿宋"/>
          <w:color w:val="000000" w:themeColor="text1"/>
          <w:sz w:val="32"/>
          <w:szCs w:val="32"/>
          <w14:textFill>
            <w14:solidFill>
              <w14:schemeClr w14:val="tx1"/>
            </w14:solidFill>
          </w14:textFill>
        </w:rPr>
        <w:t>万元；项目中，敏感涉密项目0个，涉及资金0万元。</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（2）所有项目均开展了绩效自评，其中，一等项目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86.4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highlight w:val="none"/>
          <w:lang w:val="en-US" w:eastAsia="zh-CN"/>
          <w14:textFill>
            <w14:solidFill>
              <w14:schemeClr w14:val="tx1"/>
            </w14:solidFill>
          </w14:textFill>
        </w:rPr>
        <w:t>42.36</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。二等项目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978.15</w:t>
      </w:r>
      <w:r>
        <w:rPr>
          <w:rFonts w:hint="eastAsia" w:ascii="仿宋" w:hAnsi="仿宋" w:eastAsia="仿宋" w:cs="仿宋"/>
          <w:color w:val="000000" w:themeColor="text1"/>
          <w:sz w:val="32"/>
          <w:szCs w:val="32"/>
          <w14:textFill>
            <w14:solidFill>
              <w14:schemeClr w14:val="tx1"/>
            </w14:solidFill>
          </w14:textFill>
        </w:rPr>
        <w:t>分。</w:t>
      </w:r>
    </w:p>
    <w:p>
      <w:pPr>
        <w:ind w:firstLine="640" w:firstLineChars="200"/>
        <w:jc w:val="left"/>
        <w:rPr>
          <w:rFonts w:hint="default"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10个项目均评一等奖。</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环江县下南乡中心幼儿园年初预算经费，</w:t>
      </w:r>
      <w:r>
        <w:rPr>
          <w:rFonts w:hint="eastAsia" w:ascii="仿宋" w:hAnsi="仿宋" w:eastAsia="仿宋" w:cs="仿宋"/>
          <w:color w:val="000000" w:themeColor="text1"/>
          <w:sz w:val="32"/>
          <w:szCs w:val="32"/>
          <w:lang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年年初预算经费（保育教育费）项目自评得分为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97.08</w:t>
      </w:r>
      <w:r>
        <w:rPr>
          <w:rFonts w:hint="eastAsia" w:ascii="仿宋" w:hAnsi="仿宋" w:eastAsia="仿宋" w:cs="仿宋"/>
          <w:color w:val="000000" w:themeColor="text1"/>
          <w:sz w:val="32"/>
          <w:szCs w:val="32"/>
          <w14:textFill>
            <w14:solidFill>
              <w14:schemeClr w14:val="tx1"/>
            </w14:solidFill>
          </w14:textFill>
        </w:rPr>
        <w:t>分。发现的主要问题及原因：在项目资金预算绩效方面总体上是管理使用位，但项目未完成预算资金使用量；二是学校报账材料整理比较慢，不能及时支付。下一步改进措施：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学前生均公用经费项目自评得分为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96.8</w:t>
      </w:r>
      <w:r>
        <w:rPr>
          <w:rFonts w:hint="eastAsia" w:ascii="仿宋" w:hAnsi="仿宋" w:eastAsia="仿宋" w:cs="仿宋"/>
          <w:color w:val="000000" w:themeColor="text1"/>
          <w:sz w:val="32"/>
          <w:szCs w:val="32"/>
          <w14:textFill>
            <w14:solidFill>
              <w14:schemeClr w14:val="tx1"/>
            </w14:solidFill>
          </w14:textFill>
        </w:rPr>
        <w:t>分。发现的主要问题及原因：一是未能制定相关管理制度，在项目实施方面还有待完善。；二是学校报账材料整理比较慢，不能及时支付。下一步改进措施：加强对幼儿园资金使用过程的监督和指导。</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教师节经费项目自评得分为100分。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奖励性补贴</w:t>
      </w:r>
      <w:r>
        <w:rPr>
          <w:rFonts w:hint="eastAsia" w:ascii="仿宋" w:hAnsi="仿宋" w:eastAsia="仿宋" w:cs="仿宋"/>
          <w:color w:val="000000" w:themeColor="text1"/>
          <w:sz w:val="32"/>
          <w:szCs w:val="32"/>
          <w14:textFill>
            <w14:solidFill>
              <w14:schemeClr w14:val="tx1"/>
            </w14:solidFill>
          </w14:textFill>
        </w:rPr>
        <w:t>项目自评得分为100分。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下南中心幼儿园2022年出预算经费(保育教育费)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85</w:t>
      </w:r>
      <w:r>
        <w:rPr>
          <w:rFonts w:hint="eastAsia" w:ascii="仿宋" w:hAnsi="仿宋" w:eastAsia="仿宋" w:cs="仿宋"/>
          <w:color w:val="000000" w:themeColor="text1"/>
          <w:sz w:val="32"/>
          <w:szCs w:val="32"/>
          <w14:textFill>
            <w14:solidFill>
              <w14:schemeClr w14:val="tx1"/>
            </w14:solidFill>
          </w14:textFill>
        </w:rPr>
        <w:t>分。发现的主要问题及原因：在项目资金预算绩效方面总体上是管理使用到位，但项目未完成预算资金使用量；二是学校报账材料整理比较慢，不能及时支付。下一步改进措施：加强对幼儿园资金使用过程的监督和指导，在项目实施方面还有待完善。</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学前教育保育费县本级补助资金项目自评得分为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99.31</w:t>
      </w:r>
      <w:r>
        <w:rPr>
          <w:rFonts w:hint="eastAsia" w:ascii="仿宋" w:hAnsi="仿宋" w:eastAsia="仿宋" w:cs="仿宋"/>
          <w:color w:val="000000" w:themeColor="text1"/>
          <w:sz w:val="32"/>
          <w:szCs w:val="32"/>
          <w14:textFill>
            <w14:solidFill>
              <w14:schemeClr w14:val="tx1"/>
            </w14:solidFill>
          </w14:textFill>
        </w:rPr>
        <w:t>分。发现的主要问题及原因：一是未能制定相关管理制度，在项目实施方面还有待完善。；二是学校报账材料整理比较慢，不能及时支付。下一步改进措施：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学前教育保育费中央补助资金项目自评得分为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班主任津贴自评得分为100分。</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六一儿童节活动经费自评得分</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奖励性补贴（非三保）自评得分100分。</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7C6A6A"/>
    <w:rsid w:val="02BE3A7E"/>
    <w:rsid w:val="02E0291A"/>
    <w:rsid w:val="03084CFA"/>
    <w:rsid w:val="04E54546"/>
    <w:rsid w:val="05992762"/>
    <w:rsid w:val="07B0770E"/>
    <w:rsid w:val="091361A6"/>
    <w:rsid w:val="091E5277"/>
    <w:rsid w:val="0942143F"/>
    <w:rsid w:val="0BA852CC"/>
    <w:rsid w:val="0BBF43C3"/>
    <w:rsid w:val="0D100297"/>
    <w:rsid w:val="0D202B45"/>
    <w:rsid w:val="0DDE3227"/>
    <w:rsid w:val="0E3C7F4D"/>
    <w:rsid w:val="0F8D4C87"/>
    <w:rsid w:val="10505FAA"/>
    <w:rsid w:val="105F7E7E"/>
    <w:rsid w:val="10AF46DD"/>
    <w:rsid w:val="11C12C43"/>
    <w:rsid w:val="11E56B5B"/>
    <w:rsid w:val="125C77AB"/>
    <w:rsid w:val="129739A4"/>
    <w:rsid w:val="13255454"/>
    <w:rsid w:val="14CB726E"/>
    <w:rsid w:val="16D03928"/>
    <w:rsid w:val="17E92249"/>
    <w:rsid w:val="18D304F1"/>
    <w:rsid w:val="19BE7A10"/>
    <w:rsid w:val="19F32577"/>
    <w:rsid w:val="19F45B80"/>
    <w:rsid w:val="1B0C078D"/>
    <w:rsid w:val="1B2B31E2"/>
    <w:rsid w:val="1B4C295A"/>
    <w:rsid w:val="1B973C63"/>
    <w:rsid w:val="1BA1001E"/>
    <w:rsid w:val="1D317259"/>
    <w:rsid w:val="1E664F5B"/>
    <w:rsid w:val="1E7159F1"/>
    <w:rsid w:val="1EB34BE1"/>
    <w:rsid w:val="215E639F"/>
    <w:rsid w:val="21EC3183"/>
    <w:rsid w:val="225E72CD"/>
    <w:rsid w:val="22E76282"/>
    <w:rsid w:val="246E2F77"/>
    <w:rsid w:val="254B4E2B"/>
    <w:rsid w:val="280E605F"/>
    <w:rsid w:val="283D7C94"/>
    <w:rsid w:val="29332221"/>
    <w:rsid w:val="29480E03"/>
    <w:rsid w:val="2983634D"/>
    <w:rsid w:val="2BB02055"/>
    <w:rsid w:val="2BF67536"/>
    <w:rsid w:val="2C575A56"/>
    <w:rsid w:val="2EA96AE1"/>
    <w:rsid w:val="2F257714"/>
    <w:rsid w:val="2F3275E5"/>
    <w:rsid w:val="30AA08EF"/>
    <w:rsid w:val="30D23D1C"/>
    <w:rsid w:val="31221CF5"/>
    <w:rsid w:val="31400178"/>
    <w:rsid w:val="321E3342"/>
    <w:rsid w:val="327759C8"/>
    <w:rsid w:val="33185FE3"/>
    <w:rsid w:val="331F1EE6"/>
    <w:rsid w:val="34EE2E36"/>
    <w:rsid w:val="36777241"/>
    <w:rsid w:val="371E78D5"/>
    <w:rsid w:val="38A951DB"/>
    <w:rsid w:val="38B31605"/>
    <w:rsid w:val="39003F4F"/>
    <w:rsid w:val="3C07002B"/>
    <w:rsid w:val="3CB21257"/>
    <w:rsid w:val="3D0D152A"/>
    <w:rsid w:val="3DF62756"/>
    <w:rsid w:val="3F1B7587"/>
    <w:rsid w:val="41E57B4F"/>
    <w:rsid w:val="430A3B9B"/>
    <w:rsid w:val="432F26F6"/>
    <w:rsid w:val="43880F63"/>
    <w:rsid w:val="441C5A6F"/>
    <w:rsid w:val="44C44FCC"/>
    <w:rsid w:val="44CC7369"/>
    <w:rsid w:val="457F5108"/>
    <w:rsid w:val="46882DF3"/>
    <w:rsid w:val="46951B6B"/>
    <w:rsid w:val="488C5052"/>
    <w:rsid w:val="49A34401"/>
    <w:rsid w:val="4A3E30AB"/>
    <w:rsid w:val="4AC14DAC"/>
    <w:rsid w:val="4B013AD5"/>
    <w:rsid w:val="4D154C85"/>
    <w:rsid w:val="4EB35ECE"/>
    <w:rsid w:val="503A2C79"/>
    <w:rsid w:val="508F4E24"/>
    <w:rsid w:val="51461E90"/>
    <w:rsid w:val="51463753"/>
    <w:rsid w:val="51F6353C"/>
    <w:rsid w:val="52410C5B"/>
    <w:rsid w:val="52553A93"/>
    <w:rsid w:val="53521F8B"/>
    <w:rsid w:val="53603812"/>
    <w:rsid w:val="53E22F47"/>
    <w:rsid w:val="54522FF8"/>
    <w:rsid w:val="55164621"/>
    <w:rsid w:val="55450629"/>
    <w:rsid w:val="56692963"/>
    <w:rsid w:val="568B0F48"/>
    <w:rsid w:val="5786217B"/>
    <w:rsid w:val="59337A15"/>
    <w:rsid w:val="59810274"/>
    <w:rsid w:val="5A981634"/>
    <w:rsid w:val="5C3D2493"/>
    <w:rsid w:val="5CA96A00"/>
    <w:rsid w:val="5CE13766"/>
    <w:rsid w:val="5CF730BC"/>
    <w:rsid w:val="5D614D3B"/>
    <w:rsid w:val="5E1436C8"/>
    <w:rsid w:val="5E5F0DCE"/>
    <w:rsid w:val="5FA40A7B"/>
    <w:rsid w:val="5FCF72DD"/>
    <w:rsid w:val="5FD56D29"/>
    <w:rsid w:val="5FEC7F3F"/>
    <w:rsid w:val="60651FB9"/>
    <w:rsid w:val="60F74BC3"/>
    <w:rsid w:val="617D3BF8"/>
    <w:rsid w:val="61841F6A"/>
    <w:rsid w:val="61946FF9"/>
    <w:rsid w:val="623007A9"/>
    <w:rsid w:val="63673DD1"/>
    <w:rsid w:val="637D7558"/>
    <w:rsid w:val="63FA7B38"/>
    <w:rsid w:val="641E0DFC"/>
    <w:rsid w:val="644F19AC"/>
    <w:rsid w:val="645C1924"/>
    <w:rsid w:val="64746C6E"/>
    <w:rsid w:val="65AA4920"/>
    <w:rsid w:val="65E31D0B"/>
    <w:rsid w:val="67694F1E"/>
    <w:rsid w:val="67B657F0"/>
    <w:rsid w:val="69597934"/>
    <w:rsid w:val="6B964DDC"/>
    <w:rsid w:val="6BB65DBE"/>
    <w:rsid w:val="6C783074"/>
    <w:rsid w:val="6CAB169B"/>
    <w:rsid w:val="6D9E65C6"/>
    <w:rsid w:val="6DA81947"/>
    <w:rsid w:val="6EB66DE2"/>
    <w:rsid w:val="6ED3075F"/>
    <w:rsid w:val="6F2A2D4B"/>
    <w:rsid w:val="6F8A0C1E"/>
    <w:rsid w:val="703F45D4"/>
    <w:rsid w:val="715D6546"/>
    <w:rsid w:val="71BE069E"/>
    <w:rsid w:val="727C6FB1"/>
    <w:rsid w:val="73953409"/>
    <w:rsid w:val="73E069A3"/>
    <w:rsid w:val="74251D33"/>
    <w:rsid w:val="768947FB"/>
    <w:rsid w:val="76BB24DB"/>
    <w:rsid w:val="77A01C3E"/>
    <w:rsid w:val="78104AA8"/>
    <w:rsid w:val="78992CEF"/>
    <w:rsid w:val="78E257C5"/>
    <w:rsid w:val="794B35BE"/>
    <w:rsid w:val="7B0A3A31"/>
    <w:rsid w:val="7B3360ED"/>
    <w:rsid w:val="7BDF037E"/>
    <w:rsid w:val="7BF50948"/>
    <w:rsid w:val="7CE66A78"/>
    <w:rsid w:val="7D23564C"/>
    <w:rsid w:val="7D5E062D"/>
    <w:rsid w:val="7DF76CD8"/>
    <w:rsid w:val="7ED5435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175.91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88075"/>
          <c:y val="0.160084033613445"/>
          <c:w val="0.882425"/>
          <c:h val="0.40974789915966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0.48</c:v>
                </c:pt>
                <c:pt idx="1">
                  <c:v>160.27</c:v>
                </c:pt>
                <c:pt idx="2">
                  <c:v>5.12</c:v>
                </c:pt>
                <c:pt idx="3">
                  <c:v>3.6</c:v>
                </c:pt>
                <c:pt idx="4">
                  <c:v>6.43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1.82</c:v>
                </c:pt>
                <c:pt idx="1">
                  <c:v>177.16</c:v>
                </c:pt>
                <c:pt idx="2">
                  <c:v>10.13</c:v>
                </c:pt>
                <c:pt idx="3">
                  <c:v>7.19</c:v>
                </c:pt>
                <c:pt idx="4">
                  <c:v>7.66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一般公共服务支出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副本.xls]Sheet1'!$D$7</c:f>
              <c:strCache>
                <c:ptCount val="1"/>
                <c:pt idx="0">
                  <c:v>科目代码</c:v>
                </c:pt>
              </c:strCache>
            </c:strRef>
          </c:tx>
          <c:spPr>
            <a:solidFill>
              <a:schemeClr val="accent1"/>
            </a:solidFill>
            <a:ln>
              <a:noFill/>
            </a:ln>
            <a:effectLst/>
          </c:spPr>
          <c:invertIfNegative val="0"/>
          <c:dLbls>
            <c:delete val="1"/>
          </c:dLbls>
          <c:cat>
            <c:strRef>
              <c:f>'[财务人员联系信息2023-10-11 - 副本.xls]Sheet1'!$C$8:$C$9</c:f>
              <c:strCache>
                <c:ptCount val="2"/>
                <c:pt idx="0">
                  <c:v>2012999</c:v>
                </c:pt>
                <c:pt idx="1">
                  <c:v>201x</c:v>
                </c:pt>
              </c:strCache>
            </c:strRef>
          </c:cat>
          <c:val>
            <c:numRef>
              <c:f>'[财务人员联系信息2023-10-11 - 副本.xls]Sheet1'!$D$8:$D$9</c:f>
              <c:numCache>
                <c:formatCode>General</c:formatCode>
                <c:ptCount val="2"/>
                <c:pt idx="0">
                  <c:v>1.82</c:v>
                </c:pt>
                <c:pt idx="1">
                  <c:v>1.82</c:v>
                </c:pt>
              </c:numCache>
            </c:numRef>
          </c:val>
        </c:ser>
        <c:dLbls>
          <c:showLegendKey val="0"/>
          <c:showVal val="0"/>
          <c:showCatName val="0"/>
          <c:showSerName val="0"/>
          <c:showPercent val="0"/>
          <c:showBubbleSize val="0"/>
        </c:dLbls>
        <c:gapWidth val="219"/>
        <c:overlap val="-27"/>
        <c:axId val="272633751"/>
        <c:axId val="418979172"/>
      </c:barChart>
      <c:catAx>
        <c:axId val="27263375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979172"/>
        <c:crosses val="autoZero"/>
        <c:auto val="1"/>
        <c:lblAlgn val="ctr"/>
        <c:lblOffset val="100"/>
        <c:noMultiLvlLbl val="0"/>
      </c:catAx>
      <c:valAx>
        <c:axId val="4189791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6337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'[财务人员联系信息2023-10-11 - 副本.xls]Sheet1'!$D$7</c:f>
              <c:strCache>
                <c:ptCount val="1"/>
                <c:pt idx="0">
                  <c:v>科目代码</c:v>
                </c:pt>
              </c:strCache>
            </c:strRef>
          </c:tx>
          <c:spPr>
            <a:solidFill>
              <a:schemeClr val="accent1"/>
            </a:solidFill>
            <a:ln>
              <a:noFill/>
            </a:ln>
            <a:effectLst/>
          </c:spPr>
          <c:invertIfNegative val="0"/>
          <c:dLbls>
            <c:delete val="1"/>
          </c:dLbls>
          <c:cat>
            <c:strRef>
              <c:f>'[财务人员联系信息2023-10-11 - 副本.xls]Sheet1'!$C$8:$C$9</c:f>
              <c:strCache>
                <c:ptCount val="2"/>
                <c:pt idx="0">
                  <c:v>2050201</c:v>
                </c:pt>
                <c:pt idx="1">
                  <c:v>205x</c:v>
                </c:pt>
              </c:strCache>
            </c:strRef>
          </c:cat>
          <c:val>
            <c:numRef>
              <c:f>'[财务人员联系信息2023-10-11 - 副本.xls]Sheet1'!$D$8:$D$9</c:f>
              <c:numCache>
                <c:formatCode>General</c:formatCode>
                <c:ptCount val="2"/>
                <c:pt idx="0">
                  <c:v>177.16</c:v>
                </c:pt>
                <c:pt idx="1">
                  <c:v>177.16</c:v>
                </c:pt>
              </c:numCache>
            </c:numRef>
          </c:val>
        </c:ser>
        <c:dLbls>
          <c:showLegendKey val="0"/>
          <c:showVal val="0"/>
          <c:showCatName val="0"/>
          <c:showSerName val="0"/>
          <c:showPercent val="0"/>
          <c:showBubbleSize val="0"/>
        </c:dLbls>
        <c:gapWidth val="219"/>
        <c:overlap val="-27"/>
        <c:axId val="272633751"/>
        <c:axId val="418979172"/>
      </c:barChart>
      <c:catAx>
        <c:axId val="27263375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979172"/>
        <c:crosses val="autoZero"/>
        <c:auto val="1"/>
        <c:lblAlgn val="ctr"/>
        <c:lblOffset val="100"/>
        <c:noMultiLvlLbl val="0"/>
      </c:catAx>
      <c:valAx>
        <c:axId val="4189791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6337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10.13</c:v>
                </c:pt>
                <c:pt idx="1">
                  <c:v>10.13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7.19</c:v>
                </c:pt>
                <c:pt idx="1">
                  <c:v>7.19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7.66</c:v>
                </c:pt>
                <c:pt idx="1">
                  <c:v>7.66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manualLayout>
          <c:layoutTarget val="inner"/>
          <c:xMode val="edge"/>
          <c:yMode val="edge"/>
          <c:x val="0.0635163899531716"/>
          <c:y val="0.17259083728278"/>
          <c:w val="0.892646516248049"/>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36.94</c:v>
                </c:pt>
                <c:pt idx="1">
                  <c:v>9.83</c:v>
                </c:pt>
                <c:pt idx="2">
                  <c:v>23.05</c:v>
                </c:pt>
                <c:pt idx="3">
                  <c:v>0</c:v>
                </c:pt>
                <c:pt idx="4">
                  <c:v>23.7</c:v>
                </c:pt>
                <c:pt idx="5">
                  <c:v>10.14</c:v>
                </c:pt>
                <c:pt idx="6">
                  <c:v>0</c:v>
                </c:pt>
                <c:pt idx="7">
                  <c:v>4.33</c:v>
                </c:pt>
                <c:pt idx="8">
                  <c:v>0</c:v>
                </c:pt>
                <c:pt idx="9">
                  <c:v>0.5</c:v>
                </c:pt>
                <c:pt idx="10">
                  <c:v>7.9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2027</Words>
  <Characters>2629</Characters>
  <Lines>90</Lines>
  <Paragraphs>25</Paragraphs>
  <TotalTime>3</TotalTime>
  <ScaleCrop>false</ScaleCrop>
  <LinksUpToDate>false</LinksUpToDate>
  <CharactersWithSpaces>2665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2023-11-22T03:15:00Z</cp:lastPrinted>
  <dcterms:modified xsi:type="dcterms:W3CDTF">2024-12-30T02:40:43Z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D2B057BD43B54806A0B4FE127C396E3A_13</vt:lpwstr>
  </property>
  <property fmtid="{D5CDD505-2E9C-101B-9397-08002B2CF9AE}" pid="4" name="KSOTemplateDocerSaveRecord">
    <vt:lpwstr>eyJoZGlkIjoiZThmNjAzMWJlZjFkMmQwODUwMTJkYzE2ODFiYmFmYTciLCJ1c2VySWQiOiI4OTkzODE3MDcifQ==</vt:lpwstr>
  </property>
</Properties>
</file>