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highlight w:val="none"/>
          <w:lang w:val="en-US" w:eastAsia="zh-CN"/>
        </w:rPr>
      </w:pPr>
    </w:p>
    <w:p>
      <w:pPr>
        <w:jc w:val="center"/>
        <w:rPr>
          <w:rFonts w:hint="eastAsia" w:ascii="黑体" w:hAnsi="黑体" w:eastAsia="黑体" w:cs="黑体"/>
          <w:b w:val="0"/>
          <w:bCs w:val="0"/>
          <w:sz w:val="52"/>
          <w:szCs w:val="52"/>
          <w:highlight w:val="none"/>
        </w:rPr>
      </w:pPr>
      <w:r>
        <w:rPr>
          <w:rFonts w:hint="eastAsia" w:ascii="黑体" w:hAnsi="黑体" w:eastAsia="黑体" w:cs="黑体"/>
          <w:b w:val="0"/>
          <w:bCs w:val="0"/>
          <w:sz w:val="52"/>
          <w:szCs w:val="52"/>
          <w:highlight w:val="none"/>
          <w:lang w:val="en-US" w:eastAsia="zh-CN"/>
        </w:rPr>
        <w:t>环江毛南族自治县水源镇中心幼儿园</w:t>
      </w:r>
      <w:r>
        <w:rPr>
          <w:rFonts w:hint="eastAsia" w:ascii="黑体" w:hAnsi="黑体" w:eastAsia="黑体" w:cs="黑体"/>
          <w:b w:val="0"/>
          <w:bCs w:val="0"/>
          <w:sz w:val="52"/>
          <w:szCs w:val="52"/>
          <w:highlight w:val="none"/>
        </w:rPr>
        <w:t>202</w:t>
      </w:r>
      <w:r>
        <w:rPr>
          <w:rFonts w:hint="eastAsia" w:ascii="黑体" w:hAnsi="黑体" w:eastAsia="黑体" w:cs="黑体"/>
          <w:b w:val="0"/>
          <w:bCs w:val="0"/>
          <w:sz w:val="52"/>
          <w:szCs w:val="52"/>
          <w:highlight w:val="none"/>
          <w:lang w:val="en-US" w:eastAsia="zh-CN"/>
        </w:rPr>
        <w:t>3</w:t>
      </w:r>
      <w:r>
        <w:rPr>
          <w:rFonts w:hint="eastAsia" w:ascii="黑体" w:hAnsi="黑体" w:eastAsia="黑体" w:cs="黑体"/>
          <w:b w:val="0"/>
          <w:bCs w:val="0"/>
          <w:sz w:val="52"/>
          <w:szCs w:val="52"/>
          <w:highlight w:val="none"/>
        </w:rPr>
        <w:t>年度部门决算</w:t>
      </w:r>
    </w:p>
    <w:p>
      <w:pPr>
        <w:jc w:val="center"/>
        <w:rPr>
          <w:rFonts w:hint="eastAsia" w:asciiTheme="minorEastAsia" w:hAnsiTheme="minorEastAsia" w:eastAsiaTheme="minorEastAsia" w:cstheme="minorEastAsia"/>
          <w:b/>
          <w:bCs/>
          <w:sz w:val="52"/>
          <w:szCs w:val="52"/>
          <w:highlight w:val="none"/>
        </w:rPr>
      </w:pPr>
    </w:p>
    <w:p>
      <w:pPr>
        <w:jc w:val="center"/>
        <w:rPr>
          <w:rFonts w:hint="eastAsia" w:asciiTheme="minorEastAsia" w:hAnsiTheme="minorEastAsia" w:eastAsiaTheme="minorEastAsia" w:cstheme="minorEastAsia"/>
          <w:b/>
          <w:bCs/>
          <w:sz w:val="52"/>
          <w:szCs w:val="52"/>
          <w:highlight w:val="none"/>
        </w:rPr>
      </w:pPr>
    </w:p>
    <w:p>
      <w:pPr>
        <w:jc w:val="center"/>
        <w:rPr>
          <w:rFonts w:hint="eastAsia" w:asciiTheme="minorEastAsia" w:hAnsiTheme="minorEastAsia" w:eastAsiaTheme="minorEastAsia" w:cstheme="minorEastAsia"/>
          <w:b/>
          <w:bCs/>
          <w:sz w:val="52"/>
          <w:szCs w:val="52"/>
          <w:highlight w:val="none"/>
        </w:rPr>
      </w:pPr>
    </w:p>
    <w:p>
      <w:pPr>
        <w:jc w:val="center"/>
        <w:rPr>
          <w:rFonts w:hint="eastAsia" w:asciiTheme="minorEastAsia" w:hAnsiTheme="minorEastAsia" w:eastAsiaTheme="minorEastAsia" w:cstheme="minorEastAsia"/>
          <w:b/>
          <w:bCs/>
          <w:sz w:val="52"/>
          <w:szCs w:val="52"/>
          <w:highlight w:val="none"/>
        </w:rPr>
      </w:pPr>
    </w:p>
    <w:p>
      <w:pPr>
        <w:jc w:val="center"/>
        <w:rPr>
          <w:rFonts w:hint="eastAsia" w:asciiTheme="minorEastAsia" w:hAnsiTheme="minorEastAsia" w:eastAsiaTheme="minorEastAsia" w:cstheme="minorEastAsia"/>
          <w:b/>
          <w:bCs/>
          <w:sz w:val="52"/>
          <w:szCs w:val="52"/>
          <w:highlight w:val="none"/>
        </w:rPr>
      </w:pPr>
    </w:p>
    <w:p>
      <w:pPr>
        <w:jc w:val="center"/>
        <w:rPr>
          <w:rFonts w:hint="eastAsia" w:asciiTheme="minorEastAsia" w:hAnsiTheme="minorEastAsia" w:eastAsiaTheme="minorEastAsia" w:cstheme="minorEastAsia"/>
          <w:b/>
          <w:bCs/>
          <w:sz w:val="52"/>
          <w:szCs w:val="52"/>
          <w:highlight w:val="none"/>
        </w:rPr>
      </w:pPr>
    </w:p>
    <w:p>
      <w:pPr>
        <w:jc w:val="center"/>
        <w:rPr>
          <w:rFonts w:hint="eastAsia" w:asciiTheme="minorEastAsia" w:hAnsiTheme="minorEastAsia" w:eastAsiaTheme="minorEastAsia" w:cstheme="minorEastAsia"/>
          <w:b/>
          <w:bCs/>
          <w:sz w:val="52"/>
          <w:szCs w:val="52"/>
          <w:highlight w:val="none"/>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jc w:val="center"/>
        <w:rPr>
          <w:rFonts w:hint="default" w:ascii="黑体" w:eastAsia="黑体" w:cs="黑体"/>
          <w:kern w:val="0"/>
          <w:sz w:val="44"/>
          <w:szCs w:val="44"/>
          <w:lang w:val="en-US" w:eastAsia="zh-CN"/>
        </w:rPr>
      </w:pPr>
      <w:r>
        <w:rPr>
          <w:rFonts w:hint="eastAsia" w:ascii="黑体" w:eastAsia="黑体" w:cs="黑体"/>
          <w:kern w:val="0"/>
          <w:sz w:val="44"/>
          <w:szCs w:val="44"/>
        </w:rPr>
        <w:t>单位负责人：</w:t>
      </w:r>
      <w:r>
        <w:rPr>
          <w:rFonts w:hint="eastAsia" w:ascii="黑体" w:eastAsia="黑体" w:cs="黑体"/>
          <w:kern w:val="0"/>
          <w:sz w:val="44"/>
          <w:szCs w:val="44"/>
          <w:lang w:val="en-US" w:eastAsia="zh-CN"/>
        </w:rPr>
        <w:t>谭林关</w:t>
      </w:r>
    </w:p>
    <w:p>
      <w:pPr>
        <w:jc w:val="both"/>
        <w:rPr>
          <w:rFonts w:hint="eastAsia" w:ascii="黑体" w:eastAsia="黑体" w:cs="黑体"/>
          <w:kern w:val="0"/>
          <w:sz w:val="44"/>
          <w:szCs w:val="44"/>
          <w:lang w:val="en-US" w:eastAsia="zh-CN"/>
        </w:rPr>
      </w:pPr>
    </w:p>
    <w:p>
      <w:pPr>
        <w:jc w:val="center"/>
        <w:rPr>
          <w:rFonts w:ascii="黑体" w:hAnsi="黑体" w:eastAsia="黑体" w:cs="黑体"/>
          <w:b w:val="0"/>
          <w:bCs w:val="0"/>
          <w:sz w:val="44"/>
          <w:szCs w:val="44"/>
          <w:highlight w:val="none"/>
        </w:rPr>
      </w:pPr>
      <w:r>
        <w:rPr>
          <w:rFonts w:hint="eastAsia" w:ascii="黑体" w:hAnsi="黑体" w:eastAsia="黑体" w:cs="黑体"/>
          <w:b w:val="0"/>
          <w:bCs w:val="0"/>
          <w:sz w:val="44"/>
          <w:szCs w:val="44"/>
          <w:highlight w:val="none"/>
        </w:rPr>
        <w:t>202</w:t>
      </w:r>
      <w:r>
        <w:rPr>
          <w:rFonts w:hint="eastAsia" w:ascii="黑体" w:hAnsi="黑体" w:eastAsia="黑体" w:cs="黑体"/>
          <w:b w:val="0"/>
          <w:bCs w:val="0"/>
          <w:sz w:val="44"/>
          <w:szCs w:val="44"/>
          <w:highlight w:val="none"/>
          <w:lang w:val="en-US" w:eastAsia="zh-CN"/>
        </w:rPr>
        <w:t>4</w:t>
      </w:r>
      <w:r>
        <w:rPr>
          <w:rFonts w:hint="eastAsia" w:ascii="黑体" w:hAnsi="黑体" w:eastAsia="黑体" w:cs="黑体"/>
          <w:b w:val="0"/>
          <w:bCs w:val="0"/>
          <w:sz w:val="44"/>
          <w:szCs w:val="44"/>
          <w:highlight w:val="none"/>
        </w:rPr>
        <w:t>年</w:t>
      </w:r>
      <w:r>
        <w:rPr>
          <w:rFonts w:hint="eastAsia" w:ascii="黑体" w:hAnsi="黑体" w:eastAsia="黑体" w:cs="黑体"/>
          <w:b w:val="0"/>
          <w:bCs w:val="0"/>
          <w:sz w:val="44"/>
          <w:szCs w:val="44"/>
          <w:highlight w:val="none"/>
          <w:lang w:val="en-US" w:eastAsia="zh-CN"/>
        </w:rPr>
        <w:t>12</w:t>
      </w:r>
      <w:r>
        <w:rPr>
          <w:rFonts w:hint="eastAsia" w:ascii="黑体" w:hAnsi="黑体" w:eastAsia="黑体" w:cs="黑体"/>
          <w:b w:val="0"/>
          <w:bCs w:val="0"/>
          <w:sz w:val="44"/>
          <w:szCs w:val="44"/>
          <w:highlight w:val="none"/>
        </w:rPr>
        <w:t>月</w:t>
      </w:r>
    </w:p>
    <w:p>
      <w:pPr>
        <w:jc w:val="both"/>
        <w:rPr>
          <w:rFonts w:hint="eastAsia" w:asciiTheme="minorEastAsia" w:hAnsiTheme="minorEastAsia" w:eastAsiaTheme="minorEastAsia" w:cstheme="minorEastAsia"/>
          <w:b/>
          <w:bCs/>
          <w:sz w:val="52"/>
          <w:szCs w:val="52"/>
          <w:highlight w:val="none"/>
        </w:rPr>
      </w:pPr>
    </w:p>
    <w:p>
      <w:pPr>
        <w:spacing w:line="560" w:lineRule="exact"/>
        <w:ind w:firstLine="646"/>
        <w:jc w:val="center"/>
        <w:rPr>
          <w:rFonts w:hint="eastAsia" w:ascii="方正小标宋简体" w:eastAsia="方正小标宋简体"/>
          <w:b/>
          <w:sz w:val="44"/>
          <w:szCs w:val="44"/>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仿宋_GB2312" w:eastAsia="仿宋_GB2312"/>
          <w:b/>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第一部分：环江毛南族自治县水源镇中心幼儿园概况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auto"/>
          <w:sz w:val="32"/>
          <w:szCs w:val="32"/>
        </w:rPr>
        <w:t>环江毛南族自治县水源镇中心幼儿园</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第三部分：环江毛南族自治县水源镇中心幼儿园202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spacing w:line="560" w:lineRule="exact"/>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spacing w:line="560" w:lineRule="exact"/>
        <w:ind w:firstLine="646"/>
        <w:jc w:val="center"/>
        <w:rPr>
          <w:rFonts w:hint="eastAsia" w:ascii="黑体" w:hAnsi="黑体" w:eastAsia="黑体"/>
          <w:sz w:val="32"/>
          <w:szCs w:val="32"/>
        </w:rPr>
      </w:pPr>
    </w:p>
    <w:p>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环江毛南族自治县水源镇中心幼儿园</w:t>
      </w:r>
      <w:r>
        <w:rPr>
          <w:rFonts w:hint="eastAsia" w:ascii="黑体" w:hAnsi="黑体" w:eastAsia="黑体"/>
          <w:sz w:val="32"/>
          <w:szCs w:val="32"/>
        </w:rPr>
        <w:t>概况</w:t>
      </w:r>
    </w:p>
    <w:p>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pPr>
        <w:spacing w:line="560" w:lineRule="exact"/>
        <w:ind w:firstLine="646"/>
        <w:rPr>
          <w:rFonts w:hint="eastAsia" w:ascii="仿宋_GB2312" w:eastAsia="仿宋_GB2312"/>
          <w:sz w:val="32"/>
          <w:szCs w:val="32"/>
        </w:rPr>
      </w:pPr>
      <w:r>
        <w:rPr>
          <w:rFonts w:hint="eastAsia" w:ascii="仿宋_GB2312" w:eastAsia="仿宋_GB2312"/>
          <w:sz w:val="32"/>
          <w:szCs w:val="32"/>
        </w:rPr>
        <w:t>（一）宣传贯彻执行党和国家的教育方针、教育政策、教育法律和法规，贯彻执行上级教育行政部门的各项规章制度。</w:t>
      </w:r>
    </w:p>
    <w:p>
      <w:pPr>
        <w:spacing w:line="560" w:lineRule="exact"/>
        <w:ind w:firstLine="646"/>
        <w:rPr>
          <w:rFonts w:hint="eastAsia" w:ascii="仿宋_GB2312" w:eastAsia="仿宋_GB2312"/>
          <w:sz w:val="32"/>
          <w:szCs w:val="32"/>
        </w:rPr>
      </w:pPr>
      <w:r>
        <w:rPr>
          <w:rFonts w:hint="eastAsia" w:ascii="仿宋_GB2312" w:eastAsia="仿宋_GB2312"/>
          <w:sz w:val="32"/>
          <w:szCs w:val="32"/>
        </w:rPr>
        <w:t>（二）在政府和上级教育主管部门的领导下，争取资金改善办学条件，为师生的学习和工作提供优美和谐的环境。</w:t>
      </w:r>
    </w:p>
    <w:p>
      <w:pPr>
        <w:spacing w:line="560" w:lineRule="exact"/>
        <w:ind w:firstLine="646"/>
        <w:rPr>
          <w:rFonts w:hint="eastAsia" w:ascii="仿宋_GB2312" w:eastAsia="仿宋_GB2312"/>
          <w:sz w:val="32"/>
          <w:szCs w:val="32"/>
        </w:rPr>
      </w:pPr>
      <w:r>
        <w:rPr>
          <w:rFonts w:hint="eastAsia" w:ascii="仿宋_GB2312" w:eastAsia="仿宋_GB2312"/>
          <w:sz w:val="32"/>
          <w:szCs w:val="32"/>
        </w:rPr>
        <w:t>（三）根据县级人民政府制定的教育事业发展规划，结合实际制定并组织实施本校的教育事业发展规划。在上级的领导下，全面实施辖区3-6岁适龄幼儿保育教育工作，促进幼教教育发展。。</w:t>
      </w:r>
    </w:p>
    <w:p>
      <w:pPr>
        <w:spacing w:line="560" w:lineRule="exact"/>
        <w:ind w:firstLine="646"/>
        <w:rPr>
          <w:rFonts w:hint="eastAsia" w:ascii="仿宋_GB2312" w:eastAsia="仿宋_GB2312"/>
          <w:sz w:val="32"/>
          <w:szCs w:val="32"/>
        </w:rPr>
      </w:pPr>
      <w:r>
        <w:rPr>
          <w:rFonts w:hint="eastAsia" w:ascii="仿宋_GB2312" w:eastAsia="仿宋_GB2312"/>
          <w:sz w:val="32"/>
          <w:szCs w:val="32"/>
        </w:rPr>
        <w:t>（四）按照干部和教师的职数、编制和管理权限，负责对本幼儿园的干部和教师进行管理，制定切实可行的幼儿园工作规章制度，以提高教育教学质量为目的，对干部职工的工作开展客观、公正的评价和考核。</w:t>
      </w:r>
    </w:p>
    <w:p>
      <w:pPr>
        <w:spacing w:line="560" w:lineRule="exact"/>
        <w:ind w:firstLine="646"/>
        <w:rPr>
          <w:rFonts w:hint="eastAsia" w:ascii="仿宋_GB2312" w:eastAsia="仿宋_GB2312"/>
          <w:sz w:val="32"/>
          <w:szCs w:val="32"/>
        </w:rPr>
      </w:pPr>
      <w:r>
        <w:rPr>
          <w:rFonts w:hint="eastAsia" w:ascii="仿宋_GB2312" w:eastAsia="仿宋_GB2312"/>
          <w:sz w:val="32"/>
          <w:szCs w:val="32"/>
        </w:rPr>
        <w:t>（五）按照上级有关部门的规定，负责对本幼儿园财务和项目建设进行管理，负责核算和发放教职工工资。   </w:t>
      </w:r>
    </w:p>
    <w:p>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pPr>
        <w:ind w:firstLine="645"/>
        <w:rPr>
          <w:rFonts w:hint="eastAsia" w:ascii="仿宋_GB2312" w:eastAsia="仿宋_GB2312"/>
          <w:sz w:val="32"/>
          <w:szCs w:val="32"/>
        </w:rPr>
      </w:pPr>
      <w:r>
        <w:rPr>
          <w:rFonts w:hint="eastAsia" w:ascii="仿宋_GB2312" w:eastAsia="仿宋_GB2312"/>
          <w:sz w:val="32"/>
          <w:szCs w:val="32"/>
        </w:rPr>
        <w:t>（一）内设机构情况</w:t>
      </w:r>
    </w:p>
    <w:p>
      <w:pPr>
        <w:ind w:firstLine="645"/>
        <w:rPr>
          <w:rFonts w:hint="eastAsia" w:ascii="仿宋_GB2312" w:eastAsia="仿宋_GB2312"/>
          <w:sz w:val="32"/>
          <w:szCs w:val="32"/>
        </w:rPr>
      </w:pPr>
      <w:r>
        <w:rPr>
          <w:rFonts w:hint="eastAsia" w:ascii="仿宋_GB2312" w:eastAsia="仿宋_GB2312"/>
          <w:sz w:val="32"/>
          <w:szCs w:val="32"/>
        </w:rPr>
        <w:t>幼儿园实行园长负责制，园长是幼儿园的法人代表。园长在县教育局领导下，主持幼儿园工作，对幼儿园的保教工作全面负责。幼儿园党支部对幼儿园行政工作起保证监督作用，并领导群团工作。幼儿园下设办公室、总务处、财务室、保健室等。  </w:t>
      </w:r>
    </w:p>
    <w:p>
      <w:pPr>
        <w:ind w:firstLine="645"/>
        <w:rPr>
          <w:rFonts w:hint="eastAsia" w:ascii="黑体" w:hAnsi="黑体" w:eastAsia="黑体"/>
          <w:sz w:val="32"/>
          <w:szCs w:val="32"/>
        </w:rPr>
      </w:pPr>
    </w:p>
    <w:p>
      <w:pPr>
        <w:ind w:firstLine="645"/>
        <w:rPr>
          <w:rFonts w:hint="eastAsia" w:ascii="黑体" w:hAnsi="黑体" w:eastAsia="黑体"/>
          <w:sz w:val="32"/>
          <w:szCs w:val="32"/>
        </w:rPr>
      </w:pPr>
    </w:p>
    <w:p>
      <w:pPr>
        <w:spacing w:line="560" w:lineRule="exact"/>
        <w:rPr>
          <w:rFonts w:hint="eastAsia" w:ascii="仿宋_GB2312" w:eastAsia="仿宋_GB2312"/>
          <w:b/>
          <w:sz w:val="32"/>
          <w:szCs w:val="32"/>
        </w:rPr>
        <w:sectPr>
          <w:footerReference r:id="rId3" w:type="default"/>
          <w:footerReference r:id="rId4" w:type="even"/>
          <w:pgSz w:w="11906" w:h="16838"/>
          <w:pgMar w:top="1417" w:right="1417" w:bottom="1417" w:left="1417" w:header="851" w:footer="992"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第二部分：环江毛南族自治县水源镇中心幼儿园202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tbl>
      <w:tblPr>
        <w:tblStyle w:val="4"/>
        <w:tblW w:w="11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1"/>
        <w:gridCol w:w="644"/>
        <w:gridCol w:w="979"/>
        <w:gridCol w:w="3678"/>
        <w:gridCol w:w="644"/>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306.35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306.35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306.35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418"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2.本套报表金额单位转换时可能存在尾数误差。</w:t>
            </w:r>
          </w:p>
        </w:tc>
      </w:tr>
    </w:tbl>
    <w:p>
      <w:pPr>
        <w:spacing w:line="560" w:lineRule="exact"/>
        <w:rPr>
          <w:rFonts w:hint="eastAsia" w:ascii="黑体" w:hAnsi="黑体" w:eastAsia="黑体"/>
          <w:sz w:val="32"/>
          <w:szCs w:val="32"/>
        </w:rPr>
      </w:pPr>
    </w:p>
    <w:tbl>
      <w:tblPr>
        <w:tblStyle w:val="4"/>
        <w:tblW w:w="13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222"/>
        <w:gridCol w:w="4056"/>
        <w:gridCol w:w="936"/>
        <w:gridCol w:w="936"/>
        <w:gridCol w:w="456"/>
        <w:gridCol w:w="456"/>
        <w:gridCol w:w="456"/>
        <w:gridCol w:w="456"/>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024"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上级补助收入</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事业收入</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经营收入</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附属单位上缴收入</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2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4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2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306.35 </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306.35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2012999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1.82 </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华文中宋" w:hAnsi="华文中宋" w:eastAsia="华文中宋" w:cs="华文中宋"/>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 xml:space="preserve">280.45 </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 xml:space="preserve">280.45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8.77 </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7.45 </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7.86 </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024"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注：本表反映部门本年度取得的各项收入情况。</w:t>
            </w:r>
          </w:p>
        </w:tc>
      </w:tr>
    </w:tbl>
    <w:p>
      <w:pPr>
        <w:spacing w:line="560" w:lineRule="exact"/>
        <w:jc w:val="left"/>
        <w:rPr>
          <w:rFonts w:hint="eastAsia" w:ascii="黑体" w:hAnsi="黑体" w:eastAsia="黑体"/>
          <w:sz w:val="32"/>
          <w:szCs w:val="32"/>
        </w:rPr>
      </w:pPr>
    </w:p>
    <w:tbl>
      <w:tblPr>
        <w:tblStyle w:val="4"/>
        <w:tblW w:w="13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222"/>
        <w:gridCol w:w="4262"/>
        <w:gridCol w:w="993"/>
        <w:gridCol w:w="993"/>
        <w:gridCol w:w="993"/>
        <w:gridCol w:w="501"/>
        <w:gridCol w:w="501"/>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75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5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上缴上级支出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经营支出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24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2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306.35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195.05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3755"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注：本表反映部门本年度各项支出情况。</w:t>
            </w:r>
          </w:p>
        </w:tc>
      </w:tr>
    </w:tbl>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tbl>
      <w:tblPr>
        <w:tblStyle w:val="4"/>
        <w:tblW w:w="143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1"/>
        <w:gridCol w:w="661"/>
        <w:gridCol w:w="1080"/>
        <w:gridCol w:w="3810"/>
        <w:gridCol w:w="616"/>
        <w:gridCol w:w="990"/>
        <w:gridCol w:w="990"/>
        <w:gridCol w:w="990"/>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71" w:type="dxa"/>
            <w:tcBorders>
              <w:top w:val="nil"/>
              <w:left w:val="nil"/>
              <w:bottom w:val="nil"/>
              <w:right w:val="nil"/>
            </w:tcBorders>
            <w:shd w:val="clear" w:color="auto" w:fill="auto"/>
            <w:noWrap/>
            <w:vAlign w:val="center"/>
          </w:tcPr>
          <w:p>
            <w:pPr>
              <w:jc w:val="left"/>
              <w:rPr>
                <w:rFonts w:hint="eastAsia" w:ascii="黑体" w:hAnsi="宋体" w:eastAsia="黑体" w:cs="黑体"/>
                <w:i w:val="0"/>
                <w:iCs w:val="0"/>
                <w:color w:val="000000"/>
                <w:sz w:val="24"/>
                <w:szCs w:val="24"/>
                <w:u w:val="none"/>
              </w:rPr>
            </w:pPr>
          </w:p>
        </w:tc>
        <w:tc>
          <w:tcPr>
            <w:tcW w:w="661"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8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432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jc w:val="center"/>
        </w:trPr>
        <w:tc>
          <w:tcPr>
            <w:tcW w:w="3971"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61"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81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7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661"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81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21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86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306.35 </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280.45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280.45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306.35 </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306.35 </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306.35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4324"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bl>
    <w:p>
      <w:pPr>
        <w:spacing w:line="560" w:lineRule="exact"/>
        <w:jc w:val="left"/>
        <w:rPr>
          <w:rFonts w:hint="eastAsia" w:ascii="黑体" w:hAnsi="黑体" w:eastAsia="黑体"/>
          <w:sz w:val="32"/>
          <w:szCs w:val="32"/>
        </w:rPr>
      </w:pPr>
    </w:p>
    <w:tbl>
      <w:tblPr>
        <w:tblStyle w:val="4"/>
        <w:tblW w:w="14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6"/>
        <w:gridCol w:w="823"/>
        <w:gridCol w:w="1911"/>
        <w:gridCol w:w="2072"/>
        <w:gridCol w:w="1938"/>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1414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896"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3"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1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7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38"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Style w:val="9"/>
                <w:lang w:val="en-US" w:eastAsia="zh-CN" w:bidi="ar"/>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823"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1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72"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38"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10"/>
                <w:lang w:val="en-US" w:eastAsia="zh-CN" w:bidi="ar"/>
              </w:rPr>
              <w:t xml:space="preserve">   </w:t>
            </w:r>
            <w:r>
              <w:rPr>
                <w:rStyle w:val="11"/>
                <w:lang w:val="en-US" w:eastAsia="zh-CN" w:bidi="ar"/>
              </w:rPr>
              <w:t>目</w:t>
            </w:r>
          </w:p>
        </w:tc>
        <w:tc>
          <w:tcPr>
            <w:tcW w:w="6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2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6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306.35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111.30</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5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2012999</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2050201</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280.45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2080505</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2210201</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2299999</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414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注：本表反映部门本年度一般公共预算财政拨款支出情况。</w:t>
            </w:r>
          </w:p>
        </w:tc>
      </w:tr>
    </w:tbl>
    <w:p>
      <w:pPr>
        <w:spacing w:line="560" w:lineRule="exact"/>
        <w:jc w:val="left"/>
        <w:rPr>
          <w:rFonts w:hint="eastAsia" w:ascii="黑体" w:hAnsi="黑体" w:eastAsia="黑体"/>
          <w:sz w:val="32"/>
          <w:szCs w:val="32"/>
        </w:rPr>
      </w:pPr>
    </w:p>
    <w:tbl>
      <w:tblPr>
        <w:tblStyle w:val="4"/>
        <w:tblW w:w="13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0"/>
        <w:gridCol w:w="1517"/>
        <w:gridCol w:w="1000"/>
        <w:gridCol w:w="1217"/>
        <w:gridCol w:w="1000"/>
        <w:gridCol w:w="1150"/>
        <w:gridCol w:w="1416"/>
        <w:gridCol w:w="1570"/>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138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416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7"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150" w:type="dxa"/>
            <w:tcBorders>
              <w:top w:val="nil"/>
              <w:left w:val="nil"/>
              <w:bottom w:val="nil"/>
              <w:right w:val="nil"/>
            </w:tcBorders>
            <w:shd w:val="clear" w:color="auto" w:fill="FFFFFF"/>
            <w:vAlign w:val="center"/>
          </w:tcPr>
          <w:p/>
        </w:tc>
        <w:tc>
          <w:tcPr>
            <w:tcW w:w="1416"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57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79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1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1517" w:type="dxa"/>
            <w:tcBorders>
              <w:top w:val="nil"/>
              <w:left w:val="nil"/>
              <w:bottom w:val="nil"/>
              <w:right w:val="nil"/>
            </w:tcBorders>
            <w:shd w:val="clear" w:color="auto" w:fill="auto"/>
            <w:noWrap/>
            <w:vAlign w:val="center"/>
          </w:tcPr>
          <w:p>
            <w:pPr>
              <w:rPr>
                <w:rFonts w:hint="eastAsia" w:ascii="Arial" w:hAnsi="Arial" w:eastAsia="宋体" w:cs="Arial"/>
                <w:i w:val="0"/>
                <w:iCs w:val="0"/>
                <w:color w:val="000000"/>
                <w:sz w:val="20"/>
                <w:szCs w:val="20"/>
                <w:u w:val="none"/>
              </w:rPr>
            </w:pPr>
          </w:p>
        </w:tc>
        <w:tc>
          <w:tcPr>
            <w:tcW w:w="1000" w:type="dxa"/>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1217" w:type="dxa"/>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1000" w:type="dxa"/>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1150" w:type="dxa"/>
            <w:tcBorders>
              <w:top w:val="nil"/>
              <w:left w:val="nil"/>
              <w:bottom w:val="nil"/>
              <w:right w:val="nil"/>
            </w:tcBorders>
            <w:shd w:val="clear" w:color="auto" w:fill="auto"/>
            <w:noWrap/>
            <w:vAlign w:val="center"/>
          </w:tcPr>
          <w:p/>
        </w:tc>
        <w:tc>
          <w:tcPr>
            <w:tcW w:w="1416" w:type="dxa"/>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1570" w:type="dxa"/>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79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决算数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192.3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38.05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0.41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126.05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6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63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382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注：本表反映部门本年度一般公共预算财政拨款基本支出明细情况。</w:t>
            </w:r>
          </w:p>
        </w:tc>
      </w:tr>
    </w:tbl>
    <w:p>
      <w:pPr>
        <w:spacing w:line="560" w:lineRule="exact"/>
        <w:rPr>
          <w:rFonts w:hint="eastAsia" w:ascii="黑体" w:hAnsi="黑体" w:eastAsia="黑体"/>
          <w:sz w:val="32"/>
          <w:szCs w:val="32"/>
        </w:rPr>
      </w:pPr>
    </w:p>
    <w:tbl>
      <w:tblPr>
        <w:tblStyle w:val="4"/>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2161"/>
        <w:gridCol w:w="1906"/>
        <w:gridCol w:w="3"/>
        <w:gridCol w:w="406"/>
        <w:gridCol w:w="58"/>
        <w:gridCol w:w="874"/>
        <w:gridCol w:w="276"/>
        <w:gridCol w:w="1004"/>
        <w:gridCol w:w="763"/>
        <w:gridCol w:w="517"/>
        <w:gridCol w:w="1280"/>
        <w:gridCol w:w="455"/>
        <w:gridCol w:w="825"/>
        <w:gridCol w:w="1280"/>
        <w:gridCol w:w="1588"/>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jc w:val="center"/>
        </w:trPr>
        <w:tc>
          <w:tcPr>
            <w:tcW w:w="1464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5173"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6"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80" w:type="dxa"/>
            <w:gridSpan w:val="2"/>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80" w:type="dxa"/>
            <w:gridSpan w:val="2"/>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80" w:type="dxa"/>
            <w:gridSpan w:val="2"/>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72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5173" w:type="dxa"/>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406"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3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80" w:type="dxa"/>
            <w:gridSpan w:val="2"/>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80" w:type="dxa"/>
            <w:gridSpan w:val="2"/>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80" w:type="dxa"/>
            <w:gridSpan w:val="2"/>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8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72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5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12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年初结转和结余</w:t>
            </w:r>
          </w:p>
        </w:tc>
        <w:tc>
          <w:tcPr>
            <w:tcW w:w="12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w:t>
            </w:r>
          </w:p>
        </w:tc>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5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9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2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55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5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5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5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146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本部门2023年度没有政府性基金预算财政拨款收入，也没有政府性基金预算财政拨款安排的支出，故本表无数据。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464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318" w:hRule="atLeast"/>
          <w:jc w:val="center"/>
        </w:trPr>
        <w:tc>
          <w:tcPr>
            <w:tcW w:w="216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373"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67" w:type="dxa"/>
            <w:gridSpan w:val="2"/>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2252" w:type="dxa"/>
            <w:gridSpan w:val="3"/>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3693"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03" w:type="dxa"/>
          <w:wAfter w:w="141" w:type="dxa"/>
          <w:trHeight w:val="848" w:hRule="atLeast"/>
          <w:jc w:val="center"/>
        </w:trPr>
        <w:tc>
          <w:tcPr>
            <w:tcW w:w="4067"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467"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67" w:type="dxa"/>
            <w:gridSpan w:val="2"/>
            <w:tcBorders>
              <w:top w:val="nil"/>
              <w:left w:val="nil"/>
              <w:bottom w:val="single" w:color="000000" w:sz="8"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2252" w:type="dxa"/>
            <w:gridSpan w:val="3"/>
            <w:tcBorders>
              <w:top w:val="nil"/>
              <w:left w:val="nil"/>
              <w:bottom w:val="single" w:color="000000" w:sz="8"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3693"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428" w:hRule="atLeast"/>
          <w:jc w:val="center"/>
        </w:trPr>
        <w:tc>
          <w:tcPr>
            <w:tcW w:w="5684"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7712"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03" w:type="dxa"/>
          <w:wAfter w:w="141" w:type="dxa"/>
          <w:trHeight w:val="417" w:hRule="atLeast"/>
          <w:jc w:val="center"/>
        </w:trPr>
        <w:tc>
          <w:tcPr>
            <w:tcW w:w="4534" w:type="dxa"/>
            <w:gridSpan w:val="5"/>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76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25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36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417" w:hRule="atLeast"/>
          <w:jc w:val="center"/>
        </w:trPr>
        <w:tc>
          <w:tcPr>
            <w:tcW w:w="4534" w:type="dxa"/>
            <w:gridSpan w:val="5"/>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03" w:type="dxa"/>
          <w:wAfter w:w="141" w:type="dxa"/>
          <w:trHeight w:val="446" w:hRule="atLeast"/>
          <w:jc w:val="center"/>
        </w:trPr>
        <w:tc>
          <w:tcPr>
            <w:tcW w:w="4534" w:type="dxa"/>
            <w:gridSpan w:val="5"/>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417" w:hRule="atLeast"/>
          <w:jc w:val="center"/>
        </w:trPr>
        <w:tc>
          <w:tcPr>
            <w:tcW w:w="5684"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417" w:hRule="atLeast"/>
          <w:jc w:val="center"/>
        </w:trPr>
        <w:tc>
          <w:tcPr>
            <w:tcW w:w="5684" w:type="dxa"/>
            <w:gridSpan w:val="7"/>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03" w:type="dxa"/>
          <w:wAfter w:w="141" w:type="dxa"/>
          <w:trHeight w:val="417" w:hRule="atLeast"/>
          <w:jc w:val="center"/>
        </w:trPr>
        <w:tc>
          <w:tcPr>
            <w:tcW w:w="453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417" w:hRule="atLeast"/>
          <w:jc w:val="center"/>
        </w:trPr>
        <w:tc>
          <w:tcPr>
            <w:tcW w:w="453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103" w:type="dxa"/>
          <w:wAfter w:w="141" w:type="dxa"/>
          <w:trHeight w:val="417" w:hRule="atLeast"/>
          <w:jc w:val="center"/>
        </w:trPr>
        <w:tc>
          <w:tcPr>
            <w:tcW w:w="453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417" w:hRule="atLeast"/>
          <w:jc w:val="center"/>
        </w:trPr>
        <w:tc>
          <w:tcPr>
            <w:tcW w:w="453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417" w:hRule="atLeast"/>
          <w:jc w:val="center"/>
        </w:trPr>
        <w:tc>
          <w:tcPr>
            <w:tcW w:w="453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417" w:hRule="atLeast"/>
          <w:jc w:val="center"/>
        </w:trPr>
        <w:tc>
          <w:tcPr>
            <w:tcW w:w="453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67"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52"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693"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103" w:type="dxa"/>
          <w:wAfter w:w="141" w:type="dxa"/>
          <w:trHeight w:val="754" w:hRule="atLeast"/>
          <w:jc w:val="center"/>
        </w:trPr>
        <w:tc>
          <w:tcPr>
            <w:tcW w:w="13396" w:type="dxa"/>
            <w:gridSpan w:val="15"/>
            <w:tcBorders>
              <w:top w:val="single" w:color="000000" w:sz="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本部门2023年度没有国有资本经营预算财政拨款收入，也没有国有资本经营预算财政拨款的支出，故本表无数据。</w:t>
            </w:r>
          </w:p>
        </w:tc>
      </w:tr>
    </w:tbl>
    <w:p>
      <w:pPr>
        <w:spacing w:line="560" w:lineRule="exact"/>
        <w:rPr>
          <w:rFonts w:hint="eastAsia" w:ascii="黑体" w:hAnsi="黑体" w:eastAsia="黑体"/>
          <w:sz w:val="32"/>
          <w:szCs w:val="32"/>
        </w:rPr>
      </w:pPr>
    </w:p>
    <w:tbl>
      <w:tblPr>
        <w:tblStyle w:val="4"/>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16"/>
        <w:gridCol w:w="985"/>
        <w:gridCol w:w="789"/>
        <w:gridCol w:w="789"/>
        <w:gridCol w:w="789"/>
        <w:gridCol w:w="790"/>
        <w:gridCol w:w="790"/>
        <w:gridCol w:w="986"/>
        <w:gridCol w:w="790"/>
        <w:gridCol w:w="790"/>
        <w:gridCol w:w="790"/>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2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3724"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部门：环江毛南族自治县水源镇中心幼儿园</w:t>
            </w:r>
          </w:p>
        </w:tc>
        <w:tc>
          <w:tcPr>
            <w:tcW w:w="999"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833"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5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3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52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本部门2023年度没有财政拨款“三公”经费收入，也没有财政拨款“三公”经费的支出，故本表无数据。</w:t>
            </w:r>
          </w:p>
        </w:tc>
      </w:tr>
    </w:tbl>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autoSpaceDE w:val="0"/>
        <w:autoSpaceDN w:val="0"/>
        <w:adjustRightInd w:val="0"/>
        <w:spacing w:line="560" w:lineRule="exact"/>
        <w:jc w:val="left"/>
        <w:rPr>
          <w:rFonts w:hint="eastAsia" w:ascii="黑体" w:hAnsi="黑体" w:eastAsia="黑体"/>
          <w:sz w:val="32"/>
          <w:szCs w:val="32"/>
        </w:rPr>
        <w:sectPr>
          <w:pgSz w:w="16838" w:h="11906" w:orient="landscape"/>
          <w:pgMar w:top="1417" w:right="1417" w:bottom="1417" w:left="1417" w:header="851" w:footer="992" w:gutter="0"/>
          <w:cols w:space="425" w:num="1"/>
          <w:docGrid w:type="lines" w:linePitch="312" w:charSpace="0"/>
        </w:sectPr>
      </w:pPr>
    </w:p>
    <w:p>
      <w:pPr>
        <w:autoSpaceDE w:val="0"/>
        <w:autoSpaceDN w:val="0"/>
        <w:adjustRightInd w:val="0"/>
        <w:spacing w:line="560" w:lineRule="exact"/>
        <w:jc w:val="left"/>
        <w:rPr>
          <w:rFonts w:hint="eastAsia" w:ascii="黑体" w:hAnsi="黑体" w:eastAsia="黑体"/>
          <w:sz w:val="32"/>
          <w:szCs w:val="32"/>
        </w:rPr>
      </w:pPr>
    </w:p>
    <w:p>
      <w:pPr>
        <w:autoSpaceDE w:val="0"/>
        <w:autoSpaceDN w:val="0"/>
        <w:adjustRightInd w:val="0"/>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第三部分：环江毛南族自治县水源镇中心幼儿园202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306.35</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306.35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0.39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306.35</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val="en-US" w:eastAsia="zh-CN"/>
        </w:rPr>
        <w:t>环江毛南族自治县本级财政</w:t>
      </w:r>
      <w:r>
        <w:rPr>
          <w:rFonts w:hint="eastAsia" w:ascii="仿宋_GB2312" w:eastAsia="仿宋_GB2312" w:cs="仿宋_GB2312"/>
          <w:kern w:val="0"/>
          <w:sz w:val="32"/>
          <w:szCs w:val="32"/>
        </w:rPr>
        <w:t>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0.39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幼儿园免保教幼儿人数较少，保教费增加</w:t>
      </w:r>
      <w:r>
        <w:rPr>
          <w:rFonts w:hint="eastAsia" w:ascii="仿宋_GB2312" w:hAnsi="黑体" w:eastAsia="仿宋_GB2312" w:cs="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 w:hAnsi="仿宋" w:eastAsia="仿宋" w:cs="仿宋"/>
          <w:sz w:val="32"/>
          <w:szCs w:val="32"/>
        </w:rPr>
        <w:t>环江毛南族自治县本级</w:t>
      </w:r>
      <w:r>
        <w:rPr>
          <w:rFonts w:hint="eastAsia" w:ascii="仿宋_GB2312" w:eastAsia="仿宋_GB2312" w:cs="仿宋_GB2312"/>
          <w:kern w:val="0"/>
          <w:sz w:val="32"/>
          <w:szCs w:val="32"/>
        </w:rPr>
        <w:t>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auto"/>
          <w:kern w:val="2"/>
          <w:sz w:val="32"/>
          <w:szCs w:val="32"/>
          <w:highlight w:val="none"/>
          <w:lang w:val="en-US" w:eastAsia="zh-CN" w:bidi="ar"/>
        </w:rPr>
        <w:t>2023年度本单位没有政府性基金预算财政拨款收入，也没有政府性基金预算财政拨款安排的支出。</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万元，为环江毛南族自治县本级财政当年拨付的资金。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%，主要原因是202</w:t>
      </w:r>
      <w:r>
        <w:rPr>
          <w:rFonts w:hint="eastAsia" w:ascii="仿宋_GB2312" w:hAnsi="黑体" w:eastAsia="仿宋_GB2312" w:cs="仿宋_GB2312"/>
          <w:kern w:val="0"/>
          <w:sz w:val="32"/>
          <w:szCs w:val="32"/>
          <w:lang w:val="en-US" w:eastAsia="zh-CN"/>
        </w:rPr>
        <w:t>3</w:t>
      </w:r>
      <w:r>
        <w:rPr>
          <w:rFonts w:hint="eastAsia" w:ascii="仿宋_GB2312" w:hAnsi="黑体" w:eastAsia="仿宋_GB2312" w:cs="仿宋_GB2312"/>
          <w:kern w:val="0"/>
          <w:sz w:val="32"/>
          <w:szCs w:val="32"/>
        </w:rPr>
        <w:t>年度本单位没有国有资本经营预算财政拨款收入，也没有国有资本经营预算财政拨款安排的支出。。</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 w:hAnsi="仿宋" w:eastAsia="仿宋" w:cs="仿宋"/>
          <w:color w:val="auto"/>
          <w:kern w:val="2"/>
          <w:sz w:val="32"/>
          <w:szCs w:val="32"/>
          <w:highlight w:val="none"/>
          <w:lang w:val="en-US" w:eastAsia="zh-CN" w:bidi="ar"/>
        </w:rPr>
        <w:t>本单位没有事业收入</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%，主要原因是本单位没有经营性收入。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color w:val="auto"/>
          <w:kern w:val="2"/>
          <w:sz w:val="32"/>
          <w:szCs w:val="32"/>
          <w:highlight w:val="none"/>
          <w:lang w:val="en-US" w:eastAsia="zh-CN" w:bidi="ar"/>
        </w:rPr>
        <w:t>本单位没有其他收入。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%，主要原因是本单位没有非财政拨款结余。</w:t>
      </w:r>
    </w:p>
    <w:p>
      <w:pPr>
        <w:autoSpaceDE w:val="0"/>
        <w:autoSpaceDN w:val="0"/>
        <w:adjustRightInd w:val="0"/>
        <w:spacing w:line="560" w:lineRule="exact"/>
        <w:ind w:firstLine="627" w:firstLineChars="196"/>
        <w:jc w:val="both"/>
        <w:rPr>
          <w:rFonts w:ascii="仿宋" w:hAnsi="仿宋" w:eastAsia="仿宋" w:cs="仿宋"/>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%，主要原因是上年度本单位无结转和结余。</w:t>
      </w:r>
    </w:p>
    <w:p>
      <w:pPr>
        <w:autoSpaceDE w:val="0"/>
        <w:autoSpaceDN w:val="0"/>
        <w:adjustRightInd w:val="0"/>
        <w:spacing w:line="560" w:lineRule="exact"/>
        <w:ind w:firstLine="627" w:firstLineChars="196"/>
        <w:jc w:val="both"/>
        <w:rPr>
          <w:rFonts w:hint="eastAsia" w:ascii="仿宋" w:hAnsi="仿宋" w:eastAsia="仿宋" w:cs="仿宋"/>
          <w:sz w:val="32"/>
          <w:szCs w:val="32"/>
        </w:rPr>
      </w:pPr>
      <w:r>
        <w:rPr>
          <w:rFonts w:ascii="仿宋" w:hAnsi="仿宋" w:eastAsia="仿宋" w:cs="仿宋"/>
          <w:sz w:val="32"/>
          <w:szCs w:val="32"/>
        </w:rPr>
        <w:drawing>
          <wp:anchor distT="0" distB="0" distL="0" distR="0" simplePos="0" relativeHeight="251659264" behindDoc="1" locked="0" layoutInCell="1" allowOverlap="1">
            <wp:simplePos x="0" y="0"/>
            <wp:positionH relativeFrom="column">
              <wp:posOffset>711200</wp:posOffset>
            </wp:positionH>
            <wp:positionV relativeFrom="paragraph">
              <wp:posOffset>267335</wp:posOffset>
            </wp:positionV>
            <wp:extent cx="4323080" cy="3761740"/>
            <wp:effectExtent l="6350" t="6350" r="13970" b="2286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306.35</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306.35</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0.39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.一般公共服务支出（201 类）</w:t>
      </w:r>
      <w:r>
        <w:rPr>
          <w:rFonts w:hint="eastAsia" w:ascii="仿宋_GB2312" w:eastAsia="仿宋_GB2312" w:cs="仿宋_GB2312"/>
          <w:kern w:val="0"/>
          <w:sz w:val="32"/>
          <w:szCs w:val="32"/>
          <w:lang w:val="en-US" w:eastAsia="zh-CN"/>
        </w:rPr>
        <w:t>1.82</w:t>
      </w:r>
      <w:r>
        <w:rPr>
          <w:rFonts w:hint="eastAsia" w:ascii="仿宋_GB2312" w:eastAsia="仿宋_GB2312" w:cs="仿宋_GB2312"/>
          <w:kern w:val="0"/>
          <w:sz w:val="32"/>
          <w:szCs w:val="32"/>
        </w:rPr>
        <w:t>万元：主要用于幼儿园工会经费，支付工会人员经费和办公费等</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1.38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313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2023年幼儿园在职教师人数增加，工会经费也增加</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2.教育支出（205 类）280.45 万元：主要用于：用于幼儿园人员经费、和办公费支出。较2022年度决算数减少11.86万元，下降4.05%，主要原因是：2023年幼儿人数减少，导致人员经费也减少，学校的办公设备未能够足量投入。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3.社会保障和就业支出（208 类）8.77万元：主要用于：缴纳教职工“五险”。较2022年度决算数增加5.5万元，增长168%，主要原因是：2023年9月份增加7名公招教师，足额缴纳教师五险。</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w:t>
      </w:r>
      <w:r>
        <w:rPr>
          <w:rFonts w:hint="default" w:ascii="仿宋_GB2312" w:eastAsia="仿宋_GB2312" w:cs="仿宋_GB2312"/>
          <w:kern w:val="0"/>
          <w:sz w:val="32"/>
          <w:szCs w:val="32"/>
          <w:lang w:val="en-US" w:eastAsia="zh-CN"/>
        </w:rPr>
        <w:t>.住房保障支出（221 类）</w:t>
      </w:r>
      <w:r>
        <w:rPr>
          <w:rFonts w:hint="eastAsia" w:ascii="仿宋_GB2312" w:eastAsia="仿宋_GB2312" w:cs="仿宋_GB2312"/>
          <w:kern w:val="0"/>
          <w:sz w:val="32"/>
          <w:szCs w:val="32"/>
          <w:lang w:val="en-US" w:eastAsia="zh-CN"/>
        </w:rPr>
        <w:t>7.45</w:t>
      </w:r>
      <w:r>
        <w:rPr>
          <w:rFonts w:hint="default" w:ascii="仿宋_GB2312" w:eastAsia="仿宋_GB2312" w:cs="仿宋_GB2312"/>
          <w:kern w:val="0"/>
          <w:sz w:val="32"/>
          <w:szCs w:val="32"/>
          <w:lang w:val="en-US" w:eastAsia="zh-CN"/>
        </w:rPr>
        <w:t>万元：主要用于：支付教职工住房公积金。较202</w:t>
      </w:r>
      <w:r>
        <w:rPr>
          <w:rFonts w:hint="eastAsia" w:ascii="仿宋_GB2312" w:eastAsia="仿宋_GB2312" w:cs="仿宋_GB2312"/>
          <w:kern w:val="0"/>
          <w:sz w:val="32"/>
          <w:szCs w:val="32"/>
          <w:lang w:val="en-US" w:eastAsia="zh-CN"/>
        </w:rPr>
        <w:t>2</w:t>
      </w:r>
      <w:r>
        <w:rPr>
          <w:rFonts w:hint="default" w:ascii="仿宋_GB2312" w:eastAsia="仿宋_GB2312" w:cs="仿宋_GB2312"/>
          <w:kern w:val="0"/>
          <w:sz w:val="32"/>
          <w:szCs w:val="32"/>
          <w:lang w:val="en-US" w:eastAsia="zh-CN"/>
        </w:rPr>
        <w:t>年度决算数增加</w:t>
      </w:r>
      <w:r>
        <w:rPr>
          <w:rFonts w:hint="eastAsia" w:ascii="仿宋_GB2312" w:eastAsia="仿宋_GB2312" w:cs="仿宋_GB2312"/>
          <w:kern w:val="0"/>
          <w:sz w:val="32"/>
          <w:szCs w:val="32"/>
          <w:lang w:val="en-US" w:eastAsia="zh-CN"/>
        </w:rPr>
        <w:t>4.36</w:t>
      </w:r>
      <w:r>
        <w:rPr>
          <w:rFonts w:hint="default" w:ascii="仿宋_GB2312" w:eastAsia="仿宋_GB2312" w:cs="仿宋_GB2312"/>
          <w:kern w:val="0"/>
          <w:sz w:val="32"/>
          <w:szCs w:val="32"/>
          <w:lang w:val="en-US" w:eastAsia="zh-CN"/>
        </w:rPr>
        <w:t>万元，增长</w:t>
      </w:r>
      <w:r>
        <w:rPr>
          <w:rFonts w:hint="eastAsia" w:ascii="仿宋_GB2312" w:eastAsia="仿宋_GB2312" w:cs="仿宋_GB2312"/>
          <w:kern w:val="0"/>
          <w:sz w:val="32"/>
          <w:szCs w:val="32"/>
          <w:lang w:val="en-US" w:eastAsia="zh-CN"/>
        </w:rPr>
        <w:t>143.4</w:t>
      </w:r>
      <w:r>
        <w:rPr>
          <w:rFonts w:hint="default" w:ascii="仿宋_GB2312" w:eastAsia="仿宋_GB2312" w:cs="仿宋_GB2312"/>
          <w:kern w:val="0"/>
          <w:sz w:val="32"/>
          <w:szCs w:val="32"/>
          <w:lang w:val="en-US" w:eastAsia="zh-CN"/>
        </w:rPr>
        <w:t>%，主要原因是：202</w:t>
      </w:r>
      <w:r>
        <w:rPr>
          <w:rFonts w:hint="eastAsia" w:ascii="仿宋_GB2312" w:eastAsia="仿宋_GB2312" w:cs="仿宋_GB2312"/>
          <w:kern w:val="0"/>
          <w:sz w:val="32"/>
          <w:szCs w:val="32"/>
          <w:lang w:val="en-US" w:eastAsia="zh-CN"/>
        </w:rPr>
        <w:t>3</w:t>
      </w:r>
      <w:r>
        <w:rPr>
          <w:rFonts w:hint="default" w:ascii="仿宋_GB2312" w:eastAsia="仿宋_GB2312" w:cs="仿宋_GB2312"/>
          <w:kern w:val="0"/>
          <w:sz w:val="32"/>
          <w:szCs w:val="32"/>
          <w:lang w:val="en-US" w:eastAsia="zh-CN"/>
        </w:rPr>
        <w:t>年9月份增加</w:t>
      </w:r>
      <w:r>
        <w:rPr>
          <w:rFonts w:hint="eastAsia" w:ascii="仿宋_GB2312" w:eastAsia="仿宋_GB2312" w:cs="仿宋_GB2312"/>
          <w:kern w:val="0"/>
          <w:sz w:val="32"/>
          <w:szCs w:val="32"/>
          <w:lang w:val="en-US" w:eastAsia="zh-CN"/>
        </w:rPr>
        <w:t>7</w:t>
      </w:r>
      <w:r>
        <w:rPr>
          <w:rFonts w:hint="default" w:ascii="仿宋_GB2312" w:eastAsia="仿宋_GB2312" w:cs="仿宋_GB2312"/>
          <w:kern w:val="0"/>
          <w:sz w:val="32"/>
          <w:szCs w:val="32"/>
          <w:lang w:val="en-US" w:eastAsia="zh-CN"/>
        </w:rPr>
        <w:t>名公招教师，在职教师人数增加，住房公积金也增加。</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5.其他支出（229 类）7.86万元：主要用于：幼儿园办公费等。较2022年度决算数增加1.82万元，增长30%，主要原因是：办公费支出等</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%，主要原因是本单位无结转和结余。</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both"/>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%，主要原因是本单位无结转和结余。</w:t>
      </w:r>
    </w:p>
    <w:p>
      <w:pPr>
        <w:autoSpaceDE w:val="0"/>
        <w:autoSpaceDN w:val="0"/>
        <w:adjustRightInd w:val="0"/>
        <w:spacing w:line="560" w:lineRule="exact"/>
        <w:jc w:val="both"/>
        <w:rPr>
          <w:rFonts w:hint="eastAsia" w:ascii="仿宋_GB2312" w:hAnsi="黑体" w:eastAsia="仿宋_GB2312" w:cs="仿宋_GB2312"/>
          <w:kern w:val="0"/>
          <w:sz w:val="32"/>
          <w:szCs w:val="32"/>
        </w:rPr>
      </w:pPr>
      <w:r>
        <w:drawing>
          <wp:anchor distT="0" distB="0" distL="114300" distR="114300" simplePos="0" relativeHeight="251660288" behindDoc="1" locked="0" layoutInCell="1" allowOverlap="1">
            <wp:simplePos x="0" y="0"/>
            <wp:positionH relativeFrom="column">
              <wp:posOffset>-130810</wp:posOffset>
            </wp:positionH>
            <wp:positionV relativeFrom="paragraph">
              <wp:posOffset>229870</wp:posOffset>
            </wp:positionV>
            <wp:extent cx="6127115" cy="3646170"/>
            <wp:effectExtent l="4445" t="4445" r="21590" b="6985"/>
            <wp:wrapNone/>
            <wp:docPr id="105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autoSpaceDE w:val="0"/>
        <w:autoSpaceDN w:val="0"/>
        <w:adjustRightInd w:val="0"/>
        <w:spacing w:line="560" w:lineRule="exact"/>
        <w:jc w:val="both"/>
        <w:rPr>
          <w:rFonts w:hint="eastAsia" w:ascii="仿宋_GB2312" w:hAnsi="黑体" w:eastAsia="仿宋_GB2312" w:cs="仿宋_GB2312"/>
          <w:kern w:val="0"/>
          <w:sz w:val="32"/>
          <w:szCs w:val="32"/>
        </w:rPr>
      </w:pPr>
    </w:p>
    <w:p>
      <w:pPr>
        <w:autoSpaceDE w:val="0"/>
        <w:autoSpaceDN w:val="0"/>
        <w:adjustRightInd w:val="0"/>
        <w:spacing w:line="560" w:lineRule="exact"/>
        <w:jc w:val="both"/>
        <w:rPr>
          <w:rFonts w:hint="eastAsia" w:ascii="仿宋_GB2312" w:hAnsi="黑体" w:eastAsia="仿宋_GB2312" w:cs="仿宋_GB2312"/>
          <w:kern w:val="0"/>
          <w:sz w:val="32"/>
          <w:szCs w:val="32"/>
        </w:rPr>
      </w:pPr>
    </w:p>
    <w:p>
      <w:pPr>
        <w:autoSpaceDE w:val="0"/>
        <w:autoSpaceDN w:val="0"/>
        <w:adjustRightInd w:val="0"/>
        <w:spacing w:line="560" w:lineRule="exact"/>
        <w:jc w:val="both"/>
        <w:rPr>
          <w:rFonts w:hint="eastAsia" w:ascii="仿宋_GB2312" w:hAnsi="黑体" w:eastAsia="仿宋_GB2312" w:cs="仿宋_GB2312"/>
          <w:kern w:val="0"/>
          <w:sz w:val="32"/>
          <w:szCs w:val="32"/>
        </w:rPr>
      </w:pPr>
    </w:p>
    <w:p>
      <w:pPr>
        <w:autoSpaceDE w:val="0"/>
        <w:autoSpaceDN w:val="0"/>
        <w:adjustRightInd w:val="0"/>
        <w:spacing w:line="560" w:lineRule="exact"/>
        <w:jc w:val="both"/>
        <w:rPr>
          <w:rFonts w:hint="eastAsia" w:ascii="仿宋_GB2312" w:hAnsi="黑体" w:eastAsia="仿宋_GB2312" w:cs="仿宋_GB2312"/>
          <w:kern w:val="0"/>
          <w:sz w:val="32"/>
          <w:szCs w:val="32"/>
        </w:rPr>
      </w:pPr>
    </w:p>
    <w:p>
      <w:pPr>
        <w:autoSpaceDE w:val="0"/>
        <w:autoSpaceDN w:val="0"/>
        <w:adjustRightInd w:val="0"/>
        <w:spacing w:line="560" w:lineRule="exact"/>
        <w:jc w:val="both"/>
        <w:rPr>
          <w:rFonts w:hint="eastAsia" w:ascii="仿宋_GB2312" w:hAnsi="黑体" w:eastAsia="仿宋_GB2312" w:cs="仿宋_GB2312"/>
          <w:kern w:val="0"/>
          <w:sz w:val="32"/>
          <w:szCs w:val="32"/>
        </w:rPr>
      </w:pPr>
    </w:p>
    <w:p>
      <w:pPr>
        <w:autoSpaceDE w:val="0"/>
        <w:autoSpaceDN w:val="0"/>
        <w:adjustRightInd w:val="0"/>
        <w:spacing w:line="560" w:lineRule="exact"/>
        <w:jc w:val="both"/>
        <w:rPr>
          <w:rFonts w:hint="eastAsia" w:ascii="仿宋_GB2312" w:hAnsi="黑体" w:eastAsia="仿宋_GB2312" w:cs="仿宋_GB2312"/>
          <w:kern w:val="0"/>
          <w:sz w:val="32"/>
          <w:szCs w:val="32"/>
        </w:rPr>
      </w:pPr>
    </w:p>
    <w:p>
      <w:pPr>
        <w:autoSpaceDE w:val="0"/>
        <w:autoSpaceDN w:val="0"/>
        <w:adjustRightInd w:val="0"/>
        <w:spacing w:line="560" w:lineRule="exact"/>
        <w:jc w:val="both"/>
        <w:rPr>
          <w:rFonts w:hint="eastAsia" w:ascii="仿宋_GB2312" w:hAnsi="黑体" w:eastAsia="仿宋_GB2312" w:cs="仿宋_GB2312"/>
          <w:kern w:val="0"/>
          <w:sz w:val="32"/>
          <w:szCs w:val="32"/>
        </w:rPr>
      </w:pPr>
    </w:p>
    <w:p>
      <w:pPr>
        <w:autoSpaceDE w:val="0"/>
        <w:autoSpaceDN w:val="0"/>
        <w:adjustRightInd w:val="0"/>
        <w:spacing w:line="560" w:lineRule="exact"/>
        <w:jc w:val="both"/>
        <w:rPr>
          <w:rFonts w:hint="eastAsia" w:ascii="仿宋_GB2312" w:hAnsi="黑体" w:eastAsia="仿宋_GB2312"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rPr>
        <w:t>环江毛南族自治县水源镇中心幼儿园202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306.35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0.39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111.3</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195.05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kern w:val="0"/>
          <w:sz w:val="32"/>
          <w:szCs w:val="32"/>
        </w:rPr>
        <w:t>环江毛南族自治县水源镇中心幼儿园202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293.88</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306.35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104</w:t>
      </w:r>
      <w:r>
        <w:rPr>
          <w:rFonts w:hint="eastAsia" w:ascii="仿宋_GB2312" w:hAnsi="黑体" w:eastAsia="仿宋_GB2312" w:cs="仿宋_GB2312"/>
          <w:kern w:val="0"/>
          <w:sz w:val="32"/>
          <w:szCs w:val="32"/>
        </w:rPr>
        <w:t>%。</w:t>
      </w: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一般公共服务支出（201 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1.82</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1.82</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主要用于幼儿园工会经费，支付工会人员经费和办公费等</w:t>
      </w:r>
      <w:r>
        <w:rPr>
          <w:rFonts w:hint="eastAsia" w:ascii="仿宋_GB2312" w:eastAsia="仿宋_GB2312" w:cs="仿宋_GB2312"/>
          <w:kern w:val="0"/>
          <w:sz w:val="32"/>
          <w:szCs w:val="32"/>
          <w:lang w:eastAsia="zh-CN"/>
        </w:rPr>
        <w:t>。</w:t>
      </w:r>
    </w:p>
    <w:tbl>
      <w:tblPr>
        <w:tblStyle w:val="4"/>
        <w:tblW w:w="8524" w:type="dxa"/>
        <w:jc w:val="center"/>
        <w:tblLayout w:type="fixed"/>
        <w:tblCellMar>
          <w:top w:w="0" w:type="dxa"/>
          <w:left w:w="108" w:type="dxa"/>
          <w:bottom w:w="0" w:type="dxa"/>
          <w:right w:w="108" w:type="dxa"/>
        </w:tblCellMar>
      </w:tblPr>
      <w:tblGrid>
        <w:gridCol w:w="943"/>
        <w:gridCol w:w="1076"/>
        <w:gridCol w:w="994"/>
        <w:gridCol w:w="806"/>
        <w:gridCol w:w="1097"/>
        <w:gridCol w:w="1783"/>
        <w:gridCol w:w="1825"/>
      </w:tblGrid>
      <w:tr>
        <w:tblPrEx>
          <w:tblCellMar>
            <w:top w:w="0" w:type="dxa"/>
            <w:left w:w="108" w:type="dxa"/>
            <w:bottom w:w="0" w:type="dxa"/>
            <w:right w:w="108" w:type="dxa"/>
          </w:tblCellMar>
        </w:tblPrEx>
        <w:trPr>
          <w:trHeight w:val="634" w:hRule="atLeast"/>
          <w:jc w:val="center"/>
        </w:trPr>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jc w:val="center"/>
        </w:trPr>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教职工工会活动费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Cs w:val="21"/>
              </w:rPr>
            </w:pPr>
            <w:r>
              <w:rPr>
                <w:rFonts w:hint="eastAsia" w:ascii="仿宋" w:hAnsi="仿宋" w:eastAsia="仿宋" w:cs="仿宋"/>
                <w:szCs w:val="21"/>
              </w:rPr>
              <w:t>无差异</w:t>
            </w:r>
          </w:p>
        </w:tc>
      </w:tr>
      <w:tr>
        <w:tblPrEx>
          <w:tblCellMar>
            <w:top w:w="0" w:type="dxa"/>
            <w:left w:w="108" w:type="dxa"/>
            <w:bottom w:w="0" w:type="dxa"/>
            <w:right w:w="108" w:type="dxa"/>
          </w:tblCellMar>
        </w:tblPrEx>
        <w:trPr>
          <w:trHeight w:val="614" w:hRule="atLeast"/>
          <w:jc w:val="center"/>
        </w:trPr>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r>
        <w:rPr>
          <w:rFonts w:hint="eastAsia" w:ascii="仿宋" w:hAnsi="仿宋" w:eastAsia="仿宋"/>
          <w:sz w:val="32"/>
          <w:szCs w:val="32"/>
        </w:rPr>
        <w:drawing>
          <wp:anchor distT="0" distB="0" distL="0" distR="0" simplePos="0" relativeHeight="251661312" behindDoc="1" locked="0" layoutInCell="1" allowOverlap="1">
            <wp:simplePos x="0" y="0"/>
            <wp:positionH relativeFrom="column">
              <wp:posOffset>59690</wp:posOffset>
            </wp:positionH>
            <wp:positionV relativeFrom="paragraph">
              <wp:posOffset>176530</wp:posOffset>
            </wp:positionV>
            <wp:extent cx="5486400" cy="3200400"/>
            <wp:effectExtent l="6350" t="6350" r="12700" b="1270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lang w:eastAsia="zh-CN"/>
        </w:rPr>
      </w:pP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教育支出（205 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265.78万元，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280.45万元，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105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 xml:space="preserve"> </w:t>
      </w: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 xml:space="preserve">    </w:t>
      </w:r>
    </w:p>
    <w:tbl>
      <w:tblPr>
        <w:tblStyle w:val="4"/>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265.78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280.45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人员增加，调整工资标准。</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265.78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280.45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 xml:space="preserve">        </w:t>
      </w: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val="en-US"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val="en-US" w:eastAsia="zh-CN"/>
        </w:rPr>
      </w:pPr>
      <w:r>
        <w:rPr>
          <w:rFonts w:hint="eastAsia" w:ascii="仿宋" w:hAnsi="仿宋" w:eastAsia="仿宋"/>
          <w:sz w:val="32"/>
          <w:szCs w:val="32"/>
        </w:rPr>
        <w:drawing>
          <wp:anchor distT="0" distB="0" distL="0" distR="0" simplePos="0" relativeHeight="251662336" behindDoc="1" locked="0" layoutInCell="1" allowOverlap="1">
            <wp:simplePos x="0" y="0"/>
            <wp:positionH relativeFrom="column">
              <wp:posOffset>48895</wp:posOffset>
            </wp:positionH>
            <wp:positionV relativeFrom="paragraph">
              <wp:posOffset>-596900</wp:posOffset>
            </wp:positionV>
            <wp:extent cx="5582920" cy="3263265"/>
            <wp:effectExtent l="6350" t="6350" r="11430" b="6985"/>
            <wp:wrapTight wrapText="bothSides">
              <wp:wrapPolygon>
                <wp:start x="-25" y="-42"/>
                <wp:lineTo x="-25" y="21520"/>
                <wp:lineTo x="21571" y="21520"/>
                <wp:lineTo x="21571" y="-42"/>
                <wp:lineTo x="-25" y="-42"/>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val="en-US"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val="en-US" w:eastAsia="zh-CN"/>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hAnsi="黑体" w:eastAsia="仿宋_GB2312" w:cs="仿宋_GB2312"/>
          <w:kern w:val="0"/>
          <w:sz w:val="32"/>
          <w:szCs w:val="32"/>
          <w:lang w:val="en-US" w:eastAsia="zh-CN"/>
        </w:rPr>
        <w:t xml:space="preserve">            </w:t>
      </w: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社会保障和就业支出（208 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15万元，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8.77万元，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58.5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tbl>
      <w:tblPr>
        <w:tblStyle w:val="4"/>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58.5</w:t>
            </w:r>
            <w:r>
              <w:rPr>
                <w:rFonts w:hint="eastAsia" w:ascii="宋体" w:hAnsi="宋体" w:eastAsia="宋体" w:cs="宋体"/>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教职工基本养老保险缴费支出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年初预算缴费基数偏高</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58.5</w:t>
            </w:r>
            <w:r>
              <w:rPr>
                <w:rFonts w:hint="eastAsia" w:ascii="宋体" w:hAnsi="宋体" w:eastAsia="宋体" w:cs="宋体"/>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r>
        <w:rPr>
          <w:rFonts w:hint="eastAsia" w:ascii="仿宋" w:hAnsi="仿宋" w:eastAsia="仿宋"/>
          <w:sz w:val="32"/>
          <w:szCs w:val="32"/>
        </w:rPr>
        <w:drawing>
          <wp:anchor distT="0" distB="0" distL="0" distR="0" simplePos="0" relativeHeight="251663360" behindDoc="1" locked="0" layoutInCell="1" allowOverlap="1">
            <wp:simplePos x="0" y="0"/>
            <wp:positionH relativeFrom="column">
              <wp:posOffset>-132080</wp:posOffset>
            </wp:positionH>
            <wp:positionV relativeFrom="paragraph">
              <wp:posOffset>200025</wp:posOffset>
            </wp:positionV>
            <wp:extent cx="5612765" cy="3486150"/>
            <wp:effectExtent l="6350" t="6350" r="19685" b="12700"/>
            <wp:wrapTight wrapText="bothSides">
              <wp:wrapPolygon>
                <wp:start x="-24" y="-39"/>
                <wp:lineTo x="-24" y="21561"/>
                <wp:lineTo x="21529" y="21561"/>
                <wp:lineTo x="21529" y="-39"/>
                <wp:lineTo x="-24" y="-39"/>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default" w:ascii="仿宋_GB2312" w:eastAsia="仿宋_GB2312" w:cs="仿宋_GB2312"/>
          <w:kern w:val="0"/>
          <w:sz w:val="32"/>
          <w:szCs w:val="32"/>
          <w:lang w:val="en-US" w:eastAsia="zh-CN"/>
        </w:rPr>
        <w:t>住房保障支出（221 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11.27万元，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7.45万元，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66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p>
    <w:tbl>
      <w:tblPr>
        <w:tblStyle w:val="4"/>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11.27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66</w:t>
            </w:r>
            <w:r>
              <w:rPr>
                <w:rFonts w:hint="eastAsia" w:ascii="宋体" w:hAnsi="宋体" w:eastAsia="宋体" w:cs="宋体"/>
                <w:sz w:val="18"/>
                <w:szCs w:val="18"/>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教职工住房公积金支出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年初预算缴费基数偏高</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11.27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r>
        <w:rPr>
          <w:rFonts w:hint="eastAsia" w:ascii="仿宋" w:hAnsi="仿宋" w:eastAsia="仿宋"/>
          <w:sz w:val="32"/>
          <w:szCs w:val="32"/>
        </w:rPr>
        <w:drawing>
          <wp:anchor distT="0" distB="0" distL="0" distR="0" simplePos="0" relativeHeight="251664384" behindDoc="1" locked="0" layoutInCell="1" allowOverlap="1">
            <wp:simplePos x="0" y="0"/>
            <wp:positionH relativeFrom="column">
              <wp:posOffset>-99695</wp:posOffset>
            </wp:positionH>
            <wp:positionV relativeFrom="paragraph">
              <wp:posOffset>271145</wp:posOffset>
            </wp:positionV>
            <wp:extent cx="5697855" cy="3454400"/>
            <wp:effectExtent l="6350" t="6350" r="10795" b="635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0"/>
        </w:numPr>
        <w:autoSpaceDE w:val="0"/>
        <w:autoSpaceDN w:val="0"/>
        <w:adjustRightInd w:val="0"/>
        <w:spacing w:line="560" w:lineRule="exact"/>
        <w:jc w:val="both"/>
        <w:rPr>
          <w:rFonts w:hint="eastAsia" w:ascii="仿宋_GB2312" w:hAnsi="黑体" w:eastAsia="仿宋_GB2312" w:cs="仿宋_GB2312"/>
          <w:kern w:val="0"/>
          <w:sz w:val="32"/>
          <w:szCs w:val="32"/>
          <w:lang w:eastAsia="zh-CN"/>
        </w:rPr>
      </w:pPr>
    </w:p>
    <w:p>
      <w:pPr>
        <w:numPr>
          <w:ilvl w:val="0"/>
          <w:numId w:val="1"/>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其他支出（229 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7.86万元</w:t>
      </w:r>
      <w:r>
        <w:rPr>
          <w:rFonts w:hint="eastAsia" w:ascii="仿宋_GB2312" w:hAnsi="黑体" w:eastAsia="仿宋_GB2312" w:cs="仿宋_GB2312"/>
          <w:kern w:val="0"/>
          <w:sz w:val="32"/>
          <w:szCs w:val="32"/>
          <w:lang w:eastAsia="zh-CN"/>
        </w:rPr>
        <w:t>。</w:t>
      </w:r>
    </w:p>
    <w:tbl>
      <w:tblPr>
        <w:tblStyle w:val="4"/>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发放绩效考评奖金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此部分资金由上级部门预算直接下达，本部门无需做预算。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numPr>
          <w:ilvl w:val="0"/>
          <w:numId w:val="0"/>
        </w:numPr>
        <w:autoSpaceDE w:val="0"/>
        <w:autoSpaceDN w:val="0"/>
        <w:adjustRightInd w:val="0"/>
        <w:spacing w:line="560" w:lineRule="exact"/>
        <w:jc w:val="both"/>
        <w:rPr>
          <w:rFonts w:hint="eastAsia" w:ascii="仿宋_GB2312" w:eastAsia="仿宋_GB2312" w:cs="仿宋_GB2312"/>
          <w:kern w:val="0"/>
          <w:sz w:val="32"/>
          <w:szCs w:val="32"/>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rPr>
      </w:pPr>
    </w:p>
    <w:p>
      <w:pPr>
        <w:numPr>
          <w:ilvl w:val="0"/>
          <w:numId w:val="0"/>
        </w:numPr>
        <w:autoSpaceDE w:val="0"/>
        <w:autoSpaceDN w:val="0"/>
        <w:adjustRightInd w:val="0"/>
        <w:spacing w:line="560" w:lineRule="exact"/>
        <w:jc w:val="both"/>
        <w:rPr>
          <w:rFonts w:hint="eastAsia" w:ascii="仿宋_GB2312" w:eastAsia="仿宋_GB2312" w:cs="仿宋_GB2312"/>
          <w:b/>
          <w:bCs/>
          <w:kern w:val="0"/>
          <w:sz w:val="32"/>
          <w:szCs w:val="32"/>
        </w:rPr>
      </w:pPr>
      <w:r>
        <w:rPr>
          <w:rFonts w:hint="eastAsia" w:ascii="仿宋" w:hAnsi="仿宋" w:eastAsia="仿宋"/>
          <w:b/>
          <w:bCs/>
          <w:sz w:val="32"/>
          <w:szCs w:val="32"/>
        </w:rPr>
        <w:drawing>
          <wp:anchor distT="0" distB="0" distL="0" distR="0" simplePos="0" relativeHeight="251664384" behindDoc="1" locked="0" layoutInCell="1" allowOverlap="1">
            <wp:simplePos x="0" y="0"/>
            <wp:positionH relativeFrom="column">
              <wp:posOffset>17145</wp:posOffset>
            </wp:positionH>
            <wp:positionV relativeFrom="paragraph">
              <wp:posOffset>-734695</wp:posOffset>
            </wp:positionV>
            <wp:extent cx="5486400" cy="3200400"/>
            <wp:effectExtent l="6350" t="6350" r="12700" b="12700"/>
            <wp:wrapTight wrapText="bothSides">
              <wp:wrapPolygon>
                <wp:start x="-25" y="-43"/>
                <wp:lineTo x="-25" y="21557"/>
                <wp:lineTo x="21575" y="21557"/>
                <wp:lineTo x="21575" y="-43"/>
                <wp:lineTo x="-25" y="-43"/>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rPr>
      </w:pP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111.3</w:t>
      </w:r>
      <w:r>
        <w:rPr>
          <w:rFonts w:hint="eastAsia" w:ascii="仿宋_GB2312" w:eastAsia="仿宋_GB2312" w:cs="仿宋_GB2312"/>
          <w:kern w:val="0"/>
          <w:sz w:val="32"/>
          <w:szCs w:val="32"/>
        </w:rPr>
        <w:t>万元，支出具体情况如下：</w:t>
      </w:r>
    </w:p>
    <w:p>
      <w:pPr>
        <w:numPr>
          <w:ilvl w:val="0"/>
          <w:numId w:val="2"/>
        </w:numPr>
        <w:jc w:val="left"/>
        <w:rPr>
          <w:rFonts w:hint="eastAsia" w:ascii="仿宋_GB2312" w:eastAsia="仿宋_GB2312"/>
          <w:bCs/>
          <w:kern w:val="0"/>
          <w:sz w:val="32"/>
          <w:szCs w:val="32"/>
        </w:rPr>
      </w:pP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109.48</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95</w:t>
      </w:r>
      <w:r>
        <w:rPr>
          <w:rFonts w:hint="eastAsia" w:ascii="仿宋_GB2312" w:eastAsia="仿宋_GB2312"/>
          <w:bCs/>
          <w:kern w:val="0"/>
          <w:sz w:val="32"/>
          <w:szCs w:val="32"/>
        </w:rPr>
        <w:t xml:space="preserve"> %。</w:t>
      </w:r>
      <w:r>
        <w:rPr>
          <w:rFonts w:hint="eastAsia" w:ascii="仿宋" w:hAnsi="仿宋" w:eastAsia="仿宋" w:cs="仿宋"/>
          <w:sz w:val="32"/>
          <w:szCs w:val="32"/>
        </w:rPr>
        <w:t>主要原因是：本部门2023年度新公招</w:t>
      </w:r>
      <w:r>
        <w:rPr>
          <w:rFonts w:hint="eastAsia" w:ascii="仿宋" w:hAnsi="仿宋" w:eastAsia="仿宋" w:cs="仿宋"/>
          <w:sz w:val="32"/>
          <w:szCs w:val="32"/>
          <w:lang w:val="en-US" w:eastAsia="zh-CN"/>
        </w:rPr>
        <w:t>7</w:t>
      </w:r>
      <w:r>
        <w:rPr>
          <w:rFonts w:hint="eastAsia" w:ascii="仿宋" w:hAnsi="仿宋" w:eastAsia="仿宋" w:cs="仿宋"/>
          <w:sz w:val="32"/>
          <w:szCs w:val="32"/>
        </w:rPr>
        <w:t>名教师控制数；2023年度调整工资标准；职工五险一金基数调整。</w:t>
      </w:r>
      <w:r>
        <w:rPr>
          <w:rFonts w:hint="eastAsia" w:ascii="仿宋" w:hAnsi="仿宋" w:eastAsia="仿宋"/>
          <w:sz w:val="32"/>
          <w:szCs w:val="32"/>
        </w:rPr>
        <w:t>支出具体情况如下</w:t>
      </w:r>
      <w:r>
        <w:rPr>
          <w:rFonts w:hint="eastAsia" w:ascii="仿宋" w:hAnsi="仿宋" w:eastAsia="仿宋" w:cs="仿宋"/>
          <w:sz w:val="32"/>
          <w:szCs w:val="32"/>
        </w:rPr>
        <w:t>：30101基本工资</w:t>
      </w:r>
      <w:r>
        <w:rPr>
          <w:rFonts w:hint="eastAsia" w:ascii="仿宋" w:hAnsi="仿宋" w:eastAsia="仿宋" w:cs="仿宋"/>
          <w:sz w:val="32"/>
          <w:szCs w:val="32"/>
          <w:lang w:val="en-US" w:eastAsia="zh-CN"/>
        </w:rPr>
        <w:t>42.08</w:t>
      </w:r>
      <w:r>
        <w:rPr>
          <w:rFonts w:hint="eastAsia" w:ascii="仿宋" w:hAnsi="仿宋" w:eastAsia="仿宋" w:cs="仿宋"/>
          <w:sz w:val="32"/>
          <w:szCs w:val="32"/>
        </w:rPr>
        <w:t>万元，30102津贴补贴</w:t>
      </w:r>
      <w:r>
        <w:rPr>
          <w:rFonts w:hint="eastAsia" w:ascii="仿宋" w:hAnsi="仿宋" w:eastAsia="仿宋" w:cs="仿宋"/>
          <w:sz w:val="32"/>
          <w:szCs w:val="32"/>
          <w:lang w:val="en-US" w:eastAsia="zh-CN"/>
        </w:rPr>
        <w:t>7.69</w:t>
      </w:r>
      <w:r>
        <w:rPr>
          <w:rFonts w:hint="eastAsia" w:ascii="仿宋" w:hAnsi="仿宋" w:eastAsia="仿宋" w:cs="仿宋"/>
          <w:sz w:val="32"/>
          <w:szCs w:val="32"/>
        </w:rPr>
        <w:t>万元，30103奖金</w:t>
      </w:r>
      <w:r>
        <w:rPr>
          <w:rFonts w:hint="eastAsia" w:ascii="仿宋" w:hAnsi="仿宋" w:eastAsia="仿宋" w:cs="仿宋"/>
          <w:sz w:val="32"/>
          <w:szCs w:val="32"/>
          <w:lang w:val="en-US" w:eastAsia="zh-CN"/>
        </w:rPr>
        <w:t>23.72</w:t>
      </w:r>
      <w:r>
        <w:rPr>
          <w:rFonts w:hint="eastAsia" w:ascii="仿宋" w:hAnsi="仿宋" w:eastAsia="仿宋" w:cs="仿宋"/>
          <w:sz w:val="32"/>
          <w:szCs w:val="32"/>
        </w:rPr>
        <w:t>万元，30107绩效工资</w:t>
      </w:r>
      <w:r>
        <w:rPr>
          <w:rFonts w:hint="eastAsia" w:ascii="仿宋" w:hAnsi="仿宋" w:eastAsia="仿宋" w:cs="仿宋"/>
          <w:sz w:val="32"/>
          <w:szCs w:val="32"/>
          <w:lang w:val="en-US" w:eastAsia="zh-CN"/>
        </w:rPr>
        <w:t>15.73</w:t>
      </w:r>
      <w:r>
        <w:rPr>
          <w:rFonts w:hint="eastAsia" w:ascii="仿宋" w:hAnsi="仿宋" w:eastAsia="仿宋" w:cs="仿宋"/>
          <w:sz w:val="32"/>
          <w:szCs w:val="32"/>
        </w:rPr>
        <w:t>万元，30108机关事业单位基本养老保险缴费</w:t>
      </w:r>
      <w:r>
        <w:rPr>
          <w:rFonts w:hint="eastAsia" w:ascii="仿宋" w:hAnsi="仿宋" w:eastAsia="仿宋" w:cs="仿宋"/>
          <w:sz w:val="32"/>
          <w:szCs w:val="32"/>
          <w:lang w:val="en-US" w:eastAsia="zh-CN"/>
        </w:rPr>
        <w:t>8.77</w:t>
      </w:r>
      <w:r>
        <w:rPr>
          <w:rFonts w:hint="eastAsia" w:ascii="仿宋" w:hAnsi="仿宋" w:eastAsia="仿宋" w:cs="仿宋"/>
          <w:sz w:val="32"/>
          <w:szCs w:val="32"/>
        </w:rPr>
        <w:t>万元，30110职工基本医疗保险缴费</w:t>
      </w:r>
      <w:r>
        <w:rPr>
          <w:rFonts w:hint="eastAsia" w:ascii="仿宋" w:hAnsi="仿宋" w:eastAsia="仿宋" w:cs="仿宋"/>
          <w:sz w:val="32"/>
          <w:szCs w:val="32"/>
          <w:lang w:val="en-US" w:eastAsia="zh-CN"/>
        </w:rPr>
        <w:t>3.64</w:t>
      </w:r>
      <w:r>
        <w:rPr>
          <w:rFonts w:hint="eastAsia" w:ascii="仿宋" w:hAnsi="仿宋" w:eastAsia="仿宋" w:cs="仿宋"/>
          <w:sz w:val="32"/>
          <w:szCs w:val="32"/>
        </w:rPr>
        <w:t>万元，30112其他社会保障缴费</w:t>
      </w:r>
      <w:r>
        <w:rPr>
          <w:rFonts w:hint="eastAsia" w:ascii="仿宋" w:hAnsi="仿宋" w:eastAsia="仿宋" w:cs="仿宋"/>
          <w:sz w:val="32"/>
          <w:szCs w:val="32"/>
          <w:lang w:val="en-US" w:eastAsia="zh-CN"/>
        </w:rPr>
        <w:t>0.4</w:t>
      </w:r>
      <w:r>
        <w:rPr>
          <w:rFonts w:hint="eastAsia" w:ascii="仿宋" w:hAnsi="仿宋" w:eastAsia="仿宋" w:cs="仿宋"/>
          <w:sz w:val="32"/>
          <w:szCs w:val="32"/>
        </w:rPr>
        <w:t>万元，30113住房公积金</w:t>
      </w:r>
      <w:r>
        <w:rPr>
          <w:rFonts w:hint="eastAsia" w:ascii="仿宋" w:hAnsi="仿宋" w:eastAsia="仿宋" w:cs="仿宋"/>
          <w:sz w:val="32"/>
          <w:szCs w:val="32"/>
          <w:lang w:val="en-US" w:eastAsia="zh-CN"/>
        </w:rPr>
        <w:t>7.45</w:t>
      </w:r>
      <w:r>
        <w:rPr>
          <w:rFonts w:hint="eastAsia" w:ascii="仿宋" w:hAnsi="仿宋" w:eastAsia="仿宋" w:cs="仿宋"/>
          <w:sz w:val="32"/>
          <w:szCs w:val="32"/>
        </w:rPr>
        <w:t>万元。</w:t>
      </w:r>
    </w:p>
    <w:p>
      <w:pPr>
        <w:numPr>
          <w:ilvl w:val="0"/>
          <w:numId w:val="0"/>
        </w:numPr>
        <w:ind w:left="420" w:leftChars="0"/>
        <w:jc w:val="left"/>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939665" cy="2399665"/>
            <wp:effectExtent l="5080" t="4445" r="8255" b="15240"/>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2"/>
        </w:numPr>
        <w:jc w:val="left"/>
        <w:rPr>
          <w:rFonts w:hint="eastAsia" w:ascii="仿宋_GB2312" w:eastAsia="仿宋_GB2312"/>
          <w:bCs/>
          <w:kern w:val="0"/>
          <w:sz w:val="32"/>
          <w:szCs w:val="32"/>
        </w:rPr>
      </w:pPr>
      <w:r>
        <w:rPr>
          <w:rFonts w:hint="eastAsia" w:ascii="仿宋_GB2312" w:eastAsia="仿宋_GB2312"/>
          <w:bCs/>
          <w:kern w:val="0"/>
          <w:sz w:val="32"/>
          <w:szCs w:val="32"/>
          <w:lang w:val="en-US" w:eastAsia="zh-CN"/>
        </w:rPr>
        <w:t>商品和服务支出1.82</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bCs/>
          <w:kern w:val="0"/>
          <w:sz w:val="32"/>
          <w:szCs w:val="32"/>
          <w:lang w:eastAsia="zh-CN"/>
        </w:rPr>
        <w:t>。</w:t>
      </w:r>
    </w:p>
    <w:p>
      <w:pPr>
        <w:ind w:firstLine="640" w:firstLineChars="200"/>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：30228工会经费</w:t>
      </w:r>
      <w:r>
        <w:rPr>
          <w:rFonts w:hint="eastAsia" w:ascii="仿宋" w:hAnsi="仿宋" w:eastAsia="仿宋" w:cs="仿宋"/>
          <w:sz w:val="32"/>
          <w:szCs w:val="32"/>
          <w:lang w:val="en-US" w:eastAsia="zh-CN"/>
        </w:rPr>
        <w:t>1.82</w:t>
      </w:r>
      <w:r>
        <w:rPr>
          <w:rFonts w:hint="eastAsia" w:ascii="仿宋" w:hAnsi="仿宋" w:eastAsia="仿宋" w:cs="仿宋"/>
          <w:sz w:val="32"/>
          <w:szCs w:val="32"/>
        </w:rPr>
        <w:t>万元。</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3"/>
        </w:numPr>
        <w:ind w:left="1050" w:leftChars="0" w:firstLineChars="0"/>
        <w:jc w:val="left"/>
        <w:rPr>
          <w:rFonts w:hint="eastAsia" w:ascii="仿宋" w:hAnsi="仿宋" w:eastAsia="仿宋" w:cs="仿宋"/>
          <w:sz w:val="32"/>
          <w:szCs w:val="32"/>
        </w:rPr>
      </w:pPr>
      <w:r>
        <w:rPr>
          <w:rFonts w:hint="eastAsia" w:ascii="仿宋" w:hAnsi="仿宋" w:eastAsia="仿宋" w:cs="仿宋"/>
          <w:sz w:val="32"/>
          <w:szCs w:val="32"/>
        </w:rPr>
        <w:t>对个人和家庭的补助</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主要原因是：本单位无对个人和家庭的补助。支出具体情况如下：</w:t>
      </w:r>
    </w:p>
    <w:p>
      <w:pPr>
        <w:widowControl w:val="0"/>
        <w:numPr>
          <w:ilvl w:val="0"/>
          <w:numId w:val="0"/>
        </w:numPr>
        <w:jc w:val="left"/>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5408" behindDoc="1" locked="0" layoutInCell="1" allowOverlap="1">
            <wp:simplePos x="0" y="0"/>
            <wp:positionH relativeFrom="column">
              <wp:posOffset>523240</wp:posOffset>
            </wp:positionH>
            <wp:positionV relativeFrom="paragraph">
              <wp:posOffset>48260</wp:posOffset>
            </wp:positionV>
            <wp:extent cx="4474845" cy="3215640"/>
            <wp:effectExtent l="4445" t="4445" r="16510" b="18415"/>
            <wp:wrapTight wrapText="bothSides">
              <wp:wrapPolygon>
                <wp:start x="-21" y="-30"/>
                <wp:lineTo x="-21" y="21468"/>
                <wp:lineTo x="21496" y="21468"/>
                <wp:lineTo x="21496" y="-30"/>
                <wp:lineTo x="-21" y="-30"/>
              </wp:wrapPolygon>
            </wp:wrapTight>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widowControl w:val="0"/>
        <w:numPr>
          <w:ilvl w:val="0"/>
          <w:numId w:val="0"/>
        </w:numPr>
        <w:jc w:val="left"/>
        <w:rPr>
          <w:rFonts w:hint="eastAsia" w:ascii="仿宋" w:hAnsi="仿宋" w:eastAsia="仿宋" w:cs="仿宋"/>
          <w:sz w:val="32"/>
          <w:szCs w:val="32"/>
          <w:lang w:eastAsia="zh-CN"/>
        </w:rPr>
      </w:pPr>
    </w:p>
    <w:p>
      <w:pPr>
        <w:widowControl w:val="0"/>
        <w:numPr>
          <w:ilvl w:val="0"/>
          <w:numId w:val="0"/>
        </w:numPr>
        <w:jc w:val="left"/>
        <w:rPr>
          <w:rFonts w:hint="eastAsia" w:ascii="仿宋" w:hAnsi="仿宋" w:eastAsia="仿宋" w:cs="仿宋"/>
          <w:sz w:val="32"/>
          <w:szCs w:val="32"/>
          <w:lang w:eastAsia="zh-CN"/>
        </w:rPr>
      </w:pPr>
    </w:p>
    <w:p>
      <w:pPr>
        <w:widowControl w:val="0"/>
        <w:numPr>
          <w:ilvl w:val="0"/>
          <w:numId w:val="0"/>
        </w:numPr>
        <w:jc w:val="left"/>
        <w:rPr>
          <w:rFonts w:hint="eastAsia" w:ascii="仿宋" w:hAnsi="仿宋" w:eastAsia="仿宋" w:cs="仿宋"/>
          <w:sz w:val="32"/>
          <w:szCs w:val="32"/>
          <w:lang w:eastAsia="zh-CN"/>
        </w:rPr>
      </w:pPr>
    </w:p>
    <w:p>
      <w:pPr>
        <w:widowControl w:val="0"/>
        <w:numPr>
          <w:ilvl w:val="0"/>
          <w:numId w:val="0"/>
        </w:numPr>
        <w:jc w:val="left"/>
        <w:rPr>
          <w:rFonts w:hint="eastAsia" w:ascii="仿宋" w:hAnsi="仿宋" w:eastAsia="仿宋" w:cs="仿宋"/>
          <w:sz w:val="32"/>
          <w:szCs w:val="32"/>
          <w:lang w:eastAsia="zh-CN"/>
        </w:rPr>
      </w:pPr>
    </w:p>
    <w:p>
      <w:pPr>
        <w:widowControl w:val="0"/>
        <w:numPr>
          <w:ilvl w:val="0"/>
          <w:numId w:val="0"/>
        </w:numPr>
        <w:jc w:val="left"/>
        <w:rPr>
          <w:rFonts w:hint="eastAsia" w:ascii="仿宋" w:hAnsi="仿宋" w:eastAsia="仿宋" w:cs="仿宋"/>
          <w:sz w:val="32"/>
          <w:szCs w:val="32"/>
          <w:lang w:eastAsia="zh-CN"/>
        </w:rPr>
      </w:pPr>
    </w:p>
    <w:p>
      <w:pPr>
        <w:widowControl w:val="0"/>
        <w:numPr>
          <w:ilvl w:val="0"/>
          <w:numId w:val="0"/>
        </w:numPr>
        <w:jc w:val="left"/>
        <w:rPr>
          <w:rFonts w:hint="eastAsia" w:ascii="仿宋" w:hAnsi="仿宋" w:eastAsia="仿宋" w:cs="仿宋"/>
          <w:sz w:val="32"/>
          <w:szCs w:val="32"/>
          <w:lang w:eastAsia="zh-CN"/>
        </w:rPr>
      </w:pPr>
    </w:p>
    <w:p>
      <w:pPr>
        <w:widowControl w:val="0"/>
        <w:numPr>
          <w:ilvl w:val="0"/>
          <w:numId w:val="0"/>
        </w:numPr>
        <w:jc w:val="left"/>
        <w:rPr>
          <w:rFonts w:hint="eastAsia" w:ascii="仿宋" w:hAnsi="仿宋" w:eastAsia="仿宋" w:cs="仿宋"/>
          <w:sz w:val="32"/>
          <w:szCs w:val="32"/>
          <w:lang w:eastAsia="zh-CN"/>
        </w:rPr>
      </w:pPr>
    </w:p>
    <w:p>
      <w:pPr>
        <w:widowControl w:val="0"/>
        <w:numPr>
          <w:ilvl w:val="0"/>
          <w:numId w:val="0"/>
        </w:numPr>
        <w:jc w:val="left"/>
        <w:rPr>
          <w:rFonts w:hint="eastAsia" w:ascii="仿宋" w:hAnsi="仿宋" w:eastAsia="仿宋" w:cs="仿宋"/>
          <w:sz w:val="32"/>
          <w:szCs w:val="32"/>
          <w:lang w:eastAsia="zh-CN"/>
        </w:rPr>
      </w:pPr>
    </w:p>
    <w:p>
      <w:pPr>
        <w:numPr>
          <w:ilvl w:val="0"/>
          <w:numId w:val="0"/>
        </w:numPr>
        <w:ind w:left="420" w:leftChars="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主要原因是：无债务利息及费用支出。</w:t>
      </w:r>
    </w:p>
    <w:p>
      <w:pPr>
        <w:jc w:val="left"/>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6432" behindDoc="1" locked="0" layoutInCell="1" allowOverlap="1">
            <wp:simplePos x="0" y="0"/>
            <wp:positionH relativeFrom="column">
              <wp:posOffset>607695</wp:posOffset>
            </wp:positionH>
            <wp:positionV relativeFrom="paragraph">
              <wp:posOffset>391795</wp:posOffset>
            </wp:positionV>
            <wp:extent cx="4474845" cy="3215640"/>
            <wp:effectExtent l="4445" t="4445" r="16510" b="18415"/>
            <wp:wrapTight wrapText="bothSides">
              <wp:wrapPolygon>
                <wp:start x="-21" y="-30"/>
                <wp:lineTo x="-21" y="21468"/>
                <wp:lineTo x="21496" y="21468"/>
                <wp:lineTo x="21496" y="-30"/>
                <wp:lineTo x="-21" y="-30"/>
              </wp:wrapPolygon>
            </wp:wrapTight>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s="仿宋"/>
          <w:sz w:val="32"/>
          <w:szCs w:val="32"/>
        </w:rPr>
        <w:t>支出具体情况如下：</w:t>
      </w:r>
    </w:p>
    <w:p>
      <w:pPr>
        <w:widowControl w:val="0"/>
        <w:numPr>
          <w:ilvl w:val="0"/>
          <w:numId w:val="0"/>
        </w:numPr>
        <w:ind w:firstLine="640" w:firstLineChars="200"/>
        <w:jc w:val="left"/>
        <w:rPr>
          <w:rFonts w:hint="default"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rPr>
      </w:pPr>
    </w:p>
    <w:p>
      <w:pPr>
        <w:widowControl w:val="0"/>
        <w:numPr>
          <w:ilvl w:val="0"/>
          <w:numId w:val="0"/>
        </w:numPr>
        <w:jc w:val="left"/>
        <w:rPr>
          <w:rFonts w:hint="eastAsia" w:ascii="仿宋" w:hAnsi="仿宋" w:eastAsia="仿宋" w:cs="仿宋"/>
          <w:sz w:val="32"/>
          <w:szCs w:val="32"/>
        </w:rPr>
      </w:pPr>
    </w:p>
    <w:p>
      <w:pPr>
        <w:numPr>
          <w:ilvl w:val="0"/>
          <w:numId w:val="0"/>
        </w:numPr>
        <w:jc w:val="left"/>
        <w:rPr>
          <w:rFonts w:hint="eastAsia" w:ascii="仿宋" w:hAnsi="仿宋" w:eastAsia="仿宋" w:cs="仿宋"/>
          <w:sz w:val="32"/>
          <w:szCs w:val="32"/>
        </w:rPr>
      </w:pPr>
    </w:p>
    <w:p>
      <w:pPr>
        <w:numPr>
          <w:ilvl w:val="0"/>
          <w:numId w:val="0"/>
        </w:numPr>
        <w:jc w:val="left"/>
        <w:rPr>
          <w:rFonts w:hint="eastAsia" w:ascii="仿宋" w:hAnsi="仿宋" w:eastAsia="仿宋" w:cs="仿宋"/>
          <w:sz w:val="32"/>
          <w:szCs w:val="32"/>
        </w:rPr>
      </w:pPr>
    </w:p>
    <w:p>
      <w:pPr>
        <w:numPr>
          <w:ilvl w:val="0"/>
          <w:numId w:val="0"/>
        </w:numPr>
        <w:jc w:val="left"/>
        <w:rPr>
          <w:rFonts w:hint="eastAsia" w:ascii="仿宋" w:hAnsi="仿宋" w:eastAsia="仿宋" w:cs="仿宋"/>
          <w:sz w:val="32"/>
          <w:szCs w:val="32"/>
        </w:rPr>
      </w:pPr>
    </w:p>
    <w:p>
      <w:pPr>
        <w:numPr>
          <w:ilvl w:val="0"/>
          <w:numId w:val="0"/>
        </w:numPr>
        <w:jc w:val="left"/>
        <w:rPr>
          <w:rFonts w:hint="eastAsia" w:ascii="仿宋" w:hAnsi="仿宋" w:eastAsia="仿宋" w:cs="仿宋"/>
          <w:sz w:val="32"/>
          <w:szCs w:val="32"/>
        </w:rPr>
      </w:pPr>
    </w:p>
    <w:p>
      <w:pPr>
        <w:ind w:firstLine="640" w:firstLineChars="200"/>
        <w:jc w:val="left"/>
        <w:rPr>
          <w:rFonts w:hint="default" w:ascii="仿宋" w:hAnsi="仿宋" w:eastAsia="仿宋" w:cs="仿宋"/>
          <w:sz w:val="32"/>
          <w:szCs w:val="32"/>
          <w:lang w:val="en-US" w:eastAsia="zh-CN"/>
        </w:rPr>
      </w:pPr>
    </w:p>
    <w:p>
      <w:pPr>
        <w:autoSpaceDE w:val="0"/>
        <w:autoSpaceDN w:val="0"/>
        <w:adjustRightInd w:val="0"/>
        <w:spacing w:line="560" w:lineRule="exact"/>
        <w:jc w:val="both"/>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 xml:space="preserve"> </w:t>
      </w:r>
    </w:p>
    <w:p>
      <w:pPr>
        <w:numPr>
          <w:ilvl w:val="0"/>
          <w:numId w:val="0"/>
        </w:numPr>
        <w:ind w:left="420" w:leftChars="0"/>
        <w:jc w:val="left"/>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资本性支出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主要原因是：无资本性支出。</w:t>
      </w:r>
    </w:p>
    <w:p>
      <w:pPr>
        <w:jc w:val="left"/>
        <w:rPr>
          <w:rFonts w:hint="eastAsia" w:ascii="仿宋" w:hAnsi="仿宋" w:eastAsia="仿宋" w:cs="仿宋"/>
          <w:sz w:val="32"/>
          <w:szCs w:val="32"/>
        </w:rPr>
      </w:pPr>
      <w:r>
        <w:rPr>
          <w:rFonts w:hint="eastAsia" w:ascii="仿宋" w:hAnsi="仿宋" w:eastAsia="仿宋" w:cs="仿宋"/>
          <w:sz w:val="32"/>
          <w:szCs w:val="32"/>
        </w:rPr>
        <w:t>支出具体情况如下：</w:t>
      </w:r>
    </w:p>
    <w:p>
      <w:pPr>
        <w:autoSpaceDE w:val="0"/>
        <w:autoSpaceDN w:val="0"/>
        <w:adjustRightInd w:val="0"/>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7456" behindDoc="1" locked="0" layoutInCell="1" allowOverlap="1">
            <wp:simplePos x="0" y="0"/>
            <wp:positionH relativeFrom="column">
              <wp:posOffset>469900</wp:posOffset>
            </wp:positionH>
            <wp:positionV relativeFrom="paragraph">
              <wp:posOffset>49530</wp:posOffset>
            </wp:positionV>
            <wp:extent cx="4686300" cy="2729230"/>
            <wp:effectExtent l="4445" t="5080" r="14605" b="889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autoSpaceDE w:val="0"/>
        <w:autoSpaceDN w:val="0"/>
        <w:adjustRightInd w:val="0"/>
        <w:spacing w:line="560" w:lineRule="exact"/>
        <w:ind w:firstLine="640" w:firstLineChars="200"/>
        <w:jc w:val="both"/>
        <w:rPr>
          <w:rFonts w:hint="eastAsia" w:ascii="仿宋" w:hAnsi="仿宋" w:eastAsia="仿宋" w:cs="仿宋"/>
          <w:sz w:val="32"/>
          <w:szCs w:val="32"/>
        </w:rPr>
      </w:pPr>
    </w:p>
    <w:p>
      <w:pPr>
        <w:autoSpaceDE w:val="0"/>
        <w:autoSpaceDN w:val="0"/>
        <w:adjustRightInd w:val="0"/>
        <w:spacing w:line="560" w:lineRule="exact"/>
        <w:ind w:firstLine="640" w:firstLineChars="200"/>
        <w:jc w:val="both"/>
        <w:rPr>
          <w:rFonts w:hint="eastAsia" w:ascii="仿宋" w:hAnsi="仿宋" w:eastAsia="仿宋" w:cs="仿宋"/>
          <w:sz w:val="32"/>
          <w:szCs w:val="32"/>
        </w:rPr>
      </w:pPr>
    </w:p>
    <w:p>
      <w:pPr>
        <w:autoSpaceDE w:val="0"/>
        <w:autoSpaceDN w:val="0"/>
        <w:adjustRightInd w:val="0"/>
        <w:spacing w:line="560" w:lineRule="exact"/>
        <w:ind w:firstLine="640" w:firstLineChars="200"/>
        <w:jc w:val="both"/>
        <w:rPr>
          <w:rFonts w:hint="eastAsia" w:ascii="仿宋" w:hAnsi="仿宋" w:eastAsia="仿宋" w:cs="仿宋"/>
          <w:sz w:val="32"/>
          <w:szCs w:val="32"/>
        </w:rPr>
      </w:pPr>
    </w:p>
    <w:p>
      <w:pPr>
        <w:autoSpaceDE w:val="0"/>
        <w:autoSpaceDN w:val="0"/>
        <w:adjustRightInd w:val="0"/>
        <w:spacing w:line="560" w:lineRule="exact"/>
        <w:jc w:val="both"/>
        <w:rPr>
          <w:rFonts w:hint="eastAsia" w:ascii="黑体" w:hAnsi="黑体" w:eastAsia="黑体" w:cs="仿宋_GB2312"/>
          <w:kern w:val="0"/>
          <w:sz w:val="32"/>
          <w:szCs w:val="32"/>
          <w:lang w:eastAsia="zh-CN"/>
        </w:rPr>
      </w:pPr>
    </w:p>
    <w:p>
      <w:pPr>
        <w:autoSpaceDE w:val="0"/>
        <w:autoSpaceDN w:val="0"/>
        <w:adjustRightInd w:val="0"/>
        <w:spacing w:line="560" w:lineRule="exact"/>
        <w:jc w:val="both"/>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 xml:space="preserve">  </w:t>
      </w:r>
    </w:p>
    <w:p>
      <w:pPr>
        <w:autoSpaceDE w:val="0"/>
        <w:autoSpaceDN w:val="0"/>
        <w:adjustRightInd w:val="0"/>
        <w:spacing w:line="560" w:lineRule="exact"/>
        <w:jc w:val="both"/>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 xml:space="preserve"> </w:t>
      </w:r>
    </w:p>
    <w:p>
      <w:pPr>
        <w:autoSpaceDE w:val="0"/>
        <w:autoSpaceDN w:val="0"/>
        <w:adjustRightInd w:val="0"/>
        <w:spacing w:line="560" w:lineRule="exact"/>
        <w:jc w:val="both"/>
        <w:rPr>
          <w:rFonts w:hint="eastAsia" w:ascii="黑体" w:hAnsi="黑体" w:eastAsia="黑体" w:cs="仿宋_GB2312"/>
          <w:kern w:val="0"/>
          <w:sz w:val="32"/>
          <w:szCs w:val="32"/>
          <w:lang w:val="en-US" w:eastAsia="zh-CN"/>
        </w:rPr>
      </w:pPr>
    </w:p>
    <w:p>
      <w:pPr>
        <w:numPr>
          <w:ilvl w:val="0"/>
          <w:numId w:val="0"/>
        </w:numPr>
        <w:ind w:left="420" w:leftChars="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主要原因是：无其他支出。</w:t>
      </w:r>
    </w:p>
    <w:p>
      <w:pPr>
        <w:jc w:val="left"/>
        <w:rPr>
          <w:rFonts w:hint="eastAsia" w:ascii="仿宋" w:hAnsi="仿宋" w:eastAsia="仿宋" w:cs="仿宋"/>
          <w:sz w:val="32"/>
          <w:szCs w:val="32"/>
        </w:rPr>
      </w:pPr>
      <w:r>
        <w:rPr>
          <w:rFonts w:hint="eastAsia" w:ascii="仿宋" w:hAnsi="仿宋" w:eastAsia="仿宋" w:cs="仿宋"/>
          <w:sz w:val="32"/>
          <w:szCs w:val="32"/>
        </w:rPr>
        <w:t>支出具体情况如下：</w:t>
      </w:r>
    </w:p>
    <w:p>
      <w:pPr>
        <w:jc w:val="left"/>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7456" behindDoc="1" locked="0" layoutInCell="1" allowOverlap="1">
            <wp:simplePos x="0" y="0"/>
            <wp:positionH relativeFrom="column">
              <wp:posOffset>643255</wp:posOffset>
            </wp:positionH>
            <wp:positionV relativeFrom="paragraph">
              <wp:posOffset>139065</wp:posOffset>
            </wp:positionV>
            <wp:extent cx="4474845" cy="3215640"/>
            <wp:effectExtent l="4445" t="4445" r="16510" b="18415"/>
            <wp:wrapNone/>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autoSpaceDE w:val="0"/>
        <w:autoSpaceDN w:val="0"/>
        <w:adjustRightInd w:val="0"/>
        <w:spacing w:line="560" w:lineRule="exact"/>
        <w:jc w:val="both"/>
        <w:rPr>
          <w:rFonts w:hint="eastAsia" w:ascii="黑体" w:hAnsi="黑体" w:eastAsia="黑体" w:cs="仿宋_GB2312"/>
          <w:kern w:val="0"/>
          <w:sz w:val="32"/>
          <w:szCs w:val="32"/>
          <w:lang w:val="en-US" w:eastAsia="zh-CN"/>
        </w:rPr>
      </w:pPr>
    </w:p>
    <w:p>
      <w:pPr>
        <w:autoSpaceDE w:val="0"/>
        <w:autoSpaceDN w:val="0"/>
        <w:adjustRightInd w:val="0"/>
        <w:spacing w:line="560" w:lineRule="exact"/>
        <w:jc w:val="both"/>
        <w:rPr>
          <w:rFonts w:hint="default" w:ascii="黑体" w:hAnsi="黑体" w:eastAsia="黑体" w:cs="仿宋_GB2312"/>
          <w:kern w:val="0"/>
          <w:sz w:val="32"/>
          <w:szCs w:val="32"/>
          <w:lang w:val="en-US" w:eastAsia="zh-CN"/>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pPr>
        <w:autoSpaceDE w:val="0"/>
        <w:autoSpaceDN w:val="0"/>
        <w:adjustRightInd w:val="0"/>
        <w:spacing w:line="560" w:lineRule="exact"/>
        <w:jc w:val="both"/>
        <w:rPr>
          <w:rFonts w:hint="eastAsia" w:ascii="黑体" w:hAnsi="黑体" w:eastAsia="黑体" w:cs="仿宋_GB2312"/>
          <w:kern w:val="0"/>
          <w:sz w:val="32"/>
          <w:szCs w:val="32"/>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环江毛南族自治县水源镇中心幼儿园</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kern w:val="0"/>
          <w:sz w:val="32"/>
          <w:szCs w:val="32"/>
        </w:rPr>
        <w:t>环江毛南族自治县水源镇中心幼儿园202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ind w:firstLine="640" w:firstLineChars="200"/>
        <w:jc w:val="left"/>
        <w:rPr>
          <w:rFonts w:hint="eastAsia" w:ascii="仿宋_GB2312" w:hAnsi="黑体" w:eastAsia="仿宋_GB2312" w:cs="仿宋_GB2312"/>
          <w:kern w:val="0"/>
          <w:sz w:val="32"/>
          <w:szCs w:val="32"/>
        </w:rPr>
      </w:pPr>
      <w:r>
        <w:rPr>
          <w:rFonts w:hint="eastAsia" w:ascii="仿宋_GB2312" w:hAnsi="Times New Roman" w:eastAsia="仿宋_GB2312" w:cs="Times New Roman"/>
          <w:sz w:val="32"/>
          <w:szCs w:val="32"/>
        </w:rPr>
        <w:t>环江毛南族自治县水源镇中心幼儿园</w:t>
      </w:r>
      <w:r>
        <w:rPr>
          <w:rFonts w:ascii="仿宋_GB2312" w:hAnsi="仿宋_GB2312" w:eastAsia="仿宋_GB2312" w:cs="仿宋_GB2312"/>
          <w:sz w:val="32"/>
        </w:rPr>
        <w:t>没有政府性基金收入，也没有政府性基金收入安排的支出</w:t>
      </w:r>
      <w:r>
        <w:rPr>
          <w:rFonts w:hint="eastAsia" w:ascii="仿宋_GB2312" w:hAnsi="Times New Roman" w:eastAsia="仿宋_GB2312" w:cs="Times New Roman"/>
          <w:sz w:val="32"/>
          <w:szCs w:val="32"/>
        </w:rPr>
        <w:t>。故本段落无表述。</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rPr>
        <w:t>环江毛南族自治县水源镇中心幼儿园202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ind w:firstLine="640" w:firstLineChars="200"/>
        <w:jc w:val="left"/>
        <w:rPr>
          <w:rFonts w:hint="eastAsia" w:ascii="仿宋_GB2312" w:hAnsi="黑体" w:eastAsia="仿宋_GB2312" w:cs="仿宋_GB2312"/>
          <w:kern w:val="0"/>
          <w:sz w:val="32"/>
          <w:szCs w:val="32"/>
        </w:rPr>
      </w:pPr>
      <w:r>
        <w:rPr>
          <w:rFonts w:hint="eastAsia" w:ascii="仿宋_GB2312" w:hAnsi="黑体" w:eastAsia="仿宋_GB2312"/>
          <w:kern w:val="0"/>
          <w:sz w:val="32"/>
          <w:szCs w:val="32"/>
        </w:rPr>
        <w:t>环江毛南族自治县水源镇中心幼儿园</w:t>
      </w:r>
      <w:r>
        <w:rPr>
          <w:rFonts w:hint="eastAsia" w:ascii="仿宋_GB2312" w:hAnsi="黑体" w:eastAsia="仿宋_GB2312"/>
          <w:kern w:val="0"/>
          <w:sz w:val="32"/>
          <w:szCs w:val="32"/>
          <w:lang w:val="en-US" w:eastAsia="zh-CN"/>
        </w:rPr>
        <w:t>2</w:t>
      </w:r>
      <w:r>
        <w:rPr>
          <w:rFonts w:hint="eastAsia" w:ascii="仿宋_GB2312" w:hAnsi="黑体" w:eastAsia="仿宋_GB2312"/>
          <w:kern w:val="0"/>
          <w:sz w:val="32"/>
          <w:szCs w:val="32"/>
        </w:rPr>
        <w:t>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ind w:firstLine="640" w:firstLineChars="200"/>
        <w:jc w:val="left"/>
        <w:rPr>
          <w:rFonts w:hint="eastAsia" w:ascii="仿宋_GB2312" w:eastAsia="仿宋_GB2312" w:cs="仿宋_GB2312"/>
          <w:kern w:val="0"/>
          <w:sz w:val="32"/>
          <w:szCs w:val="32"/>
        </w:rPr>
      </w:pPr>
      <w:r>
        <w:rPr>
          <w:rFonts w:hint="eastAsia" w:ascii="仿宋_GB2312" w:hAnsi="Times New Roman" w:eastAsia="仿宋_GB2312" w:cs="Times New Roman"/>
          <w:sz w:val="32"/>
          <w:szCs w:val="32"/>
        </w:rPr>
        <w:t>环江毛南族自治县水源镇中心幼儿园</w:t>
      </w:r>
      <w:r>
        <w:rPr>
          <w:rFonts w:ascii="仿宋_GB2312" w:hAnsi="仿宋_GB2312" w:eastAsia="仿宋_GB2312" w:cs="仿宋_GB2312"/>
          <w:sz w:val="32"/>
        </w:rPr>
        <w:t>没有</w:t>
      </w:r>
      <w:r>
        <w:rPr>
          <w:rFonts w:hint="eastAsia" w:ascii="仿宋_GB2312" w:hAnsi="仿宋_GB2312" w:eastAsia="仿宋_GB2312" w:cs="仿宋_GB2312"/>
          <w:sz w:val="32"/>
        </w:rPr>
        <w:t>国有资本经营预算</w:t>
      </w:r>
      <w:r>
        <w:rPr>
          <w:rFonts w:hint="eastAsia" w:ascii="仿宋_GB2312" w:hAnsi="仿宋_GB2312" w:eastAsia="仿宋_GB2312" w:cs="仿宋_GB2312"/>
          <w:sz w:val="32"/>
          <w:lang w:val="en-US" w:eastAsia="zh-CN"/>
        </w:rPr>
        <w:t>收入</w:t>
      </w:r>
      <w:r>
        <w:rPr>
          <w:rFonts w:ascii="仿宋_GB2312" w:hAnsi="仿宋_GB2312" w:eastAsia="仿宋_GB2312" w:cs="仿宋_GB2312"/>
          <w:sz w:val="32"/>
        </w:rPr>
        <w:t>，也没有</w:t>
      </w:r>
      <w:r>
        <w:rPr>
          <w:rFonts w:hint="eastAsia" w:ascii="仿宋_GB2312" w:hAnsi="仿宋_GB2312" w:eastAsia="仿宋_GB2312" w:cs="仿宋_GB2312"/>
          <w:sz w:val="32"/>
        </w:rPr>
        <w:t>度国有资本经营预算支</w:t>
      </w:r>
      <w:r>
        <w:rPr>
          <w:rFonts w:hint="eastAsia" w:ascii="仿宋_GB2312" w:hAnsi="仿宋_GB2312" w:eastAsia="仿宋_GB2312" w:cs="仿宋_GB2312"/>
          <w:sz w:val="32"/>
          <w:lang w:val="en-US" w:eastAsia="zh-CN"/>
        </w:rPr>
        <w:t>出</w:t>
      </w:r>
      <w:r>
        <w:rPr>
          <w:rFonts w:hint="eastAsia" w:ascii="仿宋_GB2312" w:hAnsi="Times New Roman" w:eastAsia="仿宋_GB2312" w:cs="Times New Roman"/>
          <w:sz w:val="32"/>
          <w:szCs w:val="32"/>
        </w:rPr>
        <w:t>。故本段落无表述。</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3" w:firstLineChars="200"/>
        <w:jc w:val="both"/>
        <w:rPr>
          <w:rFonts w:hint="default" w:ascii="仿宋_GB2312" w:eastAsia="仿宋_GB2312" w:cs="仿宋_GB2312"/>
          <w:b/>
          <w:bCs/>
          <w:kern w:val="0"/>
          <w:sz w:val="32"/>
          <w:szCs w:val="32"/>
          <w:lang w:val="en-US" w:eastAsia="zh-CN"/>
        </w:rPr>
      </w:pPr>
      <w:r>
        <w:rPr>
          <w:rFonts w:hint="eastAsia" w:ascii="仿宋_GB2312" w:eastAsia="仿宋_GB2312" w:cs="仿宋_GB2312"/>
          <w:b/>
          <w:bCs/>
          <w:kern w:val="0"/>
          <w:sz w:val="32"/>
          <w:szCs w:val="32"/>
          <w:lang w:val="en-US" w:eastAsia="zh-CN"/>
        </w:rPr>
        <w:t>2023年度部门决算“三公”经费支出统计口径（附表9同）为财政拨款（含一般公共预算财政拨款、政府性基金财政拨款、国有资本经营预算财政拨款），请各单位按此口径进行预决算、上下年数据的对比。</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4"/>
        </w:num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万元。全年使用财政拨款安排</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个所属单位出国团组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个，累计</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人次。</w:t>
      </w:r>
    </w:p>
    <w:p>
      <w:pPr>
        <w:numPr>
          <w:ilvl w:val="0"/>
          <w:numId w:val="0"/>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本单位无公务用车</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辆公务用车，主要用于。公务用车运行支出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万元。主要用于机要文件交换、市内因公出行以及开展</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业务所需车辆燃料费、维修费、过路过桥费、保险费等。202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eastAsia="仿宋_GB2312"/>
          <w:kern w:val="0"/>
          <w:sz w:val="32"/>
          <w:szCs w:val="32"/>
        </w:rPr>
        <w:t>环江毛南族自治县水源镇中心幼儿园</w:t>
      </w:r>
      <w:r>
        <w:rPr>
          <w:rFonts w:hint="eastAsia" w:ascii="仿宋_GB2312" w:eastAsia="仿宋_GB2312"/>
          <w:kern w:val="0"/>
          <w:sz w:val="32"/>
          <w:szCs w:val="32"/>
          <w:lang w:val="en-US" w:eastAsia="zh-CN"/>
        </w:rPr>
        <w:t>0</w:t>
      </w:r>
      <w:r>
        <w:rPr>
          <w:rFonts w:hint="eastAsia" w:ascii="仿宋_GB2312" w:hAnsi="黑体" w:eastAsia="仿宋_GB2312"/>
          <w:bCs/>
          <w:color w:val="000000"/>
          <w:sz w:val="32"/>
          <w:szCs w:val="32"/>
        </w:rPr>
        <w:t>个所属单位开支财政拨款的公务用车保有量为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 xml:space="preserve"> 辆，全年运行费支出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highlight w:val="yellow"/>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万元（与部门决算中行政单位和参照公务员法管理事业单位财政拨款基本支出中公用经费之和一致），比年初预算数增加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%，比上年决算数增加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%。主要原因是：</w:t>
      </w:r>
      <w:r>
        <w:rPr>
          <w:rFonts w:hint="eastAsia" w:ascii="仿宋_GB2312" w:eastAsia="仿宋_GB2312" w:cs="仿宋_GB2312"/>
          <w:b w:val="0"/>
          <w:bCs/>
          <w:kern w:val="0"/>
          <w:sz w:val="32"/>
          <w:szCs w:val="32"/>
          <w:highlight w:val="none"/>
        </w:rPr>
        <w:t>本部门无机关运行经费支出</w:t>
      </w:r>
      <w:r>
        <w:rPr>
          <w:rFonts w:hint="eastAsia" w:ascii="仿宋_GB2312" w:eastAsia="仿宋_GB2312" w:cs="仿宋_GB2312"/>
          <w:kern w:val="0"/>
          <w:sz w:val="32"/>
          <w:szCs w:val="32"/>
          <w:highlight w:val="none"/>
        </w:rPr>
        <w:t>。</w:t>
      </w:r>
    </w:p>
    <w:p>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楷体_GB2312" w:eastAsia="楷体_GB2312" w:cs="仿宋_GB2312"/>
          <w:kern w:val="0"/>
          <w:sz w:val="32"/>
          <w:szCs w:val="32"/>
        </w:rPr>
        <w:t>（二）政府采购支出情况说明。</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19.25</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19.25</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万元，（口径参见部门决算F03表《机构运行信息表》中政府采购相关数据）。授予中小企业合同金额</w:t>
      </w:r>
      <w:r>
        <w:rPr>
          <w:rFonts w:hint="eastAsia" w:ascii="仿宋_GB2312" w:eastAsia="仿宋_GB2312" w:cs="仿宋_GB2312"/>
          <w:kern w:val="0"/>
          <w:sz w:val="32"/>
          <w:szCs w:val="32"/>
          <w:lang w:val="en-US" w:eastAsia="zh-CN"/>
        </w:rPr>
        <w:t>19.25</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万元，占授予中小企业合同金额的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hAnsi="Times New Roman"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lang w:val="en-US" w:eastAsia="zh-CN"/>
        </w:rPr>
        <w:t xml:space="preserve"> </w:t>
      </w:r>
      <w:r>
        <w:rPr>
          <w:rFonts w:hint="eastAsia" w:ascii="仿宋_GB2312" w:hAnsi="Times New Roman"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highlight w:val="none"/>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辆，主要是</w:t>
      </w:r>
      <w:r>
        <w:rPr>
          <w:rFonts w:hint="eastAsia" w:ascii="仿宋_GB2312" w:eastAsia="仿宋_GB2312" w:cs="仿宋_GB2312"/>
          <w:kern w:val="0"/>
          <w:sz w:val="32"/>
          <w:szCs w:val="32"/>
          <w:lang w:val="en-US" w:eastAsia="zh-CN"/>
        </w:rPr>
        <w:t>本单位无车辆</w:t>
      </w:r>
      <w:r>
        <w:rPr>
          <w:rFonts w:hint="eastAsia" w:ascii="仿宋_GB2312" w:eastAsia="仿宋_GB2312" w:cs="仿宋_GB2312"/>
          <w:kern w:val="0"/>
          <w:sz w:val="32"/>
          <w:szCs w:val="32"/>
        </w:rPr>
        <w:t>；单位价值50万元以上通用设备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台（套）；单位价值100万元以上专用设备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320</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14</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223.33</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ind w:firstLine="640" w:firstLineChars="200"/>
        <w:jc w:val="left"/>
        <w:rPr>
          <w:rFonts w:hint="eastAsia" w:ascii="仿宋" w:hAnsi="仿宋" w:eastAsia="仿宋" w:cs="仿宋"/>
          <w:sz w:val="32"/>
          <w:szCs w:val="32"/>
          <w:highlight w:val="none"/>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个项目评为一等，涉及资金223.33万元，占项目总数比例</w:t>
      </w:r>
      <w:r>
        <w:rPr>
          <w:rFonts w:hint="eastAsia" w:ascii="仿宋_GB2312" w:eastAsia="仿宋_GB2312" w:cs="仿宋_GB2312"/>
          <w:kern w:val="0"/>
          <w:sz w:val="32"/>
          <w:szCs w:val="32"/>
          <w:lang w:val="en-US" w:eastAsia="zh-CN"/>
        </w:rPr>
        <w:t>69.7</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%，占项目支出总额比69.7%；</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w:t>
      </w:r>
      <w:r>
        <w:rPr>
          <w:rFonts w:hint="eastAsia" w:ascii="仿宋" w:hAnsi="仿宋" w:eastAsia="仿宋" w:cs="仿宋"/>
          <w:color w:val="000000" w:themeColor="text1"/>
          <w:sz w:val="32"/>
          <w:szCs w:val="32"/>
          <w:lang w:eastAsia="zh-CN"/>
          <w14:textFill>
            <w14:solidFill>
              <w14:schemeClr w14:val="tx1"/>
            </w14:solidFill>
          </w14:textFill>
        </w:rPr>
        <w:t>我单位未能制定相关管理制度，在项目实施方面还有待完善。学校报账材料整理比较慢，不能及时支付。下一步改进措施：一是按时整理发票，与财政沟通后及时报账。</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（2）部分重点项目绩效自评情况：根据年初设定的绩效目标，学前教育免保教费县本级补助资金项目自评得分为98.91分，一等，项目全年预算数为</w:t>
      </w:r>
      <w:r>
        <w:rPr>
          <w:rFonts w:hint="eastAsia" w:ascii="仿宋_GB2312" w:eastAsia="仿宋_GB2312" w:cs="仿宋_GB2312"/>
          <w:kern w:val="0"/>
          <w:sz w:val="32"/>
          <w:szCs w:val="32"/>
          <w:lang w:val="en-US" w:eastAsia="zh-CN"/>
        </w:rPr>
        <w:t>13.16</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11.73</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89</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一是数量指标，学生免除保教费县本级补助姿2金学生139人；二是质量指标，补助发放合规率达100%；三是时效指标，按春秋学期发放；四是项目成本是11.73万元；五是社会效益，减轻贫困学生家庭经济负担；六是满意度指标，家长对学前教育免除保教费自治区补助的满意度较高。</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kern w:val="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组织对“学前教育免保教费县本级补助资金”等14 个重点项目进行了部门评价，评价结果为一 等，涉及资金 223.36 万元。从评价情况来看，学前教育免保教费县本级补助资金项目自评得分为98.91分；学前生均公用经费项目自评得分为96.32分；奖励性补贴项目自评得分为100分；教师节经费项目自评得分为100分；学前教育免除保教费自治区补助资金项目自评得分为99.99分；普惠幼儿园奖补县本级奖补资金项目自评得分为90分；普惠性民办幼儿园奖补中央补助资金项目自评得分为90分；环江毛南族自治县水源镇中心幼儿园年初预算经费项目自评得分为97.33分；奖励性补贴(非三保)项目自评得分为100分；环江县水源镇中心幼儿园年初预算经费（非三保）项目自评得分为94.86分；班主任津贴项目自评得分为100分；普惠性民办幼儿园专职保安员配备自治区补助经费项目自评得分为100分；普惠性民办幼儿园专职保安员配备市级补助经费项目自评得分为100分；普惠性民办幼儿园奖补自治区补助资金项目自评得分90分；我单位未能制定相关管理制度，在项目实施方面还有待完善。学校报账材料整理比较慢，不能及时支付。下一步改进措施：一是按时整理发票，与财政沟通后及时报账。</w:t>
      </w:r>
    </w:p>
    <w:p>
      <w:pPr>
        <w:autoSpaceDE w:val="0"/>
        <w:autoSpaceDN w:val="0"/>
        <w:adjustRightInd w:val="0"/>
        <w:spacing w:line="560" w:lineRule="exact"/>
        <w:jc w:val="center"/>
        <w:rPr>
          <w:rFonts w:hint="eastAsia" w:ascii="黑体" w:hAnsi="黑体" w:eastAsia="黑体" w:cs="仿宋_GB2312"/>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both"/>
        <w:rPr>
          <w:rFonts w:hint="eastAsia" w:asciiTheme="minorEastAsia" w:hAnsiTheme="minorEastAsia" w:eastAsiaTheme="minorEastAsia" w:cstheme="minorEastAsia"/>
          <w:b/>
          <w:bCs/>
          <w:sz w:val="52"/>
          <w:szCs w:val="52"/>
          <w:highlight w:val="none"/>
        </w:rPr>
      </w:pPr>
      <w:bookmarkStart w:id="0" w:name="_GoBack"/>
      <w:bookmarkEnd w:id="0"/>
    </w:p>
    <w:p>
      <w:pPr>
        <w:jc w:val="right"/>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环江毛南族自治县水源镇中心幼儿园</w:t>
      </w:r>
    </w:p>
    <w:p>
      <w:pPr>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r>
        <w:rPr>
          <w:rFonts w:hint="eastAsia" w:asciiTheme="minorEastAsia" w:hAnsiTheme="minorEastAsia" w:cstheme="minorEastAsia"/>
          <w:sz w:val="32"/>
          <w:szCs w:val="32"/>
          <w:highlight w:val="none"/>
          <w:lang w:val="en-US" w:eastAsia="zh-CN"/>
        </w:rPr>
        <w:t xml:space="preserve">                     </w:t>
      </w:r>
      <w:r>
        <w:rPr>
          <w:rFonts w:hint="eastAsia" w:asciiTheme="minorEastAsia" w:hAnsiTheme="minorEastAsia" w:eastAsiaTheme="minorEastAsia" w:cstheme="minorEastAsia"/>
          <w:sz w:val="32"/>
          <w:szCs w:val="32"/>
          <w:highlight w:val="none"/>
        </w:rPr>
        <w:t>202</w:t>
      </w:r>
      <w:r>
        <w:rPr>
          <w:rFonts w:hint="eastAsia" w:asciiTheme="minorEastAsia" w:hAnsiTheme="minorEastAsia" w:cstheme="minorEastAsia"/>
          <w:sz w:val="32"/>
          <w:szCs w:val="32"/>
          <w:highlight w:val="none"/>
          <w:lang w:val="en-US" w:eastAsia="zh-CN"/>
        </w:rPr>
        <w:t>4</w:t>
      </w:r>
      <w:r>
        <w:rPr>
          <w:rFonts w:hint="eastAsia" w:asciiTheme="minorEastAsia" w:hAnsiTheme="minorEastAsia" w:eastAsiaTheme="minorEastAsia" w:cstheme="minorEastAsia"/>
          <w:sz w:val="32"/>
          <w:szCs w:val="32"/>
          <w:highlight w:val="none"/>
        </w:rPr>
        <w:t>年</w:t>
      </w:r>
      <w:r>
        <w:rPr>
          <w:rFonts w:hint="eastAsia" w:asciiTheme="minorEastAsia" w:hAnsiTheme="minorEastAsia" w:cstheme="minorEastAsia"/>
          <w:sz w:val="32"/>
          <w:szCs w:val="32"/>
          <w:highlight w:val="none"/>
          <w:lang w:val="en-US" w:eastAsia="zh-CN"/>
        </w:rPr>
        <w:t>12</w:t>
      </w:r>
      <w:r>
        <w:rPr>
          <w:rFonts w:hint="eastAsia" w:asciiTheme="minorEastAsia" w:hAnsiTheme="minorEastAsia" w:eastAsiaTheme="minorEastAsia" w:cstheme="minorEastAsia"/>
          <w:sz w:val="32"/>
          <w:szCs w:val="32"/>
          <w:highlight w:val="none"/>
        </w:rPr>
        <w:t>月</w:t>
      </w:r>
      <w:r>
        <w:rPr>
          <w:rFonts w:hint="eastAsia" w:asciiTheme="minorEastAsia" w:hAnsiTheme="minorEastAsia" w:cstheme="minorEastAsia"/>
          <w:sz w:val="32"/>
          <w:szCs w:val="32"/>
          <w:highlight w:val="none"/>
          <w:lang w:val="en-US" w:eastAsia="zh-CN"/>
        </w:rPr>
        <w:t>31</w:t>
      </w:r>
      <w:r>
        <w:rPr>
          <w:rFonts w:hint="eastAsia" w:asciiTheme="minorEastAsia" w:hAnsiTheme="minorEastAsia" w:eastAsiaTheme="minorEastAsia" w:cstheme="minorEastAsia"/>
          <w:sz w:val="32"/>
          <w:szCs w:val="32"/>
          <w:highlight w:val="none"/>
        </w:rPr>
        <w:t>日</w:t>
      </w:r>
    </w:p>
    <w:p>
      <w:pPr>
        <w:jc w:val="center"/>
        <w:rPr>
          <w:rFonts w:hint="eastAsia" w:asciiTheme="minorEastAsia" w:hAnsiTheme="minorEastAsia" w:eastAsiaTheme="minorEastAsia" w:cstheme="minorEastAsia"/>
          <w:sz w:val="32"/>
          <w:szCs w:val="32"/>
          <w:highlight w:val="none"/>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E74F7"/>
    <w:multiLevelType w:val="singleLevel"/>
    <w:tmpl w:val="A02E74F7"/>
    <w:lvl w:ilvl="0" w:tentative="0">
      <w:start w:val="1"/>
      <w:numFmt w:val="chineseCounting"/>
      <w:suff w:val="nothing"/>
      <w:lvlText w:val="（%1）"/>
      <w:lvlJc w:val="left"/>
      <w:rPr>
        <w:rFonts w:hint="eastAsia"/>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195C237E"/>
    <w:multiLevelType w:val="singleLevel"/>
    <w:tmpl w:val="195C237E"/>
    <w:lvl w:ilvl="0" w:tentative="0">
      <w:start w:val="3"/>
      <w:numFmt w:val="chineseCounting"/>
      <w:suff w:val="nothing"/>
      <w:lvlText w:val="(%1）"/>
      <w:lvlJc w:val="left"/>
      <w:pPr>
        <w:ind w:left="630"/>
      </w:pPr>
      <w:rPr>
        <w:rFonts w:hint="eastAsia"/>
      </w:rPr>
    </w:lvl>
  </w:abstractNum>
  <w:abstractNum w:abstractNumId="3">
    <w:nsid w:val="4D841EAB"/>
    <w:multiLevelType w:val="singleLevel"/>
    <w:tmpl w:val="4D841EAB"/>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8312B"/>
    <w:rsid w:val="02423807"/>
    <w:rsid w:val="0C87738E"/>
    <w:rsid w:val="1CB93FF0"/>
    <w:rsid w:val="1DB16262"/>
    <w:rsid w:val="2CEC172F"/>
    <w:rsid w:val="314C38FF"/>
    <w:rsid w:val="32705B18"/>
    <w:rsid w:val="349F473E"/>
    <w:rsid w:val="3C863528"/>
    <w:rsid w:val="3F9600A2"/>
    <w:rsid w:val="43F42DCA"/>
    <w:rsid w:val="4AF61AAD"/>
    <w:rsid w:val="63583D93"/>
    <w:rsid w:val="7798312B"/>
    <w:rsid w:val="7B7B492E"/>
    <w:rsid w:val="7BCC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hint="eastAsia" w:ascii="宋体" w:hAnsi="宋体" w:eastAsia="宋体" w:cs="宋体"/>
      <w:color w:val="000000"/>
      <w:sz w:val="22"/>
      <w:szCs w:val="22"/>
      <w:u w:val="none"/>
    </w:rPr>
  </w:style>
  <w:style w:type="character" w:customStyle="1" w:styleId="7">
    <w:name w:val="font81"/>
    <w:basedOn w:val="5"/>
    <w:qFormat/>
    <w:uiPriority w:val="0"/>
    <w:rPr>
      <w:rFonts w:hint="eastAsia" w:ascii="宋体" w:hAnsi="宋体" w:eastAsia="宋体" w:cs="宋体"/>
      <w:color w:val="000000"/>
      <w:sz w:val="22"/>
      <w:szCs w:val="22"/>
      <w:u w:val="none"/>
    </w:rPr>
  </w:style>
  <w:style w:type="character" w:customStyle="1" w:styleId="8">
    <w:name w:val="font41"/>
    <w:basedOn w:val="5"/>
    <w:qFormat/>
    <w:uiPriority w:val="0"/>
    <w:rPr>
      <w:rFonts w:hint="eastAsia" w:ascii="宋体" w:hAnsi="宋体" w:eastAsia="宋体" w:cs="宋体"/>
      <w:color w:val="000000"/>
      <w:sz w:val="22"/>
      <w:szCs w:val="22"/>
      <w:u w:val="none"/>
    </w:rPr>
  </w:style>
  <w:style w:type="character" w:customStyle="1" w:styleId="9">
    <w:name w:val="font31"/>
    <w:basedOn w:val="5"/>
    <w:qFormat/>
    <w:uiPriority w:val="0"/>
    <w:rPr>
      <w:rFonts w:hint="eastAsia" w:ascii="宋体" w:hAnsi="宋体" w:eastAsia="宋体" w:cs="宋体"/>
      <w:color w:val="000000"/>
      <w:sz w:val="20"/>
      <w:szCs w:val="20"/>
      <w:u w:val="none"/>
    </w:rPr>
  </w:style>
  <w:style w:type="character" w:customStyle="1" w:styleId="10">
    <w:name w:val="font51"/>
    <w:basedOn w:val="5"/>
    <w:qFormat/>
    <w:uiPriority w:val="0"/>
    <w:rPr>
      <w:rFonts w:hint="eastAsia" w:ascii="宋体" w:hAnsi="宋体" w:eastAsia="宋体" w:cs="宋体"/>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wnloads\&#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b="0"/>
              <a:t>决算收入支出图表</a:t>
            </a:r>
            <a:endParaRPr lang="zh-CN" altLang="en-US" b="0"/>
          </a:p>
        </c:rich>
      </c:tx>
      <c:layout/>
      <c:overlay val="0"/>
    </c:title>
    <c:autoTitleDeleted val="0"/>
    <c:plotArea>
      <c:layout>
        <c:manualLayout>
          <c:layoutTarget val="inner"/>
          <c:xMode val="edge"/>
          <c:yMode val="edge"/>
          <c:x val="0.208064042303173"/>
          <c:y val="0.0406819716407833"/>
          <c:w val="0.639688601645123"/>
          <c:h val="0.735145172180959"/>
        </c:manualLayout>
      </c:layout>
      <c:pieChart>
        <c:varyColors val="1"/>
        <c:ser>
          <c:idx val="0"/>
          <c:order val="0"/>
          <c:tx>
            <c:strRef>
              <c:f>Sheet1!$B$1</c:f>
              <c:strCache>
                <c:ptCount val="1"/>
                <c:pt idx="0">
                  <c:v>决算收入支出图表</c:v>
                </c:pt>
              </c:strCache>
            </c:strRef>
          </c:tx>
          <c:explosion val="25"/>
          <c:dPt>
            <c:idx val="0"/>
            <c:bubble3D val="0"/>
            <c:explosion val="0"/>
          </c:dPt>
          <c:dLbls>
            <c:delete val="1"/>
          </c:dLbls>
          <c:cat>
            <c:strRef>
              <c:f>Sheet1!$A$2</c:f>
              <c:strCache>
                <c:ptCount val="1"/>
                <c:pt idx="0">
                  <c:v>一般公共预算财政拨款收入</c:v>
                </c:pt>
              </c:strCache>
            </c:strRef>
          </c:cat>
          <c:val>
            <c:numRef>
              <c:f>Sheet1!$B$2</c:f>
              <c:numCache>
                <c:formatCode>General</c:formatCode>
                <c:ptCount val="1"/>
                <c:pt idx="0">
                  <c:v>523.24</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393678848"/>
        <c:axId val="393680384"/>
      </c:barChart>
      <c:catAx>
        <c:axId val="3936788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680384"/>
        <c:crosses val="autoZero"/>
        <c:auto val="1"/>
        <c:lblAlgn val="ctr"/>
        <c:lblOffset val="100"/>
        <c:noMultiLvlLbl val="0"/>
      </c:catAx>
      <c:valAx>
        <c:axId val="3936803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678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398555392"/>
        <c:axId val="399253504"/>
      </c:barChart>
      <c:catAx>
        <c:axId val="3985553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253504"/>
        <c:crosses val="autoZero"/>
        <c:auto val="1"/>
        <c:lblAlgn val="ctr"/>
        <c:lblOffset val="100"/>
        <c:noMultiLvlLbl val="0"/>
      </c:catAx>
      <c:valAx>
        <c:axId val="399253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555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398555392"/>
        <c:axId val="399253504"/>
      </c:barChart>
      <c:catAx>
        <c:axId val="3985553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253504"/>
        <c:crosses val="autoZero"/>
        <c:auto val="1"/>
        <c:lblAlgn val="ctr"/>
        <c:lblOffset val="100"/>
        <c:noMultiLvlLbl val="0"/>
      </c:catAx>
      <c:valAx>
        <c:axId val="399253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555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428984960"/>
        <c:axId val="429262336"/>
      </c:barChart>
      <c:catAx>
        <c:axId val="4289849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262336"/>
        <c:crosses val="autoZero"/>
        <c:auto val="1"/>
        <c:lblAlgn val="ctr"/>
        <c:lblOffset val="100"/>
        <c:noMultiLvlLbl val="0"/>
      </c:catAx>
      <c:valAx>
        <c:axId val="429262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984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sz="140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0"/>
      <c:spPr>
        <a:noFill/>
        <a:ln>
          <a:noFill/>
        </a:ln>
        <a:effectLst/>
      </c:spPr>
    </c:title>
    <c:autoTitleDeleted val="0"/>
    <c:plotArea>
      <c:layout/>
      <c:barChart>
        <c:barDir val="col"/>
        <c:grouping val="clustered"/>
        <c:varyColors val="0"/>
        <c:ser>
          <c:idx val="0"/>
          <c:order val="0"/>
          <c:tx>
            <c:strRef>
              <c:f>[图表.xls]Sheet1!$B$1</c:f>
              <c:strCache>
                <c:ptCount val="1"/>
                <c:pt idx="0">
                  <c:v>2022</c:v>
                </c:pt>
              </c:strCache>
            </c:strRef>
          </c:tx>
          <c:spPr>
            <a:solidFill>
              <a:schemeClr val="accent1"/>
            </a:solidFill>
            <a:ln>
              <a:noFill/>
            </a:ln>
            <a:effectLst/>
          </c:spPr>
          <c:invertIfNegative val="0"/>
          <c:dLbls>
            <c:delete val="1"/>
          </c:dLbls>
          <c:cat>
            <c:strRef>
              <c:f>[图表.xls]Sheet1!$A$2:$A$9</c:f>
              <c:strCache>
                <c:ptCount val="8"/>
                <c:pt idx="0">
                  <c:v>一般公共服务支出</c:v>
                </c:pt>
                <c:pt idx="1">
                  <c:v>教育支出</c:v>
                </c:pt>
                <c:pt idx="2">
                  <c:v>社会保障和就业支出</c:v>
                </c:pt>
                <c:pt idx="3">
                  <c:v>住房保障支出</c:v>
                </c:pt>
                <c:pt idx="4">
                  <c:v>其他支出</c:v>
                </c:pt>
              </c:strCache>
            </c:strRef>
          </c:cat>
          <c:val>
            <c:numRef>
              <c:f>[图表.xls]Sheet1!$B$2:$B$9</c:f>
              <c:numCache>
                <c:formatCode>General</c:formatCode>
                <c:ptCount val="8"/>
                <c:pt idx="0">
                  <c:v>0.44</c:v>
                </c:pt>
                <c:pt idx="1">
                  <c:v>292.31</c:v>
                </c:pt>
                <c:pt idx="2">
                  <c:v>3.27</c:v>
                </c:pt>
                <c:pt idx="3">
                  <c:v>3.09</c:v>
                </c:pt>
                <c:pt idx="4">
                  <c:v>6.04</c:v>
                </c:pt>
              </c:numCache>
            </c:numRef>
          </c:val>
        </c:ser>
        <c:ser>
          <c:idx val="1"/>
          <c:order val="1"/>
          <c:tx>
            <c:strRef>
              <c:f>[图表.xls]Sheet1!$C$1</c:f>
              <c:strCache>
                <c:ptCount val="1"/>
                <c:pt idx="0">
                  <c:v>2023</c:v>
                </c:pt>
              </c:strCache>
            </c:strRef>
          </c:tx>
          <c:spPr>
            <a:solidFill>
              <a:schemeClr val="accent2"/>
            </a:solidFill>
            <a:ln>
              <a:noFill/>
            </a:ln>
            <a:effectLst/>
          </c:spPr>
          <c:invertIfNegative val="0"/>
          <c:dLbls>
            <c:delete val="1"/>
          </c:dLbls>
          <c:cat>
            <c:strRef>
              <c:f>[图表.xls]Sheet1!$A$2:$A$9</c:f>
              <c:strCache>
                <c:ptCount val="8"/>
                <c:pt idx="0">
                  <c:v>一般公共服务支出</c:v>
                </c:pt>
                <c:pt idx="1">
                  <c:v>教育支出</c:v>
                </c:pt>
                <c:pt idx="2">
                  <c:v>社会保障和就业支出</c:v>
                </c:pt>
                <c:pt idx="3">
                  <c:v>住房保障支出</c:v>
                </c:pt>
                <c:pt idx="4">
                  <c:v>其他支出</c:v>
                </c:pt>
              </c:strCache>
            </c:strRef>
          </c:cat>
          <c:val>
            <c:numRef>
              <c:f>[图表.xls]Sheet1!$C$2:$C$9</c:f>
              <c:numCache>
                <c:formatCode>General</c:formatCode>
                <c:ptCount val="8"/>
                <c:pt idx="0">
                  <c:v>1.82</c:v>
                </c:pt>
                <c:pt idx="1">
                  <c:v>280.45</c:v>
                </c:pt>
                <c:pt idx="2">
                  <c:v>8.77</c:v>
                </c:pt>
                <c:pt idx="3">
                  <c:v>7.45</c:v>
                </c:pt>
                <c:pt idx="4">
                  <c:v>7.86</c:v>
                </c:pt>
              </c:numCache>
            </c:numRef>
          </c:val>
        </c:ser>
        <c:dLbls>
          <c:showLegendKey val="0"/>
          <c:showVal val="0"/>
          <c:showCatName val="0"/>
          <c:showSerName val="0"/>
          <c:showPercent val="0"/>
          <c:showBubbleSize val="0"/>
        </c:dLbls>
        <c:gapWidth val="219"/>
        <c:overlap val="-27"/>
        <c:axId val="764362240"/>
        <c:axId val="785841435"/>
      </c:barChart>
      <c:catAx>
        <c:axId val="7643622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841435"/>
        <c:crosses val="autoZero"/>
        <c:auto val="1"/>
        <c:lblAlgn val="ctr"/>
        <c:lblOffset val="100"/>
        <c:noMultiLvlLbl val="0"/>
      </c:catAx>
      <c:valAx>
        <c:axId val="78584143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362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一般公共服务支出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2012999</c:v>
                </c:pt>
                <c:pt idx="1">
                  <c:v>201x</c:v>
                </c:pt>
              </c:strCache>
            </c:strRef>
          </c:cat>
          <c:val>
            <c:numRef>
              <c:f>Sheet1!$B$2:$B$3</c:f>
              <c:numCache>
                <c:formatCode>General</c:formatCode>
                <c:ptCount val="2"/>
                <c:pt idx="0">
                  <c:v>1.82</c:v>
                </c:pt>
                <c:pt idx="1">
                  <c:v>1.82</c:v>
                </c:pt>
              </c:numCache>
            </c:numRef>
          </c:val>
        </c:ser>
        <c:dLbls>
          <c:showLegendKey val="0"/>
          <c:showVal val="0"/>
          <c:showCatName val="0"/>
          <c:showSerName val="0"/>
          <c:showPercent val="0"/>
          <c:showBubbleSize val="0"/>
        </c:dLbls>
        <c:gapWidth val="150"/>
        <c:axId val="325653632"/>
        <c:axId val="325655168"/>
      </c:barChart>
      <c:catAx>
        <c:axId val="3256536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5655168"/>
        <c:crosses val="autoZero"/>
        <c:auto val="1"/>
        <c:lblAlgn val="ctr"/>
        <c:lblOffset val="100"/>
        <c:noMultiLvlLbl val="0"/>
      </c:catAx>
      <c:valAx>
        <c:axId val="325655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565363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教育支出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Sheet1!$A$2:$A$4</c:f>
              <c:strCache>
                <c:ptCount val="3"/>
                <c:pt idx="0">
                  <c:v>2050201</c:v>
                </c:pt>
                <c:pt idx="1">
                  <c:v>2050299</c:v>
                </c:pt>
                <c:pt idx="2">
                  <c:v>205x</c:v>
                </c:pt>
              </c:strCache>
            </c:strRef>
          </c:cat>
          <c:val>
            <c:numRef>
              <c:f>Sheet1!$B$2:$B$4</c:f>
              <c:numCache>
                <c:formatCode>General</c:formatCode>
                <c:ptCount val="3"/>
                <c:pt idx="0">
                  <c:v>280.45</c:v>
                </c:pt>
                <c:pt idx="1">
                  <c:v>0</c:v>
                </c:pt>
                <c:pt idx="2">
                  <c:v>280.45</c:v>
                </c:pt>
              </c:numCache>
            </c:numRef>
          </c:val>
        </c:ser>
        <c:dLbls>
          <c:showLegendKey val="0"/>
          <c:showVal val="0"/>
          <c:showCatName val="0"/>
          <c:showSerName val="0"/>
          <c:showPercent val="0"/>
          <c:showBubbleSize val="0"/>
        </c:dLbls>
        <c:gapWidth val="150"/>
        <c:axId val="325695744"/>
        <c:axId val="327150976"/>
      </c:barChart>
      <c:catAx>
        <c:axId val="32569574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7150976"/>
        <c:crosses val="autoZero"/>
        <c:auto val="1"/>
        <c:lblAlgn val="ctr"/>
        <c:lblOffset val="100"/>
        <c:noMultiLvlLbl val="0"/>
      </c:catAx>
      <c:valAx>
        <c:axId val="3271509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56957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社会保障和就业支出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2080505</c:v>
                </c:pt>
                <c:pt idx="1">
                  <c:v>208x</c:v>
                </c:pt>
              </c:strCache>
            </c:strRef>
          </c:cat>
          <c:val>
            <c:numRef>
              <c:f>Sheet1!$B$2:$B$3</c:f>
              <c:numCache>
                <c:formatCode>General</c:formatCode>
                <c:ptCount val="2"/>
                <c:pt idx="0">
                  <c:v>8.77</c:v>
                </c:pt>
                <c:pt idx="1">
                  <c:v>8.77</c:v>
                </c:pt>
              </c:numCache>
            </c:numRef>
          </c:val>
        </c:ser>
        <c:dLbls>
          <c:showLegendKey val="0"/>
          <c:showVal val="0"/>
          <c:showCatName val="0"/>
          <c:showSerName val="0"/>
          <c:showPercent val="0"/>
          <c:showBubbleSize val="0"/>
        </c:dLbls>
        <c:gapWidth val="150"/>
        <c:axId val="328215552"/>
        <c:axId val="329787264"/>
      </c:barChart>
      <c:catAx>
        <c:axId val="328215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9787264"/>
        <c:crosses val="autoZero"/>
        <c:auto val="1"/>
        <c:lblAlgn val="ctr"/>
        <c:lblOffset val="100"/>
        <c:noMultiLvlLbl val="0"/>
      </c:catAx>
      <c:valAx>
        <c:axId val="3297872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821555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住房保障支出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2210201</c:v>
                </c:pt>
                <c:pt idx="1">
                  <c:v>221x</c:v>
                </c:pt>
              </c:strCache>
            </c:strRef>
          </c:cat>
          <c:val>
            <c:numRef>
              <c:f>Sheet1!$B$2:$B$3</c:f>
              <c:numCache>
                <c:formatCode>General</c:formatCode>
                <c:ptCount val="2"/>
                <c:pt idx="0">
                  <c:v>7.45</c:v>
                </c:pt>
                <c:pt idx="1">
                  <c:v>7.45</c:v>
                </c:pt>
              </c:numCache>
            </c:numRef>
          </c:val>
        </c:ser>
        <c:dLbls>
          <c:showLegendKey val="0"/>
          <c:showVal val="0"/>
          <c:showCatName val="0"/>
          <c:showSerName val="0"/>
          <c:showPercent val="0"/>
          <c:showBubbleSize val="0"/>
        </c:dLbls>
        <c:gapWidth val="150"/>
        <c:axId val="329840896"/>
        <c:axId val="331248384"/>
      </c:barChart>
      <c:catAx>
        <c:axId val="3298408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1248384"/>
        <c:crosses val="autoZero"/>
        <c:auto val="1"/>
        <c:lblAlgn val="ctr"/>
        <c:lblOffset val="100"/>
        <c:noMultiLvlLbl val="0"/>
      </c:catAx>
      <c:valAx>
        <c:axId val="331248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9840896"/>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其他支出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2299999</c:v>
                </c:pt>
                <c:pt idx="1">
                  <c:v>229x</c:v>
                </c:pt>
              </c:strCache>
            </c:strRef>
          </c:cat>
          <c:val>
            <c:numRef>
              <c:f>Sheet1!$B$2:$B$3</c:f>
              <c:numCache>
                <c:formatCode>General</c:formatCode>
                <c:ptCount val="2"/>
                <c:pt idx="0">
                  <c:v>7.86</c:v>
                </c:pt>
                <c:pt idx="1">
                  <c:v>7.86</c:v>
                </c:pt>
              </c:numCache>
            </c:numRef>
          </c:val>
        </c:ser>
        <c:dLbls>
          <c:showLegendKey val="0"/>
          <c:showVal val="0"/>
          <c:showCatName val="0"/>
          <c:showSerName val="0"/>
          <c:showPercent val="0"/>
          <c:showBubbleSize val="0"/>
        </c:dLbls>
        <c:gapWidth val="150"/>
        <c:axId val="335660160"/>
        <c:axId val="335662464"/>
      </c:barChart>
      <c:catAx>
        <c:axId val="3356601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5662464"/>
        <c:crosses val="autoZero"/>
        <c:auto val="1"/>
        <c:lblAlgn val="ctr"/>
        <c:lblOffset val="100"/>
        <c:noMultiLvlLbl val="0"/>
      </c:catAx>
      <c:valAx>
        <c:axId val="335662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566016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42.08</c:v>
                </c:pt>
                <c:pt idx="1">
                  <c:v>7.69</c:v>
                </c:pt>
                <c:pt idx="2">
                  <c:v>23.72</c:v>
                </c:pt>
                <c:pt idx="3">
                  <c:v>0</c:v>
                </c:pt>
                <c:pt idx="4">
                  <c:v>15.73</c:v>
                </c:pt>
                <c:pt idx="5">
                  <c:v>8.77</c:v>
                </c:pt>
                <c:pt idx="6">
                  <c:v>0</c:v>
                </c:pt>
                <c:pt idx="7">
                  <c:v>3.64</c:v>
                </c:pt>
                <c:pt idx="8">
                  <c:v>0</c:v>
                </c:pt>
                <c:pt idx="9">
                  <c:v>0.4</c:v>
                </c:pt>
                <c:pt idx="10">
                  <c:v>7.45</c:v>
                </c:pt>
                <c:pt idx="11">
                  <c:v>0</c:v>
                </c:pt>
                <c:pt idx="12">
                  <c:v>0</c:v>
                </c:pt>
              </c:numCache>
            </c:numRef>
          </c:val>
        </c:ser>
        <c:dLbls>
          <c:showLegendKey val="0"/>
          <c:showVal val="0"/>
          <c:showCatName val="0"/>
          <c:showSerName val="0"/>
          <c:showPercent val="0"/>
          <c:showBubbleSize val="0"/>
        </c:dLbls>
        <c:gapWidth val="219"/>
        <c:overlap val="-27"/>
        <c:axId val="392049408"/>
        <c:axId val="392052096"/>
      </c:barChart>
      <c:catAx>
        <c:axId val="3920494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052096"/>
        <c:crosses val="autoZero"/>
        <c:auto val="1"/>
        <c:lblAlgn val="ctr"/>
        <c:lblOffset val="100"/>
        <c:noMultiLvlLbl val="0"/>
      </c:catAx>
      <c:valAx>
        <c:axId val="392052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049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1.82</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393265920"/>
        <c:axId val="393267840"/>
      </c:barChart>
      <c:catAx>
        <c:axId val="393265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267840"/>
        <c:crosses val="autoZero"/>
        <c:auto val="1"/>
        <c:lblAlgn val="ctr"/>
        <c:lblOffset val="100"/>
        <c:noMultiLvlLbl val="0"/>
      </c:catAx>
      <c:valAx>
        <c:axId val="393267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265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8649</Words>
  <Characters>10215</Characters>
  <Lines>0</Lines>
  <Paragraphs>0</Paragraphs>
  <TotalTime>55</TotalTime>
  <ScaleCrop>false</ScaleCrop>
  <LinksUpToDate>false</LinksUpToDate>
  <CharactersWithSpaces>10586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2024-12-30T07:05:00Z</dcterms:created>
  <dc:creator>韦玉</dc:creator>
  <cp:lastModifiedBy>Administrator</cp:lastModifiedBy>
  <dcterms:modified xsi:type="dcterms:W3CDTF">2025-01-03T01:58:14Z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3842D2EFB9924A41A8016B467C51C9D2_11</vt:lpwstr>
  </property>
  <property fmtid="{D5CDD505-2E9C-101B-9397-08002B2CF9AE}" pid="4" name="KSOTemplateDocerSaveRecord">
    <vt:lpwstr>eyJoZGlkIjoiYzhhMGJkMjNjMTJmOGM2ZWNjMGMzN2M4NDI1YWU3ODYiLCJ1c2VySWQiOiIxNDM0OTIxNDkzIn0=</vt:lpwstr>
  </property>
</Properties>
</file>