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lang w:val="en-US" w:eastAsia="zh-CN"/>
        </w:rPr>
      </w:pPr>
      <w:r>
        <w:rPr>
          <w:rFonts w:hint="eastAsia" w:ascii="黑体" w:hAnsi="黑体" w:eastAsia="黑体" w:cs="黑体"/>
          <w:b/>
          <w:bCs/>
          <w:sz w:val="52"/>
          <w:szCs w:val="52"/>
          <w:highlight w:val="none"/>
          <w:lang w:eastAsia="zh-CN"/>
        </w:rPr>
        <w:t>环江毛南族自治县</w:t>
      </w:r>
      <w:r>
        <w:rPr>
          <w:rFonts w:hint="eastAsia" w:ascii="黑体" w:hAnsi="黑体" w:eastAsia="黑体" w:cs="黑体"/>
          <w:b/>
          <w:bCs/>
          <w:sz w:val="52"/>
          <w:szCs w:val="52"/>
          <w:highlight w:val="none"/>
          <w:lang w:val="en-US" w:eastAsia="zh-CN"/>
        </w:rPr>
        <w:t>水源镇中心小学</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ind w:firstLine="2200" w:firstLineChars="500"/>
        <w:jc w:val="both"/>
        <w:rPr>
          <w:rFonts w:hint="default" w:ascii="黑体" w:eastAsia="黑体" w:cs="黑体"/>
          <w:kern w:val="0"/>
          <w:sz w:val="44"/>
          <w:szCs w:val="44"/>
          <w:lang w:val="en-US" w:eastAsia="zh-CN"/>
        </w:rPr>
      </w:pPr>
      <w:r>
        <w:rPr>
          <w:rFonts w:hint="eastAsia" w:ascii="黑体" w:eastAsia="黑体" w:cs="黑体"/>
          <w:kern w:val="0"/>
          <w:sz w:val="44"/>
          <w:szCs w:val="44"/>
          <w:lang w:eastAsia="zh-CN"/>
        </w:rPr>
        <w:t>单位负责人：</w:t>
      </w:r>
      <w:r>
        <w:rPr>
          <w:rFonts w:hint="eastAsia" w:ascii="黑体" w:eastAsia="黑体" w:cs="黑体"/>
          <w:kern w:val="0"/>
          <w:sz w:val="44"/>
          <w:szCs w:val="44"/>
          <w:lang w:val="en-US" w:eastAsia="zh-CN"/>
        </w:rPr>
        <w:t>覃娇媚</w:t>
      </w: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default"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3日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szCs w:val="32"/>
          <w:highlight w:val="none"/>
          <w:lang w:eastAsia="zh-CN"/>
        </w:rPr>
        <w:t>环江毛南族自治县</w:t>
      </w:r>
      <w:r>
        <w:rPr>
          <w:rFonts w:hint="eastAsia" w:ascii="黑体" w:hAnsi="黑体" w:eastAsia="黑体" w:cs="黑体"/>
          <w:sz w:val="32"/>
          <w:szCs w:val="32"/>
          <w:highlight w:val="none"/>
          <w:lang w:val="en-US" w:eastAsia="zh-CN"/>
        </w:rPr>
        <w:t>水源镇中心小学</w:t>
      </w:r>
      <w:r>
        <w:rPr>
          <w:rFonts w:hint="eastAsia" w:ascii="黑体" w:hAnsi="黑体" w:eastAsia="黑体" w:cs="黑体"/>
          <w:sz w:val="32"/>
          <w:u w:color="auto"/>
          <w:lang w:eastAsia="zh-CN"/>
        </w:rPr>
        <w:t>单位</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w:t>
      </w:r>
      <w:r>
        <w:rPr>
          <w:rFonts w:hint="eastAsia" w:ascii="仿宋_GB2312" w:eastAsia="仿宋_GB2312"/>
          <w:sz w:val="32"/>
          <w:szCs w:val="32"/>
          <w:lang w:eastAsia="zh-CN"/>
        </w:rPr>
        <w:t>本</w:t>
      </w:r>
      <w:r>
        <w:rPr>
          <w:rFonts w:hint="eastAsia" w:ascii="仿宋_GB2312" w:eastAsia="仿宋_GB2312"/>
          <w:sz w:val="32"/>
          <w:szCs w:val="32"/>
          <w:lang w:val="en-US" w:eastAsia="zh-CN"/>
        </w:rPr>
        <w:t>单位</w:t>
      </w:r>
      <w:r>
        <w:rPr>
          <w:rFonts w:hint="eastAsia" w:ascii="仿宋_GB2312" w:eastAsia="仿宋_GB2312"/>
          <w:sz w:val="32"/>
          <w:szCs w:val="32"/>
          <w:lang w:eastAsia="zh-CN"/>
        </w:rPr>
        <w:t>职责</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w:t>
      </w:r>
      <w:r>
        <w:rPr>
          <w:rFonts w:hint="eastAsia" w:ascii="仿宋" w:hAnsi="仿宋" w:eastAsia="仿宋" w:cs="仿宋"/>
          <w:sz w:val="32"/>
          <w:szCs w:val="32"/>
          <w:highlight w:val="none"/>
          <w:lang w:eastAsia="zh-CN"/>
        </w:rPr>
        <w:t>机构设置情况</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eastAsia="zh-CN"/>
        </w:rPr>
        <w:t>环江毛南族自治县</w:t>
      </w:r>
      <w:r>
        <w:rPr>
          <w:rFonts w:hint="eastAsia" w:ascii="黑体" w:hAnsi="黑体" w:eastAsia="黑体" w:cs="黑体"/>
          <w:sz w:val="32"/>
          <w:szCs w:val="32"/>
          <w:highlight w:val="none"/>
          <w:lang w:val="en-US" w:eastAsia="zh-CN"/>
        </w:rPr>
        <w:t>水源镇中心小学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szCs w:val="32"/>
          <w:highlight w:val="none"/>
          <w:lang w:eastAsia="zh-CN"/>
        </w:rPr>
        <w:t>环江毛南族自治县</w:t>
      </w:r>
      <w:r>
        <w:rPr>
          <w:rFonts w:hint="eastAsia" w:ascii="黑体" w:hAnsi="黑体" w:eastAsia="黑体" w:cs="黑体"/>
          <w:sz w:val="32"/>
          <w:szCs w:val="32"/>
          <w:highlight w:val="none"/>
          <w:lang w:val="en-US" w:eastAsia="zh-CN"/>
        </w:rPr>
        <w:t>水源镇中心小学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hint="eastAsia" w:ascii="黑体" w:hAnsi="黑体" w:eastAsia="黑体" w:cs="黑体"/>
          <w:b/>
          <w:bCs/>
          <w:sz w:val="32"/>
          <w:szCs w:val="32"/>
          <w:highlight w:val="none"/>
        </w:rPr>
      </w:pP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第一部分：环江毛南族自治县</w:t>
      </w:r>
      <w:r>
        <w:rPr>
          <w:rFonts w:hint="eastAsia" w:ascii="黑体" w:hAnsi="黑体" w:eastAsia="黑体" w:cs="黑体"/>
          <w:b/>
          <w:bCs/>
          <w:sz w:val="32"/>
          <w:szCs w:val="32"/>
          <w:highlight w:val="none"/>
          <w:lang w:val="en-US" w:eastAsia="zh-CN"/>
        </w:rPr>
        <w:t>水源镇中心小学</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w:t>
      </w:r>
      <w:r>
        <w:rPr>
          <w:rFonts w:hint="eastAsia" w:ascii="黑体" w:hAnsi="黑体" w:eastAsia="黑体"/>
          <w:sz w:val="32"/>
          <w:szCs w:val="32"/>
          <w:lang w:eastAsia="zh-CN"/>
        </w:rPr>
        <w:t>本</w:t>
      </w:r>
      <w:r>
        <w:rPr>
          <w:rFonts w:hint="eastAsia" w:ascii="黑体" w:hAnsi="黑体" w:eastAsia="黑体"/>
          <w:sz w:val="32"/>
          <w:szCs w:val="32"/>
          <w:lang w:val="en-US" w:eastAsia="zh-CN"/>
        </w:rPr>
        <w:t>单位</w:t>
      </w:r>
      <w:r>
        <w:rPr>
          <w:rFonts w:hint="eastAsia" w:ascii="黑体" w:hAnsi="黑体" w:eastAsia="黑体"/>
          <w:sz w:val="32"/>
          <w:szCs w:val="32"/>
          <w:lang w:eastAsia="zh-CN"/>
        </w:rPr>
        <w:t>职责</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（一）贯彻执行党和国家的教育方针、政策和法律法规；拟订全县教育改革与发展规划并组织实施。</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lang w:eastAsia="zh-CN"/>
        </w:rPr>
        <w:t>（二）编制本</w:t>
      </w:r>
      <w:r>
        <w:rPr>
          <w:rFonts w:hint="eastAsia" w:ascii="仿宋_GB2312" w:hAnsi="宋体" w:eastAsia="仿宋_GB2312" w:cs="宋体"/>
          <w:sz w:val="32"/>
          <w:szCs w:val="32"/>
          <w:lang w:val="en-US" w:eastAsia="zh-CN"/>
        </w:rPr>
        <w:t>镇小学</w:t>
      </w:r>
      <w:r>
        <w:rPr>
          <w:rFonts w:hint="eastAsia" w:ascii="仿宋_GB2312" w:hAnsi="宋体" w:eastAsia="仿宋_GB2312" w:cs="宋体"/>
          <w:sz w:val="32"/>
          <w:szCs w:val="32"/>
          <w:lang w:eastAsia="zh-CN"/>
        </w:rPr>
        <w:t>教育事业发展规划并检查实施情况，向自治县人民政府和上级教育部门作出报告。</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（三）督促检查全</w:t>
      </w:r>
      <w:r>
        <w:rPr>
          <w:rFonts w:hint="eastAsia" w:ascii="仿宋_GB2312" w:hAnsi="宋体" w:eastAsia="仿宋_GB2312" w:cs="宋体"/>
          <w:sz w:val="32"/>
          <w:szCs w:val="32"/>
          <w:lang w:val="en-US" w:eastAsia="zh-CN"/>
        </w:rPr>
        <w:t>镇小学</w:t>
      </w:r>
      <w:r>
        <w:rPr>
          <w:rFonts w:hint="eastAsia" w:ascii="仿宋_GB2312" w:hAnsi="宋体" w:eastAsia="仿宋_GB2312" w:cs="宋体"/>
          <w:sz w:val="32"/>
          <w:szCs w:val="32"/>
          <w:lang w:eastAsia="zh-CN"/>
        </w:rPr>
        <w:t>贯彻执行教育方针、政策、法令、法规和上级的各项规定；评估指导全</w:t>
      </w:r>
      <w:r>
        <w:rPr>
          <w:rFonts w:hint="eastAsia" w:ascii="仿宋_GB2312" w:hAnsi="宋体" w:eastAsia="仿宋_GB2312" w:cs="宋体"/>
          <w:sz w:val="32"/>
          <w:szCs w:val="32"/>
          <w:lang w:val="en-US" w:eastAsia="zh-CN"/>
        </w:rPr>
        <w:t>镇小学</w:t>
      </w:r>
      <w:r>
        <w:rPr>
          <w:rFonts w:hint="eastAsia" w:ascii="仿宋_GB2312" w:hAnsi="宋体" w:eastAsia="仿宋_GB2312" w:cs="宋体"/>
          <w:sz w:val="32"/>
          <w:szCs w:val="32"/>
          <w:lang w:eastAsia="zh-CN"/>
        </w:rPr>
        <w:t>教育教学工作。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（四）负责推进义务教育均衡发展和促进教育公平，负责义务教育的宏观指导与协调和教育工作。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五</w:t>
      </w:r>
      <w:r>
        <w:rPr>
          <w:rFonts w:hint="eastAsia" w:ascii="仿宋_GB2312" w:hAnsi="宋体" w:eastAsia="仿宋_GB2312" w:cs="宋体"/>
          <w:sz w:val="32"/>
          <w:szCs w:val="32"/>
          <w:lang w:eastAsia="zh-CN"/>
        </w:rPr>
        <w:t>）负责组织全</w:t>
      </w:r>
      <w:r>
        <w:rPr>
          <w:rFonts w:hint="eastAsia" w:ascii="仿宋_GB2312" w:hAnsi="宋体" w:eastAsia="仿宋_GB2312" w:cs="宋体"/>
          <w:sz w:val="32"/>
          <w:szCs w:val="32"/>
          <w:lang w:val="en-US" w:eastAsia="zh-CN"/>
        </w:rPr>
        <w:t>镇小学</w:t>
      </w:r>
      <w:r>
        <w:rPr>
          <w:rFonts w:hint="eastAsia" w:ascii="仿宋_GB2312" w:hAnsi="宋体" w:eastAsia="仿宋_GB2312" w:cs="宋体"/>
          <w:sz w:val="32"/>
          <w:szCs w:val="32"/>
          <w:lang w:eastAsia="zh-CN"/>
        </w:rPr>
        <w:t>做好</w:t>
      </w:r>
      <w:r>
        <w:rPr>
          <w:rFonts w:hint="eastAsia" w:ascii="仿宋_GB2312" w:hAnsi="宋体" w:eastAsia="仿宋_GB2312" w:cs="宋体"/>
          <w:sz w:val="32"/>
          <w:szCs w:val="32"/>
          <w:lang w:val="en-US" w:eastAsia="zh-CN"/>
        </w:rPr>
        <w:t>期考</w:t>
      </w:r>
      <w:r>
        <w:rPr>
          <w:rFonts w:hint="eastAsia" w:ascii="仿宋_GB2312" w:hAnsi="宋体" w:eastAsia="仿宋_GB2312" w:cs="宋体"/>
          <w:sz w:val="32"/>
          <w:szCs w:val="32"/>
          <w:lang w:eastAsia="zh-CN"/>
        </w:rPr>
        <w:t>的考务工作、招生录取</w:t>
      </w:r>
      <w:r>
        <w:rPr>
          <w:rFonts w:hint="eastAsia" w:ascii="仿宋_GB2312" w:hAnsi="宋体" w:eastAsia="仿宋_GB2312" w:cs="宋体"/>
          <w:sz w:val="32"/>
          <w:szCs w:val="32"/>
          <w:lang w:val="en-US" w:eastAsia="zh-CN"/>
        </w:rPr>
        <w:t>一年级新生</w:t>
      </w:r>
      <w:r>
        <w:rPr>
          <w:rFonts w:hint="eastAsia" w:ascii="仿宋_GB2312" w:hAnsi="宋体" w:eastAsia="仿宋_GB2312" w:cs="宋体"/>
          <w:sz w:val="32"/>
          <w:szCs w:val="32"/>
          <w:lang w:eastAsia="zh-CN"/>
        </w:rPr>
        <w:t>和小学学籍管理工作。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六</w:t>
      </w:r>
      <w:r>
        <w:rPr>
          <w:rFonts w:hint="eastAsia" w:ascii="仿宋_GB2312" w:hAnsi="宋体" w:eastAsia="仿宋_GB2312" w:cs="宋体"/>
          <w:sz w:val="32"/>
          <w:szCs w:val="32"/>
          <w:lang w:eastAsia="zh-CN"/>
        </w:rPr>
        <w:t>）按照中央关于全面推进素质教育要求，负责教育教学管理、教育教学改革及教育教学科学研究工作，检查指导全</w:t>
      </w:r>
      <w:r>
        <w:rPr>
          <w:rFonts w:hint="eastAsia" w:ascii="仿宋_GB2312" w:hAnsi="宋体" w:eastAsia="仿宋_GB2312" w:cs="宋体"/>
          <w:sz w:val="32"/>
          <w:szCs w:val="32"/>
          <w:lang w:val="en-US" w:eastAsia="zh-CN"/>
        </w:rPr>
        <w:t>镇小学</w:t>
      </w:r>
      <w:r>
        <w:rPr>
          <w:rFonts w:hint="eastAsia" w:ascii="仿宋_GB2312" w:hAnsi="宋体" w:eastAsia="仿宋_GB2312" w:cs="宋体"/>
          <w:sz w:val="32"/>
          <w:szCs w:val="32"/>
          <w:lang w:eastAsia="zh-CN"/>
        </w:rPr>
        <w:t>实施素质教育工作，并组织推广先进的教育教学经验。</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七</w:t>
      </w:r>
      <w:r>
        <w:rPr>
          <w:rFonts w:hint="eastAsia" w:ascii="仿宋_GB2312" w:hAnsi="宋体" w:eastAsia="仿宋_GB2312" w:cs="宋体"/>
          <w:sz w:val="32"/>
          <w:szCs w:val="32"/>
          <w:lang w:eastAsia="zh-CN"/>
        </w:rPr>
        <w:t>）检查指导学校教育教学设备的装备、管理和使用工作。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八</w:t>
      </w:r>
      <w:r>
        <w:rPr>
          <w:rFonts w:hint="eastAsia" w:ascii="仿宋_GB2312" w:hAnsi="宋体" w:eastAsia="仿宋_GB2312" w:cs="宋体"/>
          <w:sz w:val="32"/>
          <w:szCs w:val="32"/>
          <w:lang w:eastAsia="zh-CN"/>
        </w:rPr>
        <w:t>）检查指导全</w:t>
      </w:r>
      <w:r>
        <w:rPr>
          <w:rFonts w:hint="eastAsia" w:ascii="仿宋_GB2312" w:hAnsi="宋体" w:eastAsia="仿宋_GB2312" w:cs="宋体"/>
          <w:sz w:val="32"/>
          <w:szCs w:val="32"/>
          <w:lang w:val="en-US" w:eastAsia="zh-CN"/>
        </w:rPr>
        <w:t>镇小学</w:t>
      </w:r>
      <w:r>
        <w:rPr>
          <w:rFonts w:hint="eastAsia" w:ascii="仿宋_GB2312" w:hAnsi="宋体" w:eastAsia="仿宋_GB2312" w:cs="宋体"/>
          <w:sz w:val="32"/>
          <w:szCs w:val="32"/>
          <w:lang w:eastAsia="zh-CN"/>
        </w:rPr>
        <w:t>开展电化教育和信息化教学工作。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九</w:t>
      </w:r>
      <w:r>
        <w:rPr>
          <w:rFonts w:hint="eastAsia" w:ascii="仿宋_GB2312" w:hAnsi="宋体" w:eastAsia="仿宋_GB2312" w:cs="宋体"/>
          <w:sz w:val="32"/>
          <w:szCs w:val="32"/>
          <w:lang w:eastAsia="zh-CN"/>
        </w:rPr>
        <w:t>）负责全</w:t>
      </w:r>
      <w:r>
        <w:rPr>
          <w:rFonts w:hint="eastAsia" w:ascii="仿宋_GB2312" w:hAnsi="宋体" w:eastAsia="仿宋_GB2312" w:cs="宋体"/>
          <w:sz w:val="32"/>
          <w:szCs w:val="32"/>
          <w:lang w:val="en-US" w:eastAsia="zh-CN"/>
        </w:rPr>
        <w:t>校</w:t>
      </w:r>
      <w:r>
        <w:rPr>
          <w:rFonts w:hint="eastAsia" w:ascii="仿宋_GB2312" w:hAnsi="宋体" w:eastAsia="仿宋_GB2312" w:cs="宋体"/>
          <w:sz w:val="32"/>
          <w:szCs w:val="32"/>
          <w:lang w:eastAsia="zh-CN"/>
        </w:rPr>
        <w:t>教师初级专业技术职务资格的评审，中、高级专业技术职务资格的申报工作。按照管理权限对教师进行考核、聘任、奖惩、晋升等工作。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（十）负责全</w:t>
      </w:r>
      <w:r>
        <w:rPr>
          <w:rFonts w:hint="eastAsia" w:ascii="仿宋_GB2312" w:hAnsi="宋体" w:eastAsia="仿宋_GB2312" w:cs="宋体"/>
          <w:sz w:val="32"/>
          <w:szCs w:val="32"/>
          <w:lang w:val="en-US" w:eastAsia="zh-CN"/>
        </w:rPr>
        <w:t>镇</w:t>
      </w:r>
      <w:r>
        <w:rPr>
          <w:rFonts w:hint="eastAsia" w:ascii="仿宋_GB2312" w:hAnsi="宋体" w:eastAsia="仿宋_GB2312" w:cs="宋体"/>
          <w:sz w:val="32"/>
          <w:szCs w:val="32"/>
          <w:lang w:eastAsia="zh-CN"/>
        </w:rPr>
        <w:t>小学校教学教育常规管理评估工作，指导全</w:t>
      </w:r>
      <w:r>
        <w:rPr>
          <w:rFonts w:hint="eastAsia" w:ascii="仿宋_GB2312" w:hAnsi="宋体" w:eastAsia="仿宋_GB2312" w:cs="宋体"/>
          <w:sz w:val="32"/>
          <w:szCs w:val="32"/>
          <w:lang w:val="en-US" w:eastAsia="zh-CN"/>
        </w:rPr>
        <w:t>镇</w:t>
      </w:r>
      <w:r>
        <w:rPr>
          <w:rFonts w:hint="eastAsia" w:ascii="仿宋_GB2312" w:hAnsi="宋体" w:eastAsia="仿宋_GB2312" w:cs="宋体"/>
          <w:sz w:val="32"/>
          <w:szCs w:val="32"/>
          <w:lang w:eastAsia="zh-CN"/>
        </w:rPr>
        <w:t>小学德育、体育、卫生、艺术、安全工作以及团组织和少先队工作。</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lang w:eastAsia="zh-CN"/>
        </w:rPr>
        <w:t>（十</w:t>
      </w:r>
      <w:r>
        <w:rPr>
          <w:rFonts w:hint="eastAsia" w:ascii="仿宋_GB2312" w:hAnsi="宋体" w:eastAsia="仿宋_GB2312" w:cs="宋体"/>
          <w:sz w:val="32"/>
          <w:szCs w:val="32"/>
          <w:lang w:val="en-US" w:eastAsia="zh-CN"/>
        </w:rPr>
        <w:t>一</w:t>
      </w:r>
      <w:r>
        <w:rPr>
          <w:rFonts w:hint="eastAsia" w:ascii="仿宋_GB2312" w:hAnsi="宋体" w:eastAsia="仿宋_GB2312" w:cs="宋体"/>
          <w:sz w:val="32"/>
          <w:szCs w:val="32"/>
          <w:lang w:eastAsia="zh-CN"/>
        </w:rPr>
        <w:t>）负责指导全</w:t>
      </w:r>
      <w:r>
        <w:rPr>
          <w:rFonts w:hint="eastAsia" w:ascii="仿宋_GB2312" w:hAnsi="宋体" w:eastAsia="仿宋_GB2312" w:cs="宋体"/>
          <w:sz w:val="32"/>
          <w:szCs w:val="32"/>
          <w:lang w:val="en-US" w:eastAsia="zh-CN"/>
        </w:rPr>
        <w:t>镇小学</w:t>
      </w:r>
      <w:r>
        <w:rPr>
          <w:rFonts w:hint="eastAsia" w:ascii="仿宋_GB2312" w:hAnsi="宋体" w:eastAsia="仿宋_GB2312" w:cs="宋体"/>
          <w:sz w:val="32"/>
          <w:szCs w:val="32"/>
          <w:lang w:eastAsia="zh-CN"/>
        </w:rPr>
        <w:t>学生资助管理工作。</w:t>
      </w:r>
      <w:bookmarkStart w:id="5" w:name="_GoBack"/>
      <w:bookmarkEnd w:id="5"/>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  （十</w:t>
      </w:r>
      <w:r>
        <w:rPr>
          <w:rFonts w:hint="eastAsia" w:ascii="仿宋_GB2312" w:hAnsi="宋体" w:eastAsia="仿宋_GB2312" w:cs="宋体"/>
          <w:sz w:val="32"/>
          <w:szCs w:val="32"/>
          <w:lang w:val="en-US" w:eastAsia="zh-CN"/>
        </w:rPr>
        <w:t>二</w:t>
      </w:r>
      <w:r>
        <w:rPr>
          <w:rFonts w:hint="eastAsia" w:ascii="仿宋_GB2312" w:hAnsi="宋体" w:eastAsia="仿宋_GB2312" w:cs="宋体"/>
          <w:sz w:val="32"/>
          <w:szCs w:val="32"/>
          <w:lang w:eastAsia="zh-CN"/>
        </w:rPr>
        <w:t>）负责语言文字和指导推广普通话工作。</w:t>
      </w:r>
    </w:p>
    <w:p>
      <w:pPr>
        <w:ind w:firstLine="640"/>
        <w:jc w:val="left"/>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（十</w:t>
      </w:r>
      <w:r>
        <w:rPr>
          <w:rFonts w:hint="eastAsia" w:ascii="仿宋_GB2312" w:hAnsi="宋体" w:eastAsia="仿宋_GB2312" w:cs="宋体"/>
          <w:sz w:val="32"/>
          <w:szCs w:val="32"/>
          <w:lang w:val="en-US" w:eastAsia="zh-CN"/>
        </w:rPr>
        <w:t>三</w:t>
      </w:r>
      <w:r>
        <w:rPr>
          <w:rFonts w:hint="eastAsia" w:ascii="仿宋_GB2312" w:hAnsi="宋体" w:eastAsia="仿宋_GB2312" w:cs="宋体"/>
          <w:sz w:val="32"/>
          <w:szCs w:val="32"/>
          <w:lang w:eastAsia="zh-CN"/>
        </w:rPr>
        <w:t>）完成自治县人民政府交办的其他工作。</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w:t>
      </w:r>
      <w:r>
        <w:rPr>
          <w:rFonts w:hint="eastAsia" w:ascii="黑体" w:hAnsi="黑体" w:eastAsia="黑体"/>
          <w:sz w:val="32"/>
          <w:szCs w:val="32"/>
          <w:lang w:eastAsia="zh-CN"/>
        </w:rPr>
        <w:t>机构设置情况</w:t>
      </w:r>
    </w:p>
    <w:p>
      <w:pPr>
        <w:spacing w:line="460" w:lineRule="exact"/>
        <w:ind w:firstLine="640" w:firstLineChars="200"/>
        <w:rPr>
          <w:rFonts w:hint="eastAsia" w:ascii="仿宋" w:hAnsi="仿宋" w:eastAsia="仿宋" w:cs="仿宋"/>
          <w:color w:val="auto"/>
          <w:sz w:val="32"/>
          <w:szCs w:val="32"/>
        </w:rPr>
      </w:pPr>
      <w:r>
        <w:rPr>
          <w:rFonts w:hint="eastAsia" w:ascii="仿宋_GB2312" w:eastAsia="仿宋_GB2312" w:cs="仿宋_GB2312"/>
          <w:kern w:val="0"/>
          <w:sz w:val="32"/>
          <w:szCs w:val="32"/>
          <w:lang w:eastAsia="zh-CN"/>
        </w:rPr>
        <w:t>水源镇</w:t>
      </w:r>
      <w:r>
        <w:rPr>
          <w:rFonts w:hint="eastAsia" w:ascii="仿宋_GB2312" w:eastAsia="仿宋_GB2312" w:cs="仿宋_GB2312"/>
          <w:kern w:val="0"/>
          <w:sz w:val="32"/>
          <w:szCs w:val="32"/>
          <w:lang w:val="en-US" w:eastAsia="zh-CN"/>
        </w:rPr>
        <w:t>中心</w:t>
      </w:r>
      <w:r>
        <w:rPr>
          <w:rFonts w:hint="eastAsia" w:ascii="仿宋_GB2312" w:eastAsia="仿宋_GB2312" w:cs="仿宋_GB2312"/>
          <w:kern w:val="0"/>
          <w:sz w:val="32"/>
          <w:szCs w:val="32"/>
          <w:lang w:eastAsia="zh-CN"/>
        </w:rPr>
        <w:t>小学</w:t>
      </w:r>
      <w:r>
        <w:rPr>
          <w:rFonts w:hint="eastAsia" w:ascii="仿宋_GB2312" w:eastAsia="仿宋_GB2312" w:cs="仿宋_GB2312"/>
          <w:kern w:val="0"/>
          <w:sz w:val="32"/>
          <w:szCs w:val="32"/>
        </w:rPr>
        <w:t>有</w:t>
      </w:r>
      <w:r>
        <w:rPr>
          <w:rFonts w:hint="eastAsia" w:ascii="仿宋_GB2312" w:eastAsia="仿宋_GB2312" w:cs="仿宋_GB2312"/>
          <w:kern w:val="0"/>
          <w:sz w:val="32"/>
          <w:szCs w:val="32"/>
          <w:lang w:eastAsia="zh-CN"/>
        </w:rPr>
        <w:t>六</w:t>
      </w:r>
      <w:r>
        <w:rPr>
          <w:rFonts w:hint="eastAsia" w:ascii="仿宋_GB2312" w:eastAsia="仿宋_GB2312" w:cs="仿宋_GB2312"/>
          <w:kern w:val="0"/>
          <w:sz w:val="32"/>
          <w:szCs w:val="32"/>
        </w:rPr>
        <w:t>个内设机构，分别为：</w:t>
      </w:r>
      <w:r>
        <w:rPr>
          <w:rFonts w:hint="eastAsia" w:ascii="仿宋_GB2312" w:eastAsia="仿宋_GB2312" w:cs="仿宋_GB2312"/>
          <w:kern w:val="0"/>
          <w:sz w:val="32"/>
          <w:szCs w:val="32"/>
          <w:lang w:eastAsia="zh-CN"/>
        </w:rPr>
        <w:t>书记</w:t>
      </w:r>
      <w:r>
        <w:rPr>
          <w:rFonts w:hint="eastAsia" w:ascii="仿宋_GB2312" w:eastAsia="仿宋_GB2312" w:cs="仿宋_GB2312"/>
          <w:kern w:val="0"/>
          <w:sz w:val="32"/>
          <w:szCs w:val="32"/>
        </w:rPr>
        <w:t>办公室</w:t>
      </w:r>
      <w:r>
        <w:rPr>
          <w:rFonts w:hint="eastAsia" w:ascii="仿宋_GB2312" w:eastAsia="仿宋_GB2312" w:cs="仿宋_GB2312"/>
          <w:kern w:val="0"/>
          <w:sz w:val="32"/>
          <w:szCs w:val="32"/>
          <w:lang w:eastAsia="zh-CN"/>
        </w:rPr>
        <w:t>、校长</w:t>
      </w:r>
      <w:r>
        <w:rPr>
          <w:rFonts w:hint="eastAsia" w:ascii="仿宋_GB2312" w:eastAsia="仿宋_GB2312" w:cs="仿宋_GB2312"/>
          <w:kern w:val="0"/>
          <w:sz w:val="32"/>
          <w:szCs w:val="32"/>
        </w:rPr>
        <w:t>办公室</w:t>
      </w:r>
      <w:r>
        <w:rPr>
          <w:rFonts w:hint="eastAsia" w:ascii="仿宋_GB2312" w:eastAsia="仿宋_GB2312" w:cs="仿宋_GB2312"/>
          <w:kern w:val="0"/>
          <w:sz w:val="32"/>
          <w:szCs w:val="32"/>
          <w:lang w:eastAsia="zh-CN"/>
        </w:rPr>
        <w:t>、行政办公室、财务</w:t>
      </w:r>
      <w:r>
        <w:rPr>
          <w:rFonts w:hint="eastAsia" w:ascii="仿宋_GB2312" w:eastAsia="仿宋_GB2312" w:cs="仿宋_GB2312"/>
          <w:kern w:val="0"/>
          <w:sz w:val="32"/>
          <w:szCs w:val="32"/>
        </w:rPr>
        <w:t>办公室</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教</w:t>
      </w:r>
      <w:r>
        <w:rPr>
          <w:rFonts w:hint="eastAsia" w:ascii="仿宋_GB2312" w:eastAsia="仿宋_GB2312" w:cs="仿宋_GB2312"/>
          <w:kern w:val="0"/>
          <w:sz w:val="32"/>
          <w:szCs w:val="32"/>
          <w:lang w:val="en-US" w:eastAsia="zh-CN"/>
        </w:rPr>
        <w:t>务处办公</w:t>
      </w:r>
      <w:r>
        <w:rPr>
          <w:rFonts w:hint="eastAsia" w:ascii="仿宋_GB2312" w:eastAsia="仿宋_GB2312" w:cs="仿宋_GB2312"/>
          <w:kern w:val="0"/>
          <w:sz w:val="32"/>
          <w:szCs w:val="32"/>
        </w:rPr>
        <w:t>室、</w:t>
      </w:r>
      <w:r>
        <w:rPr>
          <w:rFonts w:hint="eastAsia" w:ascii="仿宋_GB2312" w:eastAsia="仿宋_GB2312" w:cs="仿宋_GB2312"/>
          <w:kern w:val="0"/>
          <w:sz w:val="32"/>
          <w:szCs w:val="32"/>
          <w:lang w:val="en-US" w:eastAsia="zh-CN"/>
        </w:rPr>
        <w:t>政教处办公室</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下属机构有</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个，其中</w:t>
      </w:r>
      <w:r>
        <w:rPr>
          <w:rFonts w:hint="eastAsia" w:ascii="仿宋_GB2312" w:eastAsia="仿宋_GB2312" w:cs="仿宋_GB2312"/>
          <w:kern w:val="0"/>
          <w:sz w:val="32"/>
          <w:szCs w:val="32"/>
          <w:lang w:eastAsia="zh-CN"/>
        </w:rPr>
        <w:t>中心校</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个，</w:t>
      </w:r>
      <w:r>
        <w:rPr>
          <w:rFonts w:hint="eastAsia" w:ascii="仿宋_GB2312" w:eastAsia="仿宋_GB2312" w:cs="仿宋_GB2312"/>
          <w:kern w:val="0"/>
          <w:sz w:val="32"/>
          <w:szCs w:val="32"/>
          <w:lang w:eastAsia="zh-CN"/>
        </w:rPr>
        <w:t>村校</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个</w:t>
      </w:r>
      <w:r>
        <w:rPr>
          <w:rFonts w:hint="eastAsia" w:ascii="仿宋_GB2312" w:eastAsia="仿宋_GB2312" w:cs="仿宋_GB2312"/>
          <w:kern w:val="0"/>
          <w:sz w:val="32"/>
          <w:szCs w:val="32"/>
          <w:lang w:eastAsia="zh-CN"/>
        </w:rPr>
        <w:t>；</w:t>
      </w:r>
      <w:r>
        <w:rPr>
          <w:rFonts w:hint="eastAsia" w:ascii="仿宋_GB2312" w:hAnsi="宋体" w:eastAsia="仿宋_GB2312" w:cs="宋体"/>
          <w:sz w:val="32"/>
          <w:szCs w:val="32"/>
          <w:lang w:eastAsia="zh-CN"/>
        </w:rPr>
        <w:t>20</w:t>
      </w:r>
      <w:r>
        <w:rPr>
          <w:rFonts w:hint="eastAsia" w:ascii="仿宋_GB2312" w:hAnsi="宋体" w:eastAsia="仿宋_GB2312" w:cs="宋体"/>
          <w:sz w:val="32"/>
          <w:szCs w:val="32"/>
          <w:lang w:val="en-US" w:eastAsia="zh-CN"/>
        </w:rPr>
        <w:t>23</w:t>
      </w:r>
      <w:r>
        <w:rPr>
          <w:rFonts w:hint="eastAsia" w:ascii="仿宋_GB2312" w:hAnsi="宋体" w:eastAsia="仿宋_GB2312" w:cs="宋体"/>
          <w:sz w:val="32"/>
          <w:szCs w:val="32"/>
          <w:lang w:eastAsia="zh-CN"/>
        </w:rPr>
        <w:t>年全</w:t>
      </w:r>
      <w:r>
        <w:rPr>
          <w:rFonts w:hint="eastAsia" w:ascii="仿宋_GB2312" w:hAnsi="宋体" w:eastAsia="仿宋_GB2312" w:cs="宋体"/>
          <w:sz w:val="32"/>
          <w:szCs w:val="32"/>
          <w:lang w:val="en-US" w:eastAsia="zh-CN"/>
        </w:rPr>
        <w:t>镇小学</w:t>
      </w:r>
      <w:r>
        <w:rPr>
          <w:rFonts w:hint="eastAsia" w:ascii="仿宋_GB2312" w:hAnsi="宋体" w:eastAsia="仿宋_GB2312" w:cs="宋体"/>
          <w:sz w:val="32"/>
          <w:szCs w:val="32"/>
          <w:lang w:eastAsia="zh-CN"/>
        </w:rPr>
        <w:t>事业编制数</w:t>
      </w:r>
      <w:r>
        <w:rPr>
          <w:rFonts w:hint="eastAsia" w:ascii="仿宋_GB2312" w:hAnsi="宋体" w:eastAsia="仿宋_GB2312" w:cs="宋体"/>
          <w:sz w:val="32"/>
          <w:szCs w:val="32"/>
          <w:lang w:val="en-US" w:eastAsia="zh-CN"/>
        </w:rPr>
        <w:t>120</w:t>
      </w:r>
      <w:r>
        <w:rPr>
          <w:rFonts w:hint="eastAsia" w:ascii="仿宋_GB2312" w:hAnsi="宋体" w:eastAsia="仿宋_GB2312" w:cs="宋体"/>
          <w:sz w:val="32"/>
          <w:szCs w:val="32"/>
          <w:lang w:eastAsia="zh-CN"/>
        </w:rPr>
        <w:t>人。实有在职人数</w:t>
      </w:r>
      <w:r>
        <w:rPr>
          <w:rFonts w:hint="eastAsia" w:ascii="仿宋_GB2312" w:hAnsi="宋体" w:eastAsia="仿宋_GB2312" w:cs="宋体"/>
          <w:sz w:val="32"/>
          <w:szCs w:val="32"/>
          <w:lang w:val="en-US" w:eastAsia="zh-CN"/>
        </w:rPr>
        <w:t>123</w:t>
      </w:r>
      <w:r>
        <w:rPr>
          <w:rFonts w:hint="eastAsia" w:ascii="仿宋_GB2312" w:hAnsi="宋体" w:eastAsia="仿宋_GB2312" w:cs="宋体"/>
          <w:sz w:val="32"/>
          <w:szCs w:val="32"/>
          <w:lang w:eastAsia="zh-CN"/>
        </w:rPr>
        <w:t>人，其中行政在职</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lang w:eastAsia="zh-CN"/>
        </w:rPr>
        <w:t>人，事业在职</w:t>
      </w:r>
      <w:r>
        <w:rPr>
          <w:rFonts w:hint="eastAsia" w:ascii="仿宋_GB2312" w:hAnsi="宋体" w:eastAsia="仿宋_GB2312" w:cs="宋体"/>
          <w:sz w:val="32"/>
          <w:szCs w:val="32"/>
          <w:lang w:val="en-US" w:eastAsia="zh-CN"/>
        </w:rPr>
        <w:t>123</w:t>
      </w:r>
      <w:r>
        <w:rPr>
          <w:rFonts w:hint="eastAsia" w:ascii="仿宋_GB2312" w:hAnsi="宋体" w:eastAsia="仿宋_GB2312" w:cs="宋体"/>
          <w:sz w:val="32"/>
          <w:szCs w:val="32"/>
          <w:lang w:eastAsia="zh-CN"/>
        </w:rPr>
        <w:t>人，退休人员</w:t>
      </w:r>
      <w:r>
        <w:rPr>
          <w:rFonts w:hint="eastAsia" w:ascii="仿宋_GB2312" w:hAnsi="宋体" w:eastAsia="仿宋_GB2312" w:cs="宋体"/>
          <w:sz w:val="32"/>
          <w:szCs w:val="32"/>
          <w:lang w:val="en-US" w:eastAsia="zh-CN"/>
        </w:rPr>
        <w:t>119</w:t>
      </w:r>
      <w:r>
        <w:rPr>
          <w:rFonts w:hint="eastAsia" w:ascii="仿宋_GB2312" w:hAnsi="宋体" w:eastAsia="仿宋_GB2312" w:cs="宋体"/>
          <w:sz w:val="32"/>
          <w:szCs w:val="32"/>
          <w:lang w:eastAsia="zh-CN"/>
        </w:rPr>
        <w:t>人,学校专职保安人员</w:t>
      </w:r>
      <w:r>
        <w:rPr>
          <w:rFonts w:hint="eastAsia" w:ascii="仿宋_GB2312" w:hAnsi="宋体" w:eastAsia="仿宋_GB2312" w:cs="宋体"/>
          <w:sz w:val="32"/>
          <w:szCs w:val="32"/>
          <w:lang w:val="en-US" w:eastAsia="zh-CN"/>
        </w:rPr>
        <w:t>10</w:t>
      </w:r>
      <w:r>
        <w:rPr>
          <w:rFonts w:hint="eastAsia" w:ascii="仿宋_GB2312" w:hAnsi="宋体" w:eastAsia="仿宋_GB2312" w:cs="宋体"/>
          <w:sz w:val="32"/>
          <w:szCs w:val="32"/>
          <w:lang w:eastAsia="zh-CN"/>
        </w:rPr>
        <w:t>人，食堂钟点工</w:t>
      </w:r>
      <w:r>
        <w:rPr>
          <w:rFonts w:hint="eastAsia" w:ascii="仿宋_GB2312" w:hAnsi="宋体" w:eastAsia="仿宋_GB2312" w:cs="宋体"/>
          <w:sz w:val="32"/>
          <w:szCs w:val="32"/>
          <w:lang w:val="en-US" w:eastAsia="zh-CN"/>
        </w:rPr>
        <w:t>18</w:t>
      </w:r>
      <w:r>
        <w:rPr>
          <w:rFonts w:hint="eastAsia" w:ascii="仿宋_GB2312" w:hAnsi="宋体" w:eastAsia="仿宋_GB2312" w:cs="宋体"/>
          <w:sz w:val="32"/>
          <w:szCs w:val="32"/>
          <w:lang w:eastAsia="zh-CN"/>
        </w:rPr>
        <w:t>人。</w:t>
      </w:r>
      <w:r>
        <w:rPr>
          <w:rFonts w:hint="eastAsia" w:ascii="仿宋" w:hAnsi="仿宋" w:eastAsia="仿宋" w:cs="仿宋"/>
          <w:color w:val="auto"/>
          <w:sz w:val="32"/>
          <w:szCs w:val="32"/>
        </w:rPr>
        <w:t>按照部门决算编报要求，单独编制本部门决算。</w:t>
      </w:r>
    </w:p>
    <w:p>
      <w:pPr>
        <w:spacing w:line="460" w:lineRule="exact"/>
        <w:ind w:firstLine="640" w:firstLineChars="200"/>
        <w:rPr>
          <w:rFonts w:hint="eastAsia" w:ascii="仿宋" w:hAnsi="仿宋" w:eastAsia="仿宋" w:cs="仿宋"/>
          <w:color w:val="auto"/>
          <w:sz w:val="32"/>
          <w:szCs w:val="32"/>
        </w:rPr>
      </w:pP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633" w:bottom="1440" w:left="1633" w:header="851" w:footer="992" w:gutter="0"/>
          <w:cols w:space="0" w:num="1"/>
          <w:rtlGutter w:val="0"/>
          <w:docGrid w:type="lines" w:linePitch="312" w:charSpace="0"/>
        </w:sect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第二部分：环江毛南族自治县</w:t>
      </w:r>
      <w:r>
        <w:rPr>
          <w:rFonts w:hint="eastAsia" w:ascii="黑体" w:hAnsi="黑体" w:eastAsia="黑体" w:cs="黑体"/>
          <w:sz w:val="32"/>
          <w:szCs w:val="32"/>
          <w:highlight w:val="none"/>
          <w:lang w:val="en-US" w:eastAsia="zh-CN"/>
        </w:rPr>
        <w:t>水源镇中心小学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tbl>
      <w:tblPr>
        <w:tblStyle w:val="6"/>
        <w:tblW w:w="13962" w:type="dxa"/>
        <w:tblInd w:w="93" w:type="dxa"/>
        <w:tblLayout w:type="fixed"/>
        <w:tblCellMar>
          <w:top w:w="0" w:type="dxa"/>
          <w:left w:w="108" w:type="dxa"/>
          <w:bottom w:w="0" w:type="dxa"/>
          <w:right w:w="108" w:type="dxa"/>
        </w:tblCellMar>
      </w:tblPr>
      <w:tblGrid>
        <w:gridCol w:w="3"/>
        <w:gridCol w:w="3624"/>
        <w:gridCol w:w="975"/>
        <w:gridCol w:w="1758"/>
        <w:gridCol w:w="3267"/>
        <w:gridCol w:w="1095"/>
        <w:gridCol w:w="2714"/>
        <w:gridCol w:w="526"/>
      </w:tblGrid>
      <w:tr>
        <w:tblPrEx>
          <w:tblCellMar>
            <w:top w:w="0" w:type="dxa"/>
            <w:left w:w="108" w:type="dxa"/>
            <w:bottom w:w="0" w:type="dxa"/>
            <w:right w:w="108" w:type="dxa"/>
          </w:tblCellMar>
        </w:tblPrEx>
        <w:trPr>
          <w:gridBefore w:val="1"/>
          <w:gridAfter w:val="1"/>
          <w:wBefore w:w="3" w:type="dxa"/>
          <w:wAfter w:w="526" w:type="dxa"/>
          <w:trHeight w:val="902" w:hRule="atLeast"/>
        </w:trPr>
        <w:tc>
          <w:tcPr>
            <w:tcW w:w="13433" w:type="dxa"/>
            <w:gridSpan w:val="6"/>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jc w:val="left"/>
              <w:rPr>
                <w:rFonts w:hint="eastAsia" w:ascii="仿宋" w:hAnsi="仿宋" w:eastAsia="仿宋" w:cs="仿宋"/>
                <w:b/>
                <w:bCs/>
                <w:sz w:val="24"/>
                <w:highlight w:val="none"/>
              </w:rPr>
            </w:pPr>
            <w:r>
              <w:rPr>
                <w:rFonts w:hint="eastAsia" w:ascii="仿宋" w:hAnsi="仿宋" w:eastAsia="仿宋" w:cs="仿宋"/>
                <w:b/>
                <w:bCs/>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b/>
                <w:bCs/>
                <w:color w:val="000000"/>
                <w:kern w:val="0"/>
                <w:sz w:val="32"/>
                <w:szCs w:val="32"/>
                <w:highlight w:val="none"/>
                <w:lang w:bidi="ar"/>
              </w:rPr>
              <w:t>收入支出决算总表</w:t>
            </w:r>
          </w:p>
        </w:tc>
      </w:tr>
      <w:tr>
        <w:tblPrEx>
          <w:tblCellMar>
            <w:top w:w="0" w:type="dxa"/>
            <w:left w:w="108" w:type="dxa"/>
            <w:bottom w:w="0" w:type="dxa"/>
            <w:right w:w="108" w:type="dxa"/>
          </w:tblCellMar>
        </w:tblPrEx>
        <w:trPr>
          <w:gridBefore w:val="1"/>
          <w:gridAfter w:val="1"/>
          <w:wBefore w:w="3" w:type="dxa"/>
          <w:wAfter w:w="526" w:type="dxa"/>
          <w:trHeight w:val="301" w:hRule="atLeast"/>
        </w:trPr>
        <w:tc>
          <w:tcPr>
            <w:tcW w:w="3624"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7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5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26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14"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公开01表</w:t>
            </w:r>
          </w:p>
        </w:tc>
      </w:tr>
      <w:tr>
        <w:tblPrEx>
          <w:tblCellMar>
            <w:top w:w="0" w:type="dxa"/>
            <w:left w:w="108" w:type="dxa"/>
            <w:bottom w:w="0" w:type="dxa"/>
            <w:right w:w="108" w:type="dxa"/>
          </w:tblCellMar>
        </w:tblPrEx>
        <w:trPr>
          <w:gridBefore w:val="1"/>
          <w:gridAfter w:val="1"/>
          <w:wBefore w:w="3" w:type="dxa"/>
          <w:wAfter w:w="526" w:type="dxa"/>
          <w:trHeight w:val="301" w:hRule="atLeast"/>
        </w:trPr>
        <w:tc>
          <w:tcPr>
            <w:tcW w:w="3624" w:type="dxa"/>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Arial" w:hAnsi="Arial" w:eastAsia="宋体" w:cs="Arial"/>
                <w:color w:val="000000"/>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部门：环江毛南族自治县水源镇中心小学</w:t>
            </w:r>
          </w:p>
        </w:tc>
        <w:tc>
          <w:tcPr>
            <w:tcW w:w="975"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rPr>
            </w:pPr>
          </w:p>
        </w:tc>
        <w:tc>
          <w:tcPr>
            <w:tcW w:w="1758"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rPr>
            </w:pPr>
          </w:p>
        </w:tc>
        <w:tc>
          <w:tcPr>
            <w:tcW w:w="3267"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5"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14" w:type="dxa"/>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gridBefore w:val="1"/>
          <w:gridAfter w:val="1"/>
          <w:wBefore w:w="3" w:type="dxa"/>
          <w:wAfter w:w="526" w:type="dxa"/>
          <w:trHeight w:val="315" w:hRule="atLeast"/>
        </w:trPr>
        <w:tc>
          <w:tcPr>
            <w:tcW w:w="63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收入</w:t>
            </w:r>
          </w:p>
        </w:tc>
        <w:tc>
          <w:tcPr>
            <w:tcW w:w="70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支出</w:t>
            </w:r>
          </w:p>
        </w:tc>
      </w:tr>
      <w:tr>
        <w:tblPrEx>
          <w:tblCellMar>
            <w:top w:w="0" w:type="dxa"/>
            <w:left w:w="108" w:type="dxa"/>
            <w:bottom w:w="0" w:type="dxa"/>
            <w:right w:w="108" w:type="dxa"/>
          </w:tblCellMar>
        </w:tblPrEx>
        <w:trPr>
          <w:gridBefore w:val="1"/>
          <w:gridAfter w:val="1"/>
          <w:wBefore w:w="3" w:type="dxa"/>
          <w:wAfter w:w="526" w:type="dxa"/>
          <w:trHeight w:val="315"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行次</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金额</w:t>
            </w: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行次</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金额</w:t>
            </w:r>
          </w:p>
        </w:tc>
      </w:tr>
      <w:tr>
        <w:tblPrEx>
          <w:tblCellMar>
            <w:top w:w="0" w:type="dxa"/>
            <w:left w:w="108" w:type="dxa"/>
            <w:bottom w:w="0" w:type="dxa"/>
            <w:right w:w="108" w:type="dxa"/>
          </w:tblCellMar>
        </w:tblPrEx>
        <w:trPr>
          <w:gridBefore w:val="1"/>
          <w:gridAfter w:val="1"/>
          <w:wBefore w:w="3" w:type="dxa"/>
          <w:wAfter w:w="526" w:type="dxa"/>
          <w:trHeight w:val="315"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2,951.88</w:t>
            </w: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一、一般公共服务支出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32</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30.64</w:t>
            </w: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1.67</w:t>
            </w: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二、外交支出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33</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三、国防支出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34</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color w:val="000000"/>
                <w:kern w:val="0"/>
                <w:sz w:val="22"/>
                <w:szCs w:val="22"/>
                <w:u w:val="none"/>
                <w:lang w:val="en-US" w:eastAsia="zh-CN" w:bidi="ar"/>
              </w:rPr>
              <w:t>四、上级补助收入</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四、公共安全支出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35</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color w:val="000000"/>
                <w:kern w:val="0"/>
                <w:sz w:val="22"/>
                <w:szCs w:val="22"/>
                <w:u w:val="none"/>
                <w:lang w:val="en-US" w:eastAsia="zh-CN" w:bidi="ar"/>
              </w:rPr>
              <w:t>五、事业收入</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五、教育支出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36</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2,297.89</w:t>
            </w: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color w:val="000000"/>
                <w:kern w:val="0"/>
                <w:sz w:val="22"/>
                <w:szCs w:val="22"/>
                <w:u w:val="none"/>
                <w:lang w:val="en-US" w:eastAsia="zh-CN" w:bidi="ar"/>
              </w:rPr>
              <w:t>六、经营收入</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6</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六、科学技术支出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37</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color w:val="000000"/>
                <w:kern w:val="0"/>
                <w:sz w:val="22"/>
                <w:szCs w:val="22"/>
                <w:u w:val="none"/>
                <w:lang w:val="en-US" w:eastAsia="zh-CN" w:bidi="ar"/>
              </w:rPr>
              <w:t>七、附属单位上缴收入</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7</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七、文化旅游体育与传媒支出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38</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color w:val="000000"/>
                <w:kern w:val="0"/>
                <w:sz w:val="22"/>
                <w:szCs w:val="22"/>
                <w:u w:val="none"/>
                <w:lang w:val="en-US" w:eastAsia="zh-CN" w:bidi="ar"/>
              </w:rPr>
              <w:t>八、其他收入</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8</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八、社会保障和就业支出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39</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225.48</w:t>
            </w: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9</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九、卫生健康支出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40</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10</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十、节能环保支出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41</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11</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十一、城乡社区支出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42</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12</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十二、农林水支出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43</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13</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十三、交通运输支出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44</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14</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45</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15</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十五、商业服务业等支出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46</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16</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十六、金融支出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47</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17</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十七、援助其他地区支出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48</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18</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49</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19</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十九、住房保障支出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50</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169.11</w:t>
            </w: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二十、粮油物资储备支出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51</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21</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52</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53</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23</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二十三、其他支出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54</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230.43</w:t>
            </w: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ighlight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0"/>
                <w:szCs w:val="20"/>
                <w:u w:val="none"/>
                <w:lang w:val="en-US" w:eastAsia="zh-CN" w:bidi="ar"/>
              </w:rPr>
              <w:t>24</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二十四、债务还本支出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55</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0"/>
                <w:szCs w:val="20"/>
                <w:u w:val="none"/>
                <w:lang w:val="en-US" w:eastAsia="zh-CN" w:bidi="ar"/>
              </w:rPr>
              <w:t>25</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二十五、债务付息支出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56</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0"/>
                <w:szCs w:val="20"/>
                <w:u w:val="none"/>
                <w:lang w:val="en-US" w:eastAsia="zh-CN" w:bidi="ar"/>
              </w:rPr>
              <w:t>26</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57</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eastAsia="宋体" w:cs="宋体"/>
                <w:b/>
                <w:i w:val="0"/>
                <w:color w:val="000000"/>
                <w:kern w:val="0"/>
                <w:sz w:val="22"/>
                <w:szCs w:val="22"/>
                <w:u w:val="none"/>
                <w:lang w:val="en-US" w:eastAsia="zh-CN" w:bidi="ar"/>
              </w:rPr>
              <w:t>本年收入合计</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27</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2,953.55</w:t>
            </w: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i w:val="0"/>
                <w:color w:val="000000"/>
                <w:kern w:val="0"/>
                <w:sz w:val="22"/>
                <w:szCs w:val="22"/>
                <w:u w:val="none"/>
                <w:lang w:val="en-US" w:eastAsia="zh-CN" w:bidi="ar"/>
              </w:rPr>
              <w:t>本年支出合计</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58</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2,953.55</w:t>
            </w: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color w:val="000000"/>
                <w:kern w:val="0"/>
                <w:sz w:val="22"/>
                <w:szCs w:val="22"/>
                <w:u w:val="none"/>
                <w:lang w:val="en-US" w:eastAsia="zh-CN" w:bidi="ar"/>
              </w:rPr>
              <w:t>使用非财政拨款结余（含专用结余）</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28</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结余分配</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59</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color w:val="000000"/>
                <w:kern w:val="0"/>
                <w:sz w:val="22"/>
                <w:szCs w:val="22"/>
                <w:u w:val="none"/>
                <w:lang w:val="en-US" w:eastAsia="zh-CN" w:bidi="ar"/>
              </w:rPr>
              <w:t>年初结转和结余</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29</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年末结转和结余</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60</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30</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61</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526" w:type="dxa"/>
          <w:trHeight w:val="334" w:hRule="atLeast"/>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eastAsia="宋体" w:cs="宋体"/>
                <w:b/>
                <w:i w:val="0"/>
                <w:color w:val="000000"/>
                <w:kern w:val="0"/>
                <w:sz w:val="22"/>
                <w:szCs w:val="22"/>
                <w:u w:val="none"/>
                <w:lang w:val="en-US" w:eastAsia="zh-CN" w:bidi="ar"/>
              </w:rPr>
              <w:t>总计</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31</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2,953.55</w:t>
            </w: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i w:val="0"/>
                <w:color w:val="000000"/>
                <w:kern w:val="0"/>
                <w:sz w:val="22"/>
                <w:szCs w:val="22"/>
                <w:u w:val="none"/>
                <w:lang w:val="en-US" w:eastAsia="zh-CN" w:bidi="ar"/>
              </w:rPr>
              <w:t>总计</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62</w:t>
            </w:r>
          </w:p>
        </w:tc>
        <w:tc>
          <w:tcPr>
            <w:tcW w:w="2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2,953.55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62" w:type="dxa"/>
            <w:gridSpan w:val="8"/>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62" w:type="dxa"/>
            <w:gridSpan w:val="8"/>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21" w:type="dxa"/>
        <w:tblInd w:w="96" w:type="dxa"/>
        <w:tblLayout w:type="fixed"/>
        <w:tblCellMar>
          <w:top w:w="0" w:type="dxa"/>
          <w:left w:w="108" w:type="dxa"/>
          <w:bottom w:w="0" w:type="dxa"/>
          <w:right w:w="108" w:type="dxa"/>
        </w:tblCellMar>
      </w:tblPr>
      <w:tblGrid>
        <w:gridCol w:w="1119"/>
        <w:gridCol w:w="1843"/>
        <w:gridCol w:w="236"/>
        <w:gridCol w:w="236"/>
        <w:gridCol w:w="1558"/>
        <w:gridCol w:w="1759"/>
        <w:gridCol w:w="1800"/>
        <w:gridCol w:w="1050"/>
        <w:gridCol w:w="1020"/>
        <w:gridCol w:w="1095"/>
        <w:gridCol w:w="1185"/>
        <w:gridCol w:w="1020"/>
      </w:tblGrid>
      <w:tr>
        <w:tblPrEx>
          <w:tblCellMar>
            <w:top w:w="0" w:type="dxa"/>
            <w:left w:w="108" w:type="dxa"/>
            <w:bottom w:w="0" w:type="dxa"/>
            <w:right w:w="108" w:type="dxa"/>
          </w:tblCellMar>
        </w:tblPrEx>
        <w:trPr>
          <w:trHeight w:val="951" w:hRule="atLeast"/>
        </w:trPr>
        <w:tc>
          <w:tcPr>
            <w:tcW w:w="13921" w:type="dxa"/>
            <w:gridSpan w:val="1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jc w:val="left"/>
              <w:rPr>
                <w:rFonts w:hint="eastAsia" w:ascii="仿宋" w:hAnsi="仿宋" w:eastAsia="仿宋" w:cs="仿宋"/>
                <w:b/>
                <w:bCs/>
                <w:sz w:val="24"/>
                <w:highlight w:val="none"/>
              </w:rPr>
            </w:pPr>
            <w:r>
              <w:rPr>
                <w:rFonts w:hint="eastAsia" w:ascii="仿宋" w:hAnsi="仿宋" w:eastAsia="仿宋" w:cs="仿宋"/>
                <w:b/>
                <w:bCs/>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b/>
                <w:bCs/>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5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59"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0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2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5" w:type="dxa"/>
            <w:gridSpan w:val="2"/>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8551" w:type="dxa"/>
            <w:gridSpan w:val="7"/>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环江毛南族自治县水源镇中心小学</w:t>
            </w:r>
          </w:p>
        </w:tc>
        <w:tc>
          <w:tcPr>
            <w:tcW w:w="1050"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20"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5"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5" w:type="dxa"/>
            <w:gridSpan w:val="2"/>
            <w:tcBorders>
              <w:top w:val="nil"/>
              <w:left w:val="nil"/>
              <w:bottom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val="en-US"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trHeight w:val="327" w:hRule="atLeast"/>
        </w:trPr>
        <w:tc>
          <w:tcPr>
            <w:tcW w:w="499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17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事业收入</w:t>
            </w:r>
          </w:p>
        </w:tc>
        <w:tc>
          <w:tcPr>
            <w:tcW w:w="10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经营收入</w:t>
            </w:r>
          </w:p>
        </w:tc>
        <w:tc>
          <w:tcPr>
            <w:tcW w:w="11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其他收入</w:t>
            </w:r>
          </w:p>
        </w:tc>
      </w:tr>
      <w:tr>
        <w:tblPrEx>
          <w:tblCellMar>
            <w:top w:w="0" w:type="dxa"/>
            <w:left w:w="108" w:type="dxa"/>
            <w:bottom w:w="0" w:type="dxa"/>
            <w:right w:w="108" w:type="dxa"/>
          </w:tblCellMar>
        </w:tblPrEx>
        <w:trPr>
          <w:trHeight w:val="327" w:hRule="atLeast"/>
        </w:trPr>
        <w:tc>
          <w:tcPr>
            <w:tcW w:w="11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3873"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17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1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73"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1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73"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499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108" w:type="dxa"/>
            <w:bottom w:w="0" w:type="dxa"/>
            <w:right w:w="108" w:type="dxa"/>
          </w:tblCellMar>
        </w:tblPrEx>
        <w:trPr>
          <w:trHeight w:val="720" w:hRule="atLeast"/>
        </w:trPr>
        <w:tc>
          <w:tcPr>
            <w:tcW w:w="499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合计</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i w:val="0"/>
                <w:color w:val="000000"/>
                <w:kern w:val="0"/>
                <w:sz w:val="22"/>
                <w:szCs w:val="22"/>
                <w:u w:val="none"/>
                <w:lang w:val="en-US" w:eastAsia="zh-CN" w:bidi="ar"/>
              </w:rPr>
              <w:t>2,953.55</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i w:val="0"/>
                <w:color w:val="000000"/>
                <w:kern w:val="0"/>
                <w:sz w:val="22"/>
                <w:szCs w:val="22"/>
                <w:u w:val="none"/>
                <w:lang w:val="en-US" w:eastAsia="zh-CN" w:bidi="ar"/>
              </w:rPr>
              <w:t>2,953.55</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2012999</w:t>
            </w:r>
          </w:p>
        </w:tc>
        <w:tc>
          <w:tcPr>
            <w:tcW w:w="3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其他群众团体事务支出</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30.64</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30.64</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2050202</w:t>
            </w:r>
          </w:p>
        </w:tc>
        <w:tc>
          <w:tcPr>
            <w:tcW w:w="3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小学教育</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2,289.95</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2,289.95</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2050299</w:t>
            </w:r>
          </w:p>
        </w:tc>
        <w:tc>
          <w:tcPr>
            <w:tcW w:w="3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其他普通教育支出</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5.88</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5.88</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2050701</w:t>
            </w:r>
          </w:p>
        </w:tc>
        <w:tc>
          <w:tcPr>
            <w:tcW w:w="3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特殊学校教育</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0.53</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0.53</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2050999</w:t>
            </w:r>
          </w:p>
        </w:tc>
        <w:tc>
          <w:tcPr>
            <w:tcW w:w="3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其他教育费附加安排的支出</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1.53</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1.53</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2080505</w:t>
            </w:r>
          </w:p>
        </w:tc>
        <w:tc>
          <w:tcPr>
            <w:tcW w:w="3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225.48</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225.48</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2210201</w:t>
            </w:r>
          </w:p>
        </w:tc>
        <w:tc>
          <w:tcPr>
            <w:tcW w:w="3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住房公积金</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169.11</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169.11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2296004</w:t>
            </w:r>
          </w:p>
        </w:tc>
        <w:tc>
          <w:tcPr>
            <w:tcW w:w="3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用于教育事业的彩票公益金支出</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1.67</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1.67</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2299999</w:t>
            </w:r>
          </w:p>
        </w:tc>
        <w:tc>
          <w:tcPr>
            <w:tcW w:w="3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其他支出</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228.77</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228.77</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3921" w:type="dxa"/>
            <w:gridSpan w:val="12"/>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b/>
          <w:bCs/>
          <w:sz w:val="24"/>
          <w:highlight w:val="none"/>
        </w:rPr>
      </w:pPr>
      <w:r>
        <w:rPr>
          <w:rFonts w:hint="eastAsia" w:ascii="仿宋" w:hAnsi="仿宋" w:eastAsia="仿宋" w:cs="仿宋"/>
          <w:b/>
          <w:bCs/>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059"/>
        <w:gridCol w:w="83"/>
        <w:gridCol w:w="237"/>
        <w:gridCol w:w="303"/>
        <w:gridCol w:w="2875"/>
        <w:gridCol w:w="1666"/>
        <w:gridCol w:w="1728"/>
        <w:gridCol w:w="1562"/>
        <w:gridCol w:w="1531"/>
        <w:gridCol w:w="1055"/>
        <w:gridCol w:w="1881"/>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b/>
                <w:bCs/>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7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6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6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3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81"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9513" w:type="dxa"/>
            <w:gridSpan w:val="8"/>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环江毛南族自治县水源镇中心小学</w:t>
            </w:r>
          </w:p>
        </w:tc>
        <w:tc>
          <w:tcPr>
            <w:tcW w:w="1531" w:type="dxa"/>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5" w:type="dxa"/>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81"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val="en-US"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trHeight w:val="322" w:hRule="atLeast"/>
        </w:trPr>
        <w:tc>
          <w:tcPr>
            <w:tcW w:w="45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1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基本支出</w:t>
            </w:r>
          </w:p>
        </w:tc>
        <w:tc>
          <w:tcPr>
            <w:tcW w:w="15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项目支出</w:t>
            </w:r>
          </w:p>
        </w:tc>
        <w:tc>
          <w:tcPr>
            <w:tcW w:w="15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0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经营支出</w:t>
            </w:r>
          </w:p>
        </w:tc>
        <w:tc>
          <w:tcPr>
            <w:tcW w:w="18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CellMar>
            <w:top w:w="0" w:type="dxa"/>
            <w:left w:w="108" w:type="dxa"/>
            <w:bottom w:w="0" w:type="dxa"/>
            <w:right w:w="108" w:type="dxa"/>
          </w:tblCellMar>
        </w:tblPrEx>
        <w:trPr>
          <w:trHeight w:val="322" w:hRule="atLeast"/>
        </w:trPr>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3498"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498"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498"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45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633" w:hRule="atLeast"/>
        </w:trPr>
        <w:tc>
          <w:tcPr>
            <w:tcW w:w="45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合计</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i w:val="0"/>
                <w:color w:val="000000"/>
                <w:kern w:val="0"/>
                <w:sz w:val="22"/>
                <w:szCs w:val="22"/>
                <w:u w:val="none"/>
                <w:lang w:val="en-US" w:eastAsia="zh-CN" w:bidi="ar"/>
              </w:rPr>
              <w:t>2,953.55</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i w:val="0"/>
                <w:color w:val="000000"/>
                <w:kern w:val="0"/>
                <w:sz w:val="22"/>
                <w:szCs w:val="22"/>
                <w:u w:val="none"/>
                <w:lang w:val="en-US" w:eastAsia="zh-CN" w:bidi="ar"/>
              </w:rPr>
              <w:t>2,582.38</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i w:val="0"/>
                <w:color w:val="000000"/>
                <w:kern w:val="0"/>
                <w:sz w:val="22"/>
                <w:szCs w:val="22"/>
                <w:u w:val="none"/>
                <w:lang w:val="en-US" w:eastAsia="zh-CN" w:bidi="ar"/>
              </w:rPr>
              <w:t>371.17</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2012999</w:t>
            </w:r>
          </w:p>
        </w:tc>
        <w:tc>
          <w:tcPr>
            <w:tcW w:w="34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其他群众团体事务支出</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30.64</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30.64</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2050202</w:t>
            </w:r>
          </w:p>
        </w:tc>
        <w:tc>
          <w:tcPr>
            <w:tcW w:w="34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小学教育</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2,289.95</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1,927.79</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362.16</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2050299</w:t>
            </w:r>
          </w:p>
        </w:tc>
        <w:tc>
          <w:tcPr>
            <w:tcW w:w="34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其他普通教育支出</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5.88</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0.59</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5.29</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2050701</w:t>
            </w:r>
          </w:p>
        </w:tc>
        <w:tc>
          <w:tcPr>
            <w:tcW w:w="34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特殊学校教育</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0.53</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0.53</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2050999</w:t>
            </w:r>
          </w:p>
        </w:tc>
        <w:tc>
          <w:tcPr>
            <w:tcW w:w="34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其他教育费附加安排的支出</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1.53</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1.53</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2080505</w:t>
            </w:r>
          </w:p>
        </w:tc>
        <w:tc>
          <w:tcPr>
            <w:tcW w:w="34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225.48</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225.48</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2210201</w:t>
            </w:r>
          </w:p>
        </w:tc>
        <w:tc>
          <w:tcPr>
            <w:tcW w:w="34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住房公积金</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169.11</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169.11</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2296004</w:t>
            </w:r>
          </w:p>
        </w:tc>
        <w:tc>
          <w:tcPr>
            <w:tcW w:w="34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用于教育事业的彩票公益金支出</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1.67</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1.67</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2299999</w:t>
            </w:r>
          </w:p>
        </w:tc>
        <w:tc>
          <w:tcPr>
            <w:tcW w:w="34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其他支出</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228.77</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228.77</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b/>
          <w:bCs/>
          <w:sz w:val="24"/>
          <w:highlight w:val="none"/>
        </w:rPr>
      </w:pPr>
      <w:r>
        <w:rPr>
          <w:rFonts w:hint="eastAsia" w:ascii="仿宋" w:hAnsi="仿宋" w:eastAsia="仿宋" w:cs="仿宋"/>
          <w:b/>
          <w:bCs/>
          <w:sz w:val="24"/>
          <w:highlight w:val="none"/>
        </w:rPr>
        <w:t>表四：财政拨款收入支出决算总表</w:t>
      </w:r>
    </w:p>
    <w:p>
      <w:pPr>
        <w:jc w:val="left"/>
        <w:rPr>
          <w:rFonts w:hint="eastAsia" w:ascii="仿宋" w:hAnsi="仿宋" w:eastAsia="仿宋" w:cs="仿宋"/>
          <w:sz w:val="24"/>
          <w:highlight w:val="none"/>
        </w:rPr>
      </w:pPr>
    </w:p>
    <w:tbl>
      <w:tblPr>
        <w:tblStyle w:val="6"/>
        <w:tblW w:w="17568" w:type="dxa"/>
        <w:tblInd w:w="0" w:type="dxa"/>
        <w:tblLayout w:type="fixed"/>
        <w:tblCellMar>
          <w:top w:w="0" w:type="dxa"/>
          <w:left w:w="108" w:type="dxa"/>
          <w:bottom w:w="0" w:type="dxa"/>
          <w:right w:w="108" w:type="dxa"/>
        </w:tblCellMar>
      </w:tblPr>
      <w:tblGrid>
        <w:gridCol w:w="3187"/>
        <w:gridCol w:w="735"/>
        <w:gridCol w:w="578"/>
        <w:gridCol w:w="577"/>
        <w:gridCol w:w="3435"/>
        <w:gridCol w:w="483"/>
        <w:gridCol w:w="132"/>
        <w:gridCol w:w="1200"/>
        <w:gridCol w:w="379"/>
        <w:gridCol w:w="142"/>
        <w:gridCol w:w="1114"/>
        <w:gridCol w:w="288"/>
        <w:gridCol w:w="483"/>
        <w:gridCol w:w="549"/>
        <w:gridCol w:w="203"/>
        <w:gridCol w:w="1387"/>
        <w:gridCol w:w="2696"/>
      </w:tblGrid>
      <w:tr>
        <w:tblPrEx>
          <w:tblCellMar>
            <w:top w:w="0" w:type="dxa"/>
            <w:left w:w="108" w:type="dxa"/>
            <w:bottom w:w="0" w:type="dxa"/>
            <w:right w:w="108" w:type="dxa"/>
          </w:tblCellMar>
        </w:tblPrEx>
        <w:trPr>
          <w:gridAfter w:val="1"/>
          <w:wAfter w:w="2696" w:type="dxa"/>
          <w:trHeight w:val="527" w:hRule="atLeast"/>
        </w:trPr>
        <w:tc>
          <w:tcPr>
            <w:tcW w:w="14872" w:type="dxa"/>
            <w:gridSpan w:val="16"/>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b/>
                <w:bCs/>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4" w:hRule="atLeast"/>
        </w:trPr>
        <w:tc>
          <w:tcPr>
            <w:tcW w:w="318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3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7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827" w:type="dxa"/>
            <w:gridSpan w:val="5"/>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9"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56"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35" w:type="dxa"/>
            <w:gridSpan w:val="3"/>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83" w:type="dxa"/>
            <w:gridSpan w:val="2"/>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gridAfter w:val="1"/>
          <w:wAfter w:w="2696" w:type="dxa"/>
          <w:trHeight w:val="264" w:hRule="atLeast"/>
        </w:trPr>
        <w:tc>
          <w:tcPr>
            <w:tcW w:w="8995" w:type="dxa"/>
            <w:gridSpan w:val="6"/>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环江毛南族自治县水源镇中心小学</w:t>
            </w:r>
          </w:p>
        </w:tc>
        <w:tc>
          <w:tcPr>
            <w:tcW w:w="1853" w:type="dxa"/>
            <w:gridSpan w:val="4"/>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85" w:type="dxa"/>
            <w:gridSpan w:val="3"/>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39" w:type="dxa"/>
            <w:gridSpan w:val="3"/>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val="en-US"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gridAfter w:val="1"/>
          <w:wAfter w:w="2696" w:type="dxa"/>
          <w:trHeight w:val="272" w:hRule="atLeast"/>
        </w:trPr>
        <w:tc>
          <w:tcPr>
            <w:tcW w:w="507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收     入</w:t>
            </w:r>
          </w:p>
        </w:tc>
        <w:tc>
          <w:tcPr>
            <w:tcW w:w="9795"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支     出</w:t>
            </w:r>
          </w:p>
        </w:tc>
      </w:tr>
      <w:tr>
        <w:tblPrEx>
          <w:tblCellMar>
            <w:top w:w="0" w:type="dxa"/>
            <w:left w:w="108" w:type="dxa"/>
            <w:bottom w:w="0" w:type="dxa"/>
            <w:right w:w="108" w:type="dxa"/>
          </w:tblCellMar>
        </w:tblPrEx>
        <w:trPr>
          <w:gridAfter w:val="1"/>
          <w:wAfter w:w="2696" w:type="dxa"/>
          <w:trHeight w:val="535"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行次</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金额</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行次</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合计</w:t>
            </w: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CellMar>
            <w:top w:w="0" w:type="dxa"/>
            <w:left w:w="108" w:type="dxa"/>
            <w:bottom w:w="0" w:type="dxa"/>
            <w:right w:w="108" w:type="dxa"/>
          </w:tblCellMar>
        </w:tblPrEx>
        <w:trPr>
          <w:gridAfter w:val="1"/>
          <w:wAfter w:w="2696" w:type="dxa"/>
          <w:trHeight w:val="461"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gridAfter w:val="1"/>
          <w:wAfter w:w="2696" w:type="dxa"/>
          <w:trHeight w:val="450"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2,951.88</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一、一般公共服务支出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33</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30.64</w:t>
            </w: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30.64</w:t>
            </w: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696" w:type="dxa"/>
          <w:trHeight w:val="435"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二、政府性基金预算财政拨款</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1.67</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二、外交支出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390"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三、国防支出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272"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4</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四、公共安全支出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36</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272"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5</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五、教育支出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37</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2,297.89</w:t>
            </w: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2,297.89</w:t>
            </w: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272"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6</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六、科学技术支出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38</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360"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7</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39</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360"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8</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225.48</w:t>
            </w: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225.48</w:t>
            </w: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272"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9</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九、卫生健康支出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272"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10</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十、节能环保支出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42</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272"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11</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十一、城乡社区支出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43</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272"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12</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十二、农林水支出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272"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13</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十三、交通运输支出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390"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14</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46</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360"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15</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47</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272"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16</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十六、金融支出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48</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375"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17</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49</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360"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18</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272"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19</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十九、住房保障支出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169.11</w:t>
            </w: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169.11</w:t>
            </w: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375"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20</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52</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360"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21</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53</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360"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22</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272"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23</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二十三、其他支出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230.43</w:t>
            </w: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228.77</w:t>
            </w: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1.67</w:t>
            </w: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272"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24</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二十四、债务还本支出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56</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272"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25</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二十五、债务付息支出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57</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390"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26</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58</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272"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i w:val="0"/>
                <w:color w:val="000000"/>
                <w:kern w:val="0"/>
                <w:sz w:val="22"/>
                <w:szCs w:val="22"/>
                <w:u w:val="none"/>
                <w:lang w:val="en-US" w:eastAsia="zh-CN" w:bidi="ar"/>
              </w:rPr>
              <w:t>本年收入合计</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27</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2,953.55</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b/>
                <w:i w:val="0"/>
                <w:color w:val="000000"/>
                <w:kern w:val="0"/>
                <w:sz w:val="22"/>
                <w:szCs w:val="22"/>
                <w:u w:val="none"/>
                <w:lang w:val="en-US" w:eastAsia="zh-CN" w:bidi="ar"/>
              </w:rPr>
              <w:t>本年支出合计</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59</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2,953.55</w:t>
            </w: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2,951.88</w:t>
            </w: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1.67</w:t>
            </w: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375"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年初财政拨款结转和结余</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28</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60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360"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29</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61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405"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62</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405"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31</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63</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rPr>
            </w:pP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696" w:type="dxa"/>
          <w:trHeight w:val="370" w:hRule="atLeast"/>
        </w:trPr>
        <w:tc>
          <w:tcPr>
            <w:tcW w:w="3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i w:val="0"/>
                <w:color w:val="000000"/>
                <w:kern w:val="0"/>
                <w:sz w:val="22"/>
                <w:szCs w:val="22"/>
                <w:u w:val="none"/>
                <w:lang w:val="en-US" w:eastAsia="zh-CN" w:bidi="ar"/>
              </w:rPr>
              <w:t>总计</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32</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2,953.55</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b/>
                <w:i w:val="0"/>
                <w:color w:val="000000"/>
                <w:kern w:val="0"/>
                <w:sz w:val="22"/>
                <w:szCs w:val="22"/>
                <w:u w:val="none"/>
                <w:lang w:val="en-US" w:eastAsia="zh-CN" w:bidi="ar"/>
              </w:rPr>
              <w:t>总计</w:t>
            </w:r>
          </w:p>
        </w:tc>
        <w:tc>
          <w:tcPr>
            <w:tcW w:w="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64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000000"/>
                <w:kern w:val="0"/>
                <w:sz w:val="22"/>
                <w:szCs w:val="22"/>
                <w:u w:val="none"/>
                <w:lang w:val="en-US" w:eastAsia="zh-CN" w:bidi="ar"/>
              </w:rPr>
              <w:t>2,953.55</w:t>
            </w:r>
          </w:p>
        </w:tc>
        <w:tc>
          <w:tcPr>
            <w:tcW w:w="1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2,951.88</w:t>
            </w: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1.67</w:t>
            </w: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bl>
    <w:p>
      <w:pPr>
        <w:jc w:val="left"/>
        <w:rPr>
          <w:rFonts w:ascii="仿宋" w:hAnsi="仿宋" w:eastAsia="仿宋" w:cs="仿宋"/>
          <w:sz w:val="24"/>
          <w:highlight w:val="none"/>
        </w:rPr>
      </w:pPr>
    </w:p>
    <w:p>
      <w:pPr>
        <w:jc w:val="left"/>
        <w:rPr>
          <w:rFonts w:hint="eastAsia" w:ascii="仿宋" w:hAnsi="仿宋" w:eastAsia="仿宋" w:cs="仿宋"/>
          <w:b/>
          <w:bCs/>
          <w:sz w:val="24"/>
          <w:highlight w:val="none"/>
        </w:rPr>
      </w:pPr>
      <w:r>
        <w:rPr>
          <w:rFonts w:hint="eastAsia" w:ascii="仿宋" w:hAnsi="仿宋" w:eastAsia="仿宋" w:cs="仿宋"/>
          <w:b/>
          <w:bCs/>
          <w:sz w:val="24"/>
          <w:highlight w:val="none"/>
        </w:rPr>
        <w:t>注：本表反映部门本年度一般公共预算财政拨款、政府性基金预算财政拨款和国有资本经营预算财政拨款的总收支和年末结转结余情况。</w:t>
      </w:r>
    </w:p>
    <w:p>
      <w:pPr>
        <w:jc w:val="left"/>
        <w:rPr>
          <w:rFonts w:hint="eastAsia" w:ascii="仿宋" w:hAnsi="仿宋" w:eastAsia="仿宋" w:cs="仿宋"/>
          <w:sz w:val="24"/>
          <w:highlight w:val="none"/>
        </w:rPr>
      </w:pPr>
    </w:p>
    <w:p>
      <w:pPr>
        <w:jc w:val="left"/>
        <w:rPr>
          <w:rFonts w:hint="eastAsia" w:ascii="仿宋" w:hAnsi="仿宋" w:eastAsia="仿宋" w:cs="仿宋"/>
          <w:b/>
          <w:bCs/>
          <w:sz w:val="24"/>
          <w:highlight w:val="none"/>
        </w:rPr>
      </w:pPr>
      <w:r>
        <w:rPr>
          <w:rFonts w:hint="eastAsia" w:ascii="仿宋" w:hAnsi="仿宋" w:eastAsia="仿宋" w:cs="仿宋"/>
          <w:b/>
          <w:bCs/>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49"/>
        <w:gridCol w:w="234"/>
        <w:gridCol w:w="238"/>
        <w:gridCol w:w="238"/>
        <w:gridCol w:w="3970"/>
        <w:gridCol w:w="1255"/>
        <w:gridCol w:w="1100"/>
        <w:gridCol w:w="2007"/>
        <w:gridCol w:w="603"/>
        <w:gridCol w:w="2286"/>
      </w:tblGrid>
      <w:tr>
        <w:tblPrEx>
          <w:tblCellMar>
            <w:top w:w="0" w:type="dxa"/>
            <w:left w:w="108" w:type="dxa"/>
            <w:bottom w:w="0" w:type="dxa"/>
            <w:right w:w="108" w:type="dxa"/>
          </w:tblCellMar>
        </w:tblPrEx>
        <w:trPr>
          <w:trHeight w:val="693" w:hRule="atLeast"/>
        </w:trPr>
        <w:tc>
          <w:tcPr>
            <w:tcW w:w="13980" w:type="dxa"/>
            <w:gridSpan w:val="10"/>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b/>
                <w:bCs/>
                <w:color w:val="auto"/>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97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5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gridSpan w:val="2"/>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环江毛南族自治县水源镇中心小学</w:t>
            </w:r>
          </w:p>
        </w:tc>
        <w:tc>
          <w:tcPr>
            <w:tcW w:w="3107" w:type="dxa"/>
            <w:gridSpan w:val="2"/>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gridSpan w:val="2"/>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val="en-US"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trHeight w:val="358" w:hRule="atLeast"/>
        </w:trPr>
        <w:tc>
          <w:tcPr>
            <w:tcW w:w="67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72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本年支出</w:t>
            </w:r>
          </w:p>
        </w:tc>
      </w:tr>
      <w:tr>
        <w:tblPrEx>
          <w:tblCellMar>
            <w:top w:w="0" w:type="dxa"/>
            <w:left w:w="108" w:type="dxa"/>
            <w:bottom w:w="0" w:type="dxa"/>
            <w:right w:w="108" w:type="dxa"/>
          </w:tblCellMar>
        </w:tblPrEx>
        <w:trPr>
          <w:trHeight w:val="353" w:hRule="atLeast"/>
        </w:trPr>
        <w:tc>
          <w:tcPr>
            <w:tcW w:w="20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468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235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261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基本支出</w:t>
            </w:r>
          </w:p>
        </w:tc>
        <w:tc>
          <w:tcPr>
            <w:tcW w:w="22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项目支出</w:t>
            </w:r>
          </w:p>
        </w:tc>
      </w:tr>
      <w:tr>
        <w:tblPrEx>
          <w:tblCellMar>
            <w:top w:w="0" w:type="dxa"/>
            <w:left w:w="108" w:type="dxa"/>
            <w:bottom w:w="0" w:type="dxa"/>
            <w:right w:w="108" w:type="dxa"/>
          </w:tblCellMar>
        </w:tblPrEx>
        <w:trPr>
          <w:trHeight w:val="319" w:hRule="atLeast"/>
        </w:trPr>
        <w:tc>
          <w:tcPr>
            <w:tcW w:w="20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80"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1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80"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1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67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22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58" w:hRule="atLeast"/>
        </w:trPr>
        <w:tc>
          <w:tcPr>
            <w:tcW w:w="67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合计</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i w:val="0"/>
                <w:color w:val="000000"/>
                <w:kern w:val="0"/>
                <w:sz w:val="22"/>
                <w:szCs w:val="22"/>
                <w:u w:val="none"/>
                <w:lang w:val="en-US" w:eastAsia="zh-CN" w:bidi="ar"/>
              </w:rPr>
              <w:t>2,951.88</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i w:val="0"/>
                <w:color w:val="000000"/>
                <w:kern w:val="0"/>
                <w:sz w:val="22"/>
                <w:szCs w:val="22"/>
                <w:u w:val="none"/>
                <w:lang w:val="en-US" w:eastAsia="zh-CN" w:bidi="ar"/>
              </w:rPr>
              <w:t>2,582.38</w:t>
            </w:r>
          </w:p>
        </w:tc>
        <w:tc>
          <w:tcPr>
            <w:tcW w:w="22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i w:val="0"/>
                <w:color w:val="000000"/>
                <w:kern w:val="0"/>
                <w:sz w:val="22"/>
                <w:szCs w:val="22"/>
                <w:u w:val="none"/>
                <w:lang w:val="en-US" w:eastAsia="zh-CN" w:bidi="ar"/>
              </w:rPr>
              <w:t>369.50</w:t>
            </w: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2012999</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其他群众团体事务支出</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30.64</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30.64</w:t>
            </w:r>
          </w:p>
        </w:tc>
        <w:tc>
          <w:tcPr>
            <w:tcW w:w="22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2050202</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小学教育</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2,289.95</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1,927.79</w:t>
            </w:r>
          </w:p>
        </w:tc>
        <w:tc>
          <w:tcPr>
            <w:tcW w:w="22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362.16</w:t>
            </w: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2050299</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其他普通教育支出</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5.88</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0.59</w:t>
            </w:r>
          </w:p>
        </w:tc>
        <w:tc>
          <w:tcPr>
            <w:tcW w:w="22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5.29</w:t>
            </w: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2050701</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特殊学校教育</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0.53</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2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0.53</w:t>
            </w: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2050999</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其他教育费附加安排的支出</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1.53</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2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1.53</w:t>
            </w: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2080505</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225.48</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225.48</w:t>
            </w:r>
          </w:p>
        </w:tc>
        <w:tc>
          <w:tcPr>
            <w:tcW w:w="22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2210201</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住房公积金</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169.11</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169.11</w:t>
            </w:r>
          </w:p>
        </w:tc>
        <w:tc>
          <w:tcPr>
            <w:tcW w:w="22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2299999</w:t>
            </w:r>
          </w:p>
        </w:tc>
        <w:tc>
          <w:tcPr>
            <w:tcW w:w="46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其他支出</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228.77</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228.77</w:t>
            </w:r>
          </w:p>
        </w:tc>
        <w:tc>
          <w:tcPr>
            <w:tcW w:w="22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jc w:val="left"/>
        <w:rPr>
          <w:rFonts w:hint="eastAsia" w:ascii="仿宋" w:hAnsi="仿宋" w:eastAsia="仿宋" w:cs="仿宋"/>
          <w:b/>
          <w:bCs/>
          <w:sz w:val="24"/>
          <w:highlight w:val="none"/>
        </w:rPr>
      </w:pPr>
      <w:r>
        <w:rPr>
          <w:rFonts w:hint="eastAsia" w:ascii="仿宋" w:hAnsi="仿宋" w:eastAsia="仿宋" w:cs="仿宋"/>
          <w:b/>
          <w:bCs/>
          <w:sz w:val="24"/>
          <w:highlight w:val="none"/>
        </w:rPr>
        <w:t>注：本表反映部门本年度一般公共预算财政拨款支出情况。</w:t>
      </w:r>
    </w:p>
    <w:p>
      <w:pPr>
        <w:jc w:val="left"/>
        <w:rPr>
          <w:rFonts w:hint="eastAsia" w:ascii="仿宋" w:hAnsi="仿宋" w:eastAsia="仿宋" w:cs="仿宋"/>
          <w:sz w:val="24"/>
          <w:highlight w:val="none"/>
        </w:rPr>
      </w:pPr>
    </w:p>
    <w:p>
      <w:pPr>
        <w:jc w:val="left"/>
        <w:rPr>
          <w:rFonts w:hint="eastAsia" w:ascii="仿宋" w:hAnsi="仿宋" w:eastAsia="仿宋" w:cs="仿宋"/>
          <w:b/>
          <w:bCs/>
          <w:sz w:val="24"/>
          <w:highlight w:val="none"/>
        </w:rPr>
      </w:pPr>
      <w:r>
        <w:rPr>
          <w:rFonts w:hint="eastAsia" w:ascii="仿宋" w:hAnsi="仿宋" w:eastAsia="仿宋" w:cs="仿宋"/>
          <w:b/>
          <w:bCs/>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423"/>
        <w:gridCol w:w="1245"/>
        <w:gridCol w:w="1110"/>
        <w:gridCol w:w="1770"/>
        <w:gridCol w:w="185"/>
        <w:gridCol w:w="1060"/>
        <w:gridCol w:w="100"/>
        <w:gridCol w:w="1173"/>
        <w:gridCol w:w="2282"/>
        <w:gridCol w:w="1174"/>
      </w:tblGrid>
      <w:tr>
        <w:tblPrEx>
          <w:tblCellMar>
            <w:top w:w="0" w:type="dxa"/>
            <w:left w:w="108" w:type="dxa"/>
            <w:bottom w:w="0" w:type="dxa"/>
            <w:right w:w="108" w:type="dxa"/>
          </w:tblCellMar>
        </w:tblPrEx>
        <w:trPr>
          <w:trHeight w:val="614" w:hRule="atLeast"/>
        </w:trPr>
        <w:tc>
          <w:tcPr>
            <w:tcW w:w="14000" w:type="dxa"/>
            <w:gridSpan w:val="12"/>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b/>
                <w:bCs/>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68"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1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55"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82"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4"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7"/>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环江毛南族自治县水源镇中心小学</w:t>
            </w:r>
          </w:p>
        </w:tc>
        <w:tc>
          <w:tcPr>
            <w:tcW w:w="1160" w:type="dxa"/>
            <w:gridSpan w:val="2"/>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51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人员经费</w:t>
            </w:r>
          </w:p>
        </w:tc>
        <w:tc>
          <w:tcPr>
            <w:tcW w:w="885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公用经费</w:t>
            </w:r>
          </w:p>
        </w:tc>
      </w:tr>
      <w:tr>
        <w:tblPrEx>
          <w:tblCellMar>
            <w:top w:w="0" w:type="dxa"/>
            <w:left w:w="108" w:type="dxa"/>
            <w:bottom w:w="0" w:type="dxa"/>
            <w:right w:w="108" w:type="dxa"/>
          </w:tblCellMar>
        </w:tblPrEx>
        <w:trPr>
          <w:trHeight w:val="5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科目代码</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r>
      <w:tr>
        <w:tblPrEx>
          <w:tblCellMar>
            <w:top w:w="0" w:type="dxa"/>
            <w:left w:w="108" w:type="dxa"/>
            <w:bottom w:w="0" w:type="dxa"/>
            <w:right w:w="108" w:type="dxa"/>
          </w:tblCellMar>
        </w:tblPrEx>
        <w:trPr>
          <w:trHeight w:val="552"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工资福利支出</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2,340.99</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商品和服务支出</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30.64</w:t>
            </w: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307</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债务利息及费用支出</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99"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30101</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3"/>
            <w:bookmarkStart w:id="1" w:name="OLE_LINK4"/>
            <w:r>
              <w:rPr>
                <w:rFonts w:hint="eastAsia" w:ascii="宋体" w:hAnsi="宋体" w:eastAsia="宋体" w:cs="宋体"/>
                <w:i w:val="0"/>
                <w:color w:val="000000"/>
                <w:kern w:val="0"/>
                <w:sz w:val="22"/>
                <w:szCs w:val="22"/>
                <w:u w:val="none"/>
                <w:lang w:val="en-US" w:eastAsia="zh-CN" w:bidi="ar"/>
              </w:rPr>
              <w:t xml:space="preserve">  基本工资</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724.33</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30201</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办公费</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30701</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51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30102</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164.63</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30202</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印刷费</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30702</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30103</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奖金</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629.41</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30203</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咨询费</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310</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440" w:firstLineChars="20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资本性支出</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9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30106</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30204</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手续费</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31001</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49"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30107</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325.39</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30205</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水费</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31002</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55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30108</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225.48</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30206</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电费</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31003</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54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30109</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30207</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邮电费</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31005</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54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30110</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91.34</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30208</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取暖费</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31006</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79"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30111</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30209</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31007</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9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30112</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11.31</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30211</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差旅费</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31008</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30113</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169.11</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30212</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31009</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30114</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医疗费</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30213</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31010</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19"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30199</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30214</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租赁费</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31011</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对个人和家庭的补助</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210.75</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30215</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会议费</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31012</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30301</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离休费</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30216</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培训费</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31013</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30302</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退休费</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30217</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31019</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30303</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30218</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31021</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30304</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抚恤金</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40.26</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30224</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31022</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30305</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170.48</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30225</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31099</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30306</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救济费</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30226</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劳务费</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399</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其他支出</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30307</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30227</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39907</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30308</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助学金</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30228</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30.64</w:t>
            </w: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39908</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30309</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奖励金</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30229</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福利费</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39909</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30310</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30231</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39910</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30311</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30239</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color w:val="000000"/>
                <w:kern w:val="0"/>
                <w:sz w:val="22"/>
                <w:szCs w:val="22"/>
                <w:u w:val="none"/>
                <w:lang w:val="en-US" w:eastAsia="zh-CN" w:bidi="ar"/>
              </w:rPr>
              <w:t>39999</w:t>
            </w: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30399</w:t>
            </w: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0.01</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30240</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rPr>
            </w:pP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30299</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rPr>
            </w:pPr>
          </w:p>
        </w:tc>
        <w:tc>
          <w:tcPr>
            <w:tcW w:w="2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39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人员经费合计</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2,551.74</w:t>
            </w:r>
          </w:p>
        </w:tc>
        <w:tc>
          <w:tcPr>
            <w:tcW w:w="768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公用经费合计</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30.64</w:t>
            </w:r>
          </w:p>
        </w:tc>
      </w:tr>
      <w:bookmarkEnd w:id="0"/>
      <w:bookmarkEnd w:id="1"/>
      <w:tr>
        <w:tblPrEx>
          <w:tblCellMar>
            <w:top w:w="0" w:type="dxa"/>
            <w:left w:w="108" w:type="dxa"/>
            <w:bottom w:w="0" w:type="dxa"/>
            <w:right w:w="108" w:type="dxa"/>
          </w:tblCellMar>
        </w:tblPrEx>
        <w:trPr>
          <w:trHeight w:val="319" w:hRule="atLeast"/>
        </w:trPr>
        <w:tc>
          <w:tcPr>
            <w:tcW w:w="14000" w:type="dxa"/>
            <w:gridSpan w:val="12"/>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b/>
          <w:bCs/>
          <w:sz w:val="24"/>
          <w:highlight w:val="none"/>
        </w:rPr>
      </w:pPr>
      <w:r>
        <w:rPr>
          <w:rFonts w:hint="eastAsia" w:ascii="仿宋" w:hAnsi="仿宋" w:eastAsia="仿宋" w:cs="仿宋"/>
          <w:b/>
          <w:bCs/>
          <w:sz w:val="24"/>
          <w:highlight w:val="none"/>
        </w:rPr>
        <w:t>表</w:t>
      </w:r>
      <w:r>
        <w:rPr>
          <w:rFonts w:hint="eastAsia" w:ascii="仿宋" w:hAnsi="仿宋" w:eastAsia="仿宋" w:cs="仿宋"/>
          <w:b/>
          <w:bCs/>
          <w:sz w:val="24"/>
          <w:highlight w:val="none"/>
          <w:lang w:val="en-US" w:eastAsia="zh-CN"/>
        </w:rPr>
        <w:t>七</w:t>
      </w:r>
      <w:r>
        <w:rPr>
          <w:rFonts w:hint="eastAsia" w:ascii="仿宋" w:hAnsi="仿宋" w:eastAsia="仿宋" w:cs="仿宋"/>
          <w:b/>
          <w:bCs/>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179"/>
        <w:gridCol w:w="118"/>
        <w:gridCol w:w="240"/>
        <w:gridCol w:w="236"/>
        <w:gridCol w:w="1986"/>
        <w:gridCol w:w="1785"/>
        <w:gridCol w:w="1480"/>
        <w:gridCol w:w="1600"/>
        <w:gridCol w:w="69"/>
        <w:gridCol w:w="1611"/>
        <w:gridCol w:w="58"/>
        <w:gridCol w:w="1670"/>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4"/>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b/>
                <w:bCs/>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8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8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3"/>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8"/>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环江毛南族自治县水源镇中心小学</w:t>
            </w:r>
          </w:p>
        </w:tc>
        <w:tc>
          <w:tcPr>
            <w:tcW w:w="1680" w:type="dxa"/>
            <w:gridSpan w:val="2"/>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gridSpan w:val="2"/>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75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17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本年收入</w:t>
            </w:r>
          </w:p>
        </w:tc>
        <w:tc>
          <w:tcPr>
            <w:tcW w:w="50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1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258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1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16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基本支出</w:t>
            </w:r>
          </w:p>
        </w:tc>
        <w:tc>
          <w:tcPr>
            <w:tcW w:w="16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1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580"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1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580"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6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75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gridAfter w:val="1"/>
          <w:wAfter w:w="2" w:type="dxa"/>
          <w:trHeight w:val="277" w:hRule="atLeast"/>
        </w:trPr>
        <w:tc>
          <w:tcPr>
            <w:tcW w:w="375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合计</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i w:val="0"/>
                <w:color w:val="000000"/>
                <w:kern w:val="0"/>
                <w:sz w:val="22"/>
                <w:szCs w:val="22"/>
                <w:u w:val="none"/>
                <w:lang w:val="en-US" w:eastAsia="zh-CN" w:bidi="ar"/>
              </w:rPr>
              <w:t>1.67</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i w:val="0"/>
                <w:color w:val="000000"/>
                <w:kern w:val="0"/>
                <w:sz w:val="22"/>
                <w:szCs w:val="22"/>
                <w:u w:val="none"/>
                <w:lang w:val="en-US" w:eastAsia="zh-CN" w:bidi="ar"/>
              </w:rPr>
              <w:t>1.67</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i w:val="0"/>
                <w:color w:val="000000"/>
                <w:kern w:val="0"/>
                <w:sz w:val="22"/>
                <w:szCs w:val="22"/>
                <w:u w:val="none"/>
                <w:lang w:val="en-US" w:eastAsia="zh-CN" w:bidi="ar"/>
              </w:rPr>
              <w:t>1.67</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2296004</w:t>
            </w:r>
          </w:p>
        </w:tc>
        <w:tc>
          <w:tcPr>
            <w:tcW w:w="25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用于教育事业的彩票公益金支出</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1.67</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1.67</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1.67</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5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5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17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580" w:type="dxa"/>
            <w:gridSpan w:val="4"/>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785"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480"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69"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69"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70"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179" w:type="dxa"/>
            <w:tcBorders>
              <w:top w:val="nil"/>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580" w:type="dxa"/>
            <w:gridSpan w:val="4"/>
            <w:tcBorders>
              <w:top w:val="nil"/>
              <w:left w:val="nil"/>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785" w:type="dxa"/>
            <w:tcBorders>
              <w:top w:val="nil"/>
              <w:left w:val="nil"/>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480" w:type="dxa"/>
            <w:tcBorders>
              <w:top w:val="nil"/>
              <w:left w:val="nil"/>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69" w:type="dxa"/>
            <w:gridSpan w:val="2"/>
            <w:tcBorders>
              <w:top w:val="nil"/>
              <w:left w:val="nil"/>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69" w:type="dxa"/>
            <w:gridSpan w:val="2"/>
            <w:tcBorders>
              <w:top w:val="nil"/>
              <w:left w:val="nil"/>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70" w:type="dxa"/>
            <w:tcBorders>
              <w:top w:val="nil"/>
              <w:left w:val="nil"/>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179" w:type="dxa"/>
            <w:tcBorders>
              <w:top w:val="nil"/>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580" w:type="dxa"/>
            <w:gridSpan w:val="4"/>
            <w:tcBorders>
              <w:top w:val="nil"/>
              <w:left w:val="nil"/>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785" w:type="dxa"/>
            <w:tcBorders>
              <w:top w:val="nil"/>
              <w:left w:val="nil"/>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480" w:type="dxa"/>
            <w:tcBorders>
              <w:top w:val="nil"/>
              <w:left w:val="nil"/>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69" w:type="dxa"/>
            <w:gridSpan w:val="2"/>
            <w:tcBorders>
              <w:top w:val="nil"/>
              <w:left w:val="nil"/>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69" w:type="dxa"/>
            <w:gridSpan w:val="2"/>
            <w:tcBorders>
              <w:top w:val="nil"/>
              <w:left w:val="nil"/>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70" w:type="dxa"/>
            <w:tcBorders>
              <w:top w:val="nil"/>
              <w:left w:val="nil"/>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1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580"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480"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69"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69"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70"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rPr>
          <w:rFonts w:hint="eastAsia" w:ascii="仿宋" w:hAnsi="仿宋" w:eastAsia="仿宋" w:cs="仿宋"/>
          <w:b/>
          <w:bCs/>
          <w:sz w:val="24"/>
          <w:highlight w:val="none"/>
        </w:rPr>
      </w:pPr>
      <w:r>
        <w:rPr>
          <w:rFonts w:hint="eastAsia" w:ascii="仿宋" w:hAnsi="仿宋" w:eastAsia="仿宋" w:cs="仿宋"/>
          <w:b/>
          <w:bCs/>
          <w:sz w:val="24"/>
          <w:highlight w:val="none"/>
        </w:rPr>
        <w:t>注：本表反映部门本年度政府性基金预算财政拨款收入、支出及结转和结余情况。</w: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hint="eastAsia" w:ascii="仿宋" w:hAnsi="仿宋" w:eastAsia="仿宋" w:cs="仿宋"/>
          <w:b/>
          <w:bCs/>
          <w:sz w:val="24"/>
          <w:highlight w:val="none"/>
        </w:rPr>
      </w:pPr>
      <w:r>
        <w:rPr>
          <w:rFonts w:hint="eastAsia" w:ascii="仿宋" w:hAnsi="仿宋" w:eastAsia="仿宋" w:cs="仿宋"/>
          <w:b/>
          <w:bCs/>
          <w:sz w:val="24"/>
          <w:highlight w:val="none"/>
        </w:rPr>
        <w:t>表</w:t>
      </w:r>
      <w:r>
        <w:rPr>
          <w:rFonts w:hint="eastAsia" w:ascii="仿宋" w:hAnsi="仿宋" w:eastAsia="仿宋" w:cs="仿宋"/>
          <w:b/>
          <w:bCs/>
          <w:sz w:val="24"/>
          <w:highlight w:val="none"/>
          <w:lang w:val="en-US" w:eastAsia="zh-CN"/>
        </w:rPr>
        <w:t>八</w:t>
      </w:r>
      <w:r>
        <w:rPr>
          <w:rFonts w:hint="eastAsia" w:ascii="仿宋" w:hAnsi="仿宋" w:eastAsia="仿宋" w:cs="仿宋"/>
          <w:b/>
          <w:bCs/>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b/>
                <w:bCs/>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环江毛南族自治县水源镇中心小学</w:t>
            </w:r>
          </w:p>
        </w:tc>
        <w:tc>
          <w:tcPr>
            <w:tcW w:w="313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bidi="ar"/>
        </w:rPr>
        <w:t>注：</w:t>
      </w: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jc w:val="left"/>
              <w:rPr>
                <w:rFonts w:hint="default" w:ascii="仿宋" w:hAnsi="仿宋" w:eastAsia="仿宋" w:cs="仿宋"/>
                <w:b/>
                <w:bCs/>
                <w:sz w:val="24"/>
                <w:highlight w:val="none"/>
              </w:rPr>
            </w:pPr>
            <w:r>
              <w:rPr>
                <w:rFonts w:hint="eastAsia" w:ascii="仿宋" w:hAnsi="仿宋" w:eastAsia="仿宋" w:cs="仿宋"/>
                <w:b/>
                <w:bCs/>
                <w:sz w:val="24"/>
                <w:highlight w:val="none"/>
                <w:lang w:val="en-US" w:eastAsia="zh-CN"/>
              </w:rPr>
              <w:t>表九：</w:t>
            </w:r>
            <w:r>
              <w:rPr>
                <w:rFonts w:hint="eastAsia" w:ascii="仿宋" w:hAnsi="仿宋" w:eastAsia="仿宋" w:cs="仿宋"/>
                <w:b/>
                <w:bCs/>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b/>
                <w:bCs/>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环江毛南族自治县水源镇中心小学</w:t>
            </w:r>
          </w:p>
        </w:tc>
        <w:tc>
          <w:tcPr>
            <w:tcW w:w="106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33" w:type="dxa"/>
            <w:tcBorders>
              <w:top w:val="nil"/>
              <w:left w:val="nil"/>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jc w:val="right"/>
              <w:rPr>
                <w:rFonts w:hint="default"/>
                <w:highlight w:val="none"/>
              </w:rPr>
            </w:pPr>
          </w:p>
        </w:tc>
        <w:tc>
          <w:tcPr>
            <w:tcW w:w="1073" w:type="dxa"/>
            <w:tcBorders>
              <w:top w:val="nil"/>
              <w:left w:val="nil"/>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jc w:val="right"/>
              <w:rPr>
                <w:rFonts w:hint="default"/>
                <w:highlight w:val="none"/>
              </w:rPr>
            </w:pP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w:t>
            </w: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年度没有一般公共预算财政拨款“三公”经费收入，也没有一般公共预算财政拨款“三公”经费安排的支出，故本表无数据。</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szCs w:val="32"/>
          <w:highlight w:val="none"/>
          <w:lang w:eastAsia="zh-CN"/>
        </w:rPr>
        <w:t>环江毛南族自治县水源镇中心小学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pPr>
        <w:keepNext w:val="0"/>
        <w:keepLines w:val="0"/>
        <w:widowControl w:val="0"/>
        <w:numPr>
          <w:ilvl w:val="0"/>
          <w:numId w:val="1"/>
        </w:numPr>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年度总收入2953.55万元，较20</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增加251.64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增长9.31</w:t>
      </w:r>
      <w:r>
        <w:rPr>
          <w:rFonts w:hint="eastAsia" w:ascii="仿宋" w:hAnsi="仿宋" w:eastAsia="仿宋" w:cs="仿宋"/>
          <w:sz w:val="32"/>
          <w:szCs w:val="32"/>
          <w:highlight w:val="none"/>
        </w:rPr>
        <w:t>%，其中本年收入2953.55万元。收入具体情况如下。</w:t>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1.一般公共预算财政拨款收入2951.88万元，为环江毛南族自治县本级财政当年拨付的资金。较2022年度决算数增加250.94万元，增长9.29%，</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主要原因:（1）五险一金基数提高，社保及公积金提高；（2）在职人员工资有所提高；（3）上级专款收入增加。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2.政府性基金预算财政拨款收入1.67万元，为环江毛南族自治县本级财政当年拨付的资金。较比2022年度决算数增加0.7万元，增长72.16%，</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主要原因：2023年学校开展少先队活动多，</w:t>
      </w:r>
      <w:r>
        <w:rPr>
          <w:rFonts w:hint="eastAsia" w:ascii="华文仿宋" w:hAnsi="华文仿宋" w:eastAsia="华文仿宋" w:cs="华文仿宋"/>
          <w:kern w:val="0"/>
          <w:sz w:val="32"/>
          <w:szCs w:val="32"/>
          <w:lang w:val="en-US" w:eastAsia="zh-CN"/>
        </w:rPr>
        <w:t>少年宫教师辅导劳务费、少年宫课外辅导费用增加</w:t>
      </w:r>
      <w:r>
        <w:rPr>
          <w:rFonts w:hint="eastAsia" w:ascii="华文仿宋" w:hAnsi="华文仿宋" w:eastAsia="华文仿宋" w:cs="华文仿宋"/>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3.国有资本经营预算财政拨款收入0.00万元。为环江毛南族自治县本级财政当年拨付的资金。较比2022年度决算数增加0.00万元,增长0%，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主要原因是：本部门2023年度没有国有资本经营预算财政拨款收入，也没有国有资本经营预算财政拨款安排的支出。</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万元，为上级部门当年拨付的资金。较比2022年度决算数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万元，为事业单位开展业务活动取得的收入。较比2022年度决算数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0.00万,为事业单位在业务活动之外开展非独立核算经营活动取得的收入。较比2022年度决算数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万元。较比2022年度决算数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8.其他收入0.00万元,为预算单位在“财政拨款收入”“事业收入”“经营收入”之外取得的收入。较比2022年度决算数增加0.00万元，增长0%，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万元,主要是所属事业单位在当年的“财政拨款收入”“事业收入”“经营收入”及“其他收入”不能保证其支出的情况下，使用以前年度积累的非财政拨款结余弥补本年度收支缺口的资金。较比2022年度决算数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万元，因为以前年度支出，预算已执行完毕，</w:t>
      </w:r>
      <w:r>
        <w:rPr>
          <w:rFonts w:hint="eastAsia" w:ascii="仿宋" w:hAnsi="仿宋" w:eastAsia="仿宋" w:cs="仿宋"/>
          <w:color w:val="auto"/>
          <w:kern w:val="2"/>
          <w:sz w:val="32"/>
          <w:szCs w:val="32"/>
          <w:highlight w:val="none"/>
          <w:lang w:val="en-US" w:eastAsia="zh-CN" w:bidi="ar"/>
        </w:rPr>
        <w:t>不需要结转至本年继续执行。</w:t>
      </w:r>
      <w:r>
        <w:rPr>
          <w:rFonts w:hint="eastAsia" w:ascii="仿宋" w:hAnsi="仿宋" w:eastAsia="仿宋" w:cs="仿宋"/>
          <w:kern w:val="2"/>
          <w:sz w:val="32"/>
          <w:szCs w:val="32"/>
          <w:highlight w:val="none"/>
          <w:lang w:val="en-US" w:eastAsia="zh-CN" w:bidi="ar"/>
        </w:rPr>
        <w:t>较比2022年度决算数</w:t>
      </w:r>
      <w:r>
        <w:rPr>
          <w:rFonts w:ascii="仿宋" w:hAnsi="仿宋" w:eastAsia="仿宋" w:cs="仿宋"/>
          <w:sz w:val="32"/>
          <w:u w:color="auto"/>
        </w:rPr>
        <w:t>减少</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所有项目已在本年执行完毕，不需要结转至下年继续执行。</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20955" b="1460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numPr>
          <w:ilvl w:val="0"/>
          <w:numId w:val="1"/>
        </w:numPr>
        <w:ind w:left="0" w:leftChars="0"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u w:color="auto"/>
        </w:rPr>
        <w:t>2953.55</w:t>
      </w:r>
      <w:r>
        <w:rPr>
          <w:rFonts w:hint="eastAsia" w:ascii="仿宋" w:hAnsi="仿宋" w:eastAsia="仿宋" w:cs="仿宋"/>
          <w:sz w:val="32"/>
          <w:szCs w:val="32"/>
          <w:highlight w:val="none"/>
        </w:rPr>
        <w:t>万元，其中本年支出</w:t>
      </w:r>
      <w:r>
        <w:rPr>
          <w:rFonts w:hint="eastAsia" w:ascii="仿宋" w:hAnsi="仿宋" w:eastAsia="仿宋" w:cs="仿宋"/>
          <w:sz w:val="32"/>
          <w:u w:color="auto"/>
        </w:rPr>
        <w:t>2953.55</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val="en-US" w:eastAsia="zh-CN"/>
        </w:rPr>
        <w:t>比</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增加</w:t>
      </w:r>
      <w:r>
        <w:rPr>
          <w:rFonts w:hint="eastAsia" w:ascii="仿宋" w:hAnsi="仿宋" w:eastAsia="仿宋" w:cs="仿宋"/>
          <w:sz w:val="32"/>
          <w:u w:color="auto"/>
          <w:lang w:val="en-US" w:eastAsia="zh-CN"/>
        </w:rPr>
        <w:t>251.64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w:t>
      </w:r>
      <w:r>
        <w:rPr>
          <w:rFonts w:hint="eastAsia" w:ascii="仿宋" w:hAnsi="仿宋" w:eastAsia="仿宋" w:cs="仿宋"/>
          <w:sz w:val="32"/>
          <w:u w:color="auto"/>
          <w:lang w:val="en-US" w:eastAsia="zh-CN"/>
        </w:rPr>
        <w:t>9.31</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1、一般公共服务支出（201类）30.64万元，主要用于教职工工会活动费用、慰问特困、重病、退休教师。较比2022年度决算数增加2.17万元，增加7.62%，主要原因是教职工工会活动费用有所提高。</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yellow"/>
          <w:lang w:val="en-US"/>
        </w:rPr>
      </w:pPr>
      <w:r>
        <w:rPr>
          <w:rFonts w:hint="eastAsia" w:ascii="仿宋" w:hAnsi="仿宋" w:eastAsia="仿宋" w:cs="仿宋"/>
          <w:sz w:val="32"/>
          <w:u w:color="auto"/>
          <w:lang w:val="en-US" w:eastAsia="zh-CN"/>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2297.89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lang w:eastAsia="zh-CN"/>
          <w14:textFill>
            <w14:solidFill>
              <w14:schemeClr w14:val="tx1"/>
            </w14:solidFill>
          </w14:textFill>
        </w:rPr>
        <w:t>主要用于全镇教职工工资</w:t>
      </w:r>
      <w:r>
        <w:rPr>
          <w:rFonts w:hint="eastAsia" w:ascii="仿宋" w:hAnsi="仿宋" w:eastAsia="仿宋" w:cs="仿宋"/>
          <w:color w:val="000000" w:themeColor="text1"/>
          <w:sz w:val="32"/>
          <w:szCs w:val="32"/>
          <w:highlight w:val="none"/>
          <w:lang w:val="en-US" w:eastAsia="zh-CN"/>
          <w14:textFill>
            <w14:solidFill>
              <w14:schemeClr w14:val="tx1"/>
            </w14:solidFill>
          </w14:textFill>
        </w:rPr>
        <w:t>以</w:t>
      </w:r>
      <w:r>
        <w:rPr>
          <w:rFonts w:hint="eastAsia" w:ascii="仿宋" w:hAnsi="仿宋" w:eastAsia="仿宋" w:cs="仿宋"/>
          <w:color w:val="000000" w:themeColor="text1"/>
          <w:sz w:val="32"/>
          <w:szCs w:val="32"/>
          <w:highlight w:val="none"/>
          <w:lang w:eastAsia="zh-CN"/>
          <w14:textFill>
            <w14:solidFill>
              <w14:schemeClr w14:val="tx1"/>
            </w14:solidFill>
          </w14:textFill>
        </w:rPr>
        <w:t>及为开展教育教学活动的支出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val="en-US" w:eastAsia="zh-CN"/>
        </w:rPr>
        <w:t>比</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增加164.13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增长7.69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主要原因是在职人员工资</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val="en-US" w:eastAsia="zh-CN"/>
        </w:rPr>
        <w:t>比2022年</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有所提高</w:t>
      </w:r>
      <w:r>
        <w:rPr>
          <w:rFonts w:hint="eastAsia" w:ascii="仿宋" w:hAnsi="仿宋" w:eastAsia="仿宋" w:cs="仿宋"/>
          <w:color w:val="auto"/>
          <w:kern w:val="2"/>
          <w:sz w:val="32"/>
          <w:szCs w:val="32"/>
          <w:highlight w:val="none"/>
          <w:lang w:val="en-US" w:eastAsia="zh-CN" w:bidi="ar"/>
        </w:rPr>
        <w:t>，乡村教师生活补助标准较比2022年也有所提高。</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u w:color="auto"/>
          <w:lang w:val="en-US" w:eastAsia="zh-CN"/>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类）225.48万元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lang w:eastAsia="zh-CN"/>
          <w14:textFill>
            <w14:solidFill>
              <w14:schemeClr w14:val="tx1"/>
            </w14:solidFill>
          </w14:textFill>
        </w:rPr>
        <w:t>主要用于缴纳教职工“五险”</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val="en-US" w:eastAsia="zh-CN"/>
        </w:rPr>
        <w:t>比</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增加</w:t>
      </w:r>
      <w:r>
        <w:rPr>
          <w:rFonts w:hint="eastAsia" w:ascii="仿宋" w:hAnsi="仿宋" w:eastAsia="仿宋" w:cs="仿宋"/>
          <w:sz w:val="32"/>
          <w:szCs w:val="32"/>
          <w:highlight w:val="none"/>
          <w:lang w:val="en-US" w:eastAsia="zh-CN" w:bidi="ar"/>
        </w:rPr>
        <w:t>22.24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w:t>
      </w:r>
      <w:r>
        <w:rPr>
          <w:rFonts w:hint="eastAsia" w:ascii="仿宋" w:hAnsi="仿宋" w:eastAsia="仿宋" w:cs="仿宋"/>
          <w:sz w:val="32"/>
          <w:szCs w:val="32"/>
          <w:highlight w:val="none"/>
          <w:lang w:val="en-US" w:eastAsia="zh-CN" w:bidi="ar"/>
        </w:rPr>
        <w:t>10.94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华文仿宋" w:hAnsi="华文仿宋" w:eastAsia="华文仿宋" w:cs="华文仿宋"/>
          <w:color w:val="auto"/>
          <w:kern w:val="0"/>
          <w:sz w:val="32"/>
          <w:szCs w:val="32"/>
          <w:lang w:val="en-US" w:eastAsia="zh-CN"/>
        </w:rPr>
        <w:t>是</w:t>
      </w:r>
      <w:r>
        <w:rPr>
          <w:rFonts w:hint="eastAsia" w:ascii="华文仿宋" w:hAnsi="华文仿宋" w:eastAsia="华文仿宋" w:cs="华文仿宋"/>
          <w:kern w:val="0"/>
          <w:sz w:val="32"/>
          <w:szCs w:val="32"/>
          <w:lang w:val="en-US" w:eastAsia="zh-CN"/>
        </w:rPr>
        <w:t>2023年</w:t>
      </w:r>
      <w:r>
        <w:rPr>
          <w:rFonts w:hint="eastAsia" w:ascii="仿宋" w:hAnsi="仿宋" w:eastAsia="仿宋" w:cs="仿宋"/>
          <w:color w:val="000000" w:themeColor="text1"/>
          <w:sz w:val="32"/>
          <w:szCs w:val="32"/>
          <w:highlight w:val="none"/>
          <w:lang w:eastAsia="zh-CN"/>
          <w14:textFill>
            <w14:solidFill>
              <w14:schemeClr w14:val="tx1"/>
            </w14:solidFill>
          </w14:textFill>
        </w:rPr>
        <w:t>“五险”</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基数提高</w:t>
      </w:r>
      <w:r>
        <w:rPr>
          <w:rFonts w:hint="eastAsia" w:ascii="华文仿宋" w:hAnsi="华文仿宋" w:eastAsia="华文仿宋" w:cs="华文仿宋"/>
          <w:kern w:val="0"/>
          <w:sz w:val="32"/>
          <w:szCs w:val="32"/>
          <w:lang w:val="en-US" w:eastAsia="zh-CN"/>
        </w:rPr>
        <w:t>，</w:t>
      </w:r>
      <w:r>
        <w:rPr>
          <w:rFonts w:hint="eastAsia" w:ascii="仿宋" w:hAnsi="仿宋" w:eastAsia="仿宋" w:cs="仿宋"/>
          <w:color w:val="000000" w:themeColor="text1"/>
          <w:sz w:val="32"/>
          <w:szCs w:val="32"/>
          <w:highlight w:val="none"/>
          <w:lang w:eastAsia="zh-CN"/>
          <w14:textFill>
            <w14:solidFill>
              <w14:schemeClr w14:val="tx1"/>
            </w14:solidFill>
          </w14:textFill>
        </w:rPr>
        <w:t>缴纳</w:t>
      </w:r>
      <w:r>
        <w:rPr>
          <w:rFonts w:hint="eastAsia" w:ascii="仿宋" w:hAnsi="仿宋" w:eastAsia="仿宋" w:cs="仿宋"/>
          <w:color w:val="000000" w:themeColor="text1"/>
          <w:sz w:val="32"/>
          <w:szCs w:val="32"/>
          <w:highlight w:val="none"/>
          <w:lang w:val="en-US" w:eastAsia="zh-CN"/>
          <w14:textFill>
            <w14:solidFill>
              <w14:schemeClr w14:val="tx1"/>
            </w14:solidFill>
          </w14:textFill>
        </w:rPr>
        <w:t>有所增加</w:t>
      </w:r>
      <w:r>
        <w:rPr>
          <w:rFonts w:hint="eastAsia" w:ascii="华文仿宋" w:hAnsi="华文仿宋" w:eastAsia="华文仿宋" w:cs="华文仿宋"/>
          <w:kern w:val="0"/>
          <w:sz w:val="32"/>
          <w:szCs w:val="32"/>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u w:color="auto"/>
          <w:lang w:val="en-US" w:eastAsia="zh-CN"/>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类）169.11万元：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华文仿宋" w:hAnsi="华文仿宋" w:eastAsia="华文仿宋" w:cs="华文仿宋"/>
          <w:kern w:val="0"/>
          <w:sz w:val="32"/>
          <w:szCs w:val="32"/>
        </w:rPr>
        <w:t>教职工</w:t>
      </w:r>
      <w:r>
        <w:rPr>
          <w:rFonts w:hint="eastAsia" w:ascii="仿宋" w:hAnsi="仿宋" w:eastAsia="仿宋" w:cs="仿宋"/>
          <w:color w:val="000000" w:themeColor="text1"/>
          <w:sz w:val="32"/>
          <w:szCs w:val="32"/>
          <w:highlight w:val="none"/>
          <w:lang w:val="en-US" w:eastAsia="zh-CN"/>
          <w14:textFill>
            <w14:solidFill>
              <w14:schemeClr w14:val="tx1"/>
            </w14:solidFill>
          </w14:textFill>
        </w:rPr>
        <w:t>住房保障</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val="en-US" w:eastAsia="zh-CN"/>
        </w:rPr>
        <w:t>比</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增加16.66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增加10.93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主要原因是教职工的工资比往年有所增加，缴纳的住房公积金也有所增加</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5、其他支出（229类）230.43万元，主要用于教职工奖励性补贴以及少年宫教师辅导劳务费、少年宫课外辅导费用。较比2022年度决算数增加46.44万元增加25.24%，主要原因是教职工奖励性补贴有所提高以及少年宫教师辅导劳务费、少年宫课外辅导费用也有所增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因</w:t>
      </w:r>
      <w:r>
        <w:rPr>
          <w:rFonts w:hint="default" w:ascii="仿宋_GB2312" w:hAnsi="微软雅黑" w:eastAsia="仿宋_GB2312" w:cs="仿宋_GB2312"/>
          <w:i w:val="0"/>
          <w:iCs w:val="0"/>
          <w:caps w:val="0"/>
          <w:color w:val="000000"/>
          <w:spacing w:val="0"/>
          <w:sz w:val="31"/>
          <w:szCs w:val="31"/>
          <w:highlight w:val="none"/>
          <w:shd w:val="clear" w:color="auto" w:fill="FFFFFF"/>
        </w:rPr>
        <w:t>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w:t>
      </w:r>
      <w:r>
        <w:rPr>
          <w:rFonts w:hint="eastAsia" w:ascii="仿宋_GB2312" w:hAnsi="微软雅黑" w:eastAsia="仿宋_GB2312" w:cs="仿宋_GB2312"/>
          <w:i w:val="0"/>
          <w:iCs w:val="0"/>
          <w:caps w:val="0"/>
          <w:color w:val="000000" w:themeColor="text1"/>
          <w:spacing w:val="0"/>
          <w:sz w:val="31"/>
          <w:szCs w:val="31"/>
          <w:highlight w:val="none"/>
          <w:shd w:val="clear" w:color="auto" w:fill="FFFFFF"/>
          <w:lang w:val="en-US" w:eastAsia="zh-CN"/>
          <w14:textFill>
            <w14:solidFill>
              <w14:schemeClr w14:val="tx1"/>
            </w14:solidFill>
          </w14:textFill>
        </w:rPr>
        <w:t>是我</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单位按规定提取的职工福利基金、事业基金和缴纳的所得税。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因</w:t>
      </w:r>
      <w:r>
        <w:rPr>
          <w:rFonts w:hint="eastAsia" w:ascii="仿宋" w:hAnsi="仿宋" w:eastAsia="仿宋" w:cs="仿宋"/>
          <w:color w:val="000000" w:themeColor="text1"/>
          <w:sz w:val="32"/>
          <w:szCs w:val="32"/>
          <w:highlight w:val="none"/>
          <w14:textFill>
            <w14:solidFill>
              <w14:schemeClr w14:val="tx1"/>
            </w14:solidFill>
          </w14:textFill>
        </w:rPr>
        <w:t>为本年度预算安排</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按原计划实施，</w:t>
      </w:r>
      <w:r>
        <w:rPr>
          <w:rFonts w:hint="eastAsia" w:ascii="仿宋" w:hAnsi="仿宋" w:eastAsia="仿宋" w:cs="仿宋"/>
          <w:color w:val="000000" w:themeColor="text1"/>
          <w:sz w:val="32"/>
          <w:szCs w:val="32"/>
          <w:highlight w:val="none"/>
          <w:lang w:val="en-US" w:eastAsia="zh-CN"/>
          <w14:textFill>
            <w14:solidFill>
              <w14:schemeClr w14:val="tx1"/>
            </w14:solidFill>
          </w14:textFill>
        </w:rPr>
        <w:t>不</w:t>
      </w:r>
      <w:r>
        <w:rPr>
          <w:rFonts w:hint="eastAsia" w:ascii="仿宋" w:hAnsi="仿宋" w:eastAsia="仿宋" w:cs="仿宋"/>
          <w:color w:val="000000" w:themeColor="text1"/>
          <w:sz w:val="32"/>
          <w:szCs w:val="32"/>
          <w:highlight w:val="none"/>
          <w14:textFill>
            <w14:solidFill>
              <w14:schemeClr w14:val="tx1"/>
            </w14:solidFill>
          </w14:textFill>
        </w:rPr>
        <w:t>需要延迟到以后年度继续使用的资金</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val="en-US" w:eastAsia="zh-CN"/>
        </w:rPr>
        <w:t>比</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减少0</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减少0</w:t>
      </w:r>
      <w:r>
        <w:rPr>
          <w:rFonts w:ascii="仿宋" w:hAnsi="仿宋" w:eastAsia="仿宋" w:cs="仿宋"/>
          <w:sz w:val="32"/>
          <w:u w:color="auto"/>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主要原因是按年初</w:t>
      </w:r>
      <w:r>
        <w:rPr>
          <w:rFonts w:hint="eastAsia" w:ascii="仿宋" w:hAnsi="仿宋" w:eastAsia="仿宋" w:cs="仿宋"/>
          <w:kern w:val="2"/>
          <w:sz w:val="32"/>
          <w:szCs w:val="32"/>
          <w:highlight w:val="none"/>
          <w:lang w:val="en-US" w:eastAsia="zh-CN" w:bidi="ar"/>
        </w:rPr>
        <w:t>预算已执行完毕，</w:t>
      </w:r>
      <w:r>
        <w:rPr>
          <w:rFonts w:hint="eastAsia" w:ascii="仿宋" w:hAnsi="仿宋" w:eastAsia="仿宋" w:cs="仿宋"/>
          <w:color w:val="auto"/>
          <w:kern w:val="2"/>
          <w:sz w:val="32"/>
          <w:szCs w:val="32"/>
          <w:highlight w:val="none"/>
          <w:lang w:val="en-US" w:eastAsia="zh-CN" w:bidi="ar"/>
        </w:rPr>
        <w:t>不需要结转至明年继续执行。</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2095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环江毛南族自治县水源镇中心小学202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rPr>
        <w:t>2953.55</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val="en-US" w:eastAsia="zh-CN"/>
        </w:rPr>
        <w:t>比</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增加</w:t>
      </w:r>
      <w:r>
        <w:rPr>
          <w:rFonts w:hint="eastAsia" w:ascii="仿宋" w:hAnsi="仿宋" w:eastAsia="仿宋" w:cs="仿宋"/>
          <w:sz w:val="32"/>
          <w:u w:color="auto"/>
          <w:lang w:val="en-US" w:eastAsia="zh-CN"/>
        </w:rPr>
        <w:t>251.64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w:t>
      </w:r>
      <w:r>
        <w:rPr>
          <w:rFonts w:hint="eastAsia" w:ascii="仿宋" w:hAnsi="仿宋" w:eastAsia="仿宋" w:cs="仿宋"/>
          <w:sz w:val="32"/>
          <w:u w:color="auto"/>
          <w:lang w:val="en-US" w:eastAsia="zh-CN"/>
        </w:rPr>
        <w:t>9.31</w:t>
      </w:r>
      <w:r>
        <w:rPr>
          <w:rFonts w:ascii="仿宋" w:hAnsi="仿宋" w:eastAsia="仿宋" w:cs="仿宋"/>
          <w:sz w:val="32"/>
          <w:u w:color="auto"/>
        </w:rPr>
        <w:t>%</w:t>
      </w:r>
      <w:r>
        <w:rPr>
          <w:rFonts w:hint="eastAsia" w:ascii="仿宋" w:hAnsi="仿宋" w:eastAsia="仿宋" w:cs="仿宋"/>
          <w:sz w:val="32"/>
          <w:szCs w:val="32"/>
          <w:highlight w:val="none"/>
        </w:rPr>
        <w:t>。其中：基本支出2582.38万元，项目支出371.17万元。</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环江毛南族自治县水源镇中心小学</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年度一般公共预算财政拨款支出年初预算为</w:t>
      </w:r>
      <w:r>
        <w:rPr>
          <w:rFonts w:hint="eastAsia" w:ascii="仿宋" w:hAnsi="仿宋" w:eastAsia="仿宋" w:cs="仿宋"/>
          <w:color w:val="auto"/>
          <w:sz w:val="32"/>
          <w:szCs w:val="32"/>
          <w:highlight w:val="none"/>
          <w:lang w:val="en-US" w:eastAsia="zh-CN"/>
        </w:rPr>
        <w:t>2144.1</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u w:color="auto"/>
        </w:rPr>
        <w:t>2953.55</w:t>
      </w:r>
      <w:r>
        <w:rPr>
          <w:rFonts w:hint="eastAsia" w:ascii="仿宋" w:hAnsi="仿宋" w:eastAsia="仿宋" w:cs="仿宋"/>
          <w:color w:val="auto"/>
          <w:sz w:val="32"/>
          <w:szCs w:val="32"/>
          <w:highlight w:val="none"/>
        </w:rPr>
        <w:t>万元，完成年初预算的13</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75</w:t>
      </w:r>
      <w:r>
        <w:rPr>
          <w:rFonts w:hint="eastAsia" w:ascii="仿宋" w:hAnsi="仿宋" w:eastAsia="仿宋" w:cs="仿宋"/>
          <w:color w:val="auto"/>
          <w:sz w:val="32"/>
          <w:szCs w:val="32"/>
          <w:highlight w:val="none"/>
        </w:rPr>
        <w:t>%。</w:t>
      </w:r>
    </w:p>
    <w:p>
      <w:pPr>
        <w:keepNext w:val="0"/>
        <w:keepLines w:val="0"/>
        <w:widowControl w:val="0"/>
        <w:numPr>
          <w:ilvl w:val="0"/>
          <w:numId w:val="2"/>
        </w:numPr>
        <w:suppressLineNumbers w:val="0"/>
        <w:spacing w:before="0" w:beforeAutospacing="0" w:after="0" w:afterAutospacing="0"/>
        <w:ind w:left="-420" w:leftChars="0" w:right="0" w:rightChars="0" w:firstLine="420" w:firstLineChars="0"/>
        <w:jc w:val="left"/>
        <w:rPr>
          <w:rFonts w:hint="eastAsia" w:eastAsia="仿宋"/>
          <w:color w:val="FF0000"/>
          <w:highlight w:val="none"/>
          <w:lang w:val="en-US" w:eastAsia="zh-CN"/>
        </w:rPr>
      </w:pPr>
      <w:bookmarkStart w:id="3" w:name="OLE_LINK2"/>
      <w:bookmarkEnd w:id="3"/>
      <w:r>
        <w:rPr>
          <w:rFonts w:hint="eastAsia" w:ascii="仿宋" w:hAnsi="仿宋" w:eastAsia="仿宋"/>
          <w:color w:val="auto"/>
          <w:sz w:val="32"/>
          <w:szCs w:val="32"/>
          <w:highlight w:val="none"/>
        </w:rPr>
        <w:t>教育支出</w:t>
      </w:r>
      <w:r>
        <w:rPr>
          <w:rFonts w:ascii="仿宋" w:hAnsi="仿宋" w:eastAsia="仿宋"/>
          <w:color w:val="auto"/>
          <w:sz w:val="32"/>
          <w:u w:color="auto"/>
        </w:rPr>
        <w:t>（205</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1666.25</w:t>
      </w:r>
      <w:r>
        <w:rPr>
          <w:rFonts w:hint="eastAsia" w:ascii="仿宋" w:hAnsi="仿宋" w:eastAsia="仿宋"/>
          <w:color w:val="auto"/>
          <w:sz w:val="32"/>
          <w:szCs w:val="32"/>
          <w:highlight w:val="none"/>
        </w:rPr>
        <w:t>万元，支出决算为</w:t>
      </w:r>
      <w:r>
        <w:rPr>
          <w:rFonts w:hint="eastAsia" w:ascii="仿宋" w:hAnsi="仿宋" w:eastAsia="仿宋" w:cs="仿宋"/>
          <w:color w:val="auto"/>
          <w:sz w:val="32"/>
          <w:szCs w:val="32"/>
          <w:highlight w:val="none"/>
          <w:lang w:bidi="ar"/>
        </w:rPr>
        <w:t>2297.89</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137.9</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i w:val="0"/>
          <w:iCs w:val="0"/>
          <w:color w:val="auto"/>
          <w:sz w:val="32"/>
          <w:szCs w:val="32"/>
          <w:highlight w:val="none"/>
          <w:u w:val="none"/>
          <w:lang w:val="en-US" w:eastAsia="zh-CN"/>
        </w:rPr>
        <w:t>该类支出部分资金由上级部门预算直接下达，本部门无需预算，如义教补助资金中的寄宿生生活补助，公用经费等，</w:t>
      </w:r>
      <w:r>
        <w:rPr>
          <w:rFonts w:hint="eastAsia" w:ascii="仿宋" w:hAnsi="仿宋" w:eastAsia="仿宋"/>
          <w:color w:val="auto"/>
          <w:sz w:val="32"/>
          <w:szCs w:val="32"/>
          <w:highlight w:val="none"/>
          <w:lang w:val="en-US" w:eastAsia="zh-CN"/>
        </w:rPr>
        <w:t>2023年教师工资上调以及</w:t>
      </w:r>
      <w:r>
        <w:rPr>
          <w:rFonts w:hint="eastAsia" w:ascii="华文仿宋" w:hAnsi="华文仿宋" w:eastAsia="华文仿宋" w:cs="华文仿宋"/>
          <w:color w:val="auto"/>
          <w:kern w:val="0"/>
          <w:sz w:val="32"/>
          <w:szCs w:val="32"/>
          <w:lang w:val="en-US" w:eastAsia="zh-CN"/>
        </w:rPr>
        <w:t>2023年学生营养餐经</w:t>
      </w:r>
      <w:r>
        <w:rPr>
          <w:rFonts w:hint="eastAsia" w:ascii="华文仿宋" w:hAnsi="华文仿宋" w:eastAsia="华文仿宋" w:cs="华文仿宋"/>
          <w:kern w:val="0"/>
          <w:sz w:val="32"/>
          <w:szCs w:val="32"/>
          <w:lang w:val="en-US" w:eastAsia="zh-CN"/>
        </w:rPr>
        <w:t>费和办公经费支出较多</w:t>
      </w:r>
      <w:r>
        <w:rPr>
          <w:rFonts w:hint="eastAsia" w:ascii="华文仿宋" w:hAnsi="华文仿宋" w:eastAsia="华文仿宋" w:cs="华文仿宋"/>
          <w:kern w:val="0"/>
          <w:sz w:val="32"/>
          <w:szCs w:val="32"/>
          <w:lang w:eastAsia="zh-CN"/>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52"/>
        <w:gridCol w:w="918"/>
        <w:gridCol w:w="867"/>
        <w:gridCol w:w="1036"/>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152"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18"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6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3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2050202</w:t>
            </w:r>
          </w:p>
        </w:tc>
        <w:tc>
          <w:tcPr>
            <w:tcW w:w="1152"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 xml:space="preserve"> 小学教育</w:t>
            </w:r>
          </w:p>
        </w:tc>
        <w:tc>
          <w:tcPr>
            <w:tcW w:w="918"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1</w:t>
            </w:r>
            <w:r>
              <w:rPr>
                <w:rFonts w:hint="eastAsia" w:ascii="宋体" w:hAnsi="宋体" w:eastAsia="宋体" w:cs="宋体"/>
                <w:i w:val="0"/>
                <w:iCs w:val="0"/>
                <w:color w:val="000000"/>
                <w:sz w:val="18"/>
                <w:szCs w:val="18"/>
                <w:highlight w:val="none"/>
                <w:u w:val="none"/>
                <w:lang w:val="en-US" w:eastAsia="zh-CN"/>
              </w:rPr>
              <w:t>666.25</w:t>
            </w:r>
          </w:p>
        </w:tc>
        <w:tc>
          <w:tcPr>
            <w:tcW w:w="86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default" w:ascii="宋体" w:hAnsi="宋体" w:eastAsia="宋体" w:cs="宋体"/>
                <w:i w:val="0"/>
                <w:iCs w:val="0"/>
                <w:color w:val="000000"/>
                <w:kern w:val="2"/>
                <w:sz w:val="18"/>
                <w:szCs w:val="18"/>
                <w:highlight w:val="none"/>
                <w:u w:val="none"/>
                <w:lang w:val="en-US" w:eastAsia="zh-CN" w:bidi="ar-SA"/>
              </w:rPr>
              <w:t>2289.95</w:t>
            </w:r>
          </w:p>
        </w:tc>
        <w:tc>
          <w:tcPr>
            <w:tcW w:w="103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137.43</w:t>
            </w:r>
            <w:r>
              <w:rPr>
                <w:rFonts w:hint="default" w:ascii="宋体" w:hAnsi="宋体" w:eastAsia="宋体" w:cs="宋体"/>
                <w:i w:val="0"/>
                <w:iCs w:val="0"/>
                <w:color w:val="000000"/>
                <w:sz w:val="18"/>
                <w:szCs w:val="18"/>
                <w:highlight w:val="none"/>
                <w:u w:val="none"/>
                <w:lang w:val="en-US" w:eastAsia="zh-CN"/>
              </w:rPr>
              <w:t>%</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主要用于全镇教职工工资及为开展教育教学活动的支出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该类支出部分资金由上级部门预算直接下达，本部门无需预算，如义教补助资金中的寄宿生生活补助，公用经费等。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2050299</w:t>
            </w:r>
          </w:p>
        </w:tc>
        <w:tc>
          <w:tcPr>
            <w:tcW w:w="1152"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18"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6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default" w:ascii="宋体" w:hAnsi="宋体" w:eastAsia="宋体" w:cs="宋体"/>
                <w:i w:val="0"/>
                <w:iCs w:val="0"/>
                <w:color w:val="000000"/>
                <w:sz w:val="20"/>
                <w:szCs w:val="20"/>
                <w:highlight w:val="none"/>
                <w:u w:val="none"/>
                <w:lang w:val="en-US" w:eastAsia="zh-CN"/>
              </w:rPr>
              <w:t>5.88</w:t>
            </w:r>
          </w:p>
        </w:tc>
        <w:tc>
          <w:tcPr>
            <w:tcW w:w="103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主要用于付</w:t>
            </w:r>
            <w:r>
              <w:rPr>
                <w:rFonts w:hint="eastAsia" w:ascii="宋体" w:hAnsi="宋体" w:eastAsia="宋体" w:cs="宋体"/>
                <w:i w:val="0"/>
                <w:iCs w:val="0"/>
                <w:color w:val="auto"/>
                <w:sz w:val="18"/>
                <w:szCs w:val="18"/>
                <w:highlight w:val="none"/>
                <w:u w:val="none"/>
                <w:lang w:val="en-US" w:eastAsia="zh-CN"/>
              </w:rPr>
              <w:t>2023年</w:t>
            </w:r>
            <w:r>
              <w:rPr>
                <w:rFonts w:hint="default" w:ascii="宋体" w:hAnsi="宋体" w:eastAsia="宋体" w:cs="宋体"/>
                <w:i w:val="0"/>
                <w:iCs w:val="0"/>
                <w:color w:val="auto"/>
                <w:sz w:val="18"/>
                <w:szCs w:val="18"/>
                <w:highlight w:val="none"/>
                <w:u w:val="none"/>
                <w:lang w:val="en-US" w:eastAsia="zh-CN"/>
              </w:rPr>
              <w:t>10</w:t>
            </w:r>
            <w:r>
              <w:rPr>
                <w:rFonts w:hint="eastAsia" w:ascii="宋体" w:hAnsi="宋体" w:eastAsia="宋体" w:cs="宋体"/>
                <w:i w:val="0"/>
                <w:iCs w:val="0"/>
                <w:color w:val="auto"/>
                <w:sz w:val="18"/>
                <w:szCs w:val="18"/>
                <w:highlight w:val="none"/>
                <w:u w:val="none"/>
                <w:lang w:val="en-US" w:eastAsia="zh-CN"/>
              </w:rPr>
              <w:t>、11</w:t>
            </w:r>
            <w:r>
              <w:rPr>
                <w:rFonts w:hint="default" w:ascii="宋体" w:hAnsi="宋体" w:eastAsia="宋体" w:cs="宋体"/>
                <w:i w:val="0"/>
                <w:iCs w:val="0"/>
                <w:color w:val="auto"/>
                <w:sz w:val="18"/>
                <w:szCs w:val="18"/>
                <w:highlight w:val="none"/>
                <w:u w:val="none"/>
                <w:lang w:val="en-US" w:eastAsia="zh-CN"/>
              </w:rPr>
              <w:t>月学生营养餐经</w:t>
            </w:r>
            <w:r>
              <w:rPr>
                <w:rFonts w:hint="eastAsia" w:ascii="宋体" w:hAnsi="宋体" w:eastAsia="宋体" w:cs="宋体"/>
                <w:i w:val="0"/>
                <w:iCs w:val="0"/>
                <w:color w:val="auto"/>
                <w:sz w:val="18"/>
                <w:szCs w:val="18"/>
                <w:highlight w:val="none"/>
                <w:u w:val="none"/>
                <w:lang w:val="en-US" w:eastAsia="zh-CN"/>
              </w:rPr>
              <w:t>费和部分办公经费支出。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此部分资金每年由上级部门做预算，直接下达，本部门无需预算。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2050999</w:t>
            </w:r>
          </w:p>
        </w:tc>
        <w:tc>
          <w:tcPr>
            <w:tcW w:w="1152"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其他教育费附加安排的支出</w:t>
            </w:r>
          </w:p>
        </w:tc>
        <w:tc>
          <w:tcPr>
            <w:tcW w:w="918"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6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default" w:ascii="宋体" w:hAnsi="宋体" w:eastAsia="宋体" w:cs="宋体"/>
                <w:i w:val="0"/>
                <w:iCs w:val="0"/>
                <w:color w:val="000000"/>
                <w:kern w:val="2"/>
                <w:sz w:val="18"/>
                <w:szCs w:val="18"/>
                <w:highlight w:val="none"/>
                <w:u w:val="none"/>
                <w:lang w:val="en-US" w:eastAsia="zh-CN" w:bidi="ar-SA"/>
              </w:rPr>
              <w:t>1.53</w:t>
            </w:r>
          </w:p>
        </w:tc>
        <w:tc>
          <w:tcPr>
            <w:tcW w:w="103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主要用于付</w:t>
            </w:r>
            <w:r>
              <w:rPr>
                <w:rFonts w:hint="eastAsia" w:ascii="宋体" w:hAnsi="宋体" w:eastAsia="宋体" w:cs="宋体"/>
                <w:i w:val="0"/>
                <w:iCs w:val="0"/>
                <w:color w:val="auto"/>
                <w:sz w:val="18"/>
                <w:szCs w:val="18"/>
                <w:highlight w:val="none"/>
                <w:u w:val="none"/>
                <w:lang w:val="en-US" w:eastAsia="zh-CN"/>
              </w:rPr>
              <w:t>2023年学校安全协管员工资</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此部分资金每年由上级部门做预算，直接下达，本部门无需预算。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2050701</w:t>
            </w:r>
          </w:p>
        </w:tc>
        <w:tc>
          <w:tcPr>
            <w:tcW w:w="1152"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特殊学校教育</w:t>
            </w:r>
          </w:p>
        </w:tc>
        <w:tc>
          <w:tcPr>
            <w:tcW w:w="918"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6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default" w:ascii="宋体" w:hAnsi="宋体" w:eastAsia="宋体" w:cs="宋体"/>
                <w:i w:val="0"/>
                <w:iCs w:val="0"/>
                <w:color w:val="000000"/>
                <w:kern w:val="2"/>
                <w:sz w:val="18"/>
                <w:szCs w:val="18"/>
                <w:highlight w:val="none"/>
                <w:u w:val="none"/>
                <w:lang w:val="en-US" w:eastAsia="zh-CN" w:bidi="ar-SA"/>
              </w:rPr>
              <w:t>0.53</w:t>
            </w:r>
          </w:p>
        </w:tc>
        <w:tc>
          <w:tcPr>
            <w:tcW w:w="103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主要用于全镇教职工</w:t>
            </w:r>
            <w:r>
              <w:rPr>
                <w:rFonts w:hint="eastAsia" w:ascii="宋体" w:hAnsi="宋体" w:eastAsia="宋体" w:cs="宋体"/>
                <w:i w:val="0"/>
                <w:iCs w:val="0"/>
                <w:color w:val="auto"/>
                <w:sz w:val="18"/>
                <w:szCs w:val="18"/>
                <w:highlight w:val="none"/>
                <w:u w:val="none"/>
                <w:lang w:val="en-US" w:eastAsia="zh-CN"/>
              </w:rPr>
              <w:t>送教上门差旅费</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此部分资金每年由上级部门做预算，直接下达，本部门无需预算。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152"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p>
        </w:tc>
        <w:tc>
          <w:tcPr>
            <w:tcW w:w="918"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1</w:t>
            </w:r>
            <w:r>
              <w:rPr>
                <w:rFonts w:hint="eastAsia" w:ascii="宋体" w:hAnsi="宋体" w:eastAsia="宋体" w:cs="宋体"/>
                <w:i w:val="0"/>
                <w:iCs w:val="0"/>
                <w:color w:val="000000"/>
                <w:sz w:val="18"/>
                <w:szCs w:val="18"/>
                <w:highlight w:val="none"/>
                <w:u w:val="none"/>
                <w:lang w:val="en-US" w:eastAsia="zh-CN"/>
              </w:rPr>
              <w:t>666.25</w:t>
            </w:r>
          </w:p>
        </w:tc>
        <w:tc>
          <w:tcPr>
            <w:tcW w:w="86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default" w:ascii="宋体" w:hAnsi="宋体" w:eastAsia="宋体" w:cs="宋体"/>
                <w:i w:val="0"/>
                <w:iCs w:val="0"/>
                <w:color w:val="000000"/>
                <w:kern w:val="2"/>
                <w:sz w:val="18"/>
                <w:szCs w:val="18"/>
                <w:highlight w:val="none"/>
                <w:u w:val="none"/>
                <w:lang w:val="en-US" w:eastAsia="zh-CN" w:bidi="ar-SA"/>
              </w:rPr>
              <w:t>2297.89</w:t>
            </w:r>
          </w:p>
        </w:tc>
        <w:tc>
          <w:tcPr>
            <w:tcW w:w="103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7"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2"/>
        </w:numPr>
        <w:suppressLineNumbers w:val="0"/>
        <w:spacing w:before="0" w:beforeAutospacing="0" w:after="0" w:afterAutospacing="0"/>
        <w:ind w:left="-42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w:t>
      </w:r>
      <w:r>
        <w:rPr>
          <w:rFonts w:hint="eastAsia" w:ascii="仿宋" w:hAnsi="仿宋" w:eastAsia="仿宋"/>
          <w:color w:val="auto"/>
          <w:sz w:val="32"/>
          <w:szCs w:val="32"/>
          <w:highlight w:val="none"/>
        </w:rPr>
        <w:t>年初预算为</w:t>
      </w:r>
      <w:r>
        <w:rPr>
          <w:rFonts w:hint="eastAsia" w:ascii="仿宋" w:hAnsi="仿宋" w:eastAsia="仿宋"/>
          <w:color w:val="auto"/>
          <w:sz w:val="32"/>
          <w:szCs w:val="32"/>
          <w:highlight w:val="none"/>
          <w:lang w:val="en-US" w:eastAsia="zh-CN"/>
        </w:rPr>
        <w:t>255.55</w:t>
      </w:r>
      <w:r>
        <w:rPr>
          <w:rFonts w:hint="eastAsia" w:ascii="仿宋" w:hAnsi="仿宋" w:eastAsia="仿宋"/>
          <w:sz w:val="32"/>
          <w:szCs w:val="32"/>
          <w:highlight w:val="none"/>
        </w:rPr>
        <w:t>万元，支出决算为225.48万元，完成年初预算的</w:t>
      </w:r>
      <w:r>
        <w:rPr>
          <w:rFonts w:hint="eastAsia" w:ascii="仿宋" w:hAnsi="仿宋" w:eastAsia="仿宋"/>
          <w:sz w:val="32"/>
          <w:szCs w:val="32"/>
          <w:highlight w:val="none"/>
          <w:lang w:val="en-US" w:eastAsia="zh-CN"/>
        </w:rPr>
        <w:t>88.23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原因是：2023年有调出教师，在职人员减少，年中退休人员有所增加，教职工基本养老保险缴费实际支出比年初预算有所减少。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255.55</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225.48</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88.23%</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职工基本养老保险缴费支出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w:t>
            </w:r>
            <w:r>
              <w:rPr>
                <w:rFonts w:hint="default" w:ascii="宋体" w:hAnsi="宋体" w:eastAsia="宋体" w:cs="宋体"/>
                <w:i w:val="0"/>
                <w:iCs w:val="0"/>
                <w:color w:val="auto"/>
                <w:sz w:val="18"/>
                <w:szCs w:val="18"/>
                <w:highlight w:val="none"/>
                <w:u w:val="none"/>
                <w:lang w:val="en-US" w:eastAsia="zh-CN"/>
              </w:rPr>
              <w:t>02</w:t>
            </w:r>
            <w:r>
              <w:rPr>
                <w:rFonts w:hint="eastAsia" w:ascii="宋体" w:hAnsi="宋体" w:eastAsia="宋体" w:cs="宋体"/>
                <w:i w:val="0"/>
                <w:iCs w:val="0"/>
                <w:color w:val="auto"/>
                <w:sz w:val="18"/>
                <w:szCs w:val="18"/>
                <w:highlight w:val="none"/>
                <w:u w:val="none"/>
                <w:lang w:val="en-US" w:eastAsia="zh-CN"/>
              </w:rPr>
              <w:t>3</w:t>
            </w:r>
            <w:r>
              <w:rPr>
                <w:rFonts w:hint="default" w:ascii="宋体" w:hAnsi="宋体" w:eastAsia="宋体" w:cs="宋体"/>
                <w:i w:val="0"/>
                <w:iCs w:val="0"/>
                <w:color w:val="auto"/>
                <w:sz w:val="18"/>
                <w:szCs w:val="18"/>
                <w:highlight w:val="none"/>
                <w:u w:val="none"/>
                <w:lang w:val="en-US" w:eastAsia="zh-CN"/>
              </w:rPr>
              <w:t>年中有调出教师，在职人员减少，年中退休人员有所增加</w:t>
            </w:r>
            <w:r>
              <w:rPr>
                <w:rFonts w:hint="eastAsia" w:ascii="宋体" w:hAnsi="宋体" w:eastAsia="宋体" w:cs="宋体"/>
                <w:i w:val="0"/>
                <w:iCs w:val="0"/>
                <w:color w:val="auto"/>
                <w:sz w:val="18"/>
                <w:szCs w:val="18"/>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255.55</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225.48</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88.23%</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default" w:ascii="宋体" w:hAnsi="宋体" w:eastAsia="宋体" w:cs="宋体"/>
                <w:i w:val="0"/>
                <w:iCs w:val="0"/>
                <w:color w:val="auto"/>
                <w:sz w:val="18"/>
                <w:szCs w:val="18"/>
                <w:highlight w:val="none"/>
                <w:u w:val="none"/>
                <w:lang w:val="en-US" w:eastAsia="zh-CN"/>
              </w:rPr>
              <w:t>职工基本养老保险缴费支出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2</w:t>
            </w:r>
            <w:r>
              <w:rPr>
                <w:rFonts w:hint="default" w:ascii="宋体" w:hAnsi="宋体" w:eastAsia="宋体" w:cs="宋体"/>
                <w:i w:val="0"/>
                <w:iCs w:val="0"/>
                <w:color w:val="auto"/>
                <w:sz w:val="18"/>
                <w:szCs w:val="18"/>
                <w:highlight w:val="none"/>
                <w:u w:val="none"/>
                <w:lang w:val="en-US" w:eastAsia="zh-CN"/>
              </w:rPr>
              <w:t>02</w:t>
            </w:r>
            <w:r>
              <w:rPr>
                <w:rFonts w:hint="eastAsia" w:ascii="宋体" w:hAnsi="宋体" w:eastAsia="宋体" w:cs="宋体"/>
                <w:i w:val="0"/>
                <w:iCs w:val="0"/>
                <w:color w:val="auto"/>
                <w:sz w:val="18"/>
                <w:szCs w:val="18"/>
                <w:highlight w:val="none"/>
                <w:u w:val="none"/>
                <w:lang w:val="en-US" w:eastAsia="zh-CN"/>
              </w:rPr>
              <w:t>3</w:t>
            </w:r>
            <w:r>
              <w:rPr>
                <w:rFonts w:hint="default" w:ascii="宋体" w:hAnsi="宋体" w:eastAsia="宋体" w:cs="宋体"/>
                <w:i w:val="0"/>
                <w:iCs w:val="0"/>
                <w:color w:val="auto"/>
                <w:sz w:val="18"/>
                <w:szCs w:val="18"/>
                <w:highlight w:val="none"/>
                <w:u w:val="none"/>
                <w:lang w:val="en-US" w:eastAsia="zh-CN"/>
              </w:rPr>
              <w:t>年中有调出教师，在职人员减少，年中退休人员有所增加</w:t>
            </w:r>
            <w:r>
              <w:rPr>
                <w:rFonts w:hint="eastAsia" w:ascii="宋体" w:hAnsi="宋体" w:eastAsia="宋体" w:cs="宋体"/>
                <w:i w:val="0"/>
                <w:iCs w:val="0"/>
                <w:color w:val="auto"/>
                <w:sz w:val="18"/>
                <w:szCs w:val="18"/>
                <w:highlight w:val="none"/>
                <w:u w:val="none"/>
                <w:lang w:val="en-US" w:eastAsia="zh-CN"/>
              </w:rPr>
              <w:t>。</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2"/>
        </w:numPr>
        <w:suppressLineNumbers w:val="0"/>
        <w:spacing w:before="0" w:beforeAutospacing="0" w:after="0" w:afterAutospacing="0"/>
        <w:ind w:left="-420" w:leftChars="0" w:right="0" w:rightChars="0" w:firstLine="420" w:firstLineChars="0"/>
        <w:jc w:val="lef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191.66</w:t>
      </w:r>
      <w:r>
        <w:rPr>
          <w:rFonts w:hint="eastAsia" w:ascii="仿宋" w:hAnsi="仿宋" w:eastAsia="仿宋"/>
          <w:sz w:val="32"/>
          <w:szCs w:val="32"/>
          <w:highlight w:val="none"/>
        </w:rPr>
        <w:t>万元，支出决算为169.11万元，完成年初预算的</w:t>
      </w:r>
      <w:r>
        <w:rPr>
          <w:rFonts w:hint="eastAsia" w:ascii="仿宋" w:hAnsi="仿宋" w:eastAsia="仿宋"/>
          <w:sz w:val="32"/>
          <w:szCs w:val="32"/>
          <w:highlight w:val="none"/>
          <w:lang w:val="en-US" w:eastAsia="zh-CN"/>
        </w:rPr>
        <w:t>88.23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原因是：2023年有调出教师，在职人员减少，年中退休人员有所增加，教职工住房公积金缴费实际支出比年初预算有所减少。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191.66</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default" w:ascii="宋体" w:hAnsi="宋体" w:eastAsia="宋体" w:cs="宋体"/>
                <w:i w:val="0"/>
                <w:iCs w:val="0"/>
                <w:color w:val="000000"/>
                <w:kern w:val="2"/>
                <w:sz w:val="18"/>
                <w:szCs w:val="18"/>
                <w:highlight w:val="none"/>
                <w:u w:val="none"/>
                <w:lang w:val="en-US" w:eastAsia="zh-CN" w:bidi="ar-SA"/>
              </w:rPr>
              <w:t>169.11</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88.23%</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教职工住房公积金缴费</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202</w:t>
            </w:r>
            <w:r>
              <w:rPr>
                <w:rFonts w:hint="eastAsia" w:ascii="宋体" w:hAnsi="宋体" w:eastAsia="宋体" w:cs="宋体"/>
                <w:i w:val="0"/>
                <w:iCs w:val="0"/>
                <w:color w:val="auto"/>
                <w:sz w:val="18"/>
                <w:szCs w:val="18"/>
                <w:highlight w:val="none"/>
                <w:u w:val="none"/>
                <w:lang w:val="en-US" w:eastAsia="zh-CN"/>
              </w:rPr>
              <w:t>3</w:t>
            </w:r>
            <w:r>
              <w:rPr>
                <w:rFonts w:hint="default" w:ascii="宋体" w:hAnsi="宋体" w:eastAsia="宋体" w:cs="宋体"/>
                <w:i w:val="0"/>
                <w:iCs w:val="0"/>
                <w:color w:val="auto"/>
                <w:sz w:val="18"/>
                <w:szCs w:val="18"/>
                <w:highlight w:val="none"/>
                <w:u w:val="none"/>
                <w:lang w:val="en-US" w:eastAsia="zh-CN"/>
              </w:rPr>
              <w:t>年中有调出教师，在职人员减少，年中退休人员有所增加</w:t>
            </w:r>
            <w:r>
              <w:rPr>
                <w:rFonts w:hint="eastAsia" w:ascii="宋体" w:hAnsi="宋体" w:eastAsia="宋体" w:cs="宋体"/>
                <w:i w:val="0"/>
                <w:iCs w:val="0"/>
                <w:color w:val="auto"/>
                <w:sz w:val="18"/>
                <w:szCs w:val="18"/>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191.66</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default" w:ascii="宋体" w:hAnsi="宋体" w:eastAsia="宋体" w:cs="宋体"/>
                <w:i w:val="0"/>
                <w:iCs w:val="0"/>
                <w:color w:val="000000"/>
                <w:kern w:val="2"/>
                <w:sz w:val="18"/>
                <w:szCs w:val="18"/>
                <w:highlight w:val="none"/>
                <w:u w:val="none"/>
                <w:lang w:val="en-US" w:eastAsia="zh-CN" w:bidi="ar-SA"/>
              </w:rPr>
              <w:t>169.11</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88.23%</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教职工住房公积金缴费</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202</w:t>
            </w:r>
            <w:r>
              <w:rPr>
                <w:rFonts w:hint="eastAsia" w:ascii="宋体" w:hAnsi="宋体" w:eastAsia="宋体" w:cs="宋体"/>
                <w:i w:val="0"/>
                <w:iCs w:val="0"/>
                <w:color w:val="auto"/>
                <w:sz w:val="18"/>
                <w:szCs w:val="18"/>
                <w:highlight w:val="none"/>
                <w:u w:val="none"/>
                <w:lang w:val="en-US" w:eastAsia="zh-CN"/>
              </w:rPr>
              <w:t>3</w:t>
            </w:r>
            <w:r>
              <w:rPr>
                <w:rFonts w:hint="default" w:ascii="宋体" w:hAnsi="宋体" w:eastAsia="宋体" w:cs="宋体"/>
                <w:i w:val="0"/>
                <w:iCs w:val="0"/>
                <w:color w:val="auto"/>
                <w:sz w:val="18"/>
                <w:szCs w:val="18"/>
                <w:highlight w:val="none"/>
                <w:u w:val="none"/>
                <w:lang w:val="en-US" w:eastAsia="zh-CN"/>
              </w:rPr>
              <w:t>年中有调出教师，在职人员减少，年中退休人员有所增加</w:t>
            </w:r>
            <w:r>
              <w:rPr>
                <w:rFonts w:hint="eastAsia" w:ascii="宋体" w:hAnsi="宋体" w:eastAsia="宋体" w:cs="宋体"/>
                <w:i w:val="0"/>
                <w:iCs w:val="0"/>
                <w:color w:val="auto"/>
                <w:sz w:val="18"/>
                <w:szCs w:val="18"/>
                <w:highlight w:val="none"/>
                <w:u w:val="none"/>
                <w:lang w:val="en-US" w:eastAsia="zh-CN"/>
              </w:rPr>
              <w:t>。</w:t>
            </w: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2"/>
        </w:numPr>
        <w:suppressLineNumbers w:val="0"/>
        <w:spacing w:before="0" w:beforeAutospacing="0" w:after="0" w:afterAutospacing="0"/>
        <w:ind w:left="-420" w:leftChars="0" w:right="0" w:rightChars="0" w:firstLine="420" w:firstLineChars="0"/>
        <w:jc w:val="lef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sz w:val="32"/>
          <w:szCs w:val="32"/>
          <w:highlight w:val="none"/>
        </w:rPr>
        <w:t>其他支出</w:t>
      </w:r>
      <w:r>
        <w:rPr>
          <w:rFonts w:hint="eastAsia" w:ascii="仿宋" w:hAnsi="仿宋" w:eastAsia="仿宋"/>
          <w:sz w:val="32"/>
          <w:szCs w:val="32"/>
          <w:highlight w:val="none"/>
          <w:lang w:val="en-US" w:eastAsia="zh-CN"/>
        </w:rPr>
        <w:t>以及</w:t>
      </w:r>
      <w:r>
        <w:rPr>
          <w:rFonts w:hint="eastAsia" w:ascii="仿宋" w:hAnsi="仿宋" w:eastAsia="仿宋"/>
          <w:sz w:val="32"/>
          <w:szCs w:val="32"/>
          <w:highlight w:val="none"/>
        </w:rPr>
        <w:t>教育事业的彩票公益金支出</w:t>
      </w:r>
      <w:r>
        <w:rPr>
          <w:rFonts w:ascii="仿宋" w:hAnsi="仿宋" w:eastAsia="仿宋"/>
          <w:sz w:val="32"/>
          <w:u w:color="auto"/>
        </w:rPr>
        <w:t>（</w:t>
      </w:r>
      <w:r>
        <w:rPr>
          <w:rFonts w:hint="eastAsia" w:ascii="仿宋" w:hAnsi="仿宋" w:eastAsia="仿宋"/>
          <w:sz w:val="32"/>
          <w:u w:color="auto"/>
        </w:rPr>
        <w:t>229</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1.89</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230.44</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其中用于教育事业的彩票公益金支出1.67万元，</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188.36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原因是：2023年初没有预算</w:t>
      </w:r>
      <w:r>
        <w:rPr>
          <w:rFonts w:hint="eastAsia" w:ascii="仿宋" w:hAnsi="仿宋" w:eastAsia="仿宋"/>
          <w:sz w:val="32"/>
          <w:szCs w:val="32"/>
          <w:highlight w:val="none"/>
        </w:rPr>
        <w:t>其他支出</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年</w:t>
      </w:r>
      <w:r>
        <w:rPr>
          <w:rFonts w:hint="eastAsia" w:ascii="仿宋" w:hAnsi="仿宋" w:eastAsia="仿宋"/>
          <w:color w:val="000000" w:themeColor="text1"/>
          <w:sz w:val="32"/>
          <w:szCs w:val="32"/>
          <w:highlight w:val="none"/>
          <w:lang w:val="en-US" w:eastAsia="zh-CN"/>
          <w14:textFill>
            <w14:solidFill>
              <w14:schemeClr w14:val="tx1"/>
            </w14:solidFill>
          </w14:textFill>
        </w:rPr>
        <w:t>中有所调整支出教育事业的</w:t>
      </w:r>
      <w:r>
        <w:rPr>
          <w:rFonts w:hint="eastAsia" w:ascii="仿宋" w:hAnsi="仿宋" w:eastAsia="仿宋"/>
          <w:sz w:val="32"/>
          <w:szCs w:val="32"/>
          <w:highlight w:val="none"/>
        </w:rPr>
        <w:t>其他支出</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2296004</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用于教育事业的彩票公益金支出</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1.89</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1.67</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88.36%</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 xml:space="preserve"> </w:t>
            </w:r>
            <w:r>
              <w:rPr>
                <w:rFonts w:hint="eastAsia" w:ascii="宋体" w:hAnsi="宋体" w:eastAsia="宋体" w:cs="宋体"/>
                <w:i w:val="0"/>
                <w:iCs w:val="0"/>
                <w:color w:val="auto"/>
                <w:sz w:val="18"/>
                <w:szCs w:val="18"/>
                <w:highlight w:val="none"/>
                <w:u w:val="none"/>
                <w:lang w:val="en-US" w:eastAsia="zh-CN"/>
              </w:rPr>
              <w:t>学校开展少年宫活活的费用</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202</w:t>
            </w:r>
            <w:r>
              <w:rPr>
                <w:rFonts w:hint="eastAsia" w:ascii="宋体" w:hAnsi="宋体" w:eastAsia="宋体" w:cs="宋体"/>
                <w:i w:val="0"/>
                <w:iCs w:val="0"/>
                <w:color w:val="auto"/>
                <w:sz w:val="18"/>
                <w:szCs w:val="18"/>
                <w:highlight w:val="none"/>
                <w:u w:val="none"/>
                <w:lang w:val="en-US" w:eastAsia="zh-CN"/>
              </w:rPr>
              <w:t>3</w:t>
            </w:r>
            <w:r>
              <w:rPr>
                <w:rFonts w:hint="default" w:ascii="宋体" w:hAnsi="宋体" w:eastAsia="宋体" w:cs="宋体"/>
                <w:i w:val="0"/>
                <w:iCs w:val="0"/>
                <w:color w:val="auto"/>
                <w:sz w:val="18"/>
                <w:szCs w:val="18"/>
                <w:highlight w:val="none"/>
                <w:u w:val="none"/>
                <w:lang w:val="en-US" w:eastAsia="zh-CN"/>
              </w:rPr>
              <w:t>年</w:t>
            </w:r>
            <w:r>
              <w:rPr>
                <w:rFonts w:hint="eastAsia" w:ascii="宋体" w:hAnsi="宋体" w:eastAsia="宋体" w:cs="宋体"/>
                <w:i w:val="0"/>
                <w:iCs w:val="0"/>
                <w:color w:val="auto"/>
                <w:sz w:val="18"/>
                <w:szCs w:val="18"/>
                <w:highlight w:val="none"/>
                <w:u w:val="none"/>
                <w:lang w:val="en-US" w:eastAsia="zh-CN"/>
              </w:rPr>
              <w:t>学生数减少，少年宫</w:t>
            </w:r>
            <w:r>
              <w:rPr>
                <w:rFonts w:hint="default" w:ascii="宋体" w:hAnsi="宋体" w:eastAsia="宋体" w:cs="宋体"/>
                <w:i w:val="0"/>
                <w:iCs w:val="0"/>
                <w:color w:val="auto"/>
                <w:sz w:val="18"/>
                <w:szCs w:val="18"/>
                <w:highlight w:val="none"/>
                <w:u w:val="none"/>
                <w:lang w:val="en-US" w:eastAsia="zh-CN"/>
              </w:rPr>
              <w:t>活动费用</w:t>
            </w:r>
            <w:r>
              <w:rPr>
                <w:rFonts w:hint="eastAsia" w:ascii="宋体" w:hAnsi="宋体" w:eastAsia="宋体" w:cs="宋体"/>
                <w:i w:val="0"/>
                <w:iCs w:val="0"/>
                <w:color w:val="auto"/>
                <w:sz w:val="18"/>
                <w:szCs w:val="18"/>
                <w:highlight w:val="none"/>
                <w:u w:val="none"/>
                <w:lang w:val="en-US" w:eastAsia="zh-CN"/>
              </w:rPr>
              <w:t>有所减少。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228.77</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教职工奖贴性补贴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此部分资金每年由上级部门做预算，直接下达，本部门无需预算。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1.89</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230.44</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35325"/>
            <wp:effectExtent l="4445" t="4445" r="16510" b="17780"/>
            <wp:docPr id="1"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2"/>
        </w:numPr>
        <w:suppressLineNumbers w:val="0"/>
        <w:spacing w:before="0" w:beforeAutospacing="0" w:after="0" w:afterAutospacing="0"/>
        <w:ind w:left="-420" w:leftChars="0" w:right="0" w:rightChars="0" w:firstLine="420" w:firstLineChars="0"/>
        <w:jc w:val="lef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auto"/>
          <w:kern w:val="2"/>
          <w:sz w:val="32"/>
          <w:szCs w:val="32"/>
          <w:highlight w:val="none"/>
          <w:lang w:val="en-US" w:eastAsia="zh-CN" w:bidi="ar"/>
        </w:rPr>
        <w:t>其他群众团体事务支出（201类）</w:t>
      </w:r>
      <w:r>
        <w:rPr>
          <w:rFonts w:hint="eastAsia" w:ascii="仿宋" w:hAnsi="仿宋" w:eastAsia="仿宋"/>
          <w:sz w:val="32"/>
          <w:szCs w:val="32"/>
          <w:highlight w:val="none"/>
        </w:rPr>
        <w:t>年初预算为</w:t>
      </w:r>
      <w:r>
        <w:rPr>
          <w:rFonts w:hint="eastAsia" w:ascii="仿宋" w:hAnsi="仿宋" w:eastAsia="仿宋" w:cs="仿宋"/>
          <w:color w:val="auto"/>
          <w:kern w:val="2"/>
          <w:sz w:val="32"/>
          <w:szCs w:val="32"/>
          <w:highlight w:val="none"/>
          <w:lang w:val="en-US" w:eastAsia="zh-CN" w:bidi="ar"/>
        </w:rPr>
        <w:t>30.64万元，</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30.64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无存有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 xml:space="preserve">  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30.64</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30.64</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教职工工会活动费用、慰问特困、重病、退休教师</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30.64</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30.64</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leftChars="0" w:right="0" w:rightChars="0"/>
        <w:jc w:val="lef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rPr>
        <w:drawing>
          <wp:inline distT="0" distB="0" distL="114300" distR="114300">
            <wp:extent cx="4474845" cy="2797175"/>
            <wp:effectExtent l="4445" t="4445" r="16510" b="17780"/>
            <wp:docPr id="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环江毛南族自治县水源镇中心小学202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2582.38</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其中：人员经费支出2551.74万元，公用经费支出30.64万元，</w:t>
      </w:r>
      <w:r>
        <w:rPr>
          <w:rFonts w:hint="eastAsia" w:ascii="仿宋" w:hAnsi="仿宋" w:eastAsia="仿宋" w:cs="仿宋"/>
          <w:sz w:val="32"/>
          <w:szCs w:val="32"/>
          <w:highlight w:val="none"/>
        </w:rPr>
        <w:t>支出具体情况如下：</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rPr>
        <w:t>2340.99</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11</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.05%</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2023年单位职工工资有所上调。</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724.33万元，30102津贴补贴164.63万元，30103奖金629.41万元，30106伙食补助费0万元，30107绩效工资325.39万元，30108机关事业单位基本养老保险缴费225.48万元，30110职工基本医疗保险缴费91.34万元，30112其他社会保障缴费11.31万元，30113住房公积金169.11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4177030"/>
            <wp:effectExtent l="4445" t="4445" r="16510" b="952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30.64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100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：30228</w:t>
      </w:r>
      <w:r>
        <w:rPr>
          <w:rFonts w:hint="eastAsia" w:ascii="仿宋" w:hAnsi="仿宋" w:eastAsia="仿宋" w:cs="仿宋"/>
          <w:sz w:val="32"/>
          <w:szCs w:val="32"/>
          <w:highlight w:val="none"/>
          <w:lang w:val="en-US" w:eastAsia="zh-CN"/>
        </w:rPr>
        <w:t>工会经费支出30.64万元。</w:t>
      </w:r>
    </w:p>
    <w:p>
      <w:pPr>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drawing>
          <wp:inline distT="0" distB="0" distL="114300" distR="114300">
            <wp:extent cx="4474845" cy="2284095"/>
            <wp:effectExtent l="4445" t="4445" r="16510" b="16510"/>
            <wp:docPr id="5"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rPr>
        <w:t>210.75</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194.19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主要原因是：本年度抚恤金支出以及乡村教师生活补助有所增加。</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 抚恤金40.26万元，30305生活补助170.48万元，30399 其他对个人和家庭的补助0.01万元。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本单位无债务。</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170045" cy="2016125"/>
            <wp:effectExtent l="4445" t="4445" r="16510" b="17780"/>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资本性支出</w:t>
      </w:r>
      <w:r>
        <w:rPr>
          <w:rFonts w:hint="eastAsia" w:ascii="仿宋" w:hAnsi="仿宋" w:eastAsia="仿宋" w:cs="仿宋"/>
          <w:sz w:val="32"/>
          <w:u w:color="auto"/>
          <w:lang w:val="en-US" w:eastAsia="zh-CN"/>
        </w:rPr>
        <w:t>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w:t>
      </w:r>
      <w:r>
        <w:rPr>
          <w:rFonts w:hint="eastAsia" w:ascii="仿宋" w:hAnsi="仿宋" w:eastAsia="仿宋" w:cs="仿宋"/>
          <w:sz w:val="32"/>
          <w:szCs w:val="32"/>
          <w:highlight w:val="none"/>
        </w:rPr>
        <w:t>资本性支出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也没有预算</w:t>
      </w:r>
      <w:r>
        <w:rPr>
          <w:rFonts w:hint="eastAsia" w:ascii="仿宋" w:hAnsi="仿宋" w:eastAsia="仿宋" w:cs="仿宋"/>
          <w:color w:val="auto"/>
          <w:kern w:val="2"/>
          <w:sz w:val="32"/>
          <w:szCs w:val="32"/>
          <w:highlight w:val="none"/>
          <w:lang w:val="en-US" w:eastAsia="zh-CN" w:bidi="ar"/>
        </w:rPr>
        <w:t>。</w:t>
      </w:r>
    </w:p>
    <w:p>
      <w:pPr>
        <w:jc w:val="left"/>
        <w:rPr>
          <w:rFonts w:ascii="黑体" w:hAnsi="黑体" w:eastAsia="黑体" w:cs="黑体"/>
          <w:sz w:val="32"/>
          <w:szCs w:val="32"/>
          <w:highlight w:val="none"/>
        </w:rPr>
      </w:pPr>
      <w:bookmarkStart w:id="4" w:name="PO_part3A5B1C1DiffReason1"/>
      <w:r>
        <w:rPr>
          <w:rFonts w:hint="eastAsia" w:ascii="黑体" w:hAnsi="黑体" w:eastAsia="黑体" w:cs="黑体"/>
          <w:sz w:val="32"/>
          <w:szCs w:val="32"/>
          <w:highlight w:val="none"/>
        </w:rPr>
        <w:t>四、2022年度政府性基金支出决算情况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环江毛南族自治县水源镇中心小学202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hint="eastAsia" w:ascii="仿宋" w:hAnsi="仿宋" w:eastAsia="仿宋" w:cs="仿宋"/>
          <w:sz w:val="32"/>
          <w:szCs w:val="32"/>
          <w:highlight w:val="none"/>
          <w:lang w:val="en-US" w:eastAsia="zh-CN"/>
        </w:rPr>
        <w:t>1.67</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0.7</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72.16</w:t>
      </w:r>
      <w:r>
        <w:rPr>
          <w:rFonts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1</w:t>
      </w:r>
      <w:r>
        <w:rPr>
          <w:rFonts w:ascii="仿宋" w:hAnsi="仿宋" w:eastAsia="仿宋" w:cs="仿宋"/>
          <w:sz w:val="32"/>
          <w:szCs w:val="32"/>
          <w:highlight w:val="none"/>
        </w:rPr>
        <w:t>.</w:t>
      </w:r>
      <w:r>
        <w:rPr>
          <w:rFonts w:hint="eastAsia" w:ascii="仿宋" w:hAnsi="仿宋" w:eastAsia="仿宋" w:cs="仿宋"/>
          <w:sz w:val="32"/>
          <w:szCs w:val="32"/>
          <w:highlight w:val="none"/>
          <w:lang w:val="en-US" w:eastAsia="zh-CN"/>
        </w:rPr>
        <w:t>67</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环江毛南族自治县水源镇中心小学202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hint="eastAsia" w:ascii="仿宋" w:hAnsi="仿宋" w:eastAsia="仿宋" w:cs="仿宋"/>
          <w:sz w:val="32"/>
          <w:szCs w:val="32"/>
          <w:highlight w:val="none"/>
          <w:lang w:val="en-US" w:eastAsia="zh-CN"/>
        </w:rPr>
        <w:t>1.89</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1.67</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88.36</w:t>
      </w:r>
      <w:r>
        <w:rPr>
          <w:rFonts w:ascii="仿宋" w:hAnsi="仿宋" w:eastAsia="仿宋" w:cs="仿宋"/>
          <w:sz w:val="32"/>
          <w:szCs w:val="32"/>
          <w:highlight w:val="none"/>
        </w:rPr>
        <w:t>%</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其他支出（类）</w:t>
      </w:r>
      <w:r>
        <w:rPr>
          <w:rFonts w:hint="eastAsia" w:ascii="仿宋" w:hAnsi="仿宋" w:eastAsia="仿宋" w:cs="仿宋"/>
          <w:sz w:val="32"/>
          <w:szCs w:val="32"/>
          <w:highlight w:val="none"/>
          <w:lang w:val="en-US" w:eastAsia="zh-CN"/>
        </w:rPr>
        <w:t>彩票公益金安排的支出</w:t>
      </w:r>
      <w:r>
        <w:rPr>
          <w:rFonts w:hint="eastAsia" w:ascii="仿宋" w:hAnsi="仿宋" w:eastAsia="仿宋" w:cs="仿宋"/>
          <w:sz w:val="32"/>
          <w:szCs w:val="32"/>
          <w:highlight w:val="none"/>
          <w:lang w:eastAsia="zh-CN"/>
        </w:rPr>
        <w:t>（款）</w:t>
      </w:r>
      <w:r>
        <w:rPr>
          <w:rFonts w:hint="eastAsia" w:ascii="仿宋" w:hAnsi="仿宋" w:eastAsia="仿宋" w:cs="仿宋"/>
          <w:sz w:val="32"/>
          <w:szCs w:val="32"/>
          <w:highlight w:val="none"/>
          <w:lang w:val="en-US" w:eastAsia="zh-CN"/>
        </w:rPr>
        <w:t>用于教育事业的彩票公益金支出</w:t>
      </w:r>
      <w:r>
        <w:rPr>
          <w:rFonts w:hint="eastAsia" w:ascii="仿宋" w:hAnsi="仿宋" w:eastAsia="仿宋" w:cs="仿宋"/>
          <w:sz w:val="32"/>
          <w:szCs w:val="32"/>
          <w:highlight w:val="none"/>
          <w:lang w:eastAsia="zh-CN"/>
        </w:rPr>
        <w:t>（项）年初预算为</w:t>
      </w:r>
      <w:r>
        <w:rPr>
          <w:rFonts w:hint="eastAsia" w:ascii="仿宋" w:hAnsi="仿宋" w:eastAsia="仿宋" w:cs="仿宋"/>
          <w:sz w:val="32"/>
          <w:szCs w:val="32"/>
          <w:highlight w:val="none"/>
          <w:lang w:val="en-US" w:eastAsia="zh-CN"/>
        </w:rPr>
        <w:t>1.89</w:t>
      </w:r>
      <w:r>
        <w:rPr>
          <w:rFonts w:hint="eastAsia" w:ascii="仿宋" w:hAnsi="仿宋" w:eastAsia="仿宋" w:cs="仿宋"/>
          <w:sz w:val="32"/>
          <w:szCs w:val="32"/>
          <w:highlight w:val="none"/>
          <w:lang w:eastAsia="zh-CN"/>
        </w:rPr>
        <w:t>万元，支出决算为</w:t>
      </w:r>
      <w:r>
        <w:rPr>
          <w:rFonts w:hint="eastAsia" w:ascii="仿宋" w:hAnsi="仿宋" w:eastAsia="仿宋" w:cs="仿宋"/>
          <w:sz w:val="32"/>
          <w:szCs w:val="32"/>
          <w:highlight w:val="none"/>
          <w:lang w:val="en-US" w:eastAsia="zh-CN"/>
        </w:rPr>
        <w:t>1.67</w:t>
      </w:r>
      <w:r>
        <w:rPr>
          <w:rFonts w:hint="eastAsia" w:ascii="仿宋" w:hAnsi="仿宋" w:eastAsia="仿宋" w:cs="仿宋"/>
          <w:sz w:val="32"/>
          <w:szCs w:val="32"/>
          <w:highlight w:val="none"/>
          <w:lang w:eastAsia="zh-CN"/>
        </w:rPr>
        <w:t>万元，完成年初预算的</w:t>
      </w:r>
      <w:r>
        <w:rPr>
          <w:rFonts w:hint="eastAsia" w:ascii="仿宋" w:hAnsi="仿宋" w:eastAsia="仿宋" w:cs="仿宋"/>
          <w:sz w:val="32"/>
          <w:szCs w:val="32"/>
          <w:highlight w:val="none"/>
          <w:lang w:val="en-US" w:eastAsia="zh-CN"/>
        </w:rPr>
        <w:t>88.36</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形成</w:t>
      </w:r>
      <w:r>
        <w:rPr>
          <w:rFonts w:hint="eastAsia" w:ascii="仿宋" w:hAnsi="仿宋" w:eastAsia="仿宋" w:cs="仿宋"/>
          <w:sz w:val="32"/>
          <w:szCs w:val="32"/>
          <w:highlight w:val="none"/>
          <w:lang w:eastAsia="zh-CN"/>
        </w:rPr>
        <w:t>预决算差异</w:t>
      </w:r>
      <w:r>
        <w:rPr>
          <w:rFonts w:hint="eastAsia" w:ascii="仿宋" w:hAnsi="仿宋" w:eastAsia="仿宋" w:cs="仿宋"/>
          <w:sz w:val="32"/>
          <w:szCs w:val="32"/>
          <w:highlight w:val="none"/>
          <w:lang w:val="en-US" w:eastAsia="zh-CN"/>
        </w:rPr>
        <w:t>原因是：2023年学生数减少，少年宫活动费用有所减少</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autoSpaceDE w:val="0"/>
        <w:autoSpaceDN w:val="0"/>
        <w:adjustRightIn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五、202</w:t>
      </w:r>
      <w:r>
        <w:rPr>
          <w:rFonts w:hint="eastAsia" w:ascii="Times New Roman" w:hAnsi="Times New Roman" w:eastAsia="黑体" w:cs="Times New Roman"/>
          <w:sz w:val="32"/>
          <w:szCs w:val="32"/>
          <w:lang w:val="en-US" w:eastAsia="zh-CN"/>
        </w:rPr>
        <w:t>3</w:t>
      </w:r>
      <w:r>
        <w:rPr>
          <w:rFonts w:ascii="Times New Roman" w:hAnsi="Times New Roman" w:eastAsia="黑体" w:cs="Times New Roman"/>
          <w:sz w:val="32"/>
          <w:szCs w:val="32"/>
        </w:rPr>
        <w:t>年度国有资本经营预算支出决算情况</w:t>
      </w:r>
    </w:p>
    <w:p>
      <w:pPr>
        <w:autoSpaceDE w:val="0"/>
        <w:autoSpaceDN w:val="0"/>
        <w:adjustRightInd w:val="0"/>
        <w:spacing w:line="560" w:lineRule="exact"/>
        <w:ind w:firstLine="640" w:firstLineChars="200"/>
        <w:rPr>
          <w:rFonts w:ascii="Times New Roman" w:hAnsi="Times New Roman" w:eastAsia="仿宋_GB2312" w:cs="Times New Roman"/>
          <w:sz w:val="32"/>
          <w:szCs w:val="32"/>
        </w:rPr>
      </w:pPr>
      <w:r>
        <w:rPr>
          <w:rFonts w:hint="eastAsia" w:ascii="仿宋" w:hAnsi="仿宋" w:eastAsia="仿宋" w:cs="仿宋"/>
          <w:sz w:val="32"/>
          <w:szCs w:val="32"/>
          <w:highlight w:val="none"/>
          <w:lang w:eastAsia="zh-CN"/>
        </w:rPr>
        <w:t>环江毛南族自治县水源镇中心小学</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 xml:space="preserve">年度国有资本经营预算支出 </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 xml:space="preserve">万元。其中：基本支出 </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 xml:space="preserve">万元，项目支出 </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60" w:lineRule="exact"/>
        <w:ind w:firstLine="640" w:firstLineChars="200"/>
        <w:rPr>
          <w:rFonts w:ascii="Times New Roman" w:hAnsi="Times New Roman" w:eastAsia="仿宋_GB2312" w:cs="Times New Roman"/>
          <w:sz w:val="32"/>
          <w:szCs w:val="32"/>
        </w:rPr>
      </w:pPr>
      <w:r>
        <w:rPr>
          <w:rFonts w:hint="eastAsia" w:ascii="仿宋" w:hAnsi="仿宋" w:eastAsia="仿宋" w:cs="仿宋"/>
          <w:sz w:val="32"/>
          <w:szCs w:val="32"/>
          <w:highlight w:val="none"/>
          <w:lang w:eastAsia="zh-CN"/>
        </w:rPr>
        <w:t>环江毛南族自治县水源镇中心小学</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年度国有资本经营预算支出年初预算为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 xml:space="preserve"> 万元，支出决算为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 xml:space="preserve">万元，完成年初预算的 </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 xml:space="preserve"> %。</w:t>
      </w:r>
    </w:p>
    <w:p>
      <w:pPr>
        <w:autoSpaceDE w:val="0"/>
        <w:autoSpaceDN w:val="0"/>
        <w:adjustRightIn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环江毛南族自治县水源镇中心小学</w:t>
      </w:r>
      <w:r>
        <w:rPr>
          <w:rFonts w:ascii="Times New Roman" w:hAnsi="Times New Roman" w:eastAsia="仿宋_GB2312" w:cs="Times New Roman"/>
          <w:sz w:val="32"/>
          <w:szCs w:val="32"/>
        </w:rPr>
        <w:t>没有国有资本经营预算收入，也没有国有资本经营预算收入</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highlight w:val="none"/>
          <w:lang w:val="en-US" w:eastAsia="zh-CN"/>
        </w:rPr>
        <w:t>也没有</w:t>
      </w:r>
      <w:r>
        <w:rPr>
          <w:rFonts w:ascii="Times New Roman" w:hAnsi="Times New Roman" w:eastAsia="仿宋_GB2312" w:cs="Times New Roman"/>
          <w:sz w:val="32"/>
          <w:szCs w:val="32"/>
        </w:rPr>
        <w:t>国有资本经营</w:t>
      </w:r>
      <w:r>
        <w:rPr>
          <w:rFonts w:hint="eastAsia" w:ascii="Times New Roman" w:hAnsi="Times New Roman" w:eastAsia="仿宋_GB2312" w:cs="Times New Roman"/>
          <w:sz w:val="32"/>
          <w:szCs w:val="32"/>
          <w:lang w:val="en-US" w:eastAsia="zh-CN"/>
        </w:rPr>
        <w:t>经费</w:t>
      </w:r>
      <w:r>
        <w:rPr>
          <w:rFonts w:hint="eastAsia" w:ascii="Times New Roman" w:hAnsi="Times New Roman" w:eastAsia="仿宋_GB2312" w:cs="Times New Roman"/>
          <w:sz w:val="32"/>
          <w:szCs w:val="32"/>
        </w:rPr>
        <w:t>安排的支出。</w:t>
      </w:r>
    </w:p>
    <w:bookmarkEnd w:id="4"/>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本部门2023年度没有一般公共预算财政拨款“三公”经费收入，也没有一般公共预算财政拨款“三公”经费安排的支出。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color w:val="FFFF00"/>
          <w:sz w:val="32"/>
          <w:szCs w:val="32"/>
          <w:highlight w:val="none"/>
        </w:rPr>
      </w:pPr>
      <w:r>
        <w:rPr>
          <w:rFonts w:hint="eastAsia" w:ascii="黑体" w:hAnsi="黑体" w:eastAsia="黑体" w:cs="黑体"/>
          <w:sz w:val="32"/>
          <w:szCs w:val="32"/>
          <w:highlight w:val="none"/>
        </w:rPr>
        <w:t xml:space="preserve">（一） </w:t>
      </w:r>
      <w:r>
        <w:rPr>
          <w:rFonts w:hint="eastAsia" w:ascii="黑体" w:hAnsi="黑体" w:eastAsia="黑体" w:cs="黑体"/>
          <w:color w:val="auto"/>
          <w:sz w:val="32"/>
          <w:szCs w:val="32"/>
          <w:highlight w:val="none"/>
          <w:lang w:val="en-US" w:eastAsia="zh-CN"/>
        </w:rPr>
        <w:t>机关</w:t>
      </w:r>
      <w:r>
        <w:rPr>
          <w:rFonts w:hint="eastAsia" w:ascii="黑体" w:hAnsi="黑体" w:eastAsia="黑体" w:cs="黑体"/>
          <w:color w:val="auto"/>
          <w:sz w:val="32"/>
          <w:szCs w:val="32"/>
          <w:highlight w:val="none"/>
        </w:rPr>
        <w:t>运行经费支出情况说明</w:t>
      </w:r>
    </w:p>
    <w:p>
      <w:pPr>
        <w:ind w:firstLine="964" w:firstLineChars="300"/>
        <w:jc w:val="left"/>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本部门无机关运行经费支出。</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widowControl/>
        <w:spacing w:line="560" w:lineRule="exact"/>
        <w:ind w:firstLine="964" w:firstLineChars="3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本部门无政府采购支出</w:t>
      </w:r>
      <w:r>
        <w:rPr>
          <w:rFonts w:hint="eastAsia" w:ascii="Times New Roman" w:hAnsi="Times New Roman" w:eastAsia="仿宋_GB2312" w:cs="Times New Roman"/>
          <w:b/>
          <w:bCs/>
          <w:kern w:val="0"/>
          <w:sz w:val="32"/>
          <w:szCs w:val="32"/>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w:t>
      </w:r>
      <w:r>
        <w:rPr>
          <w:rFonts w:hint="eastAsia" w:ascii="仿宋" w:hAnsi="仿宋" w:eastAsia="仿宋" w:cs="仿宋"/>
          <w:color w:val="000000" w:themeColor="text1"/>
          <w:sz w:val="32"/>
          <w:szCs w:val="32"/>
          <w:lang w:val="en-US" w:eastAsia="zh-CN"/>
          <w14:textFill>
            <w14:solidFill>
              <w14:schemeClr w14:val="tx1"/>
            </w14:solidFill>
          </w14:textFill>
        </w:rPr>
        <w:t>共25个项目全</w:t>
      </w: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项目，共涉及资金</w:t>
      </w:r>
      <w:r>
        <w:rPr>
          <w:rFonts w:hint="eastAsia" w:ascii="仿宋" w:hAnsi="仿宋" w:eastAsia="仿宋" w:cs="仿宋"/>
          <w:color w:val="000000" w:themeColor="text1"/>
          <w:sz w:val="32"/>
          <w:szCs w:val="32"/>
          <w:lang w:val="en-US" w:eastAsia="zh-CN"/>
          <w14:textFill>
            <w14:solidFill>
              <w14:schemeClr w14:val="tx1"/>
            </w14:solidFill>
          </w14:textFill>
        </w:rPr>
        <w:t>785.13</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90.77</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我单位</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25</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863.43</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1.52</w:t>
      </w:r>
      <w:r>
        <w:rPr>
          <w:rFonts w:hint="eastAsia" w:ascii="仿宋" w:hAnsi="仿宋" w:eastAsia="仿宋" w:cs="仿宋"/>
          <w:color w:val="000000" w:themeColor="text1"/>
          <w:sz w:val="32"/>
          <w:szCs w:val="32"/>
          <w14:textFill>
            <w14:solidFill>
              <w14:schemeClr w14:val="tx1"/>
            </w14:solidFill>
          </w14:textFill>
        </w:rPr>
        <w:t>万元。从评价情况来看，我们认为</w:t>
      </w:r>
      <w:r>
        <w:rPr>
          <w:rFonts w:hint="eastAsia" w:ascii="仿宋" w:hAnsi="仿宋" w:eastAsia="仿宋" w:cs="仿宋"/>
          <w:color w:val="000000" w:themeColor="text1"/>
          <w:sz w:val="32"/>
          <w:szCs w:val="32"/>
          <w:lang w:val="en-US" w:eastAsia="zh-CN"/>
          <w14:textFill>
            <w14:solidFill>
              <w14:schemeClr w14:val="tx1"/>
            </w14:solidFill>
          </w14:textFill>
        </w:rPr>
        <w:t>各</w:t>
      </w:r>
      <w:r>
        <w:rPr>
          <w:rFonts w:hint="eastAsia" w:ascii="仿宋" w:hAnsi="仿宋" w:eastAsia="仿宋" w:cs="仿宋"/>
          <w:color w:val="000000" w:themeColor="text1"/>
          <w:sz w:val="32"/>
          <w:szCs w:val="32"/>
          <w14:textFill>
            <w14:solidFill>
              <w14:schemeClr w14:val="tx1"/>
            </w14:solidFill>
          </w14:textFill>
        </w:rPr>
        <w:t>项目目标明确，组织管理到位，执行项目有力，资金管理规范，综合评价结果为优。</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我部门根据年初设定的绩效目标，班主任津贴项目自评得分为99.71分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年春</w:t>
      </w:r>
      <w:r>
        <w:rPr>
          <w:rFonts w:hint="eastAsia" w:ascii="仿宋" w:hAnsi="仿宋" w:eastAsia="仿宋" w:cs="仿宋"/>
          <w:color w:val="000000" w:themeColor="text1"/>
          <w:sz w:val="32"/>
          <w:szCs w:val="32"/>
          <w:lang w:val="en-US" w:eastAsia="zh-CN"/>
          <w14:textFill>
            <w14:solidFill>
              <w14:schemeClr w14:val="tx1"/>
            </w14:solidFill>
          </w14:textFill>
        </w:rPr>
        <w:t>秋</w:t>
      </w:r>
      <w:r>
        <w:rPr>
          <w:rFonts w:hint="eastAsia" w:ascii="仿宋" w:hAnsi="仿宋" w:eastAsia="仿宋" w:cs="仿宋"/>
          <w:color w:val="000000" w:themeColor="text1"/>
          <w:sz w:val="32"/>
          <w:szCs w:val="32"/>
          <w14:textFill>
            <w14:solidFill>
              <w14:schemeClr w14:val="tx1"/>
            </w14:solidFill>
          </w14:textFill>
        </w:rPr>
        <w:t>季学期班主任津贴已足额发放</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奖励性补贴项目自评得分为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分。教师节经费项目自评得分为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分。六一儿童节慰问金项目自评得分为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95</w:t>
      </w:r>
      <w:r>
        <w:rPr>
          <w:rFonts w:hint="eastAsia" w:ascii="仿宋" w:hAnsi="仿宋" w:eastAsia="仿宋" w:cs="仿宋"/>
          <w:color w:val="000000" w:themeColor="text1"/>
          <w:sz w:val="32"/>
          <w:szCs w:val="32"/>
          <w14:textFill>
            <w14:solidFill>
              <w14:schemeClr w14:val="tx1"/>
            </w14:solidFill>
          </w14:textFill>
        </w:rPr>
        <w:t>分。发现的主要问题及原因：因六一活动支付发票不得及时整理。下一步改进措施：六一儿童节慰问金已跟财政协商好这笔款将于2023年初支付完毕。全县校园安全保卫经费项目自评得分为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93.86</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支付发票不得及时整理，</w:t>
      </w:r>
      <w:r>
        <w:rPr>
          <w:rFonts w:hint="eastAsia" w:ascii="仿宋" w:hAnsi="仿宋" w:eastAsia="仿宋" w:cs="仿宋"/>
          <w:color w:val="000000" w:themeColor="text1"/>
          <w:sz w:val="32"/>
          <w:szCs w:val="32"/>
          <w14:textFill>
            <w14:solidFill>
              <w14:schemeClr w14:val="tx1"/>
            </w14:solidFill>
          </w14:textFill>
        </w:rPr>
        <w:t>已支付</w:t>
      </w:r>
      <w:r>
        <w:rPr>
          <w:rFonts w:hint="eastAsia" w:ascii="仿宋" w:hAnsi="仿宋" w:eastAsia="仿宋" w:cs="仿宋"/>
          <w:color w:val="000000" w:themeColor="text1"/>
          <w:sz w:val="32"/>
          <w:szCs w:val="32"/>
          <w:lang w:val="en-US" w:eastAsia="zh-CN"/>
          <w14:textFill>
            <w14:solidFill>
              <w14:schemeClr w14:val="tx1"/>
            </w14:solidFill>
          </w14:textFill>
        </w:rPr>
        <w:t>38.64</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下一步改进措施：余下部分按一学期结束再支付，将于202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年初支付。全县校长绩效工资项目自评得分为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分。食堂钟点工补贴资金项目自评得分为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分。中央专项彩票公益金支持乡村学校少年宫经费项目自评得分为94.06分已支付</w:t>
      </w:r>
      <w:r>
        <w:rPr>
          <w:rFonts w:hint="eastAsia" w:ascii="仿宋" w:hAnsi="仿宋" w:eastAsia="仿宋" w:cs="仿宋"/>
          <w:color w:val="000000" w:themeColor="text1"/>
          <w:sz w:val="32"/>
          <w:szCs w:val="32"/>
          <w:lang w:val="en-US" w:eastAsia="zh-CN"/>
          <w14:textFill>
            <w14:solidFill>
              <w14:schemeClr w14:val="tx1"/>
            </w14:solidFill>
          </w14:textFill>
        </w:rPr>
        <w:t>70.34</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发现的主要问题及原因：因</w:t>
      </w:r>
      <w:r>
        <w:rPr>
          <w:rFonts w:hint="eastAsia" w:ascii="仿宋" w:hAnsi="仿宋" w:eastAsia="仿宋" w:cs="仿宋"/>
          <w:color w:val="000000" w:themeColor="text1"/>
          <w:sz w:val="32"/>
          <w:szCs w:val="32"/>
          <w:lang w:val="en-US" w:eastAsia="zh-CN"/>
          <w14:textFill>
            <w14:solidFill>
              <w14:schemeClr w14:val="tx1"/>
            </w14:solidFill>
          </w14:textFill>
        </w:rPr>
        <w:t>少年宫活动费用</w:t>
      </w:r>
      <w:r>
        <w:rPr>
          <w:rFonts w:hint="eastAsia" w:ascii="仿宋" w:hAnsi="仿宋" w:eastAsia="仿宋" w:cs="仿宋"/>
          <w:color w:val="000000" w:themeColor="text1"/>
          <w:sz w:val="32"/>
          <w:szCs w:val="32"/>
          <w14:textFill>
            <w14:solidFill>
              <w14:schemeClr w14:val="tx1"/>
            </w14:solidFill>
          </w14:textFill>
        </w:rPr>
        <w:t>发票不及时整理。下一步改进措施：已跟财政协商好少年宫经费这笔款将于202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年初支付完毕。水源镇中心小学2022年年初预算经费(行政办公务费)项目自评得分为98.14分。发现的主要问题及原因：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学校采购办公发票材料以及差旅材料不及时整理。</w:t>
      </w:r>
      <w:r>
        <w:rPr>
          <w:rFonts w:hint="eastAsia" w:ascii="仿宋" w:hAnsi="仿宋" w:eastAsia="仿宋" w:cs="仿宋"/>
          <w:color w:val="000000" w:themeColor="text1"/>
          <w:sz w:val="32"/>
          <w:szCs w:val="32"/>
          <w14:textFill>
            <w14:solidFill>
              <w14:schemeClr w14:val="tx1"/>
            </w14:solidFill>
          </w14:textFill>
        </w:rPr>
        <w:t>下一步改进措施：积极与财政沟通，该项目经费未支付部分于下一年度完成支付。往后年度按时完成上级下达的指标支付。党建工作经费项目自评得分为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90</w:t>
      </w:r>
      <w:r>
        <w:rPr>
          <w:rFonts w:hint="eastAsia" w:ascii="仿宋" w:hAnsi="仿宋" w:eastAsia="仿宋" w:cs="仿宋"/>
          <w:color w:val="000000" w:themeColor="text1"/>
          <w:sz w:val="32"/>
          <w:szCs w:val="32"/>
          <w14:textFill>
            <w14:solidFill>
              <w14:schemeClr w14:val="tx1"/>
            </w14:solidFill>
          </w14:textFill>
        </w:rPr>
        <w:t>分。发现的主要问题及原因：因</w:t>
      </w:r>
      <w:r>
        <w:rPr>
          <w:rFonts w:hint="eastAsia" w:ascii="仿宋" w:hAnsi="仿宋" w:eastAsia="仿宋" w:cs="仿宋"/>
          <w:color w:val="000000" w:themeColor="text1"/>
          <w:sz w:val="32"/>
          <w:szCs w:val="32"/>
          <w:lang w:val="en-US" w:eastAsia="zh-CN"/>
          <w14:textFill>
            <w14:solidFill>
              <w14:schemeClr w14:val="tx1"/>
            </w14:solidFill>
          </w14:textFill>
        </w:rPr>
        <w:t>党建</w:t>
      </w:r>
      <w:r>
        <w:rPr>
          <w:rFonts w:hint="eastAsia" w:ascii="仿宋" w:hAnsi="仿宋" w:eastAsia="仿宋" w:cs="仿宋"/>
          <w:color w:val="000000" w:themeColor="text1"/>
          <w:sz w:val="32"/>
          <w:szCs w:val="32"/>
          <w14:textFill>
            <w14:solidFill>
              <w14:schemeClr w14:val="tx1"/>
            </w14:solidFill>
          </w14:textFill>
        </w:rPr>
        <w:t>活动支付发票</w:t>
      </w:r>
      <w:r>
        <w:rPr>
          <w:rFonts w:hint="eastAsia" w:ascii="仿宋" w:hAnsi="仿宋" w:eastAsia="仿宋" w:cs="仿宋"/>
          <w:color w:val="000000" w:themeColor="text1"/>
          <w:sz w:val="32"/>
          <w:szCs w:val="32"/>
          <w:lang w:val="en-US" w:eastAsia="zh-CN"/>
          <w14:textFill>
            <w14:solidFill>
              <w14:schemeClr w14:val="tx1"/>
            </w14:solidFill>
          </w14:textFill>
        </w:rPr>
        <w:t>材料</w:t>
      </w:r>
      <w:r>
        <w:rPr>
          <w:rFonts w:hint="eastAsia" w:ascii="仿宋" w:hAnsi="仿宋" w:eastAsia="仿宋" w:cs="仿宋"/>
          <w:color w:val="000000" w:themeColor="text1"/>
          <w:sz w:val="32"/>
          <w:szCs w:val="32"/>
          <w14:textFill>
            <w14:solidFill>
              <w14:schemeClr w14:val="tx1"/>
            </w14:solidFill>
          </w14:textFill>
        </w:rPr>
        <w:t>不得及时整理。下一步改进措施：党建工作经费已跟财政协商好这笔款将于202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年初支付完毕。公用经费（特教）中央补助项目自评得分为</w:t>
      </w:r>
      <w:r>
        <w:rPr>
          <w:rFonts w:hint="eastAsia" w:ascii="仿宋" w:hAnsi="仿宋" w:eastAsia="仿宋" w:cs="仿宋"/>
          <w:color w:val="000000" w:themeColor="text1"/>
          <w:sz w:val="32"/>
          <w:szCs w:val="32"/>
          <w:lang w:val="en-US" w:eastAsia="zh-CN"/>
          <w14:textFill>
            <w14:solidFill>
              <w14:schemeClr w14:val="tx1"/>
            </w14:solidFill>
          </w14:textFill>
        </w:rPr>
        <w:t>91.42</w:t>
      </w:r>
      <w:r>
        <w:rPr>
          <w:rFonts w:hint="eastAsia" w:ascii="仿宋" w:hAnsi="仿宋" w:eastAsia="仿宋" w:cs="仿宋"/>
          <w:color w:val="000000" w:themeColor="text1"/>
          <w:sz w:val="32"/>
          <w:szCs w:val="32"/>
          <w14:textFill>
            <w14:solidFill>
              <w14:schemeClr w14:val="tx1"/>
            </w14:solidFill>
          </w14:textFill>
        </w:rPr>
        <w:t>分。发现的主要问题及原因：特教</w:t>
      </w:r>
      <w:r>
        <w:rPr>
          <w:rFonts w:hint="eastAsia" w:ascii="仿宋" w:hAnsi="仿宋" w:eastAsia="仿宋" w:cs="仿宋"/>
          <w:color w:val="000000" w:themeColor="text1"/>
          <w:sz w:val="32"/>
          <w:szCs w:val="32"/>
          <w:lang w:val="en-US" w:eastAsia="zh-CN"/>
          <w14:textFill>
            <w14:solidFill>
              <w14:schemeClr w14:val="tx1"/>
            </w14:solidFill>
          </w14:textFill>
        </w:rPr>
        <w:t>费用的发票不及时整理</w:t>
      </w:r>
      <w:r>
        <w:rPr>
          <w:rFonts w:hint="eastAsia" w:ascii="仿宋" w:hAnsi="仿宋" w:eastAsia="仿宋" w:cs="仿宋"/>
          <w:color w:val="000000" w:themeColor="text1"/>
          <w:sz w:val="32"/>
          <w:szCs w:val="32"/>
          <w14:textFill>
            <w14:solidFill>
              <w14:schemeClr w14:val="tx1"/>
            </w14:solidFill>
          </w14:textFill>
        </w:rPr>
        <w:t>，没有及时报账。下一步改进措施：余下部分按一学期结束再支付，将于202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年初支付</w:t>
      </w:r>
      <w:r>
        <w:rPr>
          <w:rFonts w:hint="eastAsia" w:ascii="仿宋" w:hAnsi="仿宋" w:eastAsia="仿宋" w:cs="仿宋"/>
          <w:color w:val="000000" w:themeColor="text1"/>
          <w:sz w:val="32"/>
          <w:szCs w:val="32"/>
          <w:lang w:val="en-US" w:eastAsia="zh-CN"/>
          <w14:textFill>
            <w14:solidFill>
              <w14:schemeClr w14:val="tx1"/>
            </w14:solidFill>
          </w14:textFill>
        </w:rPr>
        <w:t>完毕</w:t>
      </w:r>
      <w:r>
        <w:rPr>
          <w:rFonts w:hint="eastAsia" w:ascii="仿宋" w:hAnsi="仿宋" w:eastAsia="仿宋" w:cs="仿宋"/>
          <w:color w:val="000000" w:themeColor="text1"/>
          <w:sz w:val="32"/>
          <w:szCs w:val="32"/>
          <w14:textFill>
            <w14:solidFill>
              <w14:schemeClr w14:val="tx1"/>
            </w14:solidFill>
          </w14:textFill>
        </w:rPr>
        <w:t>。基础性绩效工资增量事业项目自评得分为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分。奖励性补贴(非三保)项目自评得分为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分。水源镇中心小学年初预算经费(门面租金)项目自评得分为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91.3</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学校维修支付发票不得及时整理</w:t>
      </w:r>
      <w:r>
        <w:rPr>
          <w:rFonts w:hint="eastAsia" w:ascii="仿宋" w:hAnsi="仿宋" w:eastAsia="仿宋" w:cs="仿宋"/>
          <w:color w:val="000000" w:themeColor="text1"/>
          <w:sz w:val="32"/>
          <w:szCs w:val="32"/>
          <w14:textFill>
            <w14:solidFill>
              <w14:schemeClr w14:val="tx1"/>
            </w14:solidFill>
          </w14:textFill>
        </w:rPr>
        <w:t>。下一步改进措施：积极与财政沟通，该项目经费未支付部分于下一年度完成支付。水源镇中心小学年初预算经费(行政办公务费)项目自评得分为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90</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支付发票不得及时整理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下一步改进措施：积极与财政沟通，该项目经费未支付部分于下一年度完成支付。特岗教师工资项目自评得分为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分。乡村教师生活补助县级补助资金项目自评得分为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分。一次性抚恤金项目自评得分为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分。义务教育阶段家庭经济困难学生生活县级补助资金项目自评得分为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分。义务教育阶段家庭经济困难学生生活中央补助资金项目自评得分为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义务教育阶段家庭经济困难学生生活自治区补助资金项目自评得分为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分。义务教育中央级公用经费项目自评得分为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98.76</w:t>
      </w:r>
      <w:r>
        <w:rPr>
          <w:rFonts w:hint="eastAsia" w:ascii="仿宋" w:hAnsi="仿宋" w:eastAsia="仿宋" w:cs="仿宋"/>
          <w:color w:val="000000" w:themeColor="text1"/>
          <w:sz w:val="32"/>
          <w:szCs w:val="32"/>
          <w14:textFill>
            <w14:solidFill>
              <w14:schemeClr w14:val="tx1"/>
            </w14:solidFill>
          </w14:textFill>
        </w:rPr>
        <w:t>分。已支付</w:t>
      </w:r>
      <w:r>
        <w:rPr>
          <w:rFonts w:hint="eastAsia" w:ascii="仿宋" w:hAnsi="仿宋" w:eastAsia="仿宋" w:cs="仿宋"/>
          <w:color w:val="000000" w:themeColor="text1"/>
          <w:sz w:val="32"/>
          <w:szCs w:val="32"/>
          <w:lang w:val="en-US" w:eastAsia="zh-CN"/>
          <w14:textFill>
            <w14:solidFill>
              <w14:schemeClr w14:val="tx1"/>
            </w14:solidFill>
          </w14:textFill>
        </w:rPr>
        <w:t>87.58</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发现的主要问题及原因：不少项目已经交易，但没有及时报账，没有支付给老板。下一步改进措施：202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年已向财政申请拨回使用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保障了学校教学正常运转。营养改善计划膳食补助资金项目自评得分为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98.38</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营养餐支付发票不得及时整理，</w:t>
      </w:r>
      <w:r>
        <w:rPr>
          <w:rFonts w:hint="eastAsia" w:ascii="仿宋" w:hAnsi="仿宋" w:eastAsia="仿宋" w:cs="仿宋"/>
          <w:color w:val="000000" w:themeColor="text1"/>
          <w:sz w:val="32"/>
          <w:szCs w:val="32"/>
          <w14:textFill>
            <w14:solidFill>
              <w14:schemeClr w14:val="tx1"/>
            </w14:solidFill>
          </w14:textFill>
        </w:rPr>
        <w:t>已支付</w:t>
      </w:r>
      <w:r>
        <w:rPr>
          <w:rFonts w:hint="eastAsia" w:ascii="仿宋" w:hAnsi="仿宋" w:eastAsia="仿宋" w:cs="仿宋"/>
          <w:color w:val="000000" w:themeColor="text1"/>
          <w:sz w:val="32"/>
          <w:szCs w:val="32"/>
          <w:lang w:val="en-US" w:eastAsia="zh-CN"/>
          <w14:textFill>
            <w14:solidFill>
              <w14:schemeClr w14:val="tx1"/>
            </w14:solidFill>
          </w14:textFill>
        </w:rPr>
        <w:t>83.82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下一步改进措施：余下部分按一学期结束再支付，将于202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年初支付。自治区公用经费项目自评得分为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93.48</w:t>
      </w:r>
      <w:r>
        <w:rPr>
          <w:rFonts w:hint="eastAsia" w:ascii="仿宋" w:hAnsi="仿宋" w:eastAsia="仿宋" w:cs="仿宋"/>
          <w:color w:val="000000" w:themeColor="text1"/>
          <w:sz w:val="32"/>
          <w:szCs w:val="32"/>
          <w14:textFill>
            <w14:solidFill>
              <w14:schemeClr w14:val="tx1"/>
            </w14:solidFill>
          </w14:textFill>
        </w:rPr>
        <w:t>分。发现的主要问题及原因：不少</w:t>
      </w:r>
      <w:r>
        <w:rPr>
          <w:rFonts w:hint="eastAsia" w:ascii="仿宋" w:hAnsi="仿宋" w:eastAsia="仿宋" w:cs="仿宋"/>
          <w:color w:val="000000" w:themeColor="text1"/>
          <w:sz w:val="32"/>
          <w:szCs w:val="32"/>
          <w:lang w:val="en-US" w:eastAsia="zh-CN"/>
          <w14:textFill>
            <w14:solidFill>
              <w14:schemeClr w14:val="tx1"/>
            </w14:solidFill>
          </w14:textFill>
        </w:rPr>
        <w:t>办公费用发票不及时整理</w:t>
      </w:r>
      <w:r>
        <w:rPr>
          <w:rFonts w:hint="eastAsia" w:ascii="仿宋" w:hAnsi="仿宋" w:eastAsia="仿宋" w:cs="仿宋"/>
          <w:color w:val="000000" w:themeColor="text1"/>
          <w:sz w:val="32"/>
          <w:szCs w:val="32"/>
          <w14:textFill>
            <w14:solidFill>
              <w14:schemeClr w14:val="tx1"/>
            </w14:solidFill>
          </w14:textFill>
        </w:rPr>
        <w:t>，没有及时报账。下一步改进措施：202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年已向财政申请拨回使用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保障了学校教学正常运转。自治区级乡村教师生活补助项目自评得分为</w:t>
      </w:r>
      <w:r>
        <w:rPr>
          <w:rFonts w:hint="eastAsia" w:ascii="仿宋" w:hAnsi="仿宋" w:eastAsia="仿宋" w:cs="仿宋"/>
          <w:color w:val="000000" w:themeColor="text1"/>
          <w:sz w:val="32"/>
          <w:szCs w:val="32"/>
          <w:lang w:val="en-US" w:eastAsia="zh-CN"/>
          <w14:textFill>
            <w14:solidFill>
              <w14:schemeClr w14:val="tx1"/>
            </w14:solidFill>
          </w14:textFill>
        </w:rPr>
        <w:t>98.5</w:t>
      </w:r>
      <w:r>
        <w:rPr>
          <w:rFonts w:hint="eastAsia" w:ascii="仿宋" w:hAnsi="仿宋" w:eastAsia="仿宋" w:cs="仿宋"/>
          <w:color w:val="000000" w:themeColor="text1"/>
          <w:sz w:val="32"/>
          <w:szCs w:val="32"/>
          <w14:textFill>
            <w14:solidFill>
              <w14:schemeClr w14:val="tx1"/>
            </w14:solidFill>
          </w14:textFill>
        </w:rPr>
        <w:t>分。发现的主要问题及原因：水源镇中心小学严格按照相关文件要求，但因202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中有几个退休教师</w:t>
      </w:r>
      <w:r>
        <w:rPr>
          <w:rFonts w:hint="eastAsia" w:ascii="仿宋" w:hAnsi="仿宋" w:eastAsia="仿宋" w:cs="仿宋"/>
          <w:color w:val="000000" w:themeColor="text1"/>
          <w:sz w:val="32"/>
          <w:szCs w:val="32"/>
          <w14:textFill>
            <w14:solidFill>
              <w14:schemeClr w14:val="tx1"/>
            </w14:solidFill>
          </w14:textFill>
        </w:rPr>
        <w:t>，所以202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年该项目预算执行率达</w:t>
      </w:r>
      <w:r>
        <w:rPr>
          <w:rFonts w:hint="eastAsia" w:ascii="仿宋" w:hAnsi="仿宋" w:eastAsia="仿宋" w:cs="仿宋"/>
          <w:color w:val="000000" w:themeColor="text1"/>
          <w:sz w:val="32"/>
          <w:szCs w:val="32"/>
          <w:lang w:val="en-US" w:eastAsia="zh-CN"/>
          <w14:textFill>
            <w14:solidFill>
              <w14:schemeClr w14:val="tx1"/>
            </w14:solidFill>
          </w14:textFill>
        </w:rPr>
        <w:t>98.5</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后附表：《2023年环江毛南族自治县水源镇中心小学</w:t>
      </w:r>
      <w:r>
        <w:rPr>
          <w:rFonts w:hint="eastAsia" w:ascii="仿宋" w:hAnsi="仿宋" w:eastAsia="仿宋" w:cs="仿宋"/>
          <w:color w:val="auto"/>
          <w:sz w:val="32"/>
          <w:szCs w:val="32"/>
        </w:rPr>
        <w:t>项目支出绩效自评表》。</w:t>
      </w: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河池市财政部门当年拨付的资金。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420" w:firstLine="420"/>
      </w:pPr>
      <w:rPr>
        <w:rFonts w:hint="eastAsia"/>
        <w:color w:val="auto"/>
        <w:sz w:val="32"/>
        <w:szCs w:val="32"/>
      </w:rPr>
    </w:lvl>
  </w:abstractNum>
  <w:abstractNum w:abstractNumId="1">
    <w:nsid w:val="C898EB9C"/>
    <w:multiLevelType w:val="singleLevel"/>
    <w:tmpl w:val="C898EB9C"/>
    <w:lvl w:ilvl="0" w:tentative="0">
      <w:start w:val="1"/>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wNmU3ZjRiZGNmMTE2M2Y2ZWJjMmJhMmQ1MGI4M2I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74627"/>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31C43C2"/>
    <w:rsid w:val="03BF7419"/>
    <w:rsid w:val="04E54546"/>
    <w:rsid w:val="04F62757"/>
    <w:rsid w:val="0526590B"/>
    <w:rsid w:val="05992762"/>
    <w:rsid w:val="06DA7DFB"/>
    <w:rsid w:val="07B0770E"/>
    <w:rsid w:val="0942143F"/>
    <w:rsid w:val="09C920A2"/>
    <w:rsid w:val="0BCB0A0C"/>
    <w:rsid w:val="0D100297"/>
    <w:rsid w:val="0D202B45"/>
    <w:rsid w:val="0EC47662"/>
    <w:rsid w:val="0F495E5D"/>
    <w:rsid w:val="0F8D4C87"/>
    <w:rsid w:val="10505FAA"/>
    <w:rsid w:val="105F7E7E"/>
    <w:rsid w:val="10F8330C"/>
    <w:rsid w:val="11E56B5B"/>
    <w:rsid w:val="125C77AB"/>
    <w:rsid w:val="13151908"/>
    <w:rsid w:val="13820E14"/>
    <w:rsid w:val="14721C87"/>
    <w:rsid w:val="14CB726E"/>
    <w:rsid w:val="16D232A8"/>
    <w:rsid w:val="17C208AF"/>
    <w:rsid w:val="17E92249"/>
    <w:rsid w:val="183C162D"/>
    <w:rsid w:val="18A13DE0"/>
    <w:rsid w:val="18D304F1"/>
    <w:rsid w:val="19F32577"/>
    <w:rsid w:val="19F45B80"/>
    <w:rsid w:val="1B0C078D"/>
    <w:rsid w:val="1B2B31E2"/>
    <w:rsid w:val="1B4C295A"/>
    <w:rsid w:val="1B67087C"/>
    <w:rsid w:val="1B901A54"/>
    <w:rsid w:val="1B973C63"/>
    <w:rsid w:val="1BA1001E"/>
    <w:rsid w:val="1CD970FD"/>
    <w:rsid w:val="1D317259"/>
    <w:rsid w:val="1D762A54"/>
    <w:rsid w:val="1DB617F9"/>
    <w:rsid w:val="1E531C30"/>
    <w:rsid w:val="1E664F5B"/>
    <w:rsid w:val="1EB34BE1"/>
    <w:rsid w:val="1F1178DA"/>
    <w:rsid w:val="1FC12569"/>
    <w:rsid w:val="215E639F"/>
    <w:rsid w:val="21EC3183"/>
    <w:rsid w:val="225E72CD"/>
    <w:rsid w:val="228063E8"/>
    <w:rsid w:val="2451033D"/>
    <w:rsid w:val="245B49D0"/>
    <w:rsid w:val="246E2F77"/>
    <w:rsid w:val="254B4E2B"/>
    <w:rsid w:val="25D16D75"/>
    <w:rsid w:val="279573F5"/>
    <w:rsid w:val="283D7C94"/>
    <w:rsid w:val="29480E03"/>
    <w:rsid w:val="29692900"/>
    <w:rsid w:val="2983634D"/>
    <w:rsid w:val="29AE54BD"/>
    <w:rsid w:val="2B1F3431"/>
    <w:rsid w:val="2BB02055"/>
    <w:rsid w:val="2C575A56"/>
    <w:rsid w:val="2C785045"/>
    <w:rsid w:val="2CB1353E"/>
    <w:rsid w:val="2DC545CD"/>
    <w:rsid w:val="2F257714"/>
    <w:rsid w:val="2F3275E5"/>
    <w:rsid w:val="30AA08EF"/>
    <w:rsid w:val="30D23D1C"/>
    <w:rsid w:val="31221CF5"/>
    <w:rsid w:val="31400178"/>
    <w:rsid w:val="321E3342"/>
    <w:rsid w:val="324059AE"/>
    <w:rsid w:val="327759C8"/>
    <w:rsid w:val="33185FE3"/>
    <w:rsid w:val="33F02472"/>
    <w:rsid w:val="34EE2E36"/>
    <w:rsid w:val="35983713"/>
    <w:rsid w:val="36777241"/>
    <w:rsid w:val="38A951DB"/>
    <w:rsid w:val="38B31605"/>
    <w:rsid w:val="39003F4F"/>
    <w:rsid w:val="3A290D39"/>
    <w:rsid w:val="3B300657"/>
    <w:rsid w:val="3BDA700C"/>
    <w:rsid w:val="3C07002B"/>
    <w:rsid w:val="3D0D152A"/>
    <w:rsid w:val="3DF52681"/>
    <w:rsid w:val="3DF62756"/>
    <w:rsid w:val="3E570F2A"/>
    <w:rsid w:val="3E5B28EE"/>
    <w:rsid w:val="3F1B7587"/>
    <w:rsid w:val="403261BA"/>
    <w:rsid w:val="41E57B4F"/>
    <w:rsid w:val="432F26F6"/>
    <w:rsid w:val="43341CCA"/>
    <w:rsid w:val="43880F63"/>
    <w:rsid w:val="441C5A6F"/>
    <w:rsid w:val="44C44FCC"/>
    <w:rsid w:val="44CC7369"/>
    <w:rsid w:val="450F2542"/>
    <w:rsid w:val="457F5108"/>
    <w:rsid w:val="46034E02"/>
    <w:rsid w:val="46951B6B"/>
    <w:rsid w:val="47DF6624"/>
    <w:rsid w:val="4977185E"/>
    <w:rsid w:val="49A34401"/>
    <w:rsid w:val="49D7416D"/>
    <w:rsid w:val="4A3E30AB"/>
    <w:rsid w:val="4AC14DAC"/>
    <w:rsid w:val="4D154C85"/>
    <w:rsid w:val="4D8B64EC"/>
    <w:rsid w:val="4EC8553A"/>
    <w:rsid w:val="500C70D4"/>
    <w:rsid w:val="50190A40"/>
    <w:rsid w:val="508F4E24"/>
    <w:rsid w:val="51461E90"/>
    <w:rsid w:val="51463753"/>
    <w:rsid w:val="5217029D"/>
    <w:rsid w:val="52553A93"/>
    <w:rsid w:val="527D6342"/>
    <w:rsid w:val="53521F8B"/>
    <w:rsid w:val="53DC7D3D"/>
    <w:rsid w:val="53E22F47"/>
    <w:rsid w:val="54522FF8"/>
    <w:rsid w:val="549C1EE1"/>
    <w:rsid w:val="54FE5E6C"/>
    <w:rsid w:val="55450629"/>
    <w:rsid w:val="55F847C8"/>
    <w:rsid w:val="56692963"/>
    <w:rsid w:val="568B0F48"/>
    <w:rsid w:val="5786217B"/>
    <w:rsid w:val="59337A15"/>
    <w:rsid w:val="59810274"/>
    <w:rsid w:val="59CF31E2"/>
    <w:rsid w:val="5AE11FC3"/>
    <w:rsid w:val="5B4B595C"/>
    <w:rsid w:val="5BA45629"/>
    <w:rsid w:val="5BB90D8B"/>
    <w:rsid w:val="5CA96A00"/>
    <w:rsid w:val="5CD731D8"/>
    <w:rsid w:val="5CF730BC"/>
    <w:rsid w:val="5E5F0DCE"/>
    <w:rsid w:val="5F9E4C52"/>
    <w:rsid w:val="5FA40A7B"/>
    <w:rsid w:val="5FD56D29"/>
    <w:rsid w:val="5FEC7F3F"/>
    <w:rsid w:val="600B47B7"/>
    <w:rsid w:val="607C3FDC"/>
    <w:rsid w:val="60F74BC3"/>
    <w:rsid w:val="617D3BF8"/>
    <w:rsid w:val="61841F6A"/>
    <w:rsid w:val="623007A9"/>
    <w:rsid w:val="627D36D3"/>
    <w:rsid w:val="63333C16"/>
    <w:rsid w:val="63387E58"/>
    <w:rsid w:val="637D7558"/>
    <w:rsid w:val="63B21678"/>
    <w:rsid w:val="63B4311D"/>
    <w:rsid w:val="644F19AC"/>
    <w:rsid w:val="645F00F0"/>
    <w:rsid w:val="65AA4920"/>
    <w:rsid w:val="67694F1E"/>
    <w:rsid w:val="68433062"/>
    <w:rsid w:val="68BB5EFD"/>
    <w:rsid w:val="69597934"/>
    <w:rsid w:val="6B964DDC"/>
    <w:rsid w:val="6C783074"/>
    <w:rsid w:val="6D9E65C6"/>
    <w:rsid w:val="6DA81947"/>
    <w:rsid w:val="6EB66DE2"/>
    <w:rsid w:val="6ED3075F"/>
    <w:rsid w:val="6F2A2D4B"/>
    <w:rsid w:val="6F8A0C1E"/>
    <w:rsid w:val="703F45D4"/>
    <w:rsid w:val="70BB36E1"/>
    <w:rsid w:val="715D6546"/>
    <w:rsid w:val="716433F7"/>
    <w:rsid w:val="71BE069E"/>
    <w:rsid w:val="72F87733"/>
    <w:rsid w:val="73953409"/>
    <w:rsid w:val="73E069A3"/>
    <w:rsid w:val="76A54A72"/>
    <w:rsid w:val="78104AA8"/>
    <w:rsid w:val="78E257C5"/>
    <w:rsid w:val="79425E76"/>
    <w:rsid w:val="794B35BE"/>
    <w:rsid w:val="7A490C12"/>
    <w:rsid w:val="7B0A3A31"/>
    <w:rsid w:val="7B3360ED"/>
    <w:rsid w:val="7B5319F3"/>
    <w:rsid w:val="7BDF037E"/>
    <w:rsid w:val="7BF50948"/>
    <w:rsid w:val="7C496199"/>
    <w:rsid w:val="7C955444"/>
    <w:rsid w:val="7CE66A78"/>
    <w:rsid w:val="7D23564C"/>
    <w:rsid w:val="7D5E062D"/>
    <w:rsid w:val="7D5E50FF"/>
    <w:rsid w:val="7DF76CD8"/>
    <w:rsid w:val="7E9B63FC"/>
    <w:rsid w:val="7F433B12"/>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1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2951.88</c:v>
                </c:pt>
                <c:pt idx="1">
                  <c:v>1.67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Sheet1!$A$2:$A$13</c15:sqref>
                  </c15:fullRef>
                </c:ext>
              </c:extLst>
              <c:f>(Sheet1!$A$5:$A$6,Sheet1!$A$12:$A$13)</c:f>
              <c:strCache>
                <c:ptCount val="4"/>
                <c:pt idx="0">
                  <c:v>30304</c:v>
                </c:pt>
                <c:pt idx="1">
                  <c:v>30305</c:v>
                </c:pt>
                <c:pt idx="2">
                  <c:v>303099</c:v>
                </c:pt>
                <c:pt idx="3">
                  <c:v>303x</c:v>
                </c:pt>
              </c:strCache>
            </c:strRef>
          </c:cat>
          <c:val>
            <c:numRef>
              <c:extLst>
                <c:ext xmlns:c15="http://schemas.microsoft.com/office/drawing/2012/chart" uri="{02D57815-91ED-43cb-92C2-25804820EDAC}">
                  <c15:fullRef>
                    <c15:sqref>Sheet1!$B$2:$B$13</c15:sqref>
                  </c15:fullRef>
                </c:ext>
              </c:extLst>
              <c:f>(Sheet1!$B$5:$B$6,Sheet1!$B$12:$B$13)</c:f>
              <c:numCache>
                <c:formatCode>General</c:formatCode>
                <c:ptCount val="4"/>
                <c:pt idx="0">
                  <c:v>40.26</c:v>
                </c:pt>
                <c:pt idx="1">
                  <c:v>170.48</c:v>
                </c:pt>
                <c:pt idx="2">
                  <c:v>0.01</c:v>
                </c:pt>
                <c:pt idx="3">
                  <c:v>210.75</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28.47</c:v>
                </c:pt>
                <c:pt idx="1">
                  <c:v>2133.76</c:v>
                </c:pt>
                <c:pt idx="2">
                  <c:v>203.24</c:v>
                </c:pt>
                <c:pt idx="3">
                  <c:v>152.45</c:v>
                </c:pt>
                <c:pt idx="4">
                  <c:v>183.99</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30.64</c:v>
                </c:pt>
                <c:pt idx="1">
                  <c:v>2297.89</c:v>
                </c:pt>
                <c:pt idx="2">
                  <c:v>225.48</c:v>
                </c:pt>
                <c:pt idx="3">
                  <c:v>169.11</c:v>
                </c:pt>
                <c:pt idx="4">
                  <c:v>230.43</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Sheet1!$A$2:$A$10</c:f>
              <c:strCache>
                <c:ptCount val="9"/>
                <c:pt idx="0">
                  <c:v>2050202</c:v>
                </c:pt>
                <c:pt idx="1">
                  <c:v>2050299</c:v>
                </c:pt>
                <c:pt idx="2">
                  <c:v>2050999</c:v>
                </c:pt>
                <c:pt idx="3">
                  <c:v>2050701</c:v>
                </c:pt>
                <c:pt idx="8">
                  <c:v>205x</c:v>
                </c:pt>
              </c:strCache>
            </c:strRef>
          </c:cat>
          <c:val>
            <c:numRef>
              <c:f>Sheet1!$B$2:$B$10</c:f>
              <c:numCache>
                <c:formatCode>General</c:formatCode>
                <c:ptCount val="9"/>
                <c:pt idx="0">
                  <c:v>2289.95</c:v>
                </c:pt>
                <c:pt idx="1">
                  <c:v>5.88</c:v>
                </c:pt>
                <c:pt idx="2">
                  <c:v>1.53</c:v>
                </c:pt>
                <c:pt idx="3">
                  <c:v>65.64</c:v>
                </c:pt>
                <c:pt idx="8">
                  <c:v>2363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l">
              <a:defRPr lang="zh-CN" sz="1400" b="1" i="0" u="none" strike="noStrike" kern="1200" baseline="0">
                <a:solidFill>
                  <a:schemeClr val="dk1">
                    <a:lumMod val="75000"/>
                    <a:lumOff val="25000"/>
                  </a:schemeClr>
                </a:solidFill>
                <a:latin typeface="+mn-lt"/>
                <a:ea typeface="+mn-ea"/>
                <a:cs typeface="+mn-cs"/>
              </a:defRPr>
            </a:pPr>
            <a:r>
              <a:t>社会保障和就业支出</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(Sheet1!$A$2,Sheet1!$A$5)</c:f>
              <c:strCache>
                <c:ptCount val="2"/>
                <c:pt idx="0">
                  <c:v>2080505</c:v>
                </c:pt>
                <c:pt idx="1">
                  <c:v>208x</c:v>
                </c:pt>
              </c:strCache>
            </c:strRef>
          </c:cat>
          <c:val>
            <c:numRef>
              <c:extLst>
                <c:ext xmlns:c15="http://schemas.microsoft.com/office/drawing/2012/chart" uri="{02D57815-91ED-43cb-92C2-25804820EDAC}">
                  <c15:fullRef>
                    <c15:sqref>Sheet1!$B$2:$B$5</c15:sqref>
                  </c15:fullRef>
                </c:ext>
              </c:extLst>
              <c:f>(Sheet1!$B$2,Sheet1!$B$5)</c:f>
              <c:numCache>
                <c:formatCode>General</c:formatCode>
                <c:ptCount val="2"/>
                <c:pt idx="0">
                  <c:v>225.48</c:v>
                </c:pt>
                <c:pt idx="1">
                  <c:v>225.48</c:v>
                </c:pt>
              </c:numCache>
            </c:numRef>
          </c:val>
        </c:ser>
        <c:dLbls>
          <c:showLegendKey val="0"/>
          <c:showVal val="0"/>
          <c:showCatName val="0"/>
          <c:showSerName val="0"/>
          <c:showPercent val="0"/>
          <c:showBubbleSize val="0"/>
        </c:dLbls>
        <c:gapWidth val="246"/>
        <c:overlap val="-28"/>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169.11</c:v>
                </c:pt>
                <c:pt idx="1">
                  <c:v>169.11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680" b="1" i="0" u="none" strike="noStrike" kern="1200" baseline="0">
                <a:solidFill>
                  <a:schemeClr val="tx1"/>
                </a:solidFill>
                <a:latin typeface="+mn-lt"/>
                <a:ea typeface="+mn-ea"/>
                <a:cs typeface="+mn-cs"/>
              </a:defRPr>
            </a:pPr>
            <a:r>
              <a:rPr altLang="en-US" sz="1500"/>
              <a:t>其他支出以及教育事业的彩票公益金支出</a:t>
            </a:r>
            <a:endParaRPr lang="en-US" sz="15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Sheet1!$A$2:$A$4</c:f>
              <c:strCache>
                <c:ptCount val="3"/>
                <c:pt idx="0">
                  <c:v>2296004</c:v>
                </c:pt>
                <c:pt idx="1">
                  <c:v>2299999</c:v>
                </c:pt>
                <c:pt idx="2">
                  <c:v>229x</c:v>
                </c:pt>
              </c:strCache>
            </c:strRef>
          </c:cat>
          <c:val>
            <c:numRef>
              <c:f>Sheet1!$B$2:$B$4</c:f>
              <c:numCache>
                <c:formatCode>General</c:formatCode>
                <c:ptCount val="3"/>
                <c:pt idx="0">
                  <c:v>1.67</c:v>
                </c:pt>
                <c:pt idx="1">
                  <c:v>228.77</c:v>
                </c:pt>
                <c:pt idx="2">
                  <c:v>230.44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400"/>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680" b="1" i="0" u="none" strike="noStrike" kern="1200" baseline="0">
                <a:solidFill>
                  <a:schemeClr val="tx1"/>
                </a:solidFill>
                <a:latin typeface="+mn-lt"/>
                <a:ea typeface="+mn-ea"/>
                <a:cs typeface="+mn-cs"/>
              </a:defRPr>
            </a:pPr>
            <a:r>
              <a:rPr altLang="en-US" sz="1680"/>
              <a:t>其他群众团体事务支出</a:t>
            </a:r>
            <a:endParaRPr lang="en-US" sz="168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30.64</c:v>
                </c:pt>
                <c:pt idx="1">
                  <c:v>30.64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400"/>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Sheet1!$A$2:$A$14</c15:sqref>
                  </c15:fullRef>
                </c:ext>
              </c:extLst>
              <c:f>(Sheet1!$A$2:$A$4,Sheet1!$A$6:$A$7,Sheet1!$A$9,Sheet1!$A$11:$A$12,Sheet1!$A$14)</c:f>
              <c:strCache>
                <c:ptCount val="9"/>
                <c:pt idx="0">
                  <c:v>30101</c:v>
                </c:pt>
                <c:pt idx="1">
                  <c:v>30102</c:v>
                </c:pt>
                <c:pt idx="2">
                  <c:v>30103</c:v>
                </c:pt>
                <c:pt idx="3">
                  <c:v>30107</c:v>
                </c:pt>
                <c:pt idx="4">
                  <c:v>30108</c:v>
                </c:pt>
                <c:pt idx="5">
                  <c:v>30110</c:v>
                </c:pt>
                <c:pt idx="6">
                  <c:v>30112</c:v>
                </c:pt>
                <c:pt idx="7">
                  <c:v>30113</c:v>
                </c:pt>
                <c:pt idx="8">
                  <c:v>301x</c:v>
                </c:pt>
              </c:strCache>
            </c:strRef>
          </c:cat>
          <c:val>
            <c:numRef>
              <c:extLst>
                <c:ext xmlns:c15="http://schemas.microsoft.com/office/drawing/2012/chart" uri="{02D57815-91ED-43cb-92C2-25804820EDAC}">
                  <c15:fullRef>
                    <c15:sqref>Sheet1!$B$2:$B$14</c15:sqref>
                  </c15:fullRef>
                </c:ext>
              </c:extLst>
              <c:f>(Sheet1!$B$2:$B$4,Sheet1!$B$6:$B$7,Sheet1!$B$9,Sheet1!$B$11:$B$12,Sheet1!$B$14)</c:f>
              <c:numCache>
                <c:formatCode>General</c:formatCode>
                <c:ptCount val="9"/>
                <c:pt idx="0">
                  <c:v>724.33</c:v>
                </c:pt>
                <c:pt idx="1">
                  <c:v>164.63</c:v>
                </c:pt>
                <c:pt idx="2">
                  <c:v>629.41</c:v>
                </c:pt>
                <c:pt idx="3">
                  <c:v>325.39</c:v>
                </c:pt>
                <c:pt idx="4">
                  <c:v>225.48</c:v>
                </c:pt>
                <c:pt idx="5">
                  <c:v>91.34</c:v>
                </c:pt>
                <c:pt idx="6">
                  <c:v>11.31</c:v>
                </c:pt>
                <c:pt idx="7">
                  <c:v>169.11</c:v>
                </c:pt>
                <c:pt idx="8">
                  <c:v>2341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Sheet1!$A$2:$A$28</c15:sqref>
                  </c15:fullRef>
                </c:ext>
              </c:extLst>
              <c:f>(Sheet1!$A$23,Sheet1!$A$28)</c:f>
              <c:strCache>
                <c:ptCount val="2"/>
                <c:pt idx="0">
                  <c:v>30228</c:v>
                </c:pt>
                <c:pt idx="1">
                  <c:v>302x</c:v>
                </c:pt>
              </c:strCache>
            </c:strRef>
          </c:cat>
          <c:val>
            <c:numRef>
              <c:extLst>
                <c:ext xmlns:c15="http://schemas.microsoft.com/office/drawing/2012/chart" uri="{02D57815-91ED-43cb-92C2-25804820EDAC}">
                  <c15:fullRef>
                    <c15:sqref>Sheet1!$B$2:$B$28</c15:sqref>
                  </c15:fullRef>
                </c:ext>
              </c:extLst>
              <c:f>(Sheet1!$B$23,Sheet1!$B$28)</c:f>
              <c:numCache>
                <c:formatCode>General</c:formatCode>
                <c:ptCount val="2"/>
                <c:pt idx="0">
                  <c:v>30.64</c:v>
                </c:pt>
                <c:pt idx="1">
                  <c:v>30.64</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3370</Words>
  <Characters>5232</Characters>
  <Lines>90</Lines>
  <Paragraphs>25</Paragraphs>
  <TotalTime>8</TotalTime>
  <ScaleCrop>false</ScaleCrop>
  <LinksUpToDate>false</LinksUpToDate>
  <CharactersWithSpaces>5297</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2024-12-30T02:36:09Z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16A5E58A4C184A0F8AAD5879DBB8AF73</vt:lpwstr>
  </property>
</Properties>
</file>