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FC85C">
      <w:pPr>
        <w:jc w:val="left"/>
        <w:rPr>
          <w:rFonts w:ascii="仿宋" w:hAnsi="仿宋" w:eastAsia="仿宋" w:cs="仿宋"/>
          <w:sz w:val="32"/>
          <w:szCs w:val="32"/>
          <w:highlight w:val="none"/>
        </w:rPr>
      </w:pPr>
    </w:p>
    <w:p w14:paraId="0C26AD88">
      <w:pPr>
        <w:jc w:val="left"/>
        <w:rPr>
          <w:rFonts w:ascii="仿宋" w:hAnsi="仿宋" w:eastAsia="仿宋" w:cs="仿宋"/>
          <w:sz w:val="32"/>
          <w:szCs w:val="32"/>
          <w:highlight w:val="none"/>
        </w:rPr>
      </w:pPr>
    </w:p>
    <w:p w14:paraId="352351EB">
      <w:pPr>
        <w:jc w:val="left"/>
        <w:rPr>
          <w:rFonts w:ascii="仿宋" w:hAnsi="仿宋" w:eastAsia="仿宋" w:cs="仿宋"/>
          <w:sz w:val="32"/>
          <w:szCs w:val="32"/>
          <w:highlight w:val="none"/>
        </w:rPr>
      </w:pPr>
    </w:p>
    <w:p w14:paraId="6ED7C743">
      <w:pPr>
        <w:jc w:val="center"/>
        <w:rPr>
          <w:rFonts w:hint="eastAsia" w:ascii="方正小标宋简体" w:hAnsi="方正小标宋简体" w:eastAsia="方正小标宋简体" w:cs="方正小标宋简体"/>
          <w:b/>
          <w:bCs/>
          <w:sz w:val="48"/>
          <w:szCs w:val="48"/>
          <w:highlight w:val="none"/>
        </w:rPr>
      </w:pPr>
      <w:r>
        <w:rPr>
          <w:rFonts w:hint="eastAsia" w:ascii="方正小标宋简体" w:hAnsi="方正小标宋简体" w:eastAsia="方正小标宋简体" w:cs="方正小标宋简体"/>
          <w:b/>
          <w:bCs/>
          <w:sz w:val="48"/>
          <w:szCs w:val="48"/>
          <w:highlight w:val="none"/>
          <w:lang w:val="en-US" w:eastAsia="zh-CN"/>
        </w:rPr>
        <w:t xml:space="preserve">环江毛南族自治县洛阳镇中心幼儿园   </w:t>
      </w:r>
      <w:r>
        <w:rPr>
          <w:rFonts w:hint="eastAsia" w:ascii="方正小标宋简体" w:hAnsi="方正小标宋简体" w:eastAsia="方正小标宋简体" w:cs="方正小标宋简体"/>
          <w:b/>
          <w:bCs/>
          <w:sz w:val="48"/>
          <w:szCs w:val="48"/>
          <w:highlight w:val="none"/>
        </w:rPr>
        <w:t>202</w:t>
      </w:r>
      <w:r>
        <w:rPr>
          <w:rFonts w:hint="eastAsia" w:ascii="方正小标宋简体" w:hAnsi="方正小标宋简体" w:eastAsia="方正小标宋简体" w:cs="方正小标宋简体"/>
          <w:b/>
          <w:bCs/>
          <w:sz w:val="48"/>
          <w:szCs w:val="48"/>
          <w:highlight w:val="none"/>
          <w:lang w:val="en-US" w:eastAsia="zh-CN"/>
        </w:rPr>
        <w:t>3</w:t>
      </w:r>
      <w:r>
        <w:rPr>
          <w:rFonts w:hint="eastAsia" w:ascii="方正小标宋简体" w:hAnsi="方正小标宋简体" w:eastAsia="方正小标宋简体" w:cs="方正小标宋简体"/>
          <w:b/>
          <w:bCs/>
          <w:sz w:val="48"/>
          <w:szCs w:val="48"/>
          <w:highlight w:val="none"/>
        </w:rPr>
        <w:t>年度部门决算</w:t>
      </w:r>
    </w:p>
    <w:p w14:paraId="10E9B7C1">
      <w:pPr>
        <w:jc w:val="center"/>
        <w:rPr>
          <w:rFonts w:ascii="仿宋" w:hAnsi="仿宋" w:eastAsia="仿宋" w:cs="仿宋"/>
          <w:sz w:val="32"/>
          <w:szCs w:val="32"/>
          <w:highlight w:val="none"/>
        </w:rPr>
      </w:pPr>
    </w:p>
    <w:p w14:paraId="010CEE4D">
      <w:pPr>
        <w:jc w:val="left"/>
        <w:rPr>
          <w:rFonts w:ascii="仿宋" w:hAnsi="仿宋" w:eastAsia="仿宋" w:cs="仿宋"/>
          <w:sz w:val="32"/>
          <w:szCs w:val="32"/>
          <w:highlight w:val="none"/>
        </w:rPr>
      </w:pPr>
    </w:p>
    <w:p w14:paraId="7D262F3E">
      <w:pPr>
        <w:jc w:val="left"/>
        <w:rPr>
          <w:rFonts w:ascii="仿宋" w:hAnsi="仿宋" w:eastAsia="仿宋" w:cs="仿宋"/>
          <w:sz w:val="32"/>
          <w:szCs w:val="32"/>
          <w:highlight w:val="none"/>
        </w:rPr>
      </w:pPr>
    </w:p>
    <w:p w14:paraId="1BA1A3C9">
      <w:pPr>
        <w:jc w:val="left"/>
        <w:rPr>
          <w:rFonts w:ascii="仿宋" w:hAnsi="仿宋" w:eastAsia="仿宋" w:cs="仿宋"/>
          <w:sz w:val="32"/>
          <w:szCs w:val="32"/>
          <w:highlight w:val="none"/>
        </w:rPr>
      </w:pPr>
    </w:p>
    <w:p w14:paraId="0B80B572">
      <w:pPr>
        <w:jc w:val="left"/>
        <w:rPr>
          <w:rFonts w:ascii="仿宋" w:hAnsi="仿宋" w:eastAsia="仿宋" w:cs="仿宋"/>
          <w:sz w:val="32"/>
          <w:szCs w:val="32"/>
          <w:highlight w:val="none"/>
        </w:rPr>
      </w:pPr>
    </w:p>
    <w:p w14:paraId="4FCE0918">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14:paraId="61C2BA06">
      <w:pPr>
        <w:jc w:val="left"/>
        <w:rPr>
          <w:rFonts w:ascii="仿宋" w:hAnsi="仿宋" w:eastAsia="仿宋" w:cs="仿宋"/>
          <w:sz w:val="32"/>
          <w:szCs w:val="32"/>
          <w:highlight w:val="none"/>
        </w:rPr>
      </w:pPr>
    </w:p>
    <w:p w14:paraId="5391540D">
      <w:pPr>
        <w:jc w:val="left"/>
        <w:rPr>
          <w:rFonts w:ascii="仿宋" w:hAnsi="仿宋" w:eastAsia="仿宋" w:cs="仿宋"/>
          <w:sz w:val="32"/>
          <w:szCs w:val="32"/>
          <w:highlight w:val="none"/>
        </w:rPr>
      </w:pPr>
    </w:p>
    <w:p w14:paraId="3117FEA3">
      <w:pPr>
        <w:jc w:val="left"/>
        <w:rPr>
          <w:rFonts w:ascii="仿宋" w:hAnsi="仿宋" w:eastAsia="仿宋" w:cs="仿宋"/>
          <w:sz w:val="32"/>
          <w:szCs w:val="32"/>
          <w:highlight w:val="none"/>
        </w:rPr>
      </w:pPr>
    </w:p>
    <w:p w14:paraId="266EACA2">
      <w:pPr>
        <w:jc w:val="left"/>
        <w:rPr>
          <w:rFonts w:ascii="仿宋" w:hAnsi="仿宋" w:eastAsia="仿宋" w:cs="仿宋"/>
          <w:sz w:val="32"/>
          <w:szCs w:val="32"/>
          <w:highlight w:val="none"/>
        </w:rPr>
      </w:pPr>
    </w:p>
    <w:p w14:paraId="310D817F">
      <w:pPr>
        <w:jc w:val="left"/>
        <w:rPr>
          <w:rFonts w:ascii="仿宋" w:hAnsi="仿宋" w:eastAsia="仿宋" w:cs="仿宋"/>
          <w:sz w:val="32"/>
          <w:szCs w:val="32"/>
          <w:highlight w:val="none"/>
        </w:rPr>
      </w:pPr>
    </w:p>
    <w:p w14:paraId="4BB50F09">
      <w:pPr>
        <w:jc w:val="center"/>
        <w:rPr>
          <w:rFonts w:hint="eastAsia" w:ascii="黑体" w:hAnsi="黑体" w:eastAsia="黑体" w:cs="黑体"/>
          <w:b/>
          <w:bCs/>
          <w:sz w:val="40"/>
          <w:szCs w:val="40"/>
          <w:highlight w:val="none"/>
          <w:lang w:val="en-US" w:eastAsia="zh-CN"/>
        </w:rPr>
      </w:pPr>
      <w:r>
        <w:rPr>
          <w:rFonts w:hint="eastAsia" w:ascii="黑体" w:hAnsi="黑体" w:eastAsia="黑体" w:cs="黑体"/>
          <w:b/>
          <w:bCs/>
          <w:sz w:val="40"/>
          <w:szCs w:val="40"/>
          <w:highlight w:val="none"/>
          <w:lang w:val="en-US" w:eastAsia="zh-CN"/>
        </w:rPr>
        <w:t>单位负责人：潘巧媚</w:t>
      </w:r>
    </w:p>
    <w:p w14:paraId="3E2C84E2">
      <w:pPr>
        <w:jc w:val="center"/>
        <w:rPr>
          <w:rFonts w:hint="eastAsia" w:ascii="黑体" w:hAnsi="黑体" w:eastAsia="黑体" w:cs="黑体"/>
          <w:b/>
          <w:bCs/>
          <w:sz w:val="40"/>
          <w:szCs w:val="40"/>
          <w:highlight w:val="none"/>
          <w:lang w:val="en-US" w:eastAsia="zh-CN"/>
        </w:rPr>
      </w:pPr>
    </w:p>
    <w:p w14:paraId="113A9535">
      <w:pPr>
        <w:jc w:val="center"/>
        <w:rPr>
          <w:rFonts w:hint="default" w:ascii="黑体" w:hAnsi="黑体" w:eastAsia="黑体" w:cs="黑体"/>
          <w:b/>
          <w:bCs/>
          <w:sz w:val="44"/>
          <w:szCs w:val="44"/>
          <w:highlight w:val="none"/>
          <w:lang w:val="en-US" w:eastAsia="zh-CN"/>
        </w:rPr>
      </w:pPr>
      <w:r>
        <w:rPr>
          <w:rFonts w:hint="eastAsia" w:ascii="黑体" w:hAnsi="黑体" w:eastAsia="黑体" w:cs="黑体"/>
          <w:b/>
          <w:bCs/>
          <w:sz w:val="44"/>
          <w:szCs w:val="44"/>
          <w:highlight w:val="none"/>
        </w:rPr>
        <w:t>202</w:t>
      </w:r>
      <w:r>
        <w:rPr>
          <w:rFonts w:hint="eastAsia" w:ascii="黑体" w:hAnsi="黑体" w:eastAsia="黑体" w:cs="黑体"/>
          <w:b/>
          <w:bCs/>
          <w:sz w:val="44"/>
          <w:szCs w:val="44"/>
          <w:highlight w:val="none"/>
          <w:lang w:val="en-US" w:eastAsia="zh-CN"/>
        </w:rPr>
        <w:t>4</w:t>
      </w:r>
      <w:r>
        <w:rPr>
          <w:rFonts w:hint="eastAsia" w:ascii="黑体" w:hAnsi="黑体" w:eastAsia="黑体" w:cs="黑体"/>
          <w:b/>
          <w:bCs/>
          <w:sz w:val="44"/>
          <w:szCs w:val="44"/>
          <w:highlight w:val="none"/>
        </w:rPr>
        <w:t>年</w:t>
      </w:r>
      <w:r>
        <w:rPr>
          <w:rFonts w:hint="eastAsia" w:ascii="黑体" w:hAnsi="黑体" w:eastAsia="黑体" w:cs="黑体"/>
          <w:b/>
          <w:bCs/>
          <w:sz w:val="44"/>
          <w:szCs w:val="44"/>
          <w:highlight w:val="none"/>
          <w:lang w:val="en-US" w:eastAsia="zh-CN"/>
        </w:rPr>
        <w:t>12</w:t>
      </w:r>
      <w:r>
        <w:rPr>
          <w:rFonts w:hint="eastAsia" w:ascii="黑体" w:hAnsi="黑体" w:eastAsia="黑体" w:cs="黑体"/>
          <w:b/>
          <w:bCs/>
          <w:sz w:val="44"/>
          <w:szCs w:val="44"/>
          <w:highlight w:val="none"/>
        </w:rPr>
        <w:t>月</w:t>
      </w:r>
      <w:r>
        <w:rPr>
          <w:rFonts w:hint="eastAsia" w:ascii="黑体" w:hAnsi="黑体" w:eastAsia="黑体" w:cs="黑体"/>
          <w:b/>
          <w:bCs/>
          <w:sz w:val="44"/>
          <w:szCs w:val="44"/>
          <w:highlight w:val="none"/>
          <w:lang w:val="en-US" w:eastAsia="zh-CN"/>
        </w:rPr>
        <w:t>3日</w:t>
      </w:r>
    </w:p>
    <w:p w14:paraId="2F165862">
      <w:pPr>
        <w:rPr>
          <w:rFonts w:ascii="仿宋" w:hAnsi="仿宋" w:eastAsia="仿宋" w:cs="仿宋"/>
          <w:sz w:val="32"/>
          <w:szCs w:val="32"/>
          <w:highlight w:val="none"/>
        </w:rPr>
      </w:pPr>
      <w:r>
        <w:rPr>
          <w:rFonts w:ascii="仿宋" w:hAnsi="仿宋" w:eastAsia="仿宋" w:cs="仿宋"/>
          <w:sz w:val="32"/>
          <w:szCs w:val="32"/>
          <w:highlight w:val="none"/>
        </w:rPr>
        <w:br w:type="page"/>
      </w:r>
    </w:p>
    <w:p w14:paraId="56FB9067">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3A0088AC">
      <w:pPr>
        <w:jc w:val="left"/>
        <w:rPr>
          <w:rFonts w:ascii="黑体" w:hAnsi="黑体" w:eastAsia="黑体" w:cs="黑体"/>
          <w:b/>
          <w:bCs/>
          <w:sz w:val="36"/>
          <w:szCs w:val="36"/>
          <w:highlight w:val="none"/>
        </w:rPr>
      </w:pPr>
    </w:p>
    <w:p w14:paraId="5BF80C1A">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仿宋_GB2312" w:eastAsia="仿宋_GB2312"/>
          <w:b/>
          <w:sz w:val="32"/>
          <w:szCs w:val="32"/>
        </w:rPr>
        <w:t>环江毛南族自治县</w:t>
      </w:r>
      <w:r>
        <w:rPr>
          <w:rFonts w:hint="eastAsia" w:ascii="仿宋_GB2312" w:hAnsi="黑体" w:eastAsia="仿宋_GB2312"/>
          <w:b/>
          <w:bCs/>
          <w:color w:val="000000"/>
          <w:sz w:val="32"/>
          <w:szCs w:val="32"/>
          <w:lang w:val="en-US" w:eastAsia="zh-CN"/>
        </w:rPr>
        <w:t>洛阳镇中心幼儿园</w:t>
      </w:r>
      <w:r>
        <w:rPr>
          <w:rFonts w:hint="eastAsia" w:ascii="黑体" w:hAnsi="黑体" w:eastAsia="黑体" w:cs="黑体"/>
          <w:sz w:val="32"/>
          <w:szCs w:val="32"/>
          <w:highlight w:val="none"/>
        </w:rPr>
        <w:t>概况</w:t>
      </w:r>
    </w:p>
    <w:p w14:paraId="48873E3A">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1BBD0CF2">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45B47519">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仿宋_GB2312" w:eastAsia="仿宋_GB2312"/>
          <w:b/>
          <w:sz w:val="32"/>
          <w:szCs w:val="32"/>
        </w:rPr>
        <w:t>环江毛南族自治县</w:t>
      </w:r>
      <w:r>
        <w:rPr>
          <w:rFonts w:hint="eastAsia" w:ascii="仿宋_GB2312" w:hAnsi="黑体" w:eastAsia="仿宋_GB2312"/>
          <w:b/>
          <w:bCs/>
          <w:color w:val="000000"/>
          <w:sz w:val="32"/>
          <w:szCs w:val="32"/>
          <w:lang w:val="en-US" w:eastAsia="zh-CN"/>
        </w:rPr>
        <w:t>洛阳镇中心幼儿园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4EB022F2">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50770224">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503FD4E3">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10FE886C">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30D3532C">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4F4C005B">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0091193F">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309A2724">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196333DF">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295CA60C">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仿宋_GB2312" w:eastAsia="仿宋_GB2312"/>
          <w:b/>
          <w:sz w:val="32"/>
          <w:szCs w:val="32"/>
        </w:rPr>
        <w:t>环江毛南族自治县</w:t>
      </w:r>
      <w:r>
        <w:rPr>
          <w:rFonts w:hint="eastAsia" w:ascii="仿宋_GB2312" w:hAnsi="黑体" w:eastAsia="仿宋_GB2312"/>
          <w:b/>
          <w:bCs/>
          <w:color w:val="000000"/>
          <w:sz w:val="32"/>
          <w:szCs w:val="32"/>
          <w:lang w:val="en-US" w:eastAsia="zh-CN"/>
        </w:rPr>
        <w:t>洛阳镇中心幼儿园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25D9490E">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14:paraId="124233FE">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6C615F0F">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14:paraId="083B5A0B">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14:paraId="20034622">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0486A693">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1D9E61D9">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0BD0A4C8">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14:paraId="2F1D6B70">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242E7310">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2E1B098C">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val="en-US" w:eastAsia="zh-CN"/>
        </w:rPr>
        <w:t>单位</w:t>
      </w:r>
      <w:r>
        <w:rPr>
          <w:rFonts w:hint="eastAsia" w:ascii="黑体" w:hAnsi="黑体" w:eastAsia="黑体" w:cs="黑体"/>
          <w:b/>
          <w:bCs/>
          <w:sz w:val="32"/>
          <w:szCs w:val="32"/>
          <w:highlight w:val="none"/>
        </w:rPr>
        <w:t>概况</w:t>
      </w:r>
    </w:p>
    <w:p w14:paraId="148D5688">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0B9FF271">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hint="eastAsia" w:ascii="仿宋_GB2312" w:eastAsia="仿宋_GB2312" w:cs="仿宋_GB2312"/>
          <w:kern w:val="0"/>
          <w:sz w:val="32"/>
          <w:szCs w:val="32"/>
        </w:rPr>
        <w:t>（一）</w:t>
      </w:r>
      <w:r>
        <w:rPr>
          <w:rFonts w:hint="eastAsia" w:ascii="仿宋_GB2312" w:hAnsi="仿宋_GB2312" w:eastAsia="仿宋_GB2312" w:cs="仿宋_GB2312"/>
          <w:sz w:val="32"/>
          <w:szCs w:val="32"/>
        </w:rPr>
        <w:t>贯彻实施国家教育工作方针、政策和法律法规。制订学校教育改革与发展战略和教育事业发展规划及年度计划；</w:t>
      </w:r>
    </w:p>
    <w:p w14:paraId="77B6CCF3">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hAnsi="仿宋_GB2312" w:eastAsia="仿宋_GB2312" w:cs="仿宋_GB2312"/>
          <w:sz w:val="32"/>
          <w:szCs w:val="32"/>
        </w:rPr>
        <w:t>（二）贯彻执行上级教育体制改革的政策，拟定学校教育发展的重点、结构、速度和步骤，并负责进行实施。</w:t>
      </w:r>
      <w:r>
        <w:rPr>
          <w:rFonts w:hint="eastAsia" w:ascii="仿宋_GB2312" w:eastAsia="仿宋_GB2312" w:cs="仿宋_GB2312"/>
          <w:kern w:val="0"/>
          <w:sz w:val="32"/>
          <w:szCs w:val="32"/>
        </w:rPr>
        <w:t>确保幼儿教育稳定、健康发展；</w:t>
      </w:r>
    </w:p>
    <w:p w14:paraId="40252483">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（三）评估指导全园教育教学工作，督促检查全园贯彻执行教育方针、政策、法令、法规和上级的各项规定；</w:t>
      </w:r>
    </w:p>
    <w:p w14:paraId="7D4621A5">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（四）负责全园人才队伍和教师队伍建设，包括园长岗位培训、后备干部队伍建设、教师学历教育、继续教育等。</w:t>
      </w:r>
    </w:p>
    <w:p w14:paraId="4FB39C16">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（五）按照中央关于全面推进素质教育要求，负责教育教学管理、教育教学改革及教育教学科学研究工作，检查指导全园实施素质教育工作，并组织推广先进的教育教学经验。</w:t>
      </w:r>
    </w:p>
    <w:p w14:paraId="6857C2F0">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（六）检查指导学校教育教学设备的装备、管理和使用工作</w:t>
      </w:r>
    </w:p>
    <w:p w14:paraId="09DE4E1A">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（七）负责全园教师初级专业技术职务资格的评审，中、高级专业技术职务资格的申报工作。按照管理权限对教师进行考核、聘任、奖惩、晋升等工作。负责组织全园做好学籍管理工作。</w:t>
      </w:r>
    </w:p>
    <w:p w14:paraId="3066F7EA">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（八）负责监督审计全园教育经费和教育基建经费拨付及教育附加费和教育费附加的征收、管理与使用工作。</w:t>
      </w:r>
    </w:p>
    <w:p w14:paraId="794195E2">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（九）负责指导全园学生资助管理工作。</w:t>
      </w:r>
    </w:p>
    <w:p w14:paraId="6420030C">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（十）负责语言文字和指导推广普通话工作。</w:t>
      </w:r>
    </w:p>
    <w:p w14:paraId="3B21DE9E">
      <w:pPr>
        <w:ind w:firstLine="640" w:firstLineChars="200"/>
        <w:jc w:val="left"/>
        <w:rPr>
          <w:rFonts w:hint="eastAsia" w:ascii="仿宋" w:hAnsi="仿宋" w:eastAsia="仿宋" w:cs="仿宋"/>
          <w:sz w:val="32"/>
          <w:szCs w:val="32"/>
        </w:rPr>
      </w:pPr>
      <w:r>
        <w:rPr>
          <w:rFonts w:hint="eastAsia" w:ascii="Times New Roman" w:hAnsi="Times New Roman" w:eastAsia="仿宋_GB2312" w:cs="Times New Roman"/>
          <w:sz w:val="32"/>
          <w:szCs w:val="32"/>
        </w:rPr>
        <w:t>（十一）完成上级部门交办的其他工作。</w:t>
      </w:r>
    </w:p>
    <w:p w14:paraId="3C70D075">
      <w:pPr>
        <w:jc w:val="left"/>
        <w:rPr>
          <w:rFonts w:hint="eastAsia" w:ascii="仿宋" w:hAnsi="仿宋" w:eastAsia="仿宋" w:cs="仿宋"/>
          <w:sz w:val="32"/>
          <w:szCs w:val="32"/>
        </w:rPr>
      </w:pPr>
      <w:r>
        <w:rPr>
          <w:rFonts w:hint="eastAsia" w:ascii="黑体" w:hAnsi="黑体" w:eastAsia="黑体" w:cs="黑体"/>
          <w:sz w:val="32"/>
          <w:szCs w:val="32"/>
          <w:highlight w:val="none"/>
        </w:rPr>
        <w:t>二、部门决算单位构成</w:t>
      </w:r>
    </w:p>
    <w:p w14:paraId="247EBDDC">
      <w:pPr>
        <w:spacing w:line="460" w:lineRule="exact"/>
        <w:ind w:firstLine="617" w:firstLineChars="193"/>
        <w:rPr>
          <w:rFonts w:hint="eastAsia" w:ascii="仿宋_GB2312" w:eastAsia="仿宋_GB2312" w:cs="仿宋_GB2312"/>
          <w:kern w:val="0"/>
          <w:sz w:val="32"/>
          <w:szCs w:val="32"/>
        </w:rPr>
      </w:pPr>
      <w:r>
        <w:rPr>
          <w:rFonts w:hint="eastAsia" w:ascii="Times New Roman" w:hAnsi="Times New Roman" w:eastAsia="仿宋_GB2312" w:cs="Times New Roman"/>
          <w:sz w:val="32"/>
          <w:szCs w:val="32"/>
          <w:lang w:val="en-US" w:eastAsia="zh-CN"/>
        </w:rPr>
        <w:t>洛阳镇中心</w:t>
      </w:r>
      <w:r>
        <w:rPr>
          <w:rFonts w:hint="eastAsia" w:ascii="Times New Roman" w:hAnsi="Times New Roman" w:eastAsia="仿宋_GB2312" w:cs="Times New Roman"/>
          <w:sz w:val="32"/>
          <w:szCs w:val="32"/>
        </w:rPr>
        <w:t>幼儿园有</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个内设机构，分别为：</w:t>
      </w:r>
      <w:r>
        <w:rPr>
          <w:rFonts w:hint="eastAsia" w:ascii="仿宋_GB2312" w:eastAsia="仿宋_GB2312" w:cs="仿宋_GB2312"/>
          <w:kern w:val="0"/>
          <w:sz w:val="32"/>
          <w:szCs w:val="32"/>
        </w:rPr>
        <w:t>园长办公室、档案室、财务室、保教室。</w:t>
      </w:r>
    </w:p>
    <w:p w14:paraId="00B1EB8E">
      <w:pPr>
        <w:ind w:firstLine="640" w:firstLineChars="200"/>
        <w:jc w:val="left"/>
        <w:rPr>
          <w:rFonts w:hint="eastAsia" w:ascii="黑体" w:hAnsi="黑体" w:eastAsia="黑体" w:cs="黑体"/>
          <w:sz w:val="32"/>
          <w:szCs w:val="32"/>
          <w:highlight w:val="none"/>
          <w:lang w:val="en-US" w:eastAsia="zh-CN"/>
        </w:rPr>
        <w:sectPr>
          <w:headerReference r:id="rId5" w:type="default"/>
          <w:footerReference r:id="rId6" w:type="default"/>
          <w:pgSz w:w="11906" w:h="16838"/>
          <w:pgMar w:top="1157" w:right="1463" w:bottom="1157" w:left="1463" w:header="851" w:footer="992" w:gutter="0"/>
          <w:cols w:space="425" w:num="1"/>
          <w:docGrid w:type="lines" w:linePitch="312" w:charSpace="0"/>
        </w:sectPr>
      </w:pPr>
      <w:r>
        <w:rPr>
          <w:rFonts w:hint="eastAsia" w:ascii="仿宋" w:hAnsi="仿宋" w:eastAsia="仿宋" w:cs="仿宋"/>
          <w:color w:val="auto"/>
          <w:sz w:val="32"/>
          <w:szCs w:val="32"/>
        </w:rPr>
        <w:t>我部门没有下属单位，按照部门决算编报要求，单独编制本部门决算。</w:t>
      </w:r>
      <w:r>
        <w:rPr>
          <w:rFonts w:hint="eastAsia" w:ascii="仿宋_GB2312" w:eastAsia="仿宋_GB2312" w:cs="仿宋_GB2312"/>
          <w:kern w:val="0"/>
          <w:sz w:val="32"/>
          <w:szCs w:val="32"/>
          <w:lang w:val="en-US" w:eastAsia="zh-CN"/>
        </w:rPr>
        <w:t>人员编制持有情况：年初在编人员14人，年末持有17人，较2022年增长21.43%。</w:t>
      </w:r>
    </w:p>
    <w:p w14:paraId="67D97F21">
      <w:pPr>
        <w:jc w:val="both"/>
        <w:rPr>
          <w:rFonts w:hint="default" w:ascii="黑体" w:hAnsi="黑体" w:eastAsia="黑体" w:cs="黑体"/>
          <w:sz w:val="32"/>
          <w:szCs w:val="32"/>
          <w:highlight w:val="none"/>
          <w:lang w:val="en-US" w:eastAsia="zh-CN"/>
        </w:rPr>
      </w:pPr>
    </w:p>
    <w:p w14:paraId="10B57CD8">
      <w:pPr>
        <w:jc w:val="both"/>
        <w:rPr>
          <w:rFonts w:hint="default" w:ascii="黑体" w:hAnsi="黑体" w:eastAsia="黑体" w:cs="黑体"/>
          <w:sz w:val="32"/>
          <w:szCs w:val="32"/>
          <w:highlight w:val="none"/>
          <w:lang w:val="en-US" w:eastAsia="zh-CN"/>
        </w:rPr>
      </w:pPr>
    </w:p>
    <w:p w14:paraId="314498CE">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洛阳镇中心幼儿园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6"/>
        <w:gridCol w:w="645"/>
        <w:gridCol w:w="2197"/>
        <w:gridCol w:w="4111"/>
        <w:gridCol w:w="645"/>
        <w:gridCol w:w="2197"/>
      </w:tblGrid>
      <w:tr w14:paraId="3DED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15" w:type="dxa"/>
            <w:tcBorders>
              <w:top w:val="nil"/>
              <w:left w:val="nil"/>
              <w:bottom w:val="nil"/>
              <w:right w:val="nil"/>
            </w:tcBorders>
            <w:shd w:val="clear" w:color="auto" w:fill="auto"/>
            <w:noWrap/>
            <w:vAlign w:val="center"/>
          </w:tcPr>
          <w:p w14:paraId="08295C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表一：收入支出决算总表</w:t>
            </w:r>
          </w:p>
        </w:tc>
        <w:tc>
          <w:tcPr>
            <w:tcW w:w="570" w:type="dxa"/>
            <w:tcBorders>
              <w:top w:val="nil"/>
              <w:left w:val="nil"/>
              <w:bottom w:val="nil"/>
              <w:right w:val="nil"/>
            </w:tcBorders>
            <w:shd w:val="clear" w:color="auto" w:fill="auto"/>
            <w:noWrap/>
            <w:vAlign w:val="center"/>
          </w:tcPr>
          <w:p w14:paraId="372AFF4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50" w:type="dxa"/>
            <w:tcBorders>
              <w:top w:val="nil"/>
              <w:left w:val="nil"/>
              <w:bottom w:val="nil"/>
              <w:right w:val="nil"/>
            </w:tcBorders>
            <w:shd w:val="clear" w:color="auto" w:fill="auto"/>
            <w:noWrap/>
            <w:vAlign w:val="center"/>
          </w:tcPr>
          <w:p w14:paraId="56126CF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215" w:type="dxa"/>
            <w:tcBorders>
              <w:top w:val="nil"/>
              <w:left w:val="nil"/>
              <w:bottom w:val="nil"/>
              <w:right w:val="nil"/>
            </w:tcBorders>
            <w:shd w:val="clear" w:color="auto" w:fill="auto"/>
            <w:noWrap/>
            <w:vAlign w:val="center"/>
          </w:tcPr>
          <w:p w14:paraId="5165BFD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70" w:type="dxa"/>
            <w:tcBorders>
              <w:top w:val="nil"/>
              <w:left w:val="nil"/>
              <w:bottom w:val="nil"/>
              <w:right w:val="nil"/>
            </w:tcBorders>
            <w:shd w:val="clear" w:color="auto" w:fill="auto"/>
            <w:noWrap/>
            <w:vAlign w:val="center"/>
          </w:tcPr>
          <w:p w14:paraId="2ECFAAB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50" w:type="dxa"/>
            <w:tcBorders>
              <w:top w:val="nil"/>
              <w:left w:val="nil"/>
              <w:bottom w:val="nil"/>
              <w:right w:val="nil"/>
            </w:tcBorders>
            <w:shd w:val="clear" w:color="auto" w:fill="auto"/>
            <w:noWrap/>
            <w:vAlign w:val="center"/>
          </w:tcPr>
          <w:p w14:paraId="15B4E9F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28A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nil"/>
              <w:left w:val="nil"/>
              <w:bottom w:val="nil"/>
              <w:right w:val="nil"/>
            </w:tcBorders>
            <w:shd w:val="clear" w:color="auto" w:fill="auto"/>
            <w:noWrap/>
            <w:vAlign w:val="center"/>
          </w:tcPr>
          <w:p w14:paraId="4FB5018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37C8F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14:paraId="1342F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收入支出决算总表</w:t>
            </w:r>
          </w:p>
        </w:tc>
        <w:tc>
          <w:tcPr>
            <w:tcW w:w="0" w:type="auto"/>
            <w:tcBorders>
              <w:top w:val="nil"/>
              <w:left w:val="nil"/>
              <w:bottom w:val="nil"/>
              <w:right w:val="nil"/>
            </w:tcBorders>
            <w:shd w:val="clear" w:color="auto" w:fill="auto"/>
            <w:noWrap/>
            <w:vAlign w:val="center"/>
          </w:tcPr>
          <w:p w14:paraId="2EAEB0B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57921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8725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4B827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单位：环江毛南族自治县洛阳镇中心幼儿园</w:t>
            </w:r>
          </w:p>
        </w:tc>
        <w:tc>
          <w:tcPr>
            <w:tcW w:w="0" w:type="auto"/>
            <w:tcBorders>
              <w:top w:val="nil"/>
              <w:left w:val="nil"/>
              <w:bottom w:val="nil"/>
              <w:right w:val="nil"/>
            </w:tcBorders>
            <w:shd w:val="clear" w:color="auto" w:fill="auto"/>
            <w:noWrap/>
            <w:vAlign w:val="center"/>
          </w:tcPr>
          <w:p w14:paraId="7E317CC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77415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3A00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016CCAD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E727B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49B0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21E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B44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4409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F08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D12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9A1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2D9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C08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C29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3B9E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683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E77C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D03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F7F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A6A7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1C2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8AB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83CD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683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45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6022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FD7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B8E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r>
      <w:tr w14:paraId="32B8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2DC2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8EB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078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9602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A68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5C8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D0E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1E0B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183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92F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C6E5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8A5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846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E3F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974B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AAA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762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8811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91D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043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0D3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08A9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B9F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B9D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ABDD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910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07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286.57 </w:t>
            </w:r>
          </w:p>
        </w:tc>
      </w:tr>
      <w:tr w14:paraId="6494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1132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E5C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DC8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9CE0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BA3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194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8A4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B364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C3A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B1C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0509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4FE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917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DAE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7D60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9F7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5F6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0202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D5D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A0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13.21 </w:t>
            </w:r>
          </w:p>
        </w:tc>
      </w:tr>
      <w:tr w14:paraId="6729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E631C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CD6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057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F387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705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168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64C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FF150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22A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408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AB36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340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ED7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0CB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FC801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C64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EC6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88E9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C55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B84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3F2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E78A5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5C2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F37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C171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375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ACE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7F0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EBBC3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E69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E36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7B22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73A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A19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D5A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501CD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F3E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F86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C52D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589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CA3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6F7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7553F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725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D0C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3E3B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4EC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C05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465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D1C21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A4E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A9F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54B3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379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757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C4E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A4202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2E2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D78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9AAA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554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CE3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6E2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A1582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91E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BB5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C143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23B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A54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FE3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57A9D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5AE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0C2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B9F9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72F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3D1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9.48 </w:t>
            </w:r>
          </w:p>
        </w:tc>
      </w:tr>
      <w:tr w14:paraId="37FF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F0E53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08C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597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4DC3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222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39D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81F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EE069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9FC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578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CB61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E48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FD0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657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0965F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A7E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243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0CFF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772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8C7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69C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42E52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079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695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02ED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0E1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5A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9.22 </w:t>
            </w:r>
          </w:p>
        </w:tc>
      </w:tr>
      <w:tr w14:paraId="35AB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6B0AF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9F8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D47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910B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493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21A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D91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0E4DD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0B8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B26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499B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3AD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0B4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C17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4FE38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A47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4DC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D398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768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937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C6D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A1E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68C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0C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77C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7EB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436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r>
      <w:tr w14:paraId="6C7F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B4F4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61E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754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67CC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D55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E78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13D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933D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0B4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34B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FF76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2BE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FFC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01E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57941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571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060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03A78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90B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CE3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E8A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5CB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5CA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BE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F4C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2E0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664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r>
      <w:tr w14:paraId="4BF0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14:paraId="20D082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2FF1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43015C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7414169A">
      <w:pPr>
        <w:jc w:val="both"/>
        <w:rPr>
          <w:rFonts w:hint="eastAsia" w:ascii="黑体" w:hAnsi="黑体" w:eastAsia="黑体" w:cs="黑体"/>
          <w:sz w:val="32"/>
          <w:szCs w:val="32"/>
          <w:highlight w:val="none"/>
        </w:rPr>
      </w:pPr>
    </w:p>
    <w:p w14:paraId="6011537C">
      <w:pPr>
        <w:jc w:val="both"/>
        <w:rPr>
          <w:rFonts w:hint="eastAsia" w:ascii="黑体" w:hAnsi="黑体" w:eastAsia="黑体" w:cs="黑体"/>
          <w:sz w:val="32"/>
          <w:szCs w:val="32"/>
          <w:highlight w:val="none"/>
        </w:rPr>
      </w:pPr>
    </w:p>
    <w:p w14:paraId="08D7E5F2">
      <w:pPr>
        <w:rPr>
          <w:rFonts w:hint="eastAsia" w:ascii="宋体" w:hAnsi="宋体" w:eastAsia="宋体" w:cs="宋体"/>
          <w:color w:val="000000"/>
          <w:kern w:val="0"/>
          <w:sz w:val="30"/>
          <w:szCs w:val="30"/>
          <w:highlight w:val="none"/>
          <w:lang w:bidi="ar"/>
        </w:rPr>
      </w:pPr>
    </w:p>
    <w:p w14:paraId="392F0C12">
      <w:pPr>
        <w:rPr>
          <w:rFonts w:hint="eastAsia" w:ascii="宋体" w:hAnsi="宋体" w:eastAsia="宋体" w:cs="宋体"/>
          <w:color w:val="000000"/>
          <w:kern w:val="0"/>
          <w:sz w:val="30"/>
          <w:szCs w:val="30"/>
          <w:highlight w:val="none"/>
          <w:lang w:bidi="ar"/>
        </w:rPr>
      </w:pPr>
    </w:p>
    <w:p w14:paraId="39A17273">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736"/>
        <w:gridCol w:w="1800"/>
        <w:gridCol w:w="1800"/>
        <w:gridCol w:w="1316"/>
        <w:gridCol w:w="1286"/>
        <w:gridCol w:w="1282"/>
        <w:gridCol w:w="1215"/>
        <w:gridCol w:w="1305"/>
      </w:tblGrid>
      <w:tr w14:paraId="3826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30" w:type="dxa"/>
            <w:gridSpan w:val="9"/>
            <w:tcBorders>
              <w:top w:val="nil"/>
              <w:left w:val="nil"/>
              <w:bottom w:val="nil"/>
              <w:right w:val="nil"/>
            </w:tcBorders>
            <w:shd w:val="clear" w:color="auto" w:fill="auto"/>
            <w:noWrap/>
            <w:vAlign w:val="center"/>
          </w:tcPr>
          <w:p w14:paraId="3AE3ED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表二：收入决算表</w:t>
            </w:r>
          </w:p>
        </w:tc>
      </w:tr>
      <w:tr w14:paraId="4FAD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nil"/>
              <w:left w:val="nil"/>
              <w:bottom w:val="nil"/>
              <w:right w:val="nil"/>
            </w:tcBorders>
            <w:shd w:val="clear" w:color="auto" w:fill="auto"/>
            <w:noWrap/>
            <w:vAlign w:val="center"/>
          </w:tcPr>
          <w:p w14:paraId="78607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收入决算表</w:t>
            </w:r>
          </w:p>
        </w:tc>
      </w:tr>
      <w:tr w14:paraId="32B30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center"/>
          </w:tcPr>
          <w:p w14:paraId="24AC3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单位：环江毛南族自治县洛阳镇中心幼儿园</w:t>
            </w:r>
          </w:p>
        </w:tc>
        <w:tc>
          <w:tcPr>
            <w:tcW w:w="0" w:type="auto"/>
            <w:tcBorders>
              <w:top w:val="nil"/>
              <w:left w:val="nil"/>
              <w:bottom w:val="nil"/>
              <w:right w:val="nil"/>
            </w:tcBorders>
            <w:shd w:val="clear" w:color="auto" w:fill="auto"/>
            <w:noWrap/>
            <w:vAlign w:val="center"/>
          </w:tcPr>
          <w:p w14:paraId="5439D6B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C6469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F691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6168E4D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63E41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49508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84F9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4D10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AE2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5560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0BB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7EF6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B68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E43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94F4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C00C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5D17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BEBE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26F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3C62A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7653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2A488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8246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22B5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62C2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3206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546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6DF9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D871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D51D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1B340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36232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532EA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C1B4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A227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33A4F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F4C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AB10A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7433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2C00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9150B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48F6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B2C62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7F09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B2E48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AA4F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CCD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521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D787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D6A5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DBD9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0994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BE7C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BCBB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AC55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077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EC7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AC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DE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3C3E4">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44BBA">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90616">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FE8ED">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CEBF2">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1612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AF7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DB6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0D1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42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59B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2E08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6533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A00B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FDAC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D89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505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933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D1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87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7E6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3FA3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472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6862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3F76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F9E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D5B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960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8E9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340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8B1E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55AD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8997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D84A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EFEF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C06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641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877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B5B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73B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B367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FC17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E11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69FD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586E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096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6BE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72C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31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E8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956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28DB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6DF5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59CC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3D76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ED5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748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735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D2F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3B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6C3A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C2ED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41E4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8D05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C27B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AB1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nil"/>
              <w:right w:val="nil"/>
            </w:tcBorders>
            <w:shd w:val="clear" w:color="auto" w:fill="FFFFFF"/>
            <w:noWrap/>
            <w:vAlign w:val="center"/>
          </w:tcPr>
          <w:p w14:paraId="327FA8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570DD021">
      <w:pPr>
        <w:jc w:val="center"/>
        <w:rPr>
          <w:rFonts w:ascii="仿宋" w:hAnsi="仿宋" w:eastAsia="仿宋" w:cs="仿宋"/>
          <w:sz w:val="24"/>
          <w:highlight w:val="none"/>
        </w:rPr>
      </w:pPr>
    </w:p>
    <w:p w14:paraId="3DB564A0">
      <w:pPr>
        <w:rPr>
          <w:rFonts w:ascii="仿宋" w:hAnsi="仿宋" w:eastAsia="仿宋" w:cs="仿宋"/>
          <w:sz w:val="24"/>
          <w:highlight w:val="none"/>
        </w:rPr>
      </w:pPr>
      <w:r>
        <w:rPr>
          <w:rFonts w:ascii="仿宋" w:hAnsi="仿宋" w:eastAsia="仿宋" w:cs="仿宋"/>
          <w:sz w:val="24"/>
          <w:highlight w:val="none"/>
        </w:rPr>
        <w:br w:type="page"/>
      </w:r>
    </w:p>
    <w:p w14:paraId="5F4D92E3">
      <w:pPr>
        <w:jc w:val="center"/>
        <w:rPr>
          <w:rFonts w:ascii="仿宋" w:hAnsi="仿宋" w:eastAsia="仿宋" w:cs="仿宋"/>
          <w:sz w:val="24"/>
          <w:highlight w:val="none"/>
        </w:rPr>
      </w:pPr>
    </w:p>
    <w:tbl>
      <w:tblPr>
        <w:tblStyle w:val="6"/>
        <w:tblW w:w="15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1"/>
        <w:gridCol w:w="4694"/>
        <w:gridCol w:w="1681"/>
        <w:gridCol w:w="1681"/>
        <w:gridCol w:w="1957"/>
        <w:gridCol w:w="933"/>
        <w:gridCol w:w="1141"/>
        <w:gridCol w:w="1662"/>
        <w:gridCol w:w="280"/>
      </w:tblGrid>
      <w:tr w14:paraId="78C9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270" w:type="dxa"/>
            <w:gridSpan w:val="9"/>
            <w:tcBorders>
              <w:top w:val="nil"/>
              <w:left w:val="nil"/>
              <w:bottom w:val="nil"/>
              <w:right w:val="nil"/>
            </w:tcBorders>
            <w:shd w:val="clear" w:color="auto" w:fill="auto"/>
            <w:noWrap/>
            <w:vAlign w:val="center"/>
          </w:tcPr>
          <w:p w14:paraId="2A526D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表三：支出决算表</w:t>
            </w:r>
          </w:p>
        </w:tc>
      </w:tr>
      <w:tr w14:paraId="6164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nil"/>
              <w:left w:val="nil"/>
              <w:bottom w:val="nil"/>
              <w:right w:val="nil"/>
            </w:tcBorders>
            <w:shd w:val="clear" w:color="auto" w:fill="auto"/>
            <w:noWrap/>
            <w:vAlign w:val="center"/>
          </w:tcPr>
          <w:p w14:paraId="7B273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支出决算表</w:t>
            </w:r>
          </w:p>
        </w:tc>
      </w:tr>
      <w:tr w14:paraId="3A73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center"/>
          </w:tcPr>
          <w:p w14:paraId="5CB1C5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单位：环江毛南族自治县洛阳镇中心幼儿园</w:t>
            </w:r>
          </w:p>
        </w:tc>
        <w:tc>
          <w:tcPr>
            <w:tcW w:w="0" w:type="auto"/>
            <w:tcBorders>
              <w:top w:val="nil"/>
              <w:left w:val="nil"/>
              <w:bottom w:val="nil"/>
              <w:right w:val="nil"/>
            </w:tcBorders>
            <w:shd w:val="clear" w:color="auto" w:fill="auto"/>
            <w:noWrap/>
            <w:vAlign w:val="center"/>
          </w:tcPr>
          <w:p w14:paraId="2CE2417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ABE04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333B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6285FC7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9C359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0BEF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c>
          <w:tcPr>
            <w:tcW w:w="0" w:type="auto"/>
            <w:tcBorders>
              <w:top w:val="nil"/>
              <w:left w:val="nil"/>
              <w:bottom w:val="nil"/>
              <w:right w:val="nil"/>
            </w:tcBorders>
            <w:shd w:val="clear" w:color="auto" w:fill="auto"/>
            <w:noWrap/>
            <w:vAlign w:val="center"/>
          </w:tcPr>
          <w:p w14:paraId="0E8CFC5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5D6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604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D626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0E0B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CD5F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CD75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88FE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D822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c>
          <w:tcPr>
            <w:tcW w:w="0" w:type="auto"/>
            <w:tcBorders>
              <w:top w:val="nil"/>
              <w:left w:val="nil"/>
              <w:bottom w:val="nil"/>
              <w:right w:val="nil"/>
            </w:tcBorders>
            <w:shd w:val="clear" w:color="auto" w:fill="auto"/>
            <w:noWrap/>
            <w:vAlign w:val="center"/>
          </w:tcPr>
          <w:p w14:paraId="11A3AAF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FD2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80EA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920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B8C6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9CA31B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B151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FEF5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09127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922C5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0866D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66A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4B252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0A08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D49D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06A2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59E3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0B1F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EAD0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E13B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2EB06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3BB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3448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7C20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E6C4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91DF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3C57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5175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EAC15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0C03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68AD9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3DCB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4E7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9C01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2E40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FC43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BD78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BC96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55AF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nil"/>
              <w:right w:val="nil"/>
            </w:tcBorders>
            <w:shd w:val="clear" w:color="auto" w:fill="auto"/>
            <w:noWrap/>
            <w:vAlign w:val="center"/>
          </w:tcPr>
          <w:p w14:paraId="5060497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6CD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D69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D3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0E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D6A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0AB4D">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89897">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28BD1">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8FCB8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AE9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18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0D1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7E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9C6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9EB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54C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8C45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CF91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BC508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F3D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C42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9B4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3CC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D8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7FF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9B7B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271F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C26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E498D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988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2CA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509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35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06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B2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5392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DBD6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9DA7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AB910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018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A1A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37A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FD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5B2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647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691F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1154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1C6D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6054A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77F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FE6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E6E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776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98B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BA1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4820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3EA5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2A2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B836A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D45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A41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BEF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113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AA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8B8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D8F3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10AC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FD61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78B97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E94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14:paraId="56D0CE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c>
          <w:tcPr>
            <w:tcW w:w="0" w:type="auto"/>
            <w:tcBorders>
              <w:top w:val="nil"/>
              <w:left w:val="nil"/>
              <w:bottom w:val="nil"/>
              <w:right w:val="nil"/>
            </w:tcBorders>
            <w:shd w:val="clear" w:color="auto" w:fill="auto"/>
            <w:noWrap/>
            <w:vAlign w:val="center"/>
          </w:tcPr>
          <w:p w14:paraId="231472D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58639461">
      <w:pPr>
        <w:jc w:val="left"/>
        <w:rPr>
          <w:rFonts w:hint="eastAsia" w:ascii="仿宋" w:hAnsi="仿宋" w:eastAsia="仿宋" w:cs="仿宋"/>
          <w:sz w:val="24"/>
          <w:highlight w:val="none"/>
        </w:rPr>
      </w:pPr>
    </w:p>
    <w:p w14:paraId="2394531B">
      <w:pPr>
        <w:rPr>
          <w:rFonts w:ascii="仿宋" w:hAnsi="仿宋" w:eastAsia="仿宋" w:cs="仿宋"/>
          <w:sz w:val="24"/>
          <w:highlight w:val="none"/>
        </w:rPr>
      </w:pPr>
      <w:r>
        <w:rPr>
          <w:rFonts w:ascii="仿宋" w:hAnsi="仿宋" w:eastAsia="仿宋" w:cs="仿宋"/>
          <w:sz w:val="24"/>
          <w:highlight w:val="none"/>
        </w:rPr>
        <w:br w:type="page"/>
      </w:r>
    </w:p>
    <w:tbl>
      <w:tblPr>
        <w:tblStyle w:val="6"/>
        <w:tblW w:w="15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570"/>
        <w:gridCol w:w="1680"/>
        <w:gridCol w:w="3660"/>
        <w:gridCol w:w="570"/>
        <w:gridCol w:w="1680"/>
        <w:gridCol w:w="1680"/>
        <w:gridCol w:w="1185"/>
        <w:gridCol w:w="1206"/>
      </w:tblGrid>
      <w:tr w14:paraId="2C56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70" w:type="dxa"/>
            <w:tcBorders>
              <w:top w:val="nil"/>
              <w:left w:val="nil"/>
              <w:bottom w:val="nil"/>
              <w:right w:val="nil"/>
            </w:tcBorders>
            <w:shd w:val="clear" w:color="auto" w:fill="auto"/>
            <w:noWrap/>
            <w:vAlign w:val="center"/>
          </w:tcPr>
          <w:p w14:paraId="780F0F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表四：财政拔款收入支出决算总表</w:t>
            </w:r>
          </w:p>
        </w:tc>
        <w:tc>
          <w:tcPr>
            <w:tcW w:w="570" w:type="dxa"/>
            <w:tcBorders>
              <w:top w:val="nil"/>
              <w:left w:val="nil"/>
              <w:bottom w:val="nil"/>
              <w:right w:val="nil"/>
            </w:tcBorders>
            <w:shd w:val="clear" w:color="auto" w:fill="auto"/>
            <w:noWrap/>
            <w:vAlign w:val="center"/>
          </w:tcPr>
          <w:p w14:paraId="208BE18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5DDC111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60" w:type="dxa"/>
            <w:tcBorders>
              <w:top w:val="nil"/>
              <w:left w:val="nil"/>
              <w:bottom w:val="nil"/>
              <w:right w:val="nil"/>
            </w:tcBorders>
            <w:shd w:val="clear" w:color="auto" w:fill="auto"/>
            <w:noWrap/>
            <w:vAlign w:val="center"/>
          </w:tcPr>
          <w:p w14:paraId="2FCC60A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70" w:type="dxa"/>
            <w:tcBorders>
              <w:top w:val="nil"/>
              <w:left w:val="nil"/>
              <w:bottom w:val="nil"/>
              <w:right w:val="nil"/>
            </w:tcBorders>
            <w:shd w:val="clear" w:color="auto" w:fill="auto"/>
            <w:noWrap/>
            <w:vAlign w:val="center"/>
          </w:tcPr>
          <w:p w14:paraId="30672C2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1DE247F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69F75F1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noWrap/>
            <w:vAlign w:val="center"/>
          </w:tcPr>
          <w:p w14:paraId="5A3953F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noWrap/>
            <w:vAlign w:val="center"/>
          </w:tcPr>
          <w:p w14:paraId="13B082E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BD4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nil"/>
              <w:left w:val="nil"/>
              <w:bottom w:val="nil"/>
              <w:right w:val="nil"/>
            </w:tcBorders>
            <w:shd w:val="clear" w:color="auto" w:fill="auto"/>
            <w:noWrap/>
            <w:vAlign w:val="center"/>
          </w:tcPr>
          <w:p w14:paraId="5C2AD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财政拔款收入支出决算总表</w:t>
            </w:r>
          </w:p>
        </w:tc>
      </w:tr>
      <w:tr w14:paraId="2DFA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nil"/>
              <w:bottom w:val="nil"/>
              <w:right w:val="nil"/>
            </w:tcBorders>
            <w:shd w:val="clear" w:color="auto" w:fill="auto"/>
            <w:noWrap/>
            <w:vAlign w:val="center"/>
          </w:tcPr>
          <w:p w14:paraId="28094F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单位：环江毛南族自治县洛阳镇中心幼儿园</w:t>
            </w:r>
          </w:p>
        </w:tc>
        <w:tc>
          <w:tcPr>
            <w:tcW w:w="0" w:type="auto"/>
            <w:tcBorders>
              <w:top w:val="nil"/>
              <w:left w:val="nil"/>
              <w:bottom w:val="nil"/>
              <w:right w:val="nil"/>
            </w:tcBorders>
            <w:shd w:val="clear" w:color="auto" w:fill="auto"/>
            <w:noWrap/>
            <w:vAlign w:val="center"/>
          </w:tcPr>
          <w:p w14:paraId="4AD828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2C70B64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7CB80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DF43C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A4E1B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0A55F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6F39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6A0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B36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0D36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044B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B26D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8D67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8A44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82E2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D0A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29CA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B0D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1B66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14:paraId="4482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6648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9244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1DAB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22042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29C3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E171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05B7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48DE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0742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333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9E3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7D70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5EF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C64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568B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4B3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359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8C0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559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45E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7652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C01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auto"/>
            <w:noWrap/>
            <w:vAlign w:val="center"/>
          </w:tcPr>
          <w:p w14:paraId="0DD318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4C3E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CC6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AA5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21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EE27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0313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FF2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8693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4EA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285A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E277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F2A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641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7D1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14CE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96AF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A39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ABB5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B97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8DE9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FF0D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CCD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0A4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3FF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7A3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26C7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4CE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3DCAF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92B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F1CB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DF04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ADB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EE7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CD3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3D2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112B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6E3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E978F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950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5E0F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EBD5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B09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04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725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286.57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1CF3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F9E9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B2C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3F750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10E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0911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656F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AFE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74D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89B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A4E5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AD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83C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AFA4E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3E0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340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9960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002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744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356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5DE3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3B8A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7C2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D426B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20A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617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74F1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BC5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483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CC4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F157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455E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F23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A6C48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19A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564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E88F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60C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9FB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230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48A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85A9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81E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8B107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A62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9C48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3BBC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AA3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BC6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83D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966F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856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67D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EB534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80A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B73A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DBB7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6AD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2D1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63D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7B56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75C3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D72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FD52D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5AA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9F0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EA12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C60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F19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504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0CEA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ABF3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F8C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7722E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CAC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774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5520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A7C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7C7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47A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1C42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FA1C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F92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59F50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D38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E183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20DC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BD3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A0F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ABB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74CF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F219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A21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EFBB2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3DC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0C8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790B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FBA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EDC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6E3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7EBA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F464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251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759DC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901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2577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0719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896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622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CF3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F87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BD3C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1E9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E8798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893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9CB3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56CE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0BC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B6F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E73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8FC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87E6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B8E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32458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ED5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8169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7FA7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068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52F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518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4FFE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725C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2DD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E855E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4E9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842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D945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784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E33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34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CCA9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335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8C6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67179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A1D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E41D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0191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B72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E10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E21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5287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4873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DDB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651E7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37B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45C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41A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CA3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21B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8F6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E949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2BE0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FC4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18267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6C4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6EB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6892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5F3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922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3B7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6307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11E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523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B2755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BE0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23C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4131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126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A5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17C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CC2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A94A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905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B7777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AFA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2CD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0F06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17E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9D3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E4C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96B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24E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269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81A10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8A7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0743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BE06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129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E99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855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1CEE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9FBA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8EC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3AB7E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C33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8B7F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DF64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C30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16C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712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34E3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159B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A51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645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A8A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219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4B6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BA9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2A9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6C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8C5B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1F7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AE3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6FF2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0CB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3C4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83FD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4D2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E8B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494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3BF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BB53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52F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448E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A4B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D22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F92BF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C41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7C7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ABD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ED7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77DC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967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EFD6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49B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467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F6694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817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012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589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C8B8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F199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0D1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0A6B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118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EC1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4FD46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ECB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DA4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F7D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28F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D7AB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1077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B68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839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44F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049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345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D9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E3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CD04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0C27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B05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14:paraId="027C14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14:paraId="67CEE49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14:paraId="59ADE789">
      <w:pPr>
        <w:jc w:val="left"/>
        <w:rPr>
          <w:rFonts w:ascii="仿宋" w:hAnsi="仿宋" w:eastAsia="仿宋" w:cs="仿宋"/>
          <w:sz w:val="24"/>
          <w:highlight w:val="none"/>
        </w:rPr>
      </w:pPr>
    </w:p>
    <w:p w14:paraId="5A31C4EE">
      <w:pPr>
        <w:rPr>
          <w:rFonts w:ascii="仿宋" w:hAnsi="仿宋" w:eastAsia="仿宋" w:cs="仿宋"/>
          <w:sz w:val="24"/>
          <w:highlight w:val="none"/>
        </w:rPr>
      </w:pPr>
      <w:r>
        <w:rPr>
          <w:rFonts w:ascii="仿宋" w:hAnsi="仿宋" w:eastAsia="仿宋" w:cs="仿宋"/>
          <w:sz w:val="24"/>
          <w:highlight w:val="none"/>
        </w:rPr>
        <w:br w:type="page"/>
      </w:r>
    </w:p>
    <w:tbl>
      <w:tblPr>
        <w:tblStyle w:val="6"/>
        <w:tblW w:w="134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3930"/>
        <w:gridCol w:w="2385"/>
        <w:gridCol w:w="2565"/>
        <w:gridCol w:w="3255"/>
      </w:tblGrid>
      <w:tr w14:paraId="4F8C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46" w:type="dxa"/>
            <w:gridSpan w:val="2"/>
            <w:tcBorders>
              <w:top w:val="nil"/>
              <w:left w:val="nil"/>
              <w:bottom w:val="nil"/>
              <w:right w:val="nil"/>
            </w:tcBorders>
            <w:shd w:val="clear" w:color="auto" w:fill="auto"/>
            <w:noWrap/>
            <w:vAlign w:val="center"/>
          </w:tcPr>
          <w:p w14:paraId="60B4680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表五：一般公共预算财政拨款支出决算表</w:t>
            </w:r>
          </w:p>
        </w:tc>
        <w:tc>
          <w:tcPr>
            <w:tcW w:w="2385" w:type="dxa"/>
            <w:tcBorders>
              <w:top w:val="nil"/>
              <w:left w:val="nil"/>
              <w:bottom w:val="nil"/>
              <w:right w:val="nil"/>
            </w:tcBorders>
            <w:shd w:val="clear" w:color="auto" w:fill="auto"/>
            <w:noWrap/>
            <w:vAlign w:val="center"/>
          </w:tcPr>
          <w:p w14:paraId="459734B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565" w:type="dxa"/>
            <w:tcBorders>
              <w:top w:val="nil"/>
              <w:left w:val="nil"/>
              <w:bottom w:val="nil"/>
              <w:right w:val="nil"/>
            </w:tcBorders>
            <w:shd w:val="clear" w:color="auto" w:fill="auto"/>
            <w:noWrap/>
            <w:vAlign w:val="center"/>
          </w:tcPr>
          <w:p w14:paraId="763E064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55" w:type="dxa"/>
            <w:tcBorders>
              <w:top w:val="nil"/>
              <w:left w:val="nil"/>
              <w:bottom w:val="nil"/>
              <w:right w:val="nil"/>
            </w:tcBorders>
            <w:shd w:val="clear" w:color="auto" w:fill="auto"/>
            <w:noWrap/>
            <w:vAlign w:val="center"/>
          </w:tcPr>
          <w:p w14:paraId="2EDFF2F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844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5"/>
            <w:tcBorders>
              <w:top w:val="nil"/>
              <w:left w:val="nil"/>
              <w:bottom w:val="nil"/>
              <w:right w:val="nil"/>
            </w:tcBorders>
            <w:shd w:val="clear" w:color="auto" w:fill="auto"/>
            <w:noWrap/>
            <w:vAlign w:val="center"/>
          </w:tcPr>
          <w:p w14:paraId="61A03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一般公共预算财政拨款支出决算表</w:t>
            </w:r>
          </w:p>
        </w:tc>
      </w:tr>
      <w:tr w14:paraId="6E96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center"/>
          </w:tcPr>
          <w:p w14:paraId="1E4D72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单位：环江毛南族自治县洛阳镇中心幼儿园</w:t>
            </w:r>
          </w:p>
        </w:tc>
        <w:tc>
          <w:tcPr>
            <w:tcW w:w="0" w:type="auto"/>
            <w:tcBorders>
              <w:top w:val="nil"/>
              <w:left w:val="nil"/>
              <w:bottom w:val="nil"/>
              <w:right w:val="nil"/>
            </w:tcBorders>
            <w:shd w:val="clear" w:color="auto" w:fill="auto"/>
            <w:noWrap/>
            <w:vAlign w:val="center"/>
          </w:tcPr>
          <w:p w14:paraId="1CCB17E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24FB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48056D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3595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260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20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9994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259B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16EF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64D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D9E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773F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2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C122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39E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5AE2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E104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E4A0B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0C8E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8A059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A1A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B527C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DAE9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C699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2655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530F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251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B40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FBA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D3F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FDA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72C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D33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B97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BB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7B4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171.11 </w:t>
            </w:r>
          </w:p>
        </w:tc>
      </w:tr>
      <w:tr w14:paraId="494D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E80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9CD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4D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5A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553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497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120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8B8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D2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024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98B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170.50 </w:t>
            </w:r>
          </w:p>
        </w:tc>
      </w:tr>
      <w:tr w14:paraId="40ED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16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6AE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D3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CA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4D4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r>
      <w:tr w14:paraId="63D8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997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B74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003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60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D77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4E8B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E83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29E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D7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9B9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5E73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5DB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FEB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363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35B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5A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4017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0CB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single" w:color="000000" w:sz="4" w:space="0"/>
              <w:left w:val="nil"/>
              <w:bottom w:val="nil"/>
              <w:right w:val="nil"/>
            </w:tcBorders>
            <w:shd w:val="clear" w:color="auto" w:fill="FFFFFF"/>
            <w:noWrap/>
            <w:vAlign w:val="center"/>
          </w:tcPr>
          <w:p w14:paraId="516EF2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79BD493">
      <w:pPr>
        <w:jc w:val="left"/>
        <w:rPr>
          <w:rFonts w:ascii="仿宋" w:hAnsi="仿宋" w:eastAsia="仿宋" w:cs="仿宋"/>
          <w:sz w:val="24"/>
          <w:highlight w:val="none"/>
        </w:rPr>
      </w:pPr>
      <w:r>
        <w:rPr>
          <w:rFonts w:ascii="仿宋" w:hAnsi="仿宋" w:eastAsia="仿宋" w:cs="仿宋"/>
          <w:sz w:val="24"/>
          <w:highlight w:val="none"/>
        </w:rPr>
        <w:br w:type="page"/>
      </w:r>
    </w:p>
    <w:tbl>
      <w:tblPr>
        <w:tblStyle w:val="6"/>
        <w:tblW w:w="14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2910"/>
        <w:gridCol w:w="1289"/>
        <w:gridCol w:w="766"/>
        <w:gridCol w:w="2775"/>
        <w:gridCol w:w="1395"/>
        <w:gridCol w:w="766"/>
        <w:gridCol w:w="3075"/>
        <w:gridCol w:w="1305"/>
      </w:tblGrid>
      <w:tr w14:paraId="2944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5" w:type="dxa"/>
            <w:gridSpan w:val="3"/>
            <w:tcBorders>
              <w:top w:val="nil"/>
              <w:left w:val="nil"/>
              <w:bottom w:val="nil"/>
              <w:right w:val="nil"/>
            </w:tcBorders>
            <w:shd w:val="clear" w:color="auto" w:fill="auto"/>
            <w:noWrap/>
            <w:vAlign w:val="center"/>
          </w:tcPr>
          <w:p w14:paraId="40706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表六：一般公共预算财政拨款基本支出决算明细表</w:t>
            </w:r>
          </w:p>
        </w:tc>
        <w:tc>
          <w:tcPr>
            <w:tcW w:w="735" w:type="dxa"/>
            <w:tcBorders>
              <w:top w:val="nil"/>
              <w:left w:val="nil"/>
              <w:bottom w:val="nil"/>
              <w:right w:val="nil"/>
            </w:tcBorders>
            <w:shd w:val="clear" w:color="auto" w:fill="auto"/>
            <w:noWrap/>
            <w:vAlign w:val="center"/>
          </w:tcPr>
          <w:p w14:paraId="61A9699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775" w:type="dxa"/>
            <w:tcBorders>
              <w:top w:val="nil"/>
              <w:left w:val="nil"/>
              <w:bottom w:val="nil"/>
              <w:right w:val="nil"/>
            </w:tcBorders>
            <w:shd w:val="clear" w:color="auto" w:fill="auto"/>
            <w:noWrap/>
            <w:vAlign w:val="center"/>
          </w:tcPr>
          <w:p w14:paraId="3F12EB4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5" w:type="dxa"/>
            <w:tcBorders>
              <w:top w:val="nil"/>
              <w:left w:val="nil"/>
              <w:bottom w:val="nil"/>
              <w:right w:val="nil"/>
            </w:tcBorders>
            <w:shd w:val="clear" w:color="auto" w:fill="auto"/>
            <w:noWrap/>
            <w:vAlign w:val="center"/>
          </w:tcPr>
          <w:p w14:paraId="40D7116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shd w:val="clear" w:color="auto" w:fill="auto"/>
            <w:noWrap/>
            <w:vAlign w:val="center"/>
          </w:tcPr>
          <w:p w14:paraId="6DA8518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075" w:type="dxa"/>
            <w:tcBorders>
              <w:top w:val="nil"/>
              <w:left w:val="nil"/>
              <w:bottom w:val="nil"/>
              <w:right w:val="nil"/>
            </w:tcBorders>
            <w:shd w:val="clear" w:color="auto" w:fill="auto"/>
            <w:noWrap/>
            <w:vAlign w:val="center"/>
          </w:tcPr>
          <w:p w14:paraId="7A7A653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14:paraId="5270A42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8C6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nil"/>
              <w:left w:val="nil"/>
              <w:bottom w:val="nil"/>
              <w:right w:val="nil"/>
            </w:tcBorders>
            <w:shd w:val="clear" w:color="auto" w:fill="auto"/>
            <w:noWrap/>
            <w:vAlign w:val="center"/>
          </w:tcPr>
          <w:p w14:paraId="6AEAB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一般公共预算财政拨款基本支出决算明细表</w:t>
            </w:r>
          </w:p>
        </w:tc>
      </w:tr>
      <w:tr w14:paraId="708E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nil"/>
              <w:bottom w:val="nil"/>
              <w:right w:val="nil"/>
            </w:tcBorders>
            <w:shd w:val="clear" w:color="auto" w:fill="auto"/>
            <w:noWrap/>
            <w:vAlign w:val="center"/>
          </w:tcPr>
          <w:p w14:paraId="1C95ED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单位：环江毛南族自治县洛阳镇中心幼儿园</w:t>
            </w:r>
          </w:p>
        </w:tc>
        <w:tc>
          <w:tcPr>
            <w:tcW w:w="0" w:type="auto"/>
            <w:tcBorders>
              <w:top w:val="nil"/>
              <w:left w:val="nil"/>
              <w:bottom w:val="nil"/>
              <w:right w:val="nil"/>
            </w:tcBorders>
            <w:shd w:val="clear" w:color="auto" w:fill="auto"/>
            <w:noWrap/>
            <w:vAlign w:val="center"/>
          </w:tcPr>
          <w:p w14:paraId="671F8FF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2BAEE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FF6E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4609E40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3A57E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98DB9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1566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89E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F5F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0A44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5A05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9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4266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1F1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48C0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F980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F8AB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5A75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DB6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7AD1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22F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40B5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FE6A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5522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A9EAB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0FD2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166B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39C70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E7F1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B779B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A9DE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CA73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292E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nil"/>
              <w:right w:val="nil"/>
            </w:tcBorders>
            <w:shd w:val="clear" w:color="auto" w:fill="auto"/>
            <w:noWrap/>
            <w:vAlign w:val="center"/>
          </w:tcPr>
          <w:p w14:paraId="7122DE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147.37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E3EC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4F2A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nil"/>
              <w:right w:val="nil"/>
            </w:tcBorders>
            <w:shd w:val="clear" w:color="auto" w:fill="auto"/>
            <w:noWrap/>
            <w:vAlign w:val="center"/>
          </w:tcPr>
          <w:p w14:paraId="7EC39D7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5D68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ED9D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CB1D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D1D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EC44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796B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nil"/>
              <w:right w:val="nil"/>
            </w:tcBorders>
            <w:shd w:val="clear" w:color="auto" w:fill="auto"/>
            <w:noWrap/>
            <w:vAlign w:val="center"/>
          </w:tcPr>
          <w:p w14:paraId="44B69AF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51.66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C9F9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F237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6F44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119C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2C9A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68F3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0B4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10A2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D59B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nil"/>
              <w:right w:val="nil"/>
            </w:tcBorders>
            <w:shd w:val="clear" w:color="auto" w:fill="auto"/>
            <w:noWrap/>
            <w:vAlign w:val="center"/>
          </w:tcPr>
          <w:p w14:paraId="15E4AFA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12.03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1AB7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622C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98F6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3776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911E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D37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BE8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E813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32C9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nil"/>
              <w:right w:val="nil"/>
            </w:tcBorders>
            <w:shd w:val="clear" w:color="auto" w:fill="auto"/>
            <w:noWrap/>
            <w:vAlign w:val="center"/>
          </w:tcPr>
          <w:p w14:paraId="5EDD710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28.44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6783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FCE1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58AE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E650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45ED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F43D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F0D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C04E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E0FA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8233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27FA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F0DE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3847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3457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578F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24E8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6817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3DE4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BE6F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nil"/>
              <w:right w:val="nil"/>
            </w:tcBorders>
            <w:shd w:val="clear" w:color="auto" w:fill="auto"/>
            <w:noWrap/>
            <w:vAlign w:val="center"/>
          </w:tcPr>
          <w:p w14:paraId="3E6A772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26.35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16A0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9A32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01BD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E2A9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6761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61A4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3FD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8315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9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1BF03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nil"/>
              <w:right w:val="nil"/>
            </w:tcBorders>
            <w:shd w:val="clear" w:color="auto" w:fill="auto"/>
            <w:noWrap/>
            <w:vAlign w:val="center"/>
          </w:tcPr>
          <w:p w14:paraId="72F594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13.21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F79B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21F8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C128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8BEB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B8DC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7D43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55B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E4F8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CFC8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FA13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2D6F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90B9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EA9D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B142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62F8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1E94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8CE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70A7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054B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nil"/>
              <w:right w:val="nil"/>
            </w:tcBorders>
            <w:shd w:val="clear" w:color="auto" w:fill="auto"/>
            <w:noWrap/>
            <w:vAlign w:val="center"/>
          </w:tcPr>
          <w:p w14:paraId="09159E6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5.53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862A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62B3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D08F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EE11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B5C5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7713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828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42D2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560E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F1F5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BB1D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E139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6283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3EA0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6FA6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A5D3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3CA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B658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F6DB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nil"/>
              <w:right w:val="nil"/>
            </w:tcBorders>
            <w:shd w:val="clear" w:color="auto" w:fill="auto"/>
            <w:noWrap/>
            <w:vAlign w:val="center"/>
          </w:tcPr>
          <w:p w14:paraId="2A6B6DA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0.66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91AC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38C7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011E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48DE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B4D6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B6CB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93A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C33B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BC7D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nil"/>
              <w:right w:val="nil"/>
            </w:tcBorders>
            <w:shd w:val="clear" w:color="auto" w:fill="auto"/>
            <w:noWrap/>
            <w:vAlign w:val="center"/>
          </w:tcPr>
          <w:p w14:paraId="2963C2A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9.48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5580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2FCD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F26A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E709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6C1F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75B3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C0B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9F23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40F9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363B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4452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772D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1F7B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C5D3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8A43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C86F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536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8745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A0B9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9A3A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7971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4A67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1458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5663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A124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52B4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F11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D63D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A65F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DE81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A56E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44D5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A44D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807A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23E3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D4C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1CB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B25D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2345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1BA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A927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F466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558D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1A0F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7B2E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DE85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69F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5890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B26E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8CD6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62D7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2528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E951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04D0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ED80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051F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2CB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8D11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CEE4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7DBC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C8E0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8436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823C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1DB9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D926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46CF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C2E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58FA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F5BD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66C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80EB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037E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0131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E923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74CF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C8B3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B12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4EA9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6421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C060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A44D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8391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0B19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B2C3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3649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41CC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9B0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B55E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F4EB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50D1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5059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A633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F4BA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5C5B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7120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16A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E16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73B7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36F1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3525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0B10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0B44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62BF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3B0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17B0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D04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4FB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0343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655F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06F1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0B09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9B53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nil"/>
              <w:right w:val="nil"/>
            </w:tcBorders>
            <w:shd w:val="clear" w:color="auto" w:fill="auto"/>
            <w:noWrap/>
            <w:vAlign w:val="center"/>
          </w:tcPr>
          <w:p w14:paraId="57AD36F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2053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07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7F80A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FC09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E5E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3532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C952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F98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F98F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74F1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9EB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B2B8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49C3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3ACE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8D8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5CB5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DDD0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8BB1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DED8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D625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7016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A744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367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6C0F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2D4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ADD4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7F37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B691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E241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C78C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211F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ED00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8FEC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24F7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5BD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1AA7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CFF2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2964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A24F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C855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4604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A1A8D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E7F23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609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412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FFB3D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1D051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B15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D7D7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D041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F3AE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E5DCB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D8AD3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B7DB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130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591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nil"/>
              <w:right w:val="nil"/>
            </w:tcBorders>
            <w:shd w:val="clear" w:color="auto" w:fill="auto"/>
            <w:noWrap/>
            <w:vAlign w:val="center"/>
          </w:tcPr>
          <w:p w14:paraId="68DCF2C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147.37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696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07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r>
      <w:tr w14:paraId="49C4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nil"/>
              <w:right w:val="nil"/>
            </w:tcBorders>
            <w:shd w:val="clear" w:color="auto" w:fill="FFFFFF"/>
            <w:noWrap/>
            <w:vAlign w:val="center"/>
          </w:tcPr>
          <w:p w14:paraId="399892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4E7DAC44">
      <w:pPr>
        <w:jc w:val="left"/>
        <w:rPr>
          <w:rFonts w:hint="eastAsia" w:ascii="仿宋" w:hAnsi="仿宋" w:eastAsia="仿宋" w:cs="仿宋"/>
          <w:sz w:val="24"/>
          <w:highlight w:val="none"/>
        </w:rPr>
      </w:pPr>
    </w:p>
    <w:p w14:paraId="3369083F">
      <w:pPr>
        <w:jc w:val="left"/>
        <w:rPr>
          <w:rFonts w:ascii="仿宋" w:hAnsi="仿宋" w:eastAsia="仿宋" w:cs="仿宋"/>
          <w:sz w:val="24"/>
          <w:highlight w:val="none"/>
        </w:rPr>
      </w:pPr>
    </w:p>
    <w:p w14:paraId="257B9E22">
      <w:pPr>
        <w:rPr>
          <w:rFonts w:ascii="仿宋" w:hAnsi="仿宋" w:eastAsia="仿宋" w:cs="仿宋"/>
          <w:sz w:val="24"/>
          <w:highlight w:val="none"/>
        </w:rPr>
      </w:pPr>
      <w:r>
        <w:rPr>
          <w:rFonts w:ascii="仿宋" w:hAnsi="仿宋" w:eastAsia="仿宋" w:cs="仿宋"/>
          <w:sz w:val="24"/>
          <w:highlight w:val="none"/>
        </w:rPr>
        <w:br w:type="page"/>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0"/>
        <w:gridCol w:w="1076"/>
        <w:gridCol w:w="839"/>
        <w:gridCol w:w="775"/>
        <w:gridCol w:w="1291"/>
        <w:gridCol w:w="894"/>
        <w:gridCol w:w="867"/>
        <w:gridCol w:w="1189"/>
      </w:tblGrid>
      <w:tr w14:paraId="09D6E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12" w:type="dxa"/>
            <w:gridSpan w:val="2"/>
            <w:tcBorders>
              <w:top w:val="nil"/>
              <w:left w:val="nil"/>
              <w:bottom w:val="nil"/>
              <w:right w:val="nil"/>
            </w:tcBorders>
            <w:shd w:val="clear" w:color="auto" w:fill="auto"/>
            <w:noWrap/>
            <w:vAlign w:val="center"/>
          </w:tcPr>
          <w:p w14:paraId="79BB2E1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表七：政府性基金预算财政拨款收入支出决算表</w:t>
            </w:r>
          </w:p>
        </w:tc>
        <w:tc>
          <w:tcPr>
            <w:tcW w:w="854" w:type="dxa"/>
            <w:tcBorders>
              <w:top w:val="nil"/>
              <w:left w:val="nil"/>
              <w:bottom w:val="nil"/>
              <w:right w:val="nil"/>
            </w:tcBorders>
            <w:shd w:val="clear" w:color="auto" w:fill="auto"/>
            <w:noWrap/>
            <w:vAlign w:val="center"/>
          </w:tcPr>
          <w:p w14:paraId="4294B3D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8" w:type="dxa"/>
            <w:tcBorders>
              <w:top w:val="nil"/>
              <w:left w:val="nil"/>
              <w:bottom w:val="nil"/>
              <w:right w:val="nil"/>
            </w:tcBorders>
            <w:shd w:val="clear" w:color="auto" w:fill="auto"/>
            <w:noWrap/>
            <w:vAlign w:val="center"/>
          </w:tcPr>
          <w:p w14:paraId="2E3A9BF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23" w:type="dxa"/>
            <w:tcBorders>
              <w:top w:val="nil"/>
              <w:left w:val="nil"/>
              <w:bottom w:val="nil"/>
              <w:right w:val="nil"/>
            </w:tcBorders>
            <w:shd w:val="clear" w:color="auto" w:fill="auto"/>
            <w:noWrap/>
            <w:vAlign w:val="center"/>
          </w:tcPr>
          <w:p w14:paraId="761C7A6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10" w:type="dxa"/>
            <w:tcBorders>
              <w:top w:val="nil"/>
              <w:left w:val="nil"/>
              <w:bottom w:val="nil"/>
              <w:right w:val="nil"/>
            </w:tcBorders>
            <w:shd w:val="clear" w:color="auto" w:fill="auto"/>
            <w:noWrap/>
            <w:vAlign w:val="center"/>
          </w:tcPr>
          <w:p w14:paraId="6ADF276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82" w:type="dxa"/>
            <w:tcBorders>
              <w:top w:val="nil"/>
              <w:left w:val="nil"/>
              <w:bottom w:val="nil"/>
              <w:right w:val="nil"/>
            </w:tcBorders>
            <w:shd w:val="clear" w:color="auto" w:fill="auto"/>
            <w:noWrap/>
            <w:vAlign w:val="center"/>
          </w:tcPr>
          <w:p w14:paraId="4C89F26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12" w:type="dxa"/>
            <w:tcBorders>
              <w:top w:val="nil"/>
              <w:left w:val="nil"/>
              <w:bottom w:val="nil"/>
              <w:right w:val="nil"/>
            </w:tcBorders>
            <w:shd w:val="clear" w:color="auto" w:fill="auto"/>
            <w:noWrap/>
            <w:vAlign w:val="center"/>
          </w:tcPr>
          <w:p w14:paraId="1B8DAFF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B7B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7"/>
            <w:tcBorders>
              <w:top w:val="nil"/>
              <w:left w:val="nil"/>
              <w:bottom w:val="nil"/>
              <w:right w:val="nil"/>
            </w:tcBorders>
            <w:shd w:val="clear" w:color="auto" w:fill="auto"/>
            <w:noWrap/>
            <w:vAlign w:val="center"/>
          </w:tcPr>
          <w:p w14:paraId="088F5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政府性基金预算财政拨款收入支出决算表</w:t>
            </w:r>
          </w:p>
        </w:tc>
        <w:tc>
          <w:tcPr>
            <w:tcW w:w="0" w:type="auto"/>
            <w:tcBorders>
              <w:top w:val="nil"/>
              <w:left w:val="nil"/>
              <w:bottom w:val="nil"/>
              <w:right w:val="nil"/>
            </w:tcBorders>
            <w:shd w:val="clear" w:color="auto" w:fill="auto"/>
            <w:noWrap/>
            <w:vAlign w:val="center"/>
          </w:tcPr>
          <w:p w14:paraId="014B7D29">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36"/>
                <w:szCs w:val="36"/>
                <w:u w:val="none"/>
              </w:rPr>
            </w:pPr>
          </w:p>
        </w:tc>
      </w:tr>
      <w:tr w14:paraId="6826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center"/>
          </w:tcPr>
          <w:p w14:paraId="0D0425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单位：环江毛南族自治县洛阳镇中心幼儿园</w:t>
            </w:r>
          </w:p>
        </w:tc>
        <w:tc>
          <w:tcPr>
            <w:tcW w:w="0" w:type="auto"/>
            <w:tcBorders>
              <w:top w:val="nil"/>
              <w:left w:val="nil"/>
              <w:bottom w:val="nil"/>
              <w:right w:val="nil"/>
            </w:tcBorders>
            <w:shd w:val="clear" w:color="auto" w:fill="auto"/>
            <w:noWrap/>
            <w:vAlign w:val="center"/>
          </w:tcPr>
          <w:p w14:paraId="2B963FA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9929C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1657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7A89EF5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2137E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EBE21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7260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23E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1326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733B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9800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77F7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010B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4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69F4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9A9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0D42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A59D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D875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79F3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6F69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18A2C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2CA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DC06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EBE7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5AF9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8333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6D5F1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9960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81B8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D95D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968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D5B1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0AD5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0EBA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D399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4778B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6615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35BE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0ED6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940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ABD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C67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135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4B9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73F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DFD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50A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091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801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B9A65">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AD041">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B099D">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1167B">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F1CF4">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0BEA6">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24B6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A895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5B9C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47C8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F3F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E52E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90C0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59D1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097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FF1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14:paraId="2D82B5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1E45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077" w:type="dxa"/>
            <w:gridSpan w:val="5"/>
            <w:tcBorders>
              <w:top w:val="nil"/>
              <w:left w:val="nil"/>
              <w:bottom w:val="nil"/>
              <w:right w:val="nil"/>
            </w:tcBorders>
            <w:shd w:val="clear" w:color="auto" w:fill="auto"/>
            <w:noWrap/>
            <w:vAlign w:val="center"/>
          </w:tcPr>
          <w:p w14:paraId="1E5D486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本部门2023年度没有政府性基金预算财政拨款收入，也没有政府性基金预算财政拨款安排的支出，故本表无数据。</w:t>
            </w:r>
          </w:p>
        </w:tc>
        <w:tc>
          <w:tcPr>
            <w:tcW w:w="0" w:type="auto"/>
            <w:tcBorders>
              <w:top w:val="nil"/>
              <w:left w:val="nil"/>
              <w:bottom w:val="nil"/>
              <w:right w:val="nil"/>
            </w:tcBorders>
            <w:shd w:val="clear" w:color="auto" w:fill="auto"/>
            <w:noWrap/>
            <w:vAlign w:val="center"/>
          </w:tcPr>
          <w:p w14:paraId="4C1A8DF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C6DC8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38FF0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3DBBFA8D">
      <w:pPr>
        <w:jc w:val="left"/>
        <w:rPr>
          <w:rFonts w:hint="eastAsia" w:ascii="仿宋" w:hAnsi="仿宋" w:eastAsia="仿宋" w:cs="仿宋"/>
          <w:sz w:val="24"/>
          <w:highlight w:val="none"/>
        </w:rPr>
      </w:pPr>
    </w:p>
    <w:p w14:paraId="12D52658">
      <w:pPr>
        <w:rPr>
          <w:rFonts w:ascii="仿宋" w:hAnsi="仿宋" w:eastAsia="仿宋" w:cs="仿宋"/>
          <w:sz w:val="24"/>
          <w:highlight w:val="none"/>
        </w:rPr>
      </w:pPr>
      <w:r>
        <w:rPr>
          <w:rFonts w:ascii="仿宋" w:hAnsi="仿宋" w:eastAsia="仿宋" w:cs="仿宋"/>
          <w:sz w:val="24"/>
          <w:highlight w:val="none"/>
        </w:rPr>
        <w:br w:type="page"/>
      </w:r>
    </w:p>
    <w:p w14:paraId="12BF5ABC">
      <w:pPr>
        <w:jc w:val="left"/>
        <w:rPr>
          <w:rFonts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8"/>
        <w:gridCol w:w="281"/>
        <w:gridCol w:w="281"/>
        <w:gridCol w:w="2329"/>
        <w:gridCol w:w="1390"/>
        <w:gridCol w:w="1390"/>
        <w:gridCol w:w="1622"/>
      </w:tblGrid>
      <w:tr w14:paraId="0D0B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88" w:type="dxa"/>
            <w:tcBorders>
              <w:top w:val="nil"/>
              <w:left w:val="nil"/>
              <w:bottom w:val="nil"/>
              <w:right w:val="nil"/>
            </w:tcBorders>
            <w:shd w:val="clear" w:color="auto" w:fill="auto"/>
            <w:noWrap/>
            <w:vAlign w:val="center"/>
          </w:tcPr>
          <w:p w14:paraId="13A119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表八：国有资本经营预算财政拨款支出决算表</w:t>
            </w:r>
          </w:p>
        </w:tc>
        <w:tc>
          <w:tcPr>
            <w:tcW w:w="281" w:type="dxa"/>
            <w:tcBorders>
              <w:top w:val="nil"/>
              <w:left w:val="nil"/>
              <w:bottom w:val="nil"/>
              <w:right w:val="nil"/>
            </w:tcBorders>
            <w:shd w:val="clear" w:color="auto" w:fill="auto"/>
            <w:noWrap/>
            <w:vAlign w:val="center"/>
          </w:tcPr>
          <w:p w14:paraId="629FAD0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1" w:type="dxa"/>
            <w:tcBorders>
              <w:top w:val="nil"/>
              <w:left w:val="nil"/>
              <w:bottom w:val="nil"/>
              <w:right w:val="nil"/>
            </w:tcBorders>
            <w:shd w:val="clear" w:color="auto" w:fill="auto"/>
            <w:noWrap/>
            <w:vAlign w:val="center"/>
          </w:tcPr>
          <w:p w14:paraId="496D33E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29" w:type="dxa"/>
            <w:tcBorders>
              <w:top w:val="nil"/>
              <w:left w:val="nil"/>
              <w:bottom w:val="nil"/>
              <w:right w:val="nil"/>
            </w:tcBorders>
            <w:shd w:val="clear" w:color="auto" w:fill="auto"/>
            <w:noWrap/>
            <w:vAlign w:val="center"/>
          </w:tcPr>
          <w:p w14:paraId="29E84CC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0" w:type="dxa"/>
            <w:tcBorders>
              <w:top w:val="nil"/>
              <w:left w:val="nil"/>
              <w:bottom w:val="nil"/>
              <w:right w:val="nil"/>
            </w:tcBorders>
            <w:shd w:val="clear" w:color="auto" w:fill="auto"/>
            <w:noWrap/>
            <w:vAlign w:val="center"/>
          </w:tcPr>
          <w:p w14:paraId="3DAF180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0" w:type="dxa"/>
            <w:tcBorders>
              <w:top w:val="nil"/>
              <w:left w:val="nil"/>
              <w:bottom w:val="nil"/>
              <w:right w:val="nil"/>
            </w:tcBorders>
            <w:shd w:val="clear" w:color="auto" w:fill="auto"/>
            <w:noWrap/>
            <w:vAlign w:val="center"/>
          </w:tcPr>
          <w:p w14:paraId="420CB07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22" w:type="dxa"/>
            <w:tcBorders>
              <w:top w:val="nil"/>
              <w:left w:val="nil"/>
              <w:bottom w:val="nil"/>
              <w:right w:val="nil"/>
            </w:tcBorders>
            <w:shd w:val="clear" w:color="auto" w:fill="auto"/>
            <w:noWrap/>
            <w:vAlign w:val="center"/>
          </w:tcPr>
          <w:p w14:paraId="3D09D8D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C7F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7"/>
            <w:tcBorders>
              <w:top w:val="nil"/>
              <w:left w:val="nil"/>
              <w:bottom w:val="nil"/>
              <w:right w:val="nil"/>
            </w:tcBorders>
            <w:shd w:val="clear" w:color="auto" w:fill="auto"/>
            <w:noWrap/>
            <w:vAlign w:val="center"/>
          </w:tcPr>
          <w:p w14:paraId="13925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国有资本经营预算财政拨款支出决算表</w:t>
            </w:r>
          </w:p>
        </w:tc>
      </w:tr>
      <w:tr w14:paraId="7EBD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nil"/>
              <w:bottom w:val="nil"/>
              <w:right w:val="nil"/>
            </w:tcBorders>
            <w:shd w:val="clear" w:color="auto" w:fill="auto"/>
            <w:noWrap/>
            <w:vAlign w:val="center"/>
          </w:tcPr>
          <w:p w14:paraId="544E6B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单位：环江毛南族自治县洛阳镇中心幼儿园</w:t>
            </w:r>
          </w:p>
        </w:tc>
        <w:tc>
          <w:tcPr>
            <w:tcW w:w="0" w:type="auto"/>
            <w:tcBorders>
              <w:top w:val="nil"/>
              <w:left w:val="nil"/>
              <w:bottom w:val="nil"/>
              <w:right w:val="nil"/>
            </w:tcBorders>
            <w:shd w:val="clear" w:color="auto" w:fill="auto"/>
            <w:noWrap/>
            <w:vAlign w:val="center"/>
          </w:tcPr>
          <w:p w14:paraId="55269ED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41FE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7014D37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5325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03E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402"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D5A4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4DA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E57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177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8405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7816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FB48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86A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A90D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FD92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00B5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612A1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D3B8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035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28260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15B8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8572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E574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B40E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0E1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DB4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28D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3E3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5E4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24F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BF8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534BF">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0066A">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ECF39">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0FE7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C1AC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6795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4A5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D4DE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F5FA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420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14:paraId="5351E2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6A12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9" w:type="dxa"/>
            <w:gridSpan w:val="6"/>
            <w:tcBorders>
              <w:top w:val="nil"/>
              <w:left w:val="nil"/>
              <w:bottom w:val="nil"/>
              <w:right w:val="nil"/>
            </w:tcBorders>
            <w:shd w:val="clear" w:color="auto" w:fill="auto"/>
            <w:noWrap/>
            <w:vAlign w:val="center"/>
          </w:tcPr>
          <w:p w14:paraId="23135BC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本部门2023年度没有国有资本经营预算财政拨款收入，也没有国有资本经营预算财政拨款安排的支出，故本表无数据。</w:t>
            </w:r>
          </w:p>
        </w:tc>
        <w:tc>
          <w:tcPr>
            <w:tcW w:w="0" w:type="auto"/>
            <w:tcBorders>
              <w:top w:val="nil"/>
              <w:left w:val="nil"/>
              <w:bottom w:val="nil"/>
              <w:right w:val="nil"/>
            </w:tcBorders>
            <w:shd w:val="clear" w:color="auto" w:fill="auto"/>
            <w:noWrap/>
            <w:vAlign w:val="center"/>
          </w:tcPr>
          <w:p w14:paraId="46AEDE1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54F0D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39308D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0279D3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2288EF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6BA5E2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2BEAB3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0A63F4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72DC67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0B554C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4FCCF0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79D3A8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3D8931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198EF8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tbl>
      <w:tblPr>
        <w:tblStyle w:val="6"/>
        <w:tblW w:w="145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410"/>
        <w:gridCol w:w="1410"/>
        <w:gridCol w:w="1410"/>
        <w:gridCol w:w="1140"/>
        <w:gridCol w:w="1215"/>
        <w:gridCol w:w="1316"/>
        <w:gridCol w:w="1140"/>
        <w:gridCol w:w="1125"/>
        <w:gridCol w:w="1245"/>
        <w:gridCol w:w="1155"/>
        <w:gridCol w:w="1206"/>
      </w:tblGrid>
      <w:tr w14:paraId="621A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80" w:type="dxa"/>
            <w:gridSpan w:val="4"/>
            <w:tcBorders>
              <w:top w:val="nil"/>
              <w:left w:val="nil"/>
              <w:bottom w:val="nil"/>
              <w:right w:val="nil"/>
            </w:tcBorders>
            <w:shd w:val="clear" w:color="auto" w:fill="auto"/>
            <w:noWrap/>
            <w:vAlign w:val="center"/>
          </w:tcPr>
          <w:p w14:paraId="0290743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表九：财政拨款“三公”经费支出决算表</w:t>
            </w:r>
          </w:p>
        </w:tc>
        <w:tc>
          <w:tcPr>
            <w:tcW w:w="1140" w:type="dxa"/>
            <w:tcBorders>
              <w:top w:val="nil"/>
              <w:left w:val="nil"/>
              <w:bottom w:val="nil"/>
              <w:right w:val="nil"/>
            </w:tcBorders>
            <w:shd w:val="clear" w:color="auto" w:fill="auto"/>
            <w:noWrap/>
            <w:vAlign w:val="center"/>
          </w:tcPr>
          <w:p w14:paraId="6ED8FEA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15" w:type="dxa"/>
            <w:tcBorders>
              <w:top w:val="nil"/>
              <w:left w:val="nil"/>
              <w:bottom w:val="nil"/>
              <w:right w:val="nil"/>
            </w:tcBorders>
            <w:shd w:val="clear" w:color="auto" w:fill="auto"/>
            <w:noWrap/>
            <w:vAlign w:val="center"/>
          </w:tcPr>
          <w:p w14:paraId="029B2C3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6" w:type="dxa"/>
            <w:tcBorders>
              <w:top w:val="nil"/>
              <w:left w:val="nil"/>
              <w:bottom w:val="nil"/>
              <w:right w:val="nil"/>
            </w:tcBorders>
            <w:shd w:val="clear" w:color="auto" w:fill="auto"/>
            <w:noWrap/>
            <w:vAlign w:val="center"/>
          </w:tcPr>
          <w:p w14:paraId="6B53423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noWrap/>
            <w:vAlign w:val="center"/>
          </w:tcPr>
          <w:p w14:paraId="375B617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0CC9D34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center"/>
          </w:tcPr>
          <w:p w14:paraId="194FE5B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noWrap/>
            <w:vAlign w:val="center"/>
          </w:tcPr>
          <w:p w14:paraId="05B187F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06" w:type="dxa"/>
            <w:tcBorders>
              <w:top w:val="nil"/>
              <w:left w:val="nil"/>
              <w:bottom w:val="nil"/>
              <w:right w:val="nil"/>
            </w:tcBorders>
            <w:shd w:val="clear" w:color="auto" w:fill="auto"/>
            <w:noWrap/>
            <w:vAlign w:val="center"/>
          </w:tcPr>
          <w:p w14:paraId="603D98C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D25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nil"/>
              <w:left w:val="nil"/>
              <w:bottom w:val="nil"/>
              <w:right w:val="nil"/>
            </w:tcBorders>
            <w:shd w:val="clear" w:color="auto" w:fill="auto"/>
            <w:noWrap/>
            <w:vAlign w:val="center"/>
          </w:tcPr>
          <w:p w14:paraId="4FDED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财政拨款“三公”经费支出决算表</w:t>
            </w:r>
          </w:p>
        </w:tc>
        <w:tc>
          <w:tcPr>
            <w:tcW w:w="0" w:type="auto"/>
            <w:tcBorders>
              <w:top w:val="nil"/>
              <w:left w:val="nil"/>
              <w:bottom w:val="nil"/>
              <w:right w:val="nil"/>
            </w:tcBorders>
            <w:shd w:val="clear" w:color="auto" w:fill="auto"/>
            <w:noWrap/>
            <w:vAlign w:val="center"/>
          </w:tcPr>
          <w:p w14:paraId="4D7400D2">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36"/>
                <w:szCs w:val="36"/>
                <w:u w:val="none"/>
              </w:rPr>
            </w:pPr>
          </w:p>
        </w:tc>
        <w:tc>
          <w:tcPr>
            <w:tcW w:w="0" w:type="auto"/>
            <w:tcBorders>
              <w:top w:val="nil"/>
              <w:left w:val="nil"/>
              <w:bottom w:val="nil"/>
              <w:right w:val="nil"/>
            </w:tcBorders>
            <w:shd w:val="clear" w:color="auto" w:fill="auto"/>
            <w:noWrap/>
            <w:vAlign w:val="center"/>
          </w:tcPr>
          <w:p w14:paraId="3B38F183">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36"/>
                <w:szCs w:val="36"/>
                <w:u w:val="none"/>
              </w:rPr>
            </w:pPr>
          </w:p>
        </w:tc>
        <w:tc>
          <w:tcPr>
            <w:tcW w:w="0" w:type="auto"/>
            <w:tcBorders>
              <w:top w:val="nil"/>
              <w:left w:val="nil"/>
              <w:bottom w:val="nil"/>
              <w:right w:val="nil"/>
            </w:tcBorders>
            <w:shd w:val="clear" w:color="auto" w:fill="auto"/>
            <w:noWrap/>
            <w:vAlign w:val="center"/>
          </w:tcPr>
          <w:p w14:paraId="3845B98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9BB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nil"/>
              <w:bottom w:val="nil"/>
              <w:right w:val="nil"/>
            </w:tcBorders>
            <w:shd w:val="clear" w:color="auto" w:fill="auto"/>
            <w:noWrap/>
            <w:vAlign w:val="center"/>
          </w:tcPr>
          <w:p w14:paraId="66A6BF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单位：环江毛南族自治县洛阳镇中心幼儿园</w:t>
            </w:r>
          </w:p>
        </w:tc>
        <w:tc>
          <w:tcPr>
            <w:tcW w:w="0" w:type="auto"/>
            <w:tcBorders>
              <w:top w:val="nil"/>
              <w:left w:val="nil"/>
              <w:bottom w:val="nil"/>
              <w:right w:val="nil"/>
            </w:tcBorders>
            <w:shd w:val="clear" w:color="auto" w:fill="auto"/>
            <w:noWrap/>
            <w:vAlign w:val="center"/>
          </w:tcPr>
          <w:p w14:paraId="6851789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6955C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0212D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39CA8B8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D8BC7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FC1A4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B836B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1871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78A0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35"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5CA1C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187"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63EC4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6EC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3A14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1CC6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0459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5530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7638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C3CD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99F9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2F23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781A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5444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31688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AE15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BD07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4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D358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BC66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E948E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389B5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F9EC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04A4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5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8411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35A3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75E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688F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CE89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5589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EF89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EC79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437F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1944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86D3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96EC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D538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49F6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0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727D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B43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15C3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3E48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EA83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B03B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7EA3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769F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448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4094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2612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4906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7D3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7A0D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6CF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522" w:type="dxa"/>
            <w:gridSpan w:val="12"/>
            <w:vMerge w:val="restart"/>
            <w:tcBorders>
              <w:top w:val="single" w:color="000000" w:sz="4" w:space="0"/>
              <w:left w:val="nil"/>
              <w:bottom w:val="nil"/>
              <w:right w:val="nil"/>
            </w:tcBorders>
            <w:shd w:val="clear" w:color="auto" w:fill="FFFFFF"/>
            <w:vAlign w:val="center"/>
          </w:tcPr>
          <w:p w14:paraId="2DC753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41AE55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本部门2023年度没有财政拨款“三公”经费收入，也没有财政拨款“三公”经费支出，故本表无数据。</w:t>
            </w:r>
          </w:p>
        </w:tc>
      </w:tr>
      <w:tr w14:paraId="613D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522" w:type="dxa"/>
            <w:gridSpan w:val="12"/>
            <w:vMerge w:val="continue"/>
            <w:tcBorders>
              <w:top w:val="single" w:color="000000" w:sz="4" w:space="0"/>
              <w:left w:val="nil"/>
              <w:bottom w:val="nil"/>
              <w:right w:val="nil"/>
            </w:tcBorders>
            <w:shd w:val="clear" w:color="auto" w:fill="FFFFFF"/>
            <w:vAlign w:val="center"/>
          </w:tcPr>
          <w:p w14:paraId="2DAF48B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14:paraId="04D585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7C59C9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3EB58F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14:paraId="65754866">
      <w:pPr>
        <w:ind w:firstLine="420" w:firstLineChars="0"/>
        <w:jc w:val="left"/>
        <w:rPr>
          <w:rFonts w:ascii="仿宋" w:hAnsi="仿宋" w:eastAsia="仿宋" w:cs="仿宋"/>
          <w:sz w:val="24"/>
          <w:highlight w:val="none"/>
        </w:rPr>
        <w:sectPr>
          <w:pgSz w:w="16838" w:h="11906" w:orient="landscape"/>
          <w:pgMar w:top="1463" w:right="1440" w:bottom="1236" w:left="1440" w:header="851" w:footer="992" w:gutter="0"/>
          <w:cols w:space="425" w:num="1"/>
          <w:docGrid w:type="lines" w:linePitch="312" w:charSpace="0"/>
        </w:sectPr>
      </w:pPr>
    </w:p>
    <w:p w14:paraId="6F4954DA">
      <w:pPr>
        <w:jc w:val="left"/>
        <w:rPr>
          <w:rFonts w:ascii="仿宋" w:hAnsi="仿宋" w:eastAsia="仿宋" w:cs="仿宋"/>
          <w:sz w:val="24"/>
          <w:highlight w:val="none"/>
        </w:rPr>
      </w:pPr>
    </w:p>
    <w:p w14:paraId="7F7830F5">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洛阳镇中心幼儿园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44442D32">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35120C9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321</w:t>
      </w:r>
      <w:r>
        <w:rPr>
          <w:rFonts w:hint="eastAsia" w:ascii="仿宋" w:hAnsi="仿宋" w:eastAsia="仿宋" w:cs="仿宋"/>
          <w:sz w:val="32"/>
          <w:u w:color="auto"/>
          <w:lang w:val="en-US" w:eastAsia="zh-CN"/>
        </w:rPr>
        <w:t>.00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增加50.49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18.66</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szCs w:val="32"/>
          <w:highlight w:val="none"/>
          <w:lang w:val="en-US" w:eastAsia="zh-CN"/>
        </w:rPr>
        <w:t>321</w:t>
      </w:r>
      <w:r>
        <w:rPr>
          <w:rFonts w:hint="eastAsia" w:ascii="仿宋" w:hAnsi="仿宋" w:eastAsia="仿宋" w:cs="仿宋"/>
          <w:sz w:val="32"/>
          <w:u w:color="auto"/>
          <w:lang w:val="en-US" w:eastAsia="zh-CN"/>
        </w:rPr>
        <w:t xml:space="preserve">.00                                                                                                                                                                                                                                                                                                                                                                                                                                                                                                                                                                                                                                                                                                      </w:t>
      </w:r>
      <w:r>
        <w:rPr>
          <w:rFonts w:hint="eastAsia" w:ascii="仿宋" w:hAnsi="仿宋" w:eastAsia="仿宋" w:cs="仿宋"/>
          <w:sz w:val="32"/>
          <w:szCs w:val="32"/>
          <w:highlight w:val="none"/>
        </w:rPr>
        <w:t>万元。收入具体情况如下。</w:t>
      </w:r>
    </w:p>
    <w:p w14:paraId="4ECB1631">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szCs w:val="32"/>
          <w:highlight w:val="none"/>
          <w:lang w:val="en-US" w:eastAsia="zh-CN"/>
        </w:rPr>
        <w:t>321</w:t>
      </w:r>
      <w:r>
        <w:rPr>
          <w:rFonts w:hint="eastAsia" w:ascii="仿宋" w:hAnsi="仿宋" w:eastAsia="仿宋" w:cs="仿宋"/>
          <w:sz w:val="32"/>
          <w:u w:color="auto"/>
          <w:lang w:val="en-US" w:eastAsia="zh-CN"/>
        </w:rPr>
        <w:t>.00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。较2022年度决算数</w:t>
      </w:r>
      <w:r>
        <w:rPr>
          <w:rFonts w:hint="eastAsia" w:ascii="仿宋" w:hAnsi="仿宋" w:eastAsia="仿宋" w:cs="仿宋"/>
          <w:color w:val="000000" w:themeColor="text1"/>
          <w:sz w:val="32"/>
          <w:u w:color="auto"/>
          <w:lang w:val="en-US" w:eastAsia="zh-CN"/>
          <w14:textFill>
            <w14:solidFill>
              <w14:schemeClr w14:val="tx1"/>
            </w14:solidFill>
          </w14:textFill>
        </w:rPr>
        <w:t>增加50.49</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hint="eastAsia" w:ascii="仿宋" w:hAnsi="仿宋" w:eastAsia="仿宋" w:cs="仿宋"/>
          <w:kern w:val="2"/>
          <w:sz w:val="32"/>
          <w:szCs w:val="32"/>
          <w:highlight w:val="none"/>
          <w:lang w:val="en-US" w:eastAsia="zh-CN" w:bidi="ar"/>
        </w:rPr>
        <w:t>，</w:t>
      </w:r>
      <w:r>
        <w:rPr>
          <w:rFonts w:hint="eastAsia" w:ascii="仿宋" w:hAnsi="仿宋" w:eastAsia="仿宋" w:cs="仿宋"/>
          <w:sz w:val="32"/>
          <w:u w:color="auto"/>
          <w:lang w:val="en-US" w:eastAsia="zh-CN"/>
        </w:rPr>
        <w:t>增加17.4%</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年无事业收入，全部划为一般公共预算财政拨款收入。 </w:t>
      </w:r>
    </w:p>
    <w:p w14:paraId="21F01E9E">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_GB2312" w:hAnsi="宋体" w:eastAsia="仿宋_GB2312" w:cs="仿宋_GB2312"/>
          <w:color w:val="000000"/>
          <w:kern w:val="0"/>
          <w:sz w:val="31"/>
          <w:szCs w:val="31"/>
          <w:lang w:val="en-US" w:eastAsia="zh-CN" w:bidi="ar"/>
        </w:rPr>
        <w:t>。</w:t>
      </w:r>
    </w:p>
    <w:p w14:paraId="155FC29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_GB2312" w:hAnsi="宋体" w:eastAsia="仿宋_GB2312" w:cs="仿宋_GB2312"/>
          <w:color w:val="000000"/>
          <w:kern w:val="0"/>
          <w:sz w:val="31"/>
          <w:szCs w:val="31"/>
          <w:lang w:val="en-US" w:eastAsia="zh-CN" w:bidi="ar"/>
        </w:rPr>
        <w:t>。</w:t>
      </w:r>
    </w:p>
    <w:p w14:paraId="4A91A4E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_GB2312" w:hAnsi="宋体" w:eastAsia="仿宋_GB2312" w:cs="仿宋_GB2312"/>
          <w:color w:val="000000"/>
          <w:kern w:val="0"/>
          <w:sz w:val="31"/>
          <w:szCs w:val="31"/>
          <w:lang w:val="en-US" w:eastAsia="zh-CN" w:bidi="ar"/>
        </w:rPr>
        <w:t>。</w:t>
      </w:r>
    </w:p>
    <w:p w14:paraId="4C85E8F1">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_GB2312" w:hAnsi="宋体" w:eastAsia="仿宋_GB2312" w:cs="仿宋_GB2312"/>
          <w:color w:val="000000"/>
          <w:kern w:val="0"/>
          <w:sz w:val="31"/>
          <w:szCs w:val="31"/>
          <w:lang w:val="en-US" w:eastAsia="zh-CN" w:bidi="ar"/>
        </w:rPr>
        <w:t xml:space="preserve">。主要原因是保教费收入全部纳入一般公共预算财政拨款收入。 </w:t>
      </w:r>
    </w:p>
    <w:p w14:paraId="63700B43">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_GB2312" w:hAnsi="宋体" w:eastAsia="仿宋_GB2312" w:cs="仿宋_GB2312"/>
          <w:color w:val="000000"/>
          <w:kern w:val="0"/>
          <w:sz w:val="31"/>
          <w:szCs w:val="31"/>
          <w:lang w:val="en-US" w:eastAsia="zh-CN" w:bidi="ar"/>
        </w:rPr>
        <w:t>。</w:t>
      </w:r>
    </w:p>
    <w:p w14:paraId="3D356603">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_GB2312" w:hAnsi="宋体" w:eastAsia="仿宋_GB2312" w:cs="仿宋_GB2312"/>
          <w:color w:val="000000"/>
          <w:kern w:val="0"/>
          <w:sz w:val="31"/>
          <w:szCs w:val="31"/>
          <w:lang w:val="en-US" w:eastAsia="zh-CN" w:bidi="ar"/>
        </w:rPr>
        <w:t>。</w:t>
      </w:r>
    </w:p>
    <w:p w14:paraId="1D290124">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万元,为预算单位在“财政拨款收入”“事业收入”“经营收入”之外取得的收入。较2022年度决算数增加</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万元，增加</w:t>
      </w:r>
      <w:r>
        <w:rPr>
          <w:rFonts w:ascii="仿宋" w:hAnsi="仿宋" w:eastAsia="仿宋" w:cs="仿宋"/>
          <w:sz w:val="32"/>
          <w:u w:color="auto"/>
        </w:rPr>
        <w:t>0%</w:t>
      </w:r>
      <w:r>
        <w:rPr>
          <w:rFonts w:hint="eastAsia" w:ascii="仿宋" w:hAnsi="仿宋" w:eastAsia="仿宋" w:cs="仿宋"/>
          <w:sz w:val="32"/>
          <w:u w:color="auto"/>
          <w:lang w:eastAsia="zh-CN"/>
        </w:rPr>
        <w:t>。</w:t>
      </w:r>
    </w:p>
    <w:p w14:paraId="3AD247E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r>
        <w:rPr>
          <w:rFonts w:hint="eastAsia" w:ascii="仿宋_GB2312" w:hAnsi="宋体" w:eastAsia="仿宋_GB2312" w:cs="仿宋_GB2312"/>
          <w:color w:val="000000"/>
          <w:kern w:val="0"/>
          <w:sz w:val="31"/>
          <w:szCs w:val="31"/>
          <w:lang w:val="en-US" w:eastAsia="zh-CN" w:bidi="ar"/>
        </w:rPr>
        <w:t xml:space="preserve">主要原因是保教费收入全部纳入一般公共预算财政拨款收入。 </w:t>
      </w:r>
    </w:p>
    <w:p w14:paraId="584D670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万元。较2022年度决算数</w:t>
      </w:r>
      <w:r>
        <w:rPr>
          <w:rFonts w:hint="eastAsia" w:ascii="仿宋" w:hAnsi="仿宋" w:eastAsia="仿宋" w:cs="仿宋"/>
          <w:sz w:val="32"/>
          <w:u w:color="auto"/>
          <w:lang w:val="en-US" w:eastAsia="zh-CN"/>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增加0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p>
    <w:p w14:paraId="3BFEEBA7">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BB616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321.00</w:t>
      </w:r>
      <w:r>
        <w:rPr>
          <w:rFonts w:hint="eastAsia" w:ascii="仿宋" w:hAnsi="仿宋" w:eastAsia="仿宋" w:cs="仿宋"/>
          <w:sz w:val="32"/>
          <w:szCs w:val="32"/>
          <w:highlight w:val="none"/>
        </w:rPr>
        <w:t>万元，其中本年支出</w:t>
      </w:r>
      <w:r>
        <w:rPr>
          <w:rFonts w:hint="eastAsia" w:ascii="仿宋" w:hAnsi="仿宋" w:eastAsia="仿宋" w:cs="仿宋"/>
          <w:sz w:val="32"/>
          <w:szCs w:val="32"/>
          <w:highlight w:val="none"/>
          <w:lang w:val="en-US" w:eastAsia="zh-CN"/>
        </w:rPr>
        <w:t>321.00</w:t>
      </w:r>
      <w:r>
        <w:rPr>
          <w:rFonts w:hint="eastAsia" w:ascii="仿宋" w:hAnsi="仿宋" w:eastAsia="仿宋" w:cs="仿宋"/>
          <w:sz w:val="32"/>
          <w:u w:color="auto"/>
          <w:lang w:val="en-US" w:eastAsia="zh-CN"/>
        </w:rPr>
        <w:t>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增加50.49</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增加18.66</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3214CE3E">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286.57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主要用于人员基本工资，商品服务支出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33.09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13.05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年新增</w:t>
      </w:r>
      <w:r>
        <w:rPr>
          <w:rFonts w:hint="eastAsia" w:ascii="仿宋" w:hAnsi="仿宋" w:eastAsia="仿宋" w:cs="仿宋"/>
          <w:color w:val="auto"/>
          <w:kern w:val="2"/>
          <w:sz w:val="32"/>
          <w:szCs w:val="32"/>
          <w:highlight w:val="none"/>
          <w:lang w:val="en-US" w:eastAsia="zh-CN" w:bidi="ar"/>
        </w:rPr>
        <w:t>教师控制数3人</w:t>
      </w:r>
      <w:r>
        <w:rPr>
          <w:rFonts w:hint="eastAsia" w:ascii="仿宋_GB2312" w:hAnsi="宋体" w:eastAsia="仿宋_GB2312" w:cs="仿宋_GB2312"/>
          <w:color w:val="000000"/>
          <w:kern w:val="0"/>
          <w:sz w:val="31"/>
          <w:szCs w:val="31"/>
          <w:lang w:val="en-US" w:eastAsia="zh-CN" w:bidi="ar"/>
        </w:rPr>
        <w:t>。</w:t>
      </w:r>
    </w:p>
    <w:p w14:paraId="0C93D29C">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lang w:val="en-US" w:eastAsia="zh-CN" w:bidi="ar"/>
        </w:rPr>
        <w:t>.21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单位基本“五险”缴费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增加6</w:t>
      </w:r>
      <w:r>
        <w:rPr>
          <w:rFonts w:hint="eastAsia" w:ascii="仿宋" w:hAnsi="仿宋" w:eastAsia="仿宋" w:cs="仿宋"/>
          <w:sz w:val="32"/>
          <w:szCs w:val="32"/>
          <w:highlight w:val="none"/>
          <w:lang w:val="en-US" w:eastAsia="zh-CN" w:bidi="ar"/>
        </w:rPr>
        <w:t>.96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增加111.36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2023年8月份新增教师控制数3人及五险基数调整。</w:t>
      </w:r>
    </w:p>
    <w:p w14:paraId="03C20C1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lang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14:paraId="5506E58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213</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rPr>
        <w:t>。</w:t>
      </w:r>
    </w:p>
    <w:p w14:paraId="198D505A">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9.48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主要用于住房公积金缴费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增加5.08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增加115.45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2023年8月份新增教师控制数3人及公积金基数调整。</w:t>
      </w:r>
    </w:p>
    <w:p w14:paraId="6D6CE72C">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14:paraId="6E1604F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u w:color="auto"/>
          <w:lang w:eastAsia="zh-CN"/>
        </w:rPr>
        <w:t>。</w:t>
      </w:r>
    </w:p>
    <w:p w14:paraId="7EFD0873">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D6809F">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14:paraId="1B961D3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洛阳镇中心幼儿园</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lang w:val="en-US" w:eastAsia="zh-CN"/>
        </w:rPr>
        <w:t>321.00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增加50.49</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增加18.66</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149.89</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171.11</w:t>
      </w:r>
      <w:r>
        <w:rPr>
          <w:rFonts w:hint="eastAsia" w:ascii="仿宋" w:hAnsi="仿宋" w:eastAsia="仿宋" w:cs="仿宋"/>
          <w:sz w:val="32"/>
          <w:szCs w:val="32"/>
          <w:highlight w:val="none"/>
        </w:rPr>
        <w:t>万元。</w:t>
      </w:r>
    </w:p>
    <w:p w14:paraId="00F3126B">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洛阳镇中心幼儿园</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319.23</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321.00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100.55</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14:paraId="1E9406EE">
      <w:pPr>
        <w:numPr>
          <w:ilvl w:val="0"/>
          <w:numId w:val="1"/>
        </w:numPr>
        <w:jc w:val="left"/>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rPr>
        <w:t>（201</w:t>
      </w:r>
      <w:r>
        <w:rPr>
          <w:rFonts w:hint="eastAsia" w:ascii="仿宋" w:hAnsi="仿宋" w:eastAsia="仿宋"/>
          <w:sz w:val="32"/>
          <w:szCs w:val="32"/>
        </w:rPr>
        <w:t>类）年初预算为4.45万元，支出决算为4.45万元，完成年初预算的</w:t>
      </w:r>
      <w:r>
        <w:rPr>
          <w:rFonts w:ascii="仿宋" w:hAnsi="仿宋" w:eastAsia="仿宋"/>
          <w:sz w:val="32"/>
          <w:szCs w:val="32"/>
        </w:rPr>
        <w:t>100.00%</w:t>
      </w:r>
      <w:r>
        <w:rPr>
          <w:rFonts w:hint="eastAsia" w:ascii="仿宋" w:hAnsi="仿宋" w:eastAsia="仿宋"/>
          <w:sz w:val="32"/>
          <w:szCs w:val="32"/>
        </w:rPr>
        <w:t>。预决算存有差异原因是：</w:t>
      </w:r>
      <w:r>
        <w:rPr>
          <w:rFonts w:hint="eastAsia" w:ascii="仿宋" w:hAnsi="仿宋" w:eastAsia="仿宋" w:cs="仿宋"/>
          <w:sz w:val="32"/>
          <w:szCs w:val="32"/>
        </w:rPr>
        <w:t>无差异。</w:t>
      </w:r>
      <w:r>
        <w:rPr>
          <w:rFonts w:hint="eastAsia" w:ascii="仿宋" w:hAnsi="仿宋" w:eastAsia="仿宋"/>
          <w:sz w:val="32"/>
          <w:szCs w:val="32"/>
        </w:rPr>
        <w:t>支出具体情况如下：</w:t>
      </w:r>
    </w:p>
    <w:tbl>
      <w:tblPr>
        <w:tblStyle w:val="6"/>
        <w:tblW w:w="8524" w:type="dxa"/>
        <w:jc w:val="center"/>
        <w:tblLayout w:type="fixed"/>
        <w:tblCellMar>
          <w:top w:w="0" w:type="dxa"/>
          <w:left w:w="108" w:type="dxa"/>
          <w:bottom w:w="0" w:type="dxa"/>
          <w:right w:w="108" w:type="dxa"/>
        </w:tblCellMar>
      </w:tblPr>
      <w:tblGrid>
        <w:gridCol w:w="943"/>
        <w:gridCol w:w="1076"/>
        <w:gridCol w:w="994"/>
        <w:gridCol w:w="806"/>
        <w:gridCol w:w="1097"/>
        <w:gridCol w:w="1783"/>
        <w:gridCol w:w="1825"/>
      </w:tblGrid>
      <w:tr w14:paraId="4FB0AC0B">
        <w:tblPrEx>
          <w:tblCellMar>
            <w:top w:w="0" w:type="dxa"/>
            <w:left w:w="108" w:type="dxa"/>
            <w:bottom w:w="0" w:type="dxa"/>
            <w:right w:w="108" w:type="dxa"/>
          </w:tblCellMar>
        </w:tblPrEx>
        <w:trPr>
          <w:trHeight w:val="634" w:hRule="atLeast"/>
          <w:jc w:val="center"/>
        </w:trPr>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2A5B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2B5A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83E1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B4B4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1997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7A54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B103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rPr>
            </w:pPr>
            <w:r>
              <w:rPr>
                <w:rFonts w:hint="eastAsia" w:ascii="宋体" w:hAnsi="宋体" w:eastAsia="宋体" w:cs="宋体"/>
                <w:kern w:val="0"/>
                <w:sz w:val="20"/>
                <w:szCs w:val="20"/>
              </w:rPr>
              <w:t>原因</w:t>
            </w:r>
          </w:p>
        </w:tc>
      </w:tr>
      <w:tr w14:paraId="77CB0E98">
        <w:tblPrEx>
          <w:tblCellMar>
            <w:top w:w="0" w:type="dxa"/>
            <w:left w:w="108" w:type="dxa"/>
            <w:bottom w:w="0" w:type="dxa"/>
            <w:right w:w="108" w:type="dxa"/>
          </w:tblCellMar>
        </w:tblPrEx>
        <w:trPr>
          <w:trHeight w:val="614" w:hRule="atLeast"/>
          <w:jc w:val="center"/>
        </w:trPr>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F07A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rPr>
            </w:pPr>
            <w:r>
              <w:rPr>
                <w:rFonts w:hint="eastAsia" w:ascii="宋体" w:hAnsi="宋体" w:eastAsia="宋体" w:cs="宋体"/>
                <w:sz w:val="20"/>
                <w:szCs w:val="20"/>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5DDA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rPr>
            </w:pPr>
            <w:r>
              <w:rPr>
                <w:rFonts w:hint="eastAsia" w:ascii="宋体" w:hAnsi="宋体" w:eastAsia="宋体" w:cs="宋体"/>
                <w:sz w:val="20"/>
                <w:szCs w:val="20"/>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3B09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31B3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915A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r>
              <w:rPr>
                <w:rFonts w:hint="eastAsia" w:ascii="宋体" w:hAnsi="宋体" w:eastAsia="宋体" w:cs="宋体"/>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9B0A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r>
              <w:rPr>
                <w:rFonts w:hint="eastAsia" w:ascii="仿宋" w:hAnsi="仿宋" w:eastAsia="仿宋" w:cs="仿宋"/>
                <w:sz w:val="18"/>
                <w:szCs w:val="18"/>
              </w:rPr>
              <w:t>教职工工会活动费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C58DE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rPr>
            </w:pPr>
            <w:r>
              <w:rPr>
                <w:rFonts w:hint="eastAsia" w:ascii="仿宋" w:hAnsi="仿宋" w:eastAsia="仿宋" w:cs="仿宋"/>
                <w:szCs w:val="21"/>
              </w:rPr>
              <w:t>无差异</w:t>
            </w:r>
          </w:p>
        </w:tc>
      </w:tr>
      <w:tr w14:paraId="24A22E81">
        <w:tblPrEx>
          <w:tblCellMar>
            <w:top w:w="0" w:type="dxa"/>
            <w:left w:w="108" w:type="dxa"/>
            <w:bottom w:w="0" w:type="dxa"/>
            <w:right w:w="108" w:type="dxa"/>
          </w:tblCellMar>
        </w:tblPrEx>
        <w:trPr>
          <w:trHeight w:val="614" w:hRule="atLeast"/>
          <w:jc w:val="center"/>
        </w:trPr>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80F0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55DB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1436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E0E0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D58B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5F82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6102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p>
        </w:tc>
      </w:tr>
    </w:tbl>
    <w:p w14:paraId="069C9718">
      <w:pPr>
        <w:jc w:val="left"/>
        <w:rPr>
          <w:rFonts w:hint="eastAsia" w:ascii="仿宋" w:hAnsi="仿宋" w:eastAsia="仿宋" w:cs="仿宋"/>
          <w:sz w:val="32"/>
          <w:szCs w:val="32"/>
          <w:highlight w:val="none"/>
        </w:rPr>
      </w:pPr>
      <w:r>
        <w:rPr>
          <w:rFonts w:hint="eastAsia" w:ascii="仿宋" w:hAnsi="仿宋" w:eastAsia="仿宋"/>
          <w:sz w:val="32"/>
          <w:szCs w:val="32"/>
        </w:rPr>
        <w:drawing>
          <wp:anchor distT="0" distB="0" distL="0" distR="0" simplePos="0" relativeHeight="251659264" behindDoc="1" locked="0" layoutInCell="1" allowOverlap="1">
            <wp:simplePos x="0" y="0"/>
            <wp:positionH relativeFrom="column">
              <wp:posOffset>151765</wp:posOffset>
            </wp:positionH>
            <wp:positionV relativeFrom="paragraph">
              <wp:posOffset>87630</wp:posOffset>
            </wp:positionV>
            <wp:extent cx="5486400" cy="3200400"/>
            <wp:effectExtent l="4445" t="4445" r="14605" b="14605"/>
            <wp:wrapTight wrapText="bothSides">
              <wp:wrapPolygon>
                <wp:start x="-17" y="-30"/>
                <wp:lineTo x="-17" y="21570"/>
                <wp:lineTo x="21583" y="21570"/>
                <wp:lineTo x="21583" y="-30"/>
                <wp:lineTo x="-17" y="-3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2E67C51">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280.20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287.18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102.50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rPr>
        <w:t>预决算存有差异原因是：</w:t>
      </w:r>
      <w:r>
        <w:rPr>
          <w:rFonts w:hint="eastAsia" w:ascii="仿宋" w:hAnsi="仿宋" w:eastAsia="仿宋" w:cs="仿宋"/>
          <w:sz w:val="32"/>
          <w:szCs w:val="32"/>
          <w:lang w:eastAsia="zh-CN"/>
        </w:rPr>
        <w:t>人员增加、调整工资标准</w:t>
      </w:r>
      <w:r>
        <w:rPr>
          <w:rFonts w:hint="eastAsia" w:ascii="仿宋_GB2312" w:hAnsi="宋体" w:eastAsia="仿宋_GB2312" w:cs="仿宋_GB2312"/>
          <w:color w:val="000000"/>
          <w:kern w:val="0"/>
          <w:sz w:val="31"/>
          <w:szCs w:val="31"/>
          <w:lang w:val="en-US" w:eastAsia="zh-CN" w:bidi="ar"/>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979"/>
        <w:gridCol w:w="1901"/>
        <w:gridCol w:w="1825"/>
      </w:tblGrid>
      <w:tr w14:paraId="4F78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23BB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D97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615F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888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7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F5D9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0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E782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2EE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05FA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93BD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CB92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1B7F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280.20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2538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286.57</w:t>
            </w:r>
          </w:p>
        </w:tc>
        <w:tc>
          <w:tcPr>
            <w:tcW w:w="97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1360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102.27%</w:t>
            </w:r>
          </w:p>
        </w:tc>
        <w:tc>
          <w:tcPr>
            <w:tcW w:w="190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3413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0"/>
                <w:szCs w:val="10"/>
                <w:highlight w:val="none"/>
                <w:u w:val="none"/>
                <w:lang w:val="en-US" w:eastAsia="zh-CN"/>
              </w:rPr>
            </w:pPr>
            <w:r>
              <w:rPr>
                <w:rFonts w:hint="eastAsia" w:ascii="仿宋_GB2312" w:hAnsi="宋体" w:eastAsia="仿宋_GB2312" w:cs="仿宋_GB2312"/>
                <w:color w:val="000000"/>
                <w:kern w:val="0"/>
                <w:sz w:val="20"/>
                <w:szCs w:val="20"/>
                <w:lang w:val="en-US" w:eastAsia="zh-CN" w:bidi="ar"/>
              </w:rPr>
              <w:t>主要用于人员基本工资、公共支出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14C2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0"/>
                <w:szCs w:val="10"/>
                <w:highlight w:val="none"/>
                <w:u w:val="none"/>
                <w:lang w:val="en-US" w:eastAsia="zh-CN"/>
              </w:rPr>
            </w:pPr>
            <w:r>
              <w:rPr>
                <w:rFonts w:hint="eastAsia" w:ascii="仿宋_GB2312" w:hAnsi="宋体" w:eastAsia="仿宋_GB2312" w:cs="仿宋_GB2312"/>
                <w:color w:val="000000"/>
                <w:kern w:val="0"/>
                <w:sz w:val="20"/>
                <w:szCs w:val="20"/>
                <w:lang w:val="en-US" w:eastAsia="zh-CN" w:bidi="ar"/>
              </w:rPr>
              <w:t>人员增加</w:t>
            </w:r>
          </w:p>
        </w:tc>
      </w:tr>
      <w:tr w14:paraId="4300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A14B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D88C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小学教育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C228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D22EF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0.61</w:t>
            </w:r>
          </w:p>
        </w:tc>
        <w:tc>
          <w:tcPr>
            <w:tcW w:w="97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A29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90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CFD4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主要用于公共支出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61DB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由上级部门直接下达，本部门无需预算</w:t>
            </w:r>
          </w:p>
        </w:tc>
      </w:tr>
      <w:tr w14:paraId="193D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D47F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E962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E9E3C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280.20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D9287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287.18</w:t>
            </w:r>
          </w:p>
        </w:tc>
        <w:tc>
          <w:tcPr>
            <w:tcW w:w="97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93F3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102.50%</w:t>
            </w:r>
          </w:p>
        </w:tc>
        <w:tc>
          <w:tcPr>
            <w:tcW w:w="190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7F4F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B05A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3CB13DE9">
      <w:pPr>
        <w:jc w:val="left"/>
        <w:rPr>
          <w:rFonts w:ascii="仿宋" w:hAnsi="仿宋" w:eastAsia="仿宋"/>
          <w:sz w:val="32"/>
          <w:szCs w:val="32"/>
          <w:highlight w:val="none"/>
        </w:rPr>
      </w:pPr>
      <w:r>
        <w:drawing>
          <wp:inline distT="0" distB="0" distL="0" distR="0">
            <wp:extent cx="5274310" cy="3076575"/>
            <wp:effectExtent l="5080" t="4445" r="16510" b="5080"/>
            <wp:docPr id="78222665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A7E814">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20.87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13.21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63.30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eastAsia="zh-CN"/>
        </w:rPr>
        <w:t>预决算存在差异原因是：</w:t>
      </w:r>
      <w:r>
        <w:rPr>
          <w:rFonts w:hint="eastAsia" w:ascii="仿宋" w:hAnsi="仿宋" w:eastAsia="仿宋"/>
          <w:sz w:val="32"/>
          <w:szCs w:val="32"/>
          <w:highlight w:val="none"/>
          <w:lang w:val="en-US" w:eastAsia="zh-CN"/>
        </w:rPr>
        <w:t>2023年有两人调出</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w:t>
      </w:r>
      <w:r>
        <w:rPr>
          <w:rFonts w:hint="eastAsia" w:ascii="仿宋" w:hAnsi="仿宋" w:eastAsia="仿宋"/>
          <w:sz w:val="32"/>
          <w:szCs w:val="32"/>
          <w:highlight w:val="none"/>
          <w:lang w:val="en-US" w:eastAsia="zh-CN"/>
        </w:rPr>
        <w:t>以及实际缴纳基数低于预算基数。</w:t>
      </w:r>
    </w:p>
    <w:p w14:paraId="708F33BF">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15A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6EC6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1BE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652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4DA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C8A2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DE1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F69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04F0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8A04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BE83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68FC4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D66C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40F3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63.30%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AE061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21"/>
                <w:szCs w:val="21"/>
                <w:highlight w:val="none"/>
                <w:lang w:val="en-US" w:eastAsia="zh-CN"/>
              </w:rPr>
              <w:t>主要用于职工养老保险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2972B4">
            <w:pPr>
              <w:keepNext w:val="0"/>
              <w:keepLines w:val="0"/>
              <w:widowControl/>
              <w:suppressLineNumbers w:val="0"/>
              <w:tabs>
                <w:tab w:val="left" w:pos="522"/>
              </w:tabs>
              <w:spacing w:before="0" w:beforeAutospacing="0" w:after="0" w:afterAutospacing="0"/>
              <w:ind w:left="0" w:leftChars="0" w:right="0" w:rightChars="0"/>
              <w:jc w:val="left"/>
              <w:textAlignment w:val="center"/>
              <w:rPr>
                <w:rFonts w:hint="default" w:ascii="宋体" w:hAnsi="宋体" w:eastAsia="宋体" w:cs="宋体"/>
                <w:i w:val="0"/>
                <w:iCs w:val="0"/>
                <w:color w:val="auto"/>
                <w:kern w:val="2"/>
                <w:sz w:val="10"/>
                <w:szCs w:val="10"/>
                <w:highlight w:val="none"/>
                <w:u w:val="none"/>
                <w:lang w:val="en-US" w:eastAsia="zh-CN" w:bidi="ar-SA"/>
              </w:rPr>
            </w:pP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实际缴纳基数低于预算基数</w:t>
            </w:r>
          </w:p>
        </w:tc>
      </w:tr>
      <w:tr w14:paraId="239E1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131C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83B0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6EEF26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067E6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1553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63.30%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53A8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9934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29CD1315">
      <w:pPr>
        <w:jc w:val="left"/>
        <w:rPr>
          <w:rFonts w:hint="eastAsia" w:ascii="仿宋" w:hAnsi="仿宋" w:eastAsia="仿宋"/>
          <w:sz w:val="32"/>
          <w:szCs w:val="32"/>
          <w:highlight w:val="none"/>
        </w:rPr>
      </w:pPr>
    </w:p>
    <w:p w14:paraId="11072A5A">
      <w:pPr>
        <w:jc w:val="center"/>
        <w:rPr>
          <w:rFonts w:ascii="仿宋" w:hAnsi="仿宋" w:eastAsia="仿宋"/>
          <w:sz w:val="32"/>
          <w:szCs w:val="32"/>
          <w:highlight w:val="none"/>
        </w:rPr>
      </w:pPr>
      <w:r>
        <w:rPr>
          <w:rFonts w:hint="eastAsia" w:ascii="仿宋" w:hAnsi="仿宋" w:eastAsia="仿宋"/>
          <w:sz w:val="32"/>
          <w:szCs w:val="32"/>
        </w:rPr>
        <w:drawing>
          <wp:inline distT="0" distB="0" distL="0" distR="0">
            <wp:extent cx="5486400" cy="3200400"/>
            <wp:effectExtent l="4445" t="4445" r="1460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B20ECD">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15.65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9.48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60.58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w:t>
      </w:r>
      <w:r>
        <w:rPr>
          <w:rFonts w:hint="eastAsia" w:ascii="仿宋" w:hAnsi="仿宋" w:eastAsia="仿宋"/>
          <w:sz w:val="32"/>
          <w:szCs w:val="32"/>
          <w:highlight w:val="none"/>
          <w:lang w:val="en-US" w:eastAsia="zh-CN"/>
        </w:rPr>
        <w:t>因是</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2023年有两人调出以及实际缴纳基数低于预算基数。支出具体情况如下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2743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189A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21F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5B5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AE0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1DF7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4D5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4EA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7A3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9036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0461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6E73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F75F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9.48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4BA0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60.58%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3D34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用于在职人员住房公积金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1C71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0"/>
                <w:szCs w:val="10"/>
                <w:highlight w:val="none"/>
                <w:u w:val="none"/>
                <w:lang w:val="en-US" w:eastAsia="zh-CN"/>
              </w:rPr>
            </w:pPr>
            <w:r>
              <w:rPr>
                <w:rFonts w:hint="eastAsia" w:ascii="仿宋" w:hAnsi="仿宋" w:eastAsia="仿宋" w:cs="仿宋"/>
                <w:color w:val="auto"/>
                <w:sz w:val="21"/>
                <w:szCs w:val="21"/>
                <w:highlight w:val="none"/>
                <w:lang w:val="en-US" w:eastAsia="zh-CN"/>
              </w:rPr>
              <w:t>实际缴纳基数低于预算基数</w:t>
            </w:r>
          </w:p>
        </w:tc>
      </w:tr>
      <w:tr w14:paraId="0DE4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493F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F226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3BCA2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5A858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9.48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DEF6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60.58%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DFE2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C289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5354A199">
      <w:pPr>
        <w:jc w:val="left"/>
        <w:rPr>
          <w:rFonts w:hint="eastAsia" w:ascii="仿宋" w:hAnsi="仿宋" w:eastAsia="仿宋"/>
          <w:sz w:val="32"/>
          <w:szCs w:val="32"/>
          <w:highlight w:val="none"/>
          <w:lang w:eastAsia="zh-CN"/>
        </w:rPr>
      </w:pPr>
    </w:p>
    <w:p w14:paraId="026127C6">
      <w:pPr>
        <w:jc w:val="center"/>
        <w:rPr>
          <w:rFonts w:ascii="仿宋" w:hAnsi="仿宋" w:eastAsia="仿宋"/>
          <w:sz w:val="32"/>
          <w:szCs w:val="32"/>
          <w:highlight w:val="none"/>
        </w:rPr>
      </w:pPr>
      <w:bookmarkStart w:id="3" w:name="_GoBack"/>
      <w:r>
        <w:drawing>
          <wp:inline distT="0" distB="0" distL="114300" distR="114300">
            <wp:extent cx="4826000" cy="2743200"/>
            <wp:effectExtent l="4445" t="4445" r="8255" b="14605"/>
            <wp:docPr id="6"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3"/>
    </w:p>
    <w:p w14:paraId="5883EB1E">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14:paraId="338636D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洛阳镇中心幼儿园</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149.89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147.37</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2.52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2EDE9225">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147.37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92.85</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14:paraId="3DC2E1A3">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51.66万元，30102津贴补贴12.03万元，30103奖金28.44万元，30106伙食补助费0万元，30107绩效工资26.35万元，30108机关事业单位基本养老保险缴费13.21万元，30110职工基本医疗保险缴费5.53万元，30111公务员医疗补助缴费0万元，30112其他社会保障缴费0.66万元，30113住房公积金9.48万元，30199其他工资福利支出0万元。</w:t>
      </w:r>
    </w:p>
    <w:p w14:paraId="172CB48D">
      <w:pPr>
        <w:jc w:val="center"/>
        <w:rPr>
          <w:rFonts w:hint="eastAsia" w:ascii="仿宋" w:hAnsi="仿宋" w:eastAsia="仿宋" w:cs="仿宋"/>
          <w:sz w:val="32"/>
          <w:szCs w:val="32"/>
          <w:highlight w:val="none"/>
        </w:rPr>
      </w:pPr>
      <w:r>
        <w:drawing>
          <wp:inline distT="0" distB="0" distL="114300" distR="114300">
            <wp:extent cx="4826000" cy="2743200"/>
            <wp:effectExtent l="4445" t="4445" r="8255" b="1460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C5393C">
      <w:pPr>
        <w:jc w:val="both"/>
        <w:rPr>
          <w:rFonts w:hint="eastAsia" w:ascii="仿宋" w:hAnsi="仿宋" w:eastAsia="仿宋" w:cs="仿宋"/>
          <w:sz w:val="32"/>
          <w:szCs w:val="32"/>
          <w:highlight w:val="none"/>
        </w:rPr>
      </w:pPr>
    </w:p>
    <w:p w14:paraId="34782705">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2.52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14:paraId="482AA86C">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30228工会经费2.52万元。</w:t>
      </w:r>
    </w:p>
    <w:p w14:paraId="1E4F0655">
      <w:pPr>
        <w:jc w:val="center"/>
        <w:rPr>
          <w:rFonts w:hint="eastAsia" w:ascii="仿宋" w:hAnsi="仿宋" w:eastAsia="仿宋" w:cs="仿宋"/>
          <w:sz w:val="32"/>
          <w:szCs w:val="32"/>
          <w:highlight w:val="none"/>
        </w:rPr>
      </w:pPr>
      <w:r>
        <w:rPr>
          <w:rFonts w:hint="eastAsia" w:ascii="仿宋" w:hAnsi="仿宋" w:eastAsia="仿宋" w:cs="仿宋"/>
          <w:sz w:val="32"/>
          <w:szCs w:val="32"/>
        </w:rPr>
        <w:drawing>
          <wp:inline distT="0" distB="0" distL="114300" distR="114300">
            <wp:extent cx="4474845" cy="3215640"/>
            <wp:effectExtent l="4445" t="4445" r="16510" b="18415"/>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91F2B5">
      <w:pPr>
        <w:jc w:val="both"/>
        <w:rPr>
          <w:rFonts w:hint="eastAsia" w:ascii="仿宋" w:hAnsi="仿宋" w:eastAsia="仿宋" w:cs="仿宋"/>
          <w:sz w:val="32"/>
          <w:szCs w:val="32"/>
          <w:highlight w:val="none"/>
        </w:rPr>
      </w:pPr>
    </w:p>
    <w:p w14:paraId="10B06260">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14:paraId="5C7E42D2">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4E64EABF">
      <w:pPr>
        <w:jc w:val="center"/>
        <w:rPr>
          <w:rFonts w:hint="eastAsia" w:ascii="仿宋" w:hAnsi="仿宋" w:eastAsia="仿宋" w:cs="仿宋"/>
          <w:sz w:val="32"/>
          <w:szCs w:val="32"/>
          <w:highlight w:val="none"/>
        </w:rPr>
      </w:pPr>
      <w:r>
        <w:rPr>
          <w:rFonts w:hint="eastAsia" w:ascii="仿宋" w:hAnsi="仿宋" w:eastAsia="仿宋" w:cs="仿宋"/>
          <w:sz w:val="32"/>
          <w:szCs w:val="32"/>
        </w:rPr>
        <w:drawing>
          <wp:inline distT="0" distB="0" distL="114300" distR="114300">
            <wp:extent cx="4474845" cy="3215640"/>
            <wp:effectExtent l="4445" t="4445" r="16510" b="1841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33DBEE">
      <w:pPr>
        <w:jc w:val="both"/>
        <w:rPr>
          <w:rFonts w:hint="eastAsia" w:ascii="仿宋" w:hAnsi="仿宋" w:eastAsia="仿宋" w:cs="仿宋"/>
          <w:sz w:val="32"/>
          <w:szCs w:val="32"/>
          <w:highlight w:val="none"/>
        </w:rPr>
      </w:pPr>
    </w:p>
    <w:p w14:paraId="3123C569">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14:paraId="3E080764">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412BAE1D">
      <w:pPr>
        <w:jc w:val="center"/>
        <w:rPr>
          <w:rFonts w:hint="eastAsia" w:ascii="仿宋" w:hAnsi="仿宋" w:eastAsia="仿宋" w:cs="仿宋"/>
          <w:sz w:val="32"/>
          <w:szCs w:val="32"/>
          <w:highlight w:val="none"/>
        </w:rPr>
      </w:pPr>
      <w:r>
        <w:rPr>
          <w:rFonts w:hint="eastAsia" w:ascii="仿宋" w:hAnsi="仿宋" w:eastAsia="仿宋" w:cs="仿宋"/>
          <w:sz w:val="32"/>
          <w:szCs w:val="32"/>
        </w:rPr>
        <w:drawing>
          <wp:inline distT="0" distB="0" distL="114300" distR="114300">
            <wp:extent cx="4474845" cy="3215640"/>
            <wp:effectExtent l="4445" t="4445" r="16510" b="18415"/>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F81C18">
      <w:pPr>
        <w:jc w:val="both"/>
        <w:rPr>
          <w:rFonts w:hint="eastAsia" w:ascii="仿宋" w:hAnsi="仿宋" w:eastAsia="仿宋" w:cs="仿宋"/>
          <w:sz w:val="32"/>
          <w:szCs w:val="32"/>
          <w:highlight w:val="none"/>
        </w:rPr>
      </w:pPr>
    </w:p>
    <w:p w14:paraId="668096D8">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hint="eastAsia" w:ascii="仿宋" w:hAnsi="仿宋" w:eastAsia="仿宋" w:cs="仿宋"/>
          <w:sz w:val="32"/>
          <w:szCs w:val="32"/>
          <w:highlight w:val="none"/>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0</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14:paraId="30C9F26D">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5CCD0453">
      <w:pPr>
        <w:jc w:val="center"/>
        <w:rPr>
          <w:rFonts w:ascii="仿宋" w:hAnsi="仿宋" w:eastAsia="仿宋" w:cs="仿宋"/>
          <w:sz w:val="32"/>
          <w:szCs w:val="32"/>
          <w:highlight w:val="none"/>
        </w:rPr>
      </w:pPr>
      <w:r>
        <w:rPr>
          <w:rFonts w:hint="eastAsia" w:ascii="仿宋" w:hAnsi="仿宋" w:eastAsia="仿宋" w:cs="仿宋"/>
          <w:sz w:val="32"/>
          <w:szCs w:val="32"/>
        </w:rPr>
        <w:drawing>
          <wp:inline distT="0" distB="0" distL="114300" distR="114300">
            <wp:extent cx="4474845" cy="3215640"/>
            <wp:effectExtent l="4445" t="4445" r="16510" b="18415"/>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0C45C0">
      <w:pPr>
        <w:jc w:val="left"/>
        <w:rPr>
          <w:rFonts w:ascii="仿宋" w:hAnsi="仿宋" w:eastAsia="仿宋" w:cs="仿宋"/>
          <w:sz w:val="32"/>
          <w:szCs w:val="32"/>
          <w:highlight w:val="none"/>
        </w:rPr>
      </w:pPr>
    </w:p>
    <w:p w14:paraId="08873CF9">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14:paraId="0AEDD6A2">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洛阳镇中心幼儿园</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14:paraId="065532CF">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6BD584C9">
      <w:pPr>
        <w:ind w:firstLine="640" w:firstLineChars="200"/>
        <w:jc w:val="left"/>
        <w:rPr>
          <w:rFonts w:hint="eastAsia" w:ascii="仿宋" w:hAnsi="仿宋" w:eastAsia="仿宋" w:cs="仿宋"/>
          <w:color w:val="auto"/>
          <w:sz w:val="32"/>
          <w:szCs w:val="32"/>
          <w:highlight w:val="none"/>
        </w:rPr>
      </w:pPr>
      <w:bookmarkStart w:id="2" w:name="PO_part3A5B1C1DiffReason1"/>
      <w:r>
        <w:rPr>
          <w:rFonts w:hint="eastAsia" w:ascii="仿宋" w:hAnsi="仿宋" w:eastAsia="仿宋" w:cs="仿宋"/>
          <w:color w:val="auto"/>
          <w:sz w:val="32"/>
          <w:szCs w:val="32"/>
          <w:highlight w:val="none"/>
          <w:lang w:val="en-US" w:eastAsia="zh-CN"/>
        </w:rPr>
        <w:t>洛阳镇中心幼儿园</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2"/>
    </w:p>
    <w:p w14:paraId="4B70EBB9">
      <w:pPr>
        <w:numPr>
          <w:ilvl w:val="0"/>
          <w:numId w:val="3"/>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一般公共预算财政拨款安排的“三公”经费支出决算情况说明</w:t>
      </w:r>
    </w:p>
    <w:p w14:paraId="36343B2F">
      <w:pPr>
        <w:ind w:firstLine="640" w:firstLineChars="200"/>
        <w:jc w:val="left"/>
        <w:rPr>
          <w:rFonts w:hint="eastAsia" w:ascii="黑体" w:hAnsi="黑体" w:eastAsia="黑体" w:cs="黑体"/>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洛阳镇中心幼儿园</w:t>
      </w:r>
      <w:r>
        <w:rPr>
          <w:rFonts w:hint="eastAsia" w:ascii="仿宋_GB2312" w:hAnsi="仿宋_GB2312" w:eastAsia="仿宋_GB2312" w:cs="仿宋_GB2312"/>
          <w:b w:val="0"/>
          <w:bCs w:val="0"/>
          <w:color w:val="auto"/>
          <w:sz w:val="32"/>
          <w:szCs w:val="32"/>
          <w:u w:color="auto"/>
        </w:rPr>
        <w:t>没有</w:t>
      </w:r>
      <w:r>
        <w:rPr>
          <w:rFonts w:hint="eastAsia" w:ascii="仿宋_GB2312" w:hAnsi="仿宋_GB2312" w:eastAsia="仿宋_GB2312" w:cs="仿宋_GB2312"/>
          <w:b w:val="0"/>
          <w:bCs w:val="0"/>
          <w:sz w:val="32"/>
          <w:szCs w:val="32"/>
          <w:highlight w:val="none"/>
        </w:rPr>
        <w:t>一般公共预算财政拨款安排的“三公”经费</w:t>
      </w:r>
      <w:r>
        <w:rPr>
          <w:rFonts w:hint="eastAsia" w:ascii="仿宋_GB2312" w:hAnsi="仿宋_GB2312" w:eastAsia="仿宋_GB2312" w:cs="仿宋_GB2312"/>
          <w:b w:val="0"/>
          <w:bCs w:val="0"/>
          <w:color w:val="auto"/>
          <w:sz w:val="32"/>
          <w:szCs w:val="32"/>
          <w:u w:color="auto"/>
        </w:rPr>
        <w:t>预算收入，也没有</w:t>
      </w:r>
      <w:r>
        <w:rPr>
          <w:rFonts w:hint="eastAsia" w:ascii="仿宋_GB2312" w:hAnsi="仿宋_GB2312" w:eastAsia="仿宋_GB2312" w:cs="仿宋_GB2312"/>
          <w:b w:val="0"/>
          <w:bCs w:val="0"/>
          <w:sz w:val="32"/>
          <w:szCs w:val="32"/>
          <w:highlight w:val="none"/>
        </w:rPr>
        <w:t>一般公共预算财政拨款安排的“三公”经费</w:t>
      </w:r>
      <w:r>
        <w:rPr>
          <w:rFonts w:hint="eastAsia" w:ascii="仿宋_GB2312" w:hAnsi="仿宋_GB2312" w:eastAsia="仿宋_GB2312" w:cs="仿宋_GB2312"/>
          <w:b w:val="0"/>
          <w:bCs w:val="0"/>
          <w:color w:val="auto"/>
          <w:sz w:val="32"/>
          <w:szCs w:val="32"/>
        </w:rPr>
        <w:t>安排的支出，故本段落无表述。</w:t>
      </w:r>
    </w:p>
    <w:p w14:paraId="4DCBF326">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781DAF1C">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7A8FAD41">
      <w:pPr>
        <w:ind w:firstLine="640" w:firstLineChars="200"/>
        <w:jc w:val="left"/>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本部门没有机关运行经费</w:t>
      </w:r>
      <w:r>
        <w:rPr>
          <w:rFonts w:hint="eastAsia" w:ascii="仿宋_GB2312" w:hAnsi="仿宋_GB2312" w:eastAsia="仿宋_GB2312" w:cs="仿宋_GB2312"/>
          <w:b w:val="0"/>
          <w:bCs w:val="0"/>
          <w:color w:val="auto"/>
          <w:sz w:val="32"/>
          <w:szCs w:val="32"/>
          <w:u w:color="auto"/>
        </w:rPr>
        <w:t>预算收入</w:t>
      </w:r>
      <w:r>
        <w:rPr>
          <w:rFonts w:hint="eastAsia" w:ascii="仿宋_GB2312" w:hAnsi="仿宋_GB2312" w:eastAsia="仿宋_GB2312" w:cs="仿宋_GB2312"/>
          <w:b w:val="0"/>
          <w:bCs w:val="0"/>
          <w:color w:val="auto"/>
          <w:sz w:val="32"/>
          <w:szCs w:val="32"/>
          <w:u w:color="auto"/>
          <w:lang w:eastAsia="zh-CN"/>
        </w:rPr>
        <w:t>，</w:t>
      </w:r>
      <w:r>
        <w:rPr>
          <w:rFonts w:hint="eastAsia" w:ascii="仿宋_GB2312" w:hAnsi="仿宋_GB2312" w:eastAsia="仿宋_GB2312" w:cs="仿宋_GB2312"/>
          <w:b w:val="0"/>
          <w:bCs w:val="0"/>
          <w:color w:val="auto"/>
          <w:sz w:val="32"/>
          <w:szCs w:val="32"/>
          <w:u w:color="auto"/>
          <w:lang w:val="en-US" w:eastAsia="zh-CN"/>
        </w:rPr>
        <w:t>也没有</w:t>
      </w:r>
      <w:r>
        <w:rPr>
          <w:rFonts w:hint="eastAsia" w:ascii="仿宋_GB2312" w:hAnsi="宋体" w:eastAsia="仿宋_GB2312" w:cs="仿宋_GB2312"/>
          <w:b w:val="0"/>
          <w:bCs w:val="0"/>
          <w:color w:val="000000"/>
          <w:kern w:val="0"/>
          <w:sz w:val="32"/>
          <w:szCs w:val="32"/>
          <w:lang w:val="en-US" w:eastAsia="zh-CN" w:bidi="ar"/>
        </w:rPr>
        <w:t>机关运行经费支出。</w:t>
      </w:r>
    </w:p>
    <w:p w14:paraId="3EEE0B67">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5AE752E4">
      <w:pPr>
        <w:ind w:firstLine="640" w:firstLineChars="200"/>
        <w:jc w:val="left"/>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本部门没有政府采购经费</w:t>
      </w:r>
      <w:r>
        <w:rPr>
          <w:rFonts w:hint="eastAsia" w:ascii="仿宋_GB2312" w:hAnsi="仿宋_GB2312" w:eastAsia="仿宋_GB2312" w:cs="仿宋_GB2312"/>
          <w:b w:val="0"/>
          <w:bCs w:val="0"/>
          <w:color w:val="auto"/>
          <w:sz w:val="32"/>
          <w:szCs w:val="32"/>
          <w:u w:color="auto"/>
        </w:rPr>
        <w:t>预算收入</w:t>
      </w:r>
      <w:r>
        <w:rPr>
          <w:rFonts w:hint="eastAsia" w:ascii="仿宋_GB2312" w:hAnsi="仿宋_GB2312" w:eastAsia="仿宋_GB2312" w:cs="仿宋_GB2312"/>
          <w:b w:val="0"/>
          <w:bCs w:val="0"/>
          <w:color w:val="auto"/>
          <w:sz w:val="32"/>
          <w:szCs w:val="32"/>
          <w:u w:color="auto"/>
          <w:lang w:eastAsia="zh-CN"/>
        </w:rPr>
        <w:t>，</w:t>
      </w:r>
      <w:r>
        <w:rPr>
          <w:rFonts w:hint="eastAsia" w:ascii="仿宋_GB2312" w:hAnsi="仿宋_GB2312" w:eastAsia="仿宋_GB2312" w:cs="仿宋_GB2312"/>
          <w:b w:val="0"/>
          <w:bCs w:val="0"/>
          <w:color w:val="auto"/>
          <w:sz w:val="32"/>
          <w:szCs w:val="32"/>
          <w:u w:color="auto"/>
          <w:lang w:val="en-US" w:eastAsia="zh-CN"/>
        </w:rPr>
        <w:t>也没有</w:t>
      </w:r>
      <w:r>
        <w:rPr>
          <w:rFonts w:hint="eastAsia" w:ascii="仿宋_GB2312" w:hAnsi="宋体" w:eastAsia="仿宋_GB2312" w:cs="仿宋_GB2312"/>
          <w:b w:val="0"/>
          <w:bCs w:val="0"/>
          <w:color w:val="000000"/>
          <w:kern w:val="0"/>
          <w:sz w:val="32"/>
          <w:szCs w:val="32"/>
          <w:lang w:val="en-US" w:eastAsia="zh-CN" w:bidi="ar"/>
        </w:rPr>
        <w:t>政府采购经费支出。</w:t>
      </w:r>
    </w:p>
    <w:p w14:paraId="6A969333">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7FE15792">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14:paraId="2D82370B">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3C656499">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14:paraId="73203CC5">
      <w:pPr>
        <w:ind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213.1155</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97.91</w:t>
      </w:r>
      <w:r>
        <w:rPr>
          <w:rFonts w:hint="eastAsia" w:ascii="仿宋" w:hAnsi="仿宋" w:eastAsia="仿宋" w:cs="仿宋"/>
          <w:color w:val="000000" w:themeColor="text1"/>
          <w:sz w:val="32"/>
          <w:szCs w:val="32"/>
          <w14:textFill>
            <w14:solidFill>
              <w14:schemeClr w14:val="tx1"/>
            </w14:solidFill>
          </w14:textFill>
        </w:rPr>
        <w:t>%。</w:t>
      </w:r>
    </w:p>
    <w:p w14:paraId="4F46C738">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auto"/>
          <w:sz w:val="32"/>
          <w:szCs w:val="32"/>
        </w:rPr>
        <w:t>。</w:t>
      </w:r>
    </w:p>
    <w:p w14:paraId="607FBEE4">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学前教育免保教费县本级补助资金</w:t>
      </w:r>
      <w:r>
        <w:rPr>
          <w:rFonts w:hint="eastAsia" w:ascii="仿宋_GB2312" w:hAnsi="仿宋_GB2312" w:eastAsia="仿宋_GB2312" w:cs="仿宋_GB2312"/>
          <w:color w:val="auto"/>
          <w:sz w:val="32"/>
          <w:szCs w:val="32"/>
        </w:rPr>
        <w:t>自评得分为</w:t>
      </w:r>
      <w:r>
        <w:rPr>
          <w:rFonts w:hint="eastAsia" w:ascii="仿宋_GB2312" w:hAnsi="仿宋_GB2312" w:eastAsia="仿宋_GB2312" w:cs="仿宋_GB2312"/>
          <w:color w:val="auto"/>
          <w:sz w:val="32"/>
          <w:szCs w:val="32"/>
          <w:lang w:val="en-US" w:eastAsia="zh-CN"/>
        </w:rPr>
        <w:t>96.24</w:t>
      </w:r>
      <w:r>
        <w:rPr>
          <w:rFonts w:hint="eastAsia" w:ascii="仿宋_GB2312" w:hAnsi="仿宋_GB2312" w:eastAsia="仿宋_GB2312" w:cs="仿宋_GB2312"/>
          <w:color w:val="auto"/>
          <w:sz w:val="32"/>
          <w:szCs w:val="32"/>
        </w:rPr>
        <w:t>分。发现的主要问题及原因：一是</w:t>
      </w:r>
      <w:r>
        <w:rPr>
          <w:rFonts w:hint="eastAsia" w:ascii="仿宋_GB2312" w:hAnsi="仿宋_GB2312" w:eastAsia="仿宋_GB2312" w:cs="仿宋_GB2312"/>
          <w:sz w:val="32"/>
          <w:szCs w:val="32"/>
        </w:rPr>
        <w:t>未能制定相关管理制度，在项目实施方面还有待完善。</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sz w:val="32"/>
          <w:szCs w:val="32"/>
        </w:rPr>
        <w:t>完善项目相关管理制度，并依照制度办事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为项目的实施提供有效的保障</w:t>
      </w:r>
      <w:r>
        <w:rPr>
          <w:rFonts w:hint="eastAsia" w:ascii="仿宋_GB2312" w:hAnsi="仿宋_GB2312" w:eastAsia="仿宋_GB2312" w:cs="仿宋_GB2312"/>
          <w:color w:val="auto"/>
          <w:sz w:val="32"/>
          <w:szCs w:val="32"/>
        </w:rPr>
        <w:t>。</w:t>
      </w:r>
    </w:p>
    <w:p w14:paraId="1ABB4CA0">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班主任津贴自评得分为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p>
    <w:p w14:paraId="618E2556">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学前生均公用经费自评得分为</w:t>
      </w:r>
      <w:r>
        <w:rPr>
          <w:rFonts w:hint="eastAsia" w:ascii="仿宋_GB2312" w:hAnsi="仿宋_GB2312" w:eastAsia="仿宋_GB2312" w:cs="仿宋_GB2312"/>
          <w:color w:val="auto"/>
          <w:sz w:val="32"/>
          <w:szCs w:val="32"/>
          <w:lang w:val="en-US" w:eastAsia="zh-CN"/>
        </w:rPr>
        <w:t>90.78</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发现的主要问题及原因：一是</w:t>
      </w:r>
      <w:r>
        <w:rPr>
          <w:rFonts w:hint="eastAsia" w:ascii="仿宋_GB2312" w:hAnsi="仿宋_GB2312" w:eastAsia="仿宋_GB2312" w:cs="仿宋_GB2312"/>
          <w:sz w:val="32"/>
          <w:szCs w:val="32"/>
        </w:rPr>
        <w:t>未能制定相关管理制度，在项目实施方面还有待完善。</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eastAsia="仿宋_GB2312" w:cs="仿宋_GB2312"/>
          <w:i w:val="0"/>
          <w:iCs w:val="0"/>
          <w:caps w:val="0"/>
          <w:color w:val="000000"/>
          <w:spacing w:val="0"/>
          <w:sz w:val="32"/>
          <w:szCs w:val="32"/>
          <w:shd w:val="clear" w:fill="FDFDFE"/>
          <w:lang w:val="en-US" w:eastAsia="zh-CN"/>
        </w:rPr>
        <w:t>加强对幼儿园资金使用过程的监督和指导</w:t>
      </w:r>
      <w:r>
        <w:rPr>
          <w:rFonts w:hint="eastAsia" w:ascii="仿宋_GB2312" w:hAnsi="仿宋_GB2312" w:eastAsia="仿宋_GB2312" w:cs="仿宋_GB2312"/>
          <w:sz w:val="32"/>
          <w:szCs w:val="32"/>
          <w:lang w:eastAsia="zh-CN"/>
        </w:rPr>
        <w:t>。</w:t>
      </w:r>
    </w:p>
    <w:p w14:paraId="4BCB77AF">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普惠幼儿园奖补县本级奖补资金</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94.67</w:t>
      </w:r>
      <w:r>
        <w:rPr>
          <w:rFonts w:hint="eastAsia" w:ascii="仿宋_GB2312" w:hAnsi="仿宋_GB2312" w:eastAsia="仿宋_GB2312" w:cs="仿宋_GB2312"/>
          <w:color w:val="auto"/>
          <w:sz w:val="32"/>
          <w:szCs w:val="32"/>
        </w:rPr>
        <w:t>分。</w:t>
      </w:r>
    </w:p>
    <w:p w14:paraId="43E88A4E">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奖励性补贴项目自评得分为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p>
    <w:p w14:paraId="0376EE92">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教师节经费项目自评得分为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p>
    <w:p w14:paraId="01B4E2F5">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普惠性民办幼儿园奖补中央补助资金项目自评得分为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p>
    <w:p w14:paraId="456F817B">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学前教育免除保教费中央补助资金项目自评得分为</w:t>
      </w:r>
      <w:r>
        <w:rPr>
          <w:rFonts w:hint="eastAsia" w:ascii="仿宋_GB2312" w:hAnsi="仿宋_GB2312" w:eastAsia="仿宋_GB2312" w:cs="仿宋_GB2312"/>
          <w:color w:val="auto"/>
          <w:sz w:val="32"/>
          <w:szCs w:val="32"/>
          <w:lang w:val="en-US" w:eastAsia="zh-CN"/>
        </w:rPr>
        <w:t>99.72分，</w:t>
      </w:r>
      <w:r>
        <w:rPr>
          <w:rFonts w:hint="eastAsia" w:ascii="仿宋_GB2312" w:hAnsi="仿宋_GB2312" w:eastAsia="仿宋_GB2312" w:cs="仿宋_GB2312"/>
          <w:color w:val="auto"/>
          <w:sz w:val="32"/>
          <w:szCs w:val="32"/>
        </w:rPr>
        <w:t>发现的主要问题及原因：一是</w:t>
      </w:r>
      <w:r>
        <w:rPr>
          <w:rFonts w:hint="eastAsia" w:ascii="仿宋_GB2312" w:hAnsi="仿宋_GB2312" w:eastAsia="仿宋_GB2312" w:cs="仿宋_GB2312"/>
          <w:sz w:val="32"/>
          <w:szCs w:val="32"/>
        </w:rPr>
        <w:t>未能制定相关管理制度，在项目实施方面还有待完善。</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sz w:val="32"/>
          <w:szCs w:val="32"/>
        </w:rPr>
        <w:t>完善项目相关管理制度，并依照制度办事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为项目的实施提供有效的保障。</w:t>
      </w:r>
    </w:p>
    <w:p w14:paraId="0652DE67">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（9）环江县洛阳镇中心幼儿园年初预算经费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93.56</w:t>
      </w:r>
      <w:r>
        <w:rPr>
          <w:rFonts w:hint="eastAsia" w:ascii="仿宋_GB2312" w:hAnsi="仿宋_GB2312" w:eastAsia="仿宋_GB2312" w:cs="仿宋_GB2312"/>
          <w:color w:val="auto"/>
          <w:sz w:val="32"/>
          <w:szCs w:val="32"/>
        </w:rPr>
        <w:t>分</w:t>
      </w:r>
    </w:p>
    <w:p w14:paraId="4C33A143">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（10）奖励性补贴(非三保)</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p>
    <w:p w14:paraId="5B881472">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普惠性民办幼儿园专职保安员配备自治区补助经费项目自评得分为</w:t>
      </w:r>
      <w:r>
        <w:rPr>
          <w:rFonts w:hint="eastAsia" w:ascii="仿宋_GB2312" w:hAnsi="仿宋_GB2312" w:eastAsia="仿宋_GB2312" w:cs="仿宋_GB2312"/>
          <w:color w:val="auto"/>
          <w:sz w:val="32"/>
          <w:szCs w:val="32"/>
          <w:lang w:val="en-US" w:eastAsia="zh-CN"/>
        </w:rPr>
        <w:t>100分</w:t>
      </w:r>
    </w:p>
    <w:p w14:paraId="06C43963">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（12）学前教育免除保教费自治区补助资金</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100分</w:t>
      </w:r>
    </w:p>
    <w:p w14:paraId="02FFE1DD">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（13）普惠性民办幼儿园专职保安员配备市级补助经费项目</w:t>
      </w:r>
      <w:r>
        <w:rPr>
          <w:rFonts w:hint="eastAsia" w:ascii="仿宋_GB2312" w:hAnsi="仿宋_GB2312" w:eastAsia="仿宋_GB2312" w:cs="仿宋_GB2312"/>
          <w:color w:val="auto"/>
          <w:sz w:val="32"/>
          <w:szCs w:val="32"/>
        </w:rPr>
        <w:t>自评得分为</w:t>
      </w:r>
      <w:r>
        <w:rPr>
          <w:rFonts w:hint="eastAsia" w:ascii="仿宋_GB2312" w:hAnsi="仿宋_GB2312" w:eastAsia="仿宋_GB2312" w:cs="仿宋_GB2312"/>
          <w:color w:val="auto"/>
          <w:sz w:val="32"/>
          <w:szCs w:val="32"/>
          <w:lang w:val="en-US" w:eastAsia="zh-CN"/>
        </w:rPr>
        <w:t>100分</w:t>
      </w:r>
    </w:p>
    <w:p w14:paraId="6EC4244B">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（14）普惠性民办幼儿园奖补自治区补助资金项目</w:t>
      </w:r>
      <w:r>
        <w:rPr>
          <w:rFonts w:hint="eastAsia" w:ascii="仿宋_GB2312" w:hAnsi="仿宋_GB2312" w:eastAsia="仿宋_GB2312" w:cs="仿宋_GB2312"/>
          <w:color w:val="auto"/>
          <w:sz w:val="32"/>
          <w:szCs w:val="32"/>
        </w:rPr>
        <w:t>自评得分为</w:t>
      </w:r>
      <w:r>
        <w:rPr>
          <w:rFonts w:hint="eastAsia" w:ascii="仿宋_GB2312" w:hAnsi="仿宋_GB2312" w:eastAsia="仿宋_GB2312" w:cs="仿宋_GB2312"/>
          <w:color w:val="auto"/>
          <w:sz w:val="32"/>
          <w:szCs w:val="32"/>
          <w:lang w:val="en-US" w:eastAsia="zh-CN"/>
        </w:rPr>
        <w:t>88.94分</w:t>
      </w:r>
    </w:p>
    <w:p w14:paraId="4A4B4960">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（15）洛阳镇中心幼儿园2023年年初预算经费(保育教育费)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91.46</w:t>
      </w:r>
      <w:r>
        <w:rPr>
          <w:rFonts w:hint="eastAsia" w:ascii="仿宋_GB2312" w:hAnsi="仿宋_GB2312" w:eastAsia="仿宋_GB2312" w:cs="仿宋_GB2312"/>
          <w:color w:val="auto"/>
          <w:sz w:val="32"/>
          <w:szCs w:val="32"/>
        </w:rPr>
        <w:t>分。发现的主要问题及原因：</w:t>
      </w:r>
      <w:r>
        <w:rPr>
          <w:rFonts w:hint="eastAsia" w:ascii="仿宋_GB2312" w:eastAsia="仿宋_GB2312" w:cs="仿宋_GB2312"/>
          <w:i w:val="0"/>
          <w:iCs w:val="0"/>
          <w:caps w:val="0"/>
          <w:color w:val="000000"/>
          <w:spacing w:val="0"/>
          <w:sz w:val="32"/>
          <w:szCs w:val="32"/>
          <w:shd w:val="clear" w:fill="FDFDFE"/>
          <w:lang w:val="en-US" w:eastAsia="zh-CN"/>
        </w:rPr>
        <w:t>在项目资金预算绩效方面总体上是管理使用到位，但项目未完成预算资金使用量</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sz w:val="32"/>
          <w:szCs w:val="32"/>
        </w:rPr>
        <w:t>完善项目相关管理制度，并依照制度办事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为项目的实施提供有效的保障。</w:t>
      </w:r>
    </w:p>
    <w:p w14:paraId="2062DB24">
      <w:pPr>
        <w:jc w:val="left"/>
        <w:rPr>
          <w:rFonts w:hint="eastAsia" w:ascii="仿宋" w:hAnsi="仿宋" w:eastAsia="仿宋" w:cs="仿宋"/>
          <w:color w:val="000000" w:themeColor="text1"/>
          <w:sz w:val="32"/>
          <w:szCs w:val="32"/>
          <w14:textFill>
            <w14:solidFill>
              <w14:schemeClr w14:val="tx1"/>
            </w14:solidFill>
          </w14:textFill>
        </w:rPr>
      </w:pPr>
    </w:p>
    <w:p w14:paraId="5AE811E7">
      <w:pPr>
        <w:jc w:val="left"/>
        <w:rPr>
          <w:rFonts w:hint="eastAsia" w:ascii="仿宋" w:hAnsi="仿宋" w:eastAsia="仿宋" w:cs="仿宋"/>
          <w:color w:val="000000" w:themeColor="text1"/>
          <w:sz w:val="32"/>
          <w:szCs w:val="32"/>
          <w14:textFill>
            <w14:solidFill>
              <w14:schemeClr w14:val="tx1"/>
            </w14:solidFill>
          </w14:textFill>
        </w:rPr>
      </w:pPr>
    </w:p>
    <w:p w14:paraId="1734FCB5">
      <w:pPr>
        <w:jc w:val="left"/>
        <w:rPr>
          <w:rFonts w:hint="eastAsia" w:ascii="仿宋" w:hAnsi="仿宋" w:eastAsia="仿宋" w:cs="仿宋"/>
          <w:sz w:val="32"/>
          <w:szCs w:val="32"/>
          <w:highlight w:val="none"/>
        </w:rPr>
      </w:pPr>
    </w:p>
    <w:p w14:paraId="53DA33ED">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22D8ADC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14:paraId="62B3F99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7C2BF91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745BBE2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2EE3863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6BC86794">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4B93A23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1D0A9AE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78941EE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545503D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22D8007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74111AC2">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38FE9608">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8AA794E">
      <w:pPr>
        <w:ind w:firstLine="640" w:firstLineChars="200"/>
        <w:jc w:val="left"/>
        <w:rPr>
          <w:rFonts w:hint="eastAsia" w:ascii="仿宋" w:hAnsi="仿宋" w:eastAsia="仿宋" w:cs="仿宋"/>
          <w:sz w:val="32"/>
          <w:szCs w:val="32"/>
          <w:highlight w:val="none"/>
        </w:rPr>
      </w:pPr>
    </w:p>
    <w:p w14:paraId="52C174E9">
      <w:pPr>
        <w:autoSpaceDE w:val="0"/>
        <w:autoSpaceDN w:val="0"/>
        <w:adjustRightInd w:val="0"/>
        <w:spacing w:line="560" w:lineRule="exact"/>
        <w:ind w:left="1598" w:leftChars="304" w:hanging="960" w:hangingChars="3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附表：</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环江毛南族自治县</w:t>
      </w:r>
      <w:r>
        <w:rPr>
          <w:rFonts w:hint="eastAsia" w:ascii="Times New Roman" w:hAnsi="Times New Roman" w:eastAsia="仿宋_GB2312" w:cs="Times New Roman"/>
          <w:kern w:val="0"/>
          <w:sz w:val="32"/>
          <w:szCs w:val="32"/>
          <w:lang w:val="en-US" w:eastAsia="zh-CN"/>
        </w:rPr>
        <w:t>洛阳镇中心</w:t>
      </w:r>
      <w:r>
        <w:rPr>
          <w:rFonts w:hint="eastAsia" w:ascii="Times New Roman" w:hAnsi="Times New Roman" w:eastAsia="仿宋_GB2312" w:cs="Times New Roman"/>
          <w:kern w:val="0"/>
          <w:sz w:val="32"/>
          <w:szCs w:val="32"/>
        </w:rPr>
        <w:t>幼儿园</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23</w:t>
      </w:r>
      <w:r>
        <w:rPr>
          <w:rFonts w:ascii="Times New Roman" w:hAnsi="Times New Roman" w:eastAsia="仿宋_GB2312" w:cs="Times New Roman"/>
          <w:kern w:val="0"/>
          <w:sz w:val="32"/>
          <w:szCs w:val="32"/>
        </w:rPr>
        <w:t>年部门决算公开报表</w:t>
      </w:r>
      <w:r>
        <w:rPr>
          <w:rFonts w:hint="eastAsia" w:ascii="Times New Roman" w:hAnsi="Times New Roman" w:eastAsia="仿宋_GB2312" w:cs="Times New Roman"/>
          <w:kern w:val="0"/>
          <w:sz w:val="32"/>
          <w:szCs w:val="32"/>
          <w:lang w:eastAsia="zh-CN"/>
        </w:rPr>
        <w:t>；</w:t>
      </w:r>
    </w:p>
    <w:p w14:paraId="5EED5C3F">
      <w:pPr>
        <w:autoSpaceDE w:val="0"/>
        <w:autoSpaceDN w:val="0"/>
        <w:adjustRightInd w:val="0"/>
        <w:spacing w:line="560" w:lineRule="exact"/>
        <w:ind w:left="1598" w:leftChars="304" w:hanging="960" w:hangingChars="3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2.《2023年项目支出绩效自评表》。</w:t>
      </w:r>
    </w:p>
    <w:p w14:paraId="6F0F6755">
      <w:pPr>
        <w:ind w:firstLine="640" w:firstLineChars="200"/>
        <w:jc w:val="left"/>
        <w:rPr>
          <w:rFonts w:hint="eastAsia" w:ascii="仿宋" w:hAnsi="仿宋" w:eastAsia="仿宋" w:cs="仿宋"/>
          <w:sz w:val="32"/>
          <w:szCs w:val="32"/>
          <w:highlight w:val="none"/>
        </w:rPr>
      </w:pPr>
    </w:p>
    <w:sectPr>
      <w:pgSz w:w="11906" w:h="16838"/>
      <w:pgMar w:top="1157" w:right="1519" w:bottom="1157" w:left="1519"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DB5C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8C98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08C98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8B2C">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A01EB36D"/>
    <w:multiLevelType w:val="singleLevel"/>
    <w:tmpl w:val="A01EB36D"/>
    <w:lvl w:ilvl="0" w:tentative="0">
      <w:start w:val="6"/>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1NTg5MjcyYzFiNDAwMzRiODcyZjRhYjE1MWQxZD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4E0863"/>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15F1D"/>
    <w:rsid w:val="00EB7822"/>
    <w:rsid w:val="00EC50A9"/>
    <w:rsid w:val="00ED04DB"/>
    <w:rsid w:val="00F21455"/>
    <w:rsid w:val="00F5354B"/>
    <w:rsid w:val="00F95135"/>
    <w:rsid w:val="00F9658C"/>
    <w:rsid w:val="00F978FD"/>
    <w:rsid w:val="00FA738E"/>
    <w:rsid w:val="00FC438B"/>
    <w:rsid w:val="01044595"/>
    <w:rsid w:val="01234E98"/>
    <w:rsid w:val="014B7705"/>
    <w:rsid w:val="015F1951"/>
    <w:rsid w:val="016218D0"/>
    <w:rsid w:val="01725415"/>
    <w:rsid w:val="0175627C"/>
    <w:rsid w:val="01BE7323"/>
    <w:rsid w:val="020C171D"/>
    <w:rsid w:val="0216715F"/>
    <w:rsid w:val="02E0291A"/>
    <w:rsid w:val="042B1C49"/>
    <w:rsid w:val="04E54546"/>
    <w:rsid w:val="058645FB"/>
    <w:rsid w:val="05992762"/>
    <w:rsid w:val="05BB05A0"/>
    <w:rsid w:val="05EA6938"/>
    <w:rsid w:val="06126A18"/>
    <w:rsid w:val="064A044B"/>
    <w:rsid w:val="069524D5"/>
    <w:rsid w:val="07B0770E"/>
    <w:rsid w:val="08E375DA"/>
    <w:rsid w:val="0942143F"/>
    <w:rsid w:val="09DD13F2"/>
    <w:rsid w:val="0A3E51E7"/>
    <w:rsid w:val="0B1B379F"/>
    <w:rsid w:val="0BAC4907"/>
    <w:rsid w:val="0D100297"/>
    <w:rsid w:val="0D202B45"/>
    <w:rsid w:val="0F3F75AE"/>
    <w:rsid w:val="0F8D4C87"/>
    <w:rsid w:val="0FB566CE"/>
    <w:rsid w:val="101047D1"/>
    <w:rsid w:val="10505FAA"/>
    <w:rsid w:val="105F7E7E"/>
    <w:rsid w:val="11055836"/>
    <w:rsid w:val="11E56B5B"/>
    <w:rsid w:val="125A54C9"/>
    <w:rsid w:val="125C77AB"/>
    <w:rsid w:val="12653D6F"/>
    <w:rsid w:val="12972B11"/>
    <w:rsid w:val="12B61F29"/>
    <w:rsid w:val="13C61BA9"/>
    <w:rsid w:val="13DE01AE"/>
    <w:rsid w:val="14CB726E"/>
    <w:rsid w:val="158948B0"/>
    <w:rsid w:val="15F46FAE"/>
    <w:rsid w:val="172B6DB1"/>
    <w:rsid w:val="17325BB6"/>
    <w:rsid w:val="17E92249"/>
    <w:rsid w:val="18B34F5F"/>
    <w:rsid w:val="18D304F1"/>
    <w:rsid w:val="18F120BF"/>
    <w:rsid w:val="194C7953"/>
    <w:rsid w:val="19997E99"/>
    <w:rsid w:val="19C13749"/>
    <w:rsid w:val="19F32577"/>
    <w:rsid w:val="19F45B80"/>
    <w:rsid w:val="1A18363D"/>
    <w:rsid w:val="1A58610F"/>
    <w:rsid w:val="1B0C078D"/>
    <w:rsid w:val="1B2B31E2"/>
    <w:rsid w:val="1B4C295A"/>
    <w:rsid w:val="1B6B45C1"/>
    <w:rsid w:val="1B973C63"/>
    <w:rsid w:val="1BA1001E"/>
    <w:rsid w:val="1D317259"/>
    <w:rsid w:val="1D3F529A"/>
    <w:rsid w:val="1D7C3EC2"/>
    <w:rsid w:val="1DA95FC9"/>
    <w:rsid w:val="1E664F5B"/>
    <w:rsid w:val="1EAC07D7"/>
    <w:rsid w:val="1EB34BE1"/>
    <w:rsid w:val="1EB853CE"/>
    <w:rsid w:val="1EE82CF8"/>
    <w:rsid w:val="1F645272"/>
    <w:rsid w:val="1FA073F7"/>
    <w:rsid w:val="209C6F93"/>
    <w:rsid w:val="215E639F"/>
    <w:rsid w:val="219D7D3A"/>
    <w:rsid w:val="21EC3183"/>
    <w:rsid w:val="225E72CD"/>
    <w:rsid w:val="22857361"/>
    <w:rsid w:val="24594095"/>
    <w:rsid w:val="246E2F77"/>
    <w:rsid w:val="254B4E2B"/>
    <w:rsid w:val="25F51FB2"/>
    <w:rsid w:val="261A22E3"/>
    <w:rsid w:val="27040E39"/>
    <w:rsid w:val="27B54BA0"/>
    <w:rsid w:val="282910EA"/>
    <w:rsid w:val="283D7C94"/>
    <w:rsid w:val="290030C8"/>
    <w:rsid w:val="29480E03"/>
    <w:rsid w:val="2983634D"/>
    <w:rsid w:val="29B0206C"/>
    <w:rsid w:val="2B7834EA"/>
    <w:rsid w:val="2BB02055"/>
    <w:rsid w:val="2C575A56"/>
    <w:rsid w:val="2D0D34F2"/>
    <w:rsid w:val="2D191A38"/>
    <w:rsid w:val="2DA76A9A"/>
    <w:rsid w:val="2DE16B4C"/>
    <w:rsid w:val="2E6D4348"/>
    <w:rsid w:val="2F257714"/>
    <w:rsid w:val="2F3275E5"/>
    <w:rsid w:val="2F4B7821"/>
    <w:rsid w:val="2F6F1AD9"/>
    <w:rsid w:val="30AA08EF"/>
    <w:rsid w:val="30D23D1C"/>
    <w:rsid w:val="31221CF5"/>
    <w:rsid w:val="31400178"/>
    <w:rsid w:val="321E3342"/>
    <w:rsid w:val="327759C8"/>
    <w:rsid w:val="33185FE3"/>
    <w:rsid w:val="33DB598F"/>
    <w:rsid w:val="341543B2"/>
    <w:rsid w:val="341E5D22"/>
    <w:rsid w:val="34627E5E"/>
    <w:rsid w:val="34645E1B"/>
    <w:rsid w:val="34EE2E36"/>
    <w:rsid w:val="35692FB7"/>
    <w:rsid w:val="36476BD9"/>
    <w:rsid w:val="36777241"/>
    <w:rsid w:val="36AD1CC1"/>
    <w:rsid w:val="376E4D8D"/>
    <w:rsid w:val="378E0F6A"/>
    <w:rsid w:val="386C6EF9"/>
    <w:rsid w:val="38A951DB"/>
    <w:rsid w:val="38B31605"/>
    <w:rsid w:val="39003F4F"/>
    <w:rsid w:val="3909500D"/>
    <w:rsid w:val="39444CE6"/>
    <w:rsid w:val="3A730EBD"/>
    <w:rsid w:val="3AF00A38"/>
    <w:rsid w:val="3C07002B"/>
    <w:rsid w:val="3C805044"/>
    <w:rsid w:val="3CA56B3A"/>
    <w:rsid w:val="3D0D152A"/>
    <w:rsid w:val="3DB8751C"/>
    <w:rsid w:val="3DF62756"/>
    <w:rsid w:val="3E9774DF"/>
    <w:rsid w:val="3F1B7587"/>
    <w:rsid w:val="3F37234C"/>
    <w:rsid w:val="3F5640C0"/>
    <w:rsid w:val="3F6C36E1"/>
    <w:rsid w:val="40887912"/>
    <w:rsid w:val="40942B65"/>
    <w:rsid w:val="40B530C4"/>
    <w:rsid w:val="40E37C31"/>
    <w:rsid w:val="40FF07E3"/>
    <w:rsid w:val="415D730E"/>
    <w:rsid w:val="41E57B4F"/>
    <w:rsid w:val="42075FE4"/>
    <w:rsid w:val="42E31185"/>
    <w:rsid w:val="432F26F6"/>
    <w:rsid w:val="43880F63"/>
    <w:rsid w:val="43AD22FB"/>
    <w:rsid w:val="441C5A6F"/>
    <w:rsid w:val="4448344B"/>
    <w:rsid w:val="44C44FCC"/>
    <w:rsid w:val="44CC7369"/>
    <w:rsid w:val="457F5108"/>
    <w:rsid w:val="468C75AA"/>
    <w:rsid w:val="46951B6B"/>
    <w:rsid w:val="471D77A3"/>
    <w:rsid w:val="473074F4"/>
    <w:rsid w:val="483271BB"/>
    <w:rsid w:val="484149B7"/>
    <w:rsid w:val="491E09A8"/>
    <w:rsid w:val="495633FD"/>
    <w:rsid w:val="49A34401"/>
    <w:rsid w:val="4A3E30AB"/>
    <w:rsid w:val="4AC14DAC"/>
    <w:rsid w:val="4AEA40A1"/>
    <w:rsid w:val="4B1639EB"/>
    <w:rsid w:val="4B175078"/>
    <w:rsid w:val="4C615253"/>
    <w:rsid w:val="4D154C85"/>
    <w:rsid w:val="4E340FF4"/>
    <w:rsid w:val="4E51422F"/>
    <w:rsid w:val="4E724CEA"/>
    <w:rsid w:val="4EC8553A"/>
    <w:rsid w:val="4EFC61EA"/>
    <w:rsid w:val="4F797C61"/>
    <w:rsid w:val="4FE73357"/>
    <w:rsid w:val="50660FDB"/>
    <w:rsid w:val="508F4E24"/>
    <w:rsid w:val="50FE63B4"/>
    <w:rsid w:val="51461E90"/>
    <w:rsid w:val="51463753"/>
    <w:rsid w:val="51C573A5"/>
    <w:rsid w:val="51E436E3"/>
    <w:rsid w:val="5238200B"/>
    <w:rsid w:val="52553A93"/>
    <w:rsid w:val="527F3531"/>
    <w:rsid w:val="52FD5CE1"/>
    <w:rsid w:val="53521F8B"/>
    <w:rsid w:val="53E22F47"/>
    <w:rsid w:val="53E42050"/>
    <w:rsid w:val="54522FF8"/>
    <w:rsid w:val="54AC0E53"/>
    <w:rsid w:val="54C87412"/>
    <w:rsid w:val="55413F69"/>
    <w:rsid w:val="55450629"/>
    <w:rsid w:val="55766E6E"/>
    <w:rsid w:val="56692963"/>
    <w:rsid w:val="566F2A18"/>
    <w:rsid w:val="568B0F48"/>
    <w:rsid w:val="569357FD"/>
    <w:rsid w:val="56D76F39"/>
    <w:rsid w:val="56E77BB7"/>
    <w:rsid w:val="575C02E5"/>
    <w:rsid w:val="5786217B"/>
    <w:rsid w:val="578B0757"/>
    <w:rsid w:val="58AD6AB8"/>
    <w:rsid w:val="59337A15"/>
    <w:rsid w:val="593C61D9"/>
    <w:rsid w:val="59810274"/>
    <w:rsid w:val="59C907F4"/>
    <w:rsid w:val="5A18014C"/>
    <w:rsid w:val="5AE605F2"/>
    <w:rsid w:val="5B451848"/>
    <w:rsid w:val="5B9B2533"/>
    <w:rsid w:val="5C1A5E50"/>
    <w:rsid w:val="5C1F5457"/>
    <w:rsid w:val="5CA96A00"/>
    <w:rsid w:val="5CF730BC"/>
    <w:rsid w:val="5D3F3C0D"/>
    <w:rsid w:val="5D5016EE"/>
    <w:rsid w:val="5DEA36BE"/>
    <w:rsid w:val="5E1B5066"/>
    <w:rsid w:val="5E5F0DCE"/>
    <w:rsid w:val="5E9C6D63"/>
    <w:rsid w:val="5F74101B"/>
    <w:rsid w:val="5FA40A7B"/>
    <w:rsid w:val="5FD56D29"/>
    <w:rsid w:val="5FEC7F3F"/>
    <w:rsid w:val="60344795"/>
    <w:rsid w:val="60F74BC3"/>
    <w:rsid w:val="617D3BF8"/>
    <w:rsid w:val="61841F6A"/>
    <w:rsid w:val="61FE1283"/>
    <w:rsid w:val="623007A9"/>
    <w:rsid w:val="623C1A49"/>
    <w:rsid w:val="63516E8C"/>
    <w:rsid w:val="637D7558"/>
    <w:rsid w:val="644F19AC"/>
    <w:rsid w:val="65AA4920"/>
    <w:rsid w:val="664854F0"/>
    <w:rsid w:val="66E8795F"/>
    <w:rsid w:val="67694F1E"/>
    <w:rsid w:val="686A12FF"/>
    <w:rsid w:val="68AD4406"/>
    <w:rsid w:val="69597934"/>
    <w:rsid w:val="6A114F5F"/>
    <w:rsid w:val="6B9612B1"/>
    <w:rsid w:val="6B964DDC"/>
    <w:rsid w:val="6B9A5D83"/>
    <w:rsid w:val="6BCE1709"/>
    <w:rsid w:val="6C783074"/>
    <w:rsid w:val="6D2C0150"/>
    <w:rsid w:val="6D2F4CC8"/>
    <w:rsid w:val="6D917252"/>
    <w:rsid w:val="6D9E65C6"/>
    <w:rsid w:val="6DA81947"/>
    <w:rsid w:val="6DE05265"/>
    <w:rsid w:val="6E2758DA"/>
    <w:rsid w:val="6EB66DE2"/>
    <w:rsid w:val="6ED3075F"/>
    <w:rsid w:val="6EE41D73"/>
    <w:rsid w:val="6F2A2D4B"/>
    <w:rsid w:val="6F78056A"/>
    <w:rsid w:val="6F8A0C1E"/>
    <w:rsid w:val="703F45D4"/>
    <w:rsid w:val="7101000C"/>
    <w:rsid w:val="715D6546"/>
    <w:rsid w:val="71BE069E"/>
    <w:rsid w:val="71BF4A35"/>
    <w:rsid w:val="71FD069D"/>
    <w:rsid w:val="72235164"/>
    <w:rsid w:val="728646BA"/>
    <w:rsid w:val="73010A86"/>
    <w:rsid w:val="735760D9"/>
    <w:rsid w:val="73953409"/>
    <w:rsid w:val="73E069A3"/>
    <w:rsid w:val="74137912"/>
    <w:rsid w:val="74E0413E"/>
    <w:rsid w:val="75655194"/>
    <w:rsid w:val="76280A34"/>
    <w:rsid w:val="7714226A"/>
    <w:rsid w:val="77630D60"/>
    <w:rsid w:val="77F2308C"/>
    <w:rsid w:val="78104AA8"/>
    <w:rsid w:val="7834111B"/>
    <w:rsid w:val="78783743"/>
    <w:rsid w:val="78AD7F2B"/>
    <w:rsid w:val="78BC3185"/>
    <w:rsid w:val="78DB40CC"/>
    <w:rsid w:val="78E257C5"/>
    <w:rsid w:val="794B35BE"/>
    <w:rsid w:val="79746512"/>
    <w:rsid w:val="797A667D"/>
    <w:rsid w:val="7A15284A"/>
    <w:rsid w:val="7B0A3A31"/>
    <w:rsid w:val="7B3360ED"/>
    <w:rsid w:val="7B5319F3"/>
    <w:rsid w:val="7BC74CFD"/>
    <w:rsid w:val="7BDF037E"/>
    <w:rsid w:val="7BE73D72"/>
    <w:rsid w:val="7BF50948"/>
    <w:rsid w:val="7C71325E"/>
    <w:rsid w:val="7CE66A78"/>
    <w:rsid w:val="7D23564C"/>
    <w:rsid w:val="7D54017F"/>
    <w:rsid w:val="7D5E062D"/>
    <w:rsid w:val="7DF76CD8"/>
    <w:rsid w:val="7E832F71"/>
    <w:rsid w:val="7ED14F91"/>
    <w:rsid w:val="7F6915BD"/>
    <w:rsid w:val="7F695C26"/>
    <w:rsid w:val="7F86582B"/>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1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AppData\Local\Temp\wps.CaXVKw\Chart%20in%20Wps.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AppData\Local\Temp\wps.CaXVKw\Chart%20in%20Wps.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270.51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400074624"/>
        <c:axId val="400084992"/>
      </c:barChart>
      <c:catAx>
        <c:axId val="400074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084992"/>
        <c:crosses val="autoZero"/>
        <c:auto val="1"/>
        <c:lblAlgn val="ctr"/>
        <c:lblOffset val="100"/>
        <c:noMultiLvlLbl val="0"/>
      </c:catAx>
      <c:valAx>
        <c:axId val="4000849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074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428984960"/>
        <c:axId val="429262336"/>
      </c:barChart>
      <c:catAx>
        <c:axId val="4289849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262336"/>
        <c:crosses val="autoZero"/>
        <c:auto val="1"/>
        <c:lblAlgn val="ctr"/>
        <c:lblOffset val="100"/>
        <c:noMultiLvlLbl val="0"/>
      </c:catAx>
      <c:valAx>
        <c:axId val="429262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984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253.48</c:v>
                </c:pt>
                <c:pt idx="1">
                  <c:v>6.25</c:v>
                </c:pt>
                <c:pt idx="2">
                  <c:v>0</c:v>
                </c:pt>
                <c:pt idx="3">
                  <c:v>0</c:v>
                </c:pt>
                <c:pt idx="4">
                  <c:v>4.4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Sheet1!$C$2:$C$6</c:f>
              <c:numCache>
                <c:formatCode>General</c:formatCode>
                <c:ptCount val="5"/>
                <c:pt idx="0">
                  <c:v>286.57</c:v>
                </c:pt>
                <c:pt idx="1">
                  <c:v>13.21</c:v>
                </c:pt>
                <c:pt idx="2">
                  <c:v>0</c:v>
                </c:pt>
                <c:pt idx="3">
                  <c:v>0</c:v>
                </c:pt>
                <c:pt idx="4">
                  <c:v>9.48</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一般公共服务支出</a:t>
            </a:r>
            <a:endParaRPr lang="zh-CN" altLang="en-US"/>
          </a:p>
        </c:rich>
      </c:tx>
      <c:layout/>
      <c:overlay val="0"/>
    </c:title>
    <c:autoTitleDeleted val="0"/>
    <c:plotArea>
      <c:layout>
        <c:manualLayout>
          <c:layoutTarget val="inner"/>
          <c:xMode val="edge"/>
          <c:yMode val="edge"/>
          <c:x val="0.0604166666666667"/>
          <c:y val="0.16468253968254"/>
          <c:w val="0.9125"/>
          <c:h val="0.627777777777778"/>
        </c:manualLayout>
      </c:layout>
      <c:barChart>
        <c:barDir val="col"/>
        <c:grouping val="clustered"/>
        <c:varyColors val="0"/>
        <c:ser>
          <c:idx val="0"/>
          <c:order val="0"/>
          <c:tx>
            <c:strRef>
              <c:f>Sheet1!$B$1</c:f>
              <c:strCache>
                <c:ptCount val="1"/>
                <c:pt idx="0">
                  <c:v>科目代码</c:v>
                </c:pt>
              </c:strCache>
            </c:strRef>
          </c:tx>
          <c:invertIfNegative val="0"/>
          <c:dLbls>
            <c:delete val="1"/>
          </c:dLbls>
          <c:cat>
            <c:strRef>
              <c:f>Sheet1!$A$2:$A$3</c:f>
              <c:strCache>
                <c:ptCount val="2"/>
                <c:pt idx="0">
                  <c:v>2012999</c:v>
                </c:pt>
                <c:pt idx="1">
                  <c:v>201x</c:v>
                </c:pt>
              </c:strCache>
            </c:strRef>
          </c:cat>
          <c:val>
            <c:numRef>
              <c:f>Sheet1!$B$2:$B$3</c:f>
              <c:numCache>
                <c:formatCode>General</c:formatCode>
                <c:ptCount val="2"/>
                <c:pt idx="0">
                  <c:v>2.52</c:v>
                </c:pt>
                <c:pt idx="1">
                  <c:v>2.52</c:v>
                </c:pt>
              </c:numCache>
            </c:numRef>
          </c:val>
        </c:ser>
        <c:dLbls>
          <c:showLegendKey val="0"/>
          <c:showVal val="0"/>
          <c:showCatName val="0"/>
          <c:showSerName val="0"/>
          <c:showPercent val="0"/>
          <c:showBubbleSize val="0"/>
        </c:dLbls>
        <c:gapWidth val="150"/>
        <c:axId val="325653632"/>
        <c:axId val="325655168"/>
      </c:barChart>
      <c:catAx>
        <c:axId val="3256536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5655168"/>
        <c:crosses val="autoZero"/>
        <c:auto val="1"/>
        <c:lblAlgn val="ctr"/>
        <c:lblOffset val="100"/>
        <c:noMultiLvlLbl val="0"/>
      </c:catAx>
      <c:valAx>
        <c:axId val="325655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565363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教育类支出</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2050201</c:v>
                </c:pt>
                <c:pt idx="1">
                  <c:v>2050202</c:v>
                </c:pt>
                <c:pt idx="2">
                  <c:v>205x</c:v>
                </c:pt>
              </c:strCache>
            </c:strRef>
          </c:cat>
          <c:val>
            <c:numRef>
              <c:f>Sheet1!$B$2:$B$4</c:f>
              <c:numCache>
                <c:formatCode>General</c:formatCode>
                <c:ptCount val="3"/>
                <c:pt idx="0">
                  <c:v>280.2</c:v>
                </c:pt>
                <c:pt idx="1">
                  <c:v>280.2</c:v>
                </c:pt>
                <c:pt idx="2">
                  <c:v>280.2</c:v>
                </c:pt>
              </c:numCache>
            </c:numRef>
          </c:val>
        </c:ser>
        <c:dLbls>
          <c:showLegendKey val="0"/>
          <c:showVal val="0"/>
          <c:showCatName val="0"/>
          <c:showSerName val="0"/>
          <c:showPercent val="0"/>
          <c:showBubbleSize val="0"/>
        </c:dLbls>
        <c:gapWidth val="219"/>
        <c:overlap val="-27"/>
        <c:axId val="1749966911"/>
        <c:axId val="1749986111"/>
      </c:barChart>
      <c:catAx>
        <c:axId val="1749966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9986111"/>
        <c:crosses val="autoZero"/>
        <c:auto val="1"/>
        <c:lblAlgn val="ctr"/>
        <c:lblOffset val="100"/>
        <c:noMultiLvlLbl val="0"/>
      </c:catAx>
      <c:valAx>
        <c:axId val="1749986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996691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社会保障和就业支出</a:t>
            </a:r>
            <a:endParaRPr lang="zh-CN" alt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strRef>
              <c:f>Sheet1!$A$2:$A$3</c:f>
              <c:strCache>
                <c:ptCount val="2"/>
                <c:pt idx="0">
                  <c:v>2080505</c:v>
                </c:pt>
                <c:pt idx="1">
                  <c:v>208x</c:v>
                </c:pt>
              </c:strCache>
            </c:strRef>
          </c:cat>
          <c:val>
            <c:numRef>
              <c:f>Sheet1!$B$2:$B$3</c:f>
              <c:numCache>
                <c:formatCode>General</c:formatCode>
                <c:ptCount val="2"/>
                <c:pt idx="0">
                  <c:v>13.21</c:v>
                </c:pt>
                <c:pt idx="1">
                  <c:v>13.21</c:v>
                </c:pt>
              </c:numCache>
            </c:numRef>
          </c:val>
        </c:ser>
        <c:dLbls>
          <c:showLegendKey val="0"/>
          <c:showVal val="0"/>
          <c:showCatName val="0"/>
          <c:showSerName val="0"/>
          <c:showPercent val="0"/>
          <c:showBubbleSize val="0"/>
        </c:dLbls>
        <c:gapWidth val="150"/>
        <c:axId val="328215552"/>
        <c:axId val="329787264"/>
      </c:barChart>
      <c:catAx>
        <c:axId val="3282155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9787264"/>
        <c:crosses val="autoZero"/>
        <c:auto val="1"/>
        <c:lblAlgn val="ctr"/>
        <c:lblOffset val="100"/>
        <c:noMultiLvlLbl val="0"/>
      </c:catAx>
      <c:valAx>
        <c:axId val="3297872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821555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住房保障支出</a:t>
            </a:r>
          </a:p>
        </c:rich>
      </c:tx>
      <c:layout/>
      <c:overlay val="0"/>
      <c:spPr>
        <a:noFill/>
        <a:ln>
          <a:noFill/>
        </a:ln>
        <a:effectLst/>
      </c:spPr>
    </c:title>
    <c:autoTitleDeleted val="0"/>
    <c:plotArea>
      <c:layout/>
      <c:barChart>
        <c:barDir val="col"/>
        <c:grouping val="clustered"/>
        <c:varyColors val="0"/>
        <c:ser>
          <c:idx val="0"/>
          <c:order val="0"/>
          <c:tx>
            <c:strRef>
              <c:f>Sheet1!$B$1:$B$2</c:f>
              <c:strCache>
                <c:ptCount val="1"/>
                <c:pt idx="0">
                  <c:v>科目代码</c:v>
                </c:pt>
              </c:strCache>
            </c:strRef>
          </c:tx>
          <c:spPr>
            <a:solidFill>
              <a:schemeClr val="accent1"/>
            </a:solidFill>
            <a:ln>
              <a:noFill/>
            </a:ln>
            <a:effectLst/>
          </c:spPr>
          <c:invertIfNegative val="0"/>
          <c:dLbls>
            <c:delete val="1"/>
          </c:dLbls>
          <c:cat>
            <c:strRef>
              <c:f>Sheet1!$A$3:$A$4</c:f>
              <c:strCache>
                <c:ptCount val="2"/>
                <c:pt idx="0">
                  <c:v>221021</c:v>
                </c:pt>
                <c:pt idx="1">
                  <c:v>221x</c:v>
                </c:pt>
              </c:strCache>
            </c:strRef>
          </c:cat>
          <c:val>
            <c:numRef>
              <c:f>Sheet1!$B$3:$B$4</c:f>
              <c:numCache>
                <c:formatCode>General</c:formatCode>
                <c:ptCount val="2"/>
                <c:pt idx="0">
                  <c:v>9.48</c:v>
                </c:pt>
                <c:pt idx="1">
                  <c:v>9.48</c:v>
                </c:pt>
              </c:numCache>
            </c:numRef>
          </c:val>
        </c:ser>
        <c:dLbls>
          <c:showLegendKey val="0"/>
          <c:showVal val="0"/>
          <c:showCatName val="0"/>
          <c:showSerName val="0"/>
          <c:showPercent val="0"/>
          <c:showBubbleSize val="0"/>
        </c:dLbls>
        <c:gapWidth val="246"/>
        <c:overlap val="-28"/>
        <c:axId val="233002329"/>
        <c:axId val="814847892"/>
      </c:barChart>
      <c:catAx>
        <c:axId val="2330023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847892"/>
        <c:crosses val="autoZero"/>
        <c:auto val="1"/>
        <c:lblAlgn val="ctr"/>
        <c:lblOffset val="100"/>
        <c:noMultiLvlLbl val="0"/>
      </c:catAx>
      <c:valAx>
        <c:axId val="8148478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00232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工资福利性支出</a:t>
            </a:r>
          </a:p>
        </c:rich>
      </c:tx>
      <c:layout/>
      <c:overlay val="0"/>
      <c:spPr>
        <a:noFill/>
        <a:ln>
          <a:noFill/>
        </a:ln>
        <a:effectLst/>
      </c:spPr>
    </c:title>
    <c:autoTitleDeleted val="0"/>
    <c:plotArea>
      <c:layout/>
      <c:barChart>
        <c:barDir val="col"/>
        <c:grouping val="clustered"/>
        <c:varyColors val="0"/>
        <c:ser>
          <c:idx val="0"/>
          <c:order val="0"/>
          <c:tx>
            <c:strRef>
              <c:f>'[Chart in Wps.xlsx]Sheet1'!$B$1:$B$2</c:f>
              <c:strCache>
                <c:ptCount val="1"/>
                <c:pt idx="0">
                  <c:v>科目代码</c:v>
                </c:pt>
              </c:strCache>
            </c:strRef>
          </c:tx>
          <c:spPr>
            <a:solidFill>
              <a:schemeClr val="accent1"/>
            </a:solidFill>
            <a:ln>
              <a:noFill/>
            </a:ln>
            <a:effectLst/>
          </c:spPr>
          <c:invertIfNegative val="0"/>
          <c:dLbls>
            <c:delete val="1"/>
          </c:dLbls>
          <c:cat>
            <c:numRef>
              <c:f>'[Chart in Wps.xlsx]Sheet1'!$A$3:$A$10</c:f>
              <c:numCache>
                <c:formatCode>General</c:formatCode>
                <c:ptCount val="8"/>
                <c:pt idx="0">
                  <c:v>30101</c:v>
                </c:pt>
                <c:pt idx="1">
                  <c:v>20102</c:v>
                </c:pt>
                <c:pt idx="2">
                  <c:v>30103</c:v>
                </c:pt>
                <c:pt idx="3">
                  <c:v>30107</c:v>
                </c:pt>
                <c:pt idx="4">
                  <c:v>20108</c:v>
                </c:pt>
                <c:pt idx="5">
                  <c:v>30110</c:v>
                </c:pt>
                <c:pt idx="6">
                  <c:v>30112</c:v>
                </c:pt>
                <c:pt idx="7">
                  <c:v>30113</c:v>
                </c:pt>
              </c:numCache>
            </c:numRef>
          </c:cat>
          <c:val>
            <c:numRef>
              <c:f>'[Chart in Wps.xlsx]Sheet1'!$B$3:$B$10</c:f>
              <c:numCache>
                <c:formatCode>General</c:formatCode>
                <c:ptCount val="8"/>
                <c:pt idx="0">
                  <c:v>51.66</c:v>
                </c:pt>
                <c:pt idx="1">
                  <c:v>12.03</c:v>
                </c:pt>
                <c:pt idx="2">
                  <c:v>28.44</c:v>
                </c:pt>
                <c:pt idx="3">
                  <c:v>26.35</c:v>
                </c:pt>
                <c:pt idx="4">
                  <c:v>13.21</c:v>
                </c:pt>
                <c:pt idx="5">
                  <c:v>5.53</c:v>
                </c:pt>
                <c:pt idx="6">
                  <c:v>0.66</c:v>
                </c:pt>
                <c:pt idx="7">
                  <c:v>9.48</c:v>
                </c:pt>
              </c:numCache>
            </c:numRef>
          </c:val>
        </c:ser>
        <c:dLbls>
          <c:showLegendKey val="0"/>
          <c:showVal val="0"/>
          <c:showCatName val="0"/>
          <c:showSerName val="0"/>
          <c:showPercent val="0"/>
          <c:showBubbleSize val="0"/>
        </c:dLbls>
        <c:gapWidth val="246"/>
        <c:overlap val="-28"/>
        <c:axId val="975390409"/>
        <c:axId val="430746529"/>
      </c:barChart>
      <c:catAx>
        <c:axId val="9753904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746529"/>
        <c:crosses val="autoZero"/>
        <c:auto val="1"/>
        <c:lblAlgn val="ctr"/>
        <c:lblOffset val="100"/>
        <c:noMultiLvlLbl val="0"/>
      </c:catAx>
      <c:valAx>
        <c:axId val="43074652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3904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2.52</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393265920"/>
        <c:axId val="393267840"/>
      </c:barChart>
      <c:catAx>
        <c:axId val="393265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267840"/>
        <c:crosses val="autoZero"/>
        <c:auto val="1"/>
        <c:lblAlgn val="ctr"/>
        <c:lblOffset val="100"/>
        <c:noMultiLvlLbl val="0"/>
      </c:catAx>
      <c:valAx>
        <c:axId val="393267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265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393678848"/>
        <c:axId val="393680384"/>
      </c:barChart>
      <c:catAx>
        <c:axId val="3936788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680384"/>
        <c:crosses val="autoZero"/>
        <c:auto val="1"/>
        <c:lblAlgn val="ctr"/>
        <c:lblOffset val="100"/>
        <c:noMultiLvlLbl val="0"/>
      </c:catAx>
      <c:valAx>
        <c:axId val="3936803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678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8782</Words>
  <Characters>10468</Characters>
  <Lines>90</Lines>
  <Paragraphs>25</Paragraphs>
  <TotalTime>3</TotalTime>
  <ScaleCrop>false</ScaleCrop>
  <LinksUpToDate>false</LinksUpToDate>
  <CharactersWithSpaces>11449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2023-11-16T12:24:00Z</cp:lastPrinted>
  <dcterms:modified xsi:type="dcterms:W3CDTF">2025-01-02T03:41:16Z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BED1D3B7240C47F0A715FD68403FFEBD_13</vt:lpwstr>
  </property>
  <property fmtid="{D5CDD505-2E9C-101B-9397-08002B2CF9AE}" pid="4" name="KSOTemplateDocerSaveRecord">
    <vt:lpwstr>eyJoZGlkIjoiMWIxOTgzMjVkMThkZjdmNzA2NGM0N2IzMWJhMTJiZWEiLCJ1c2VySWQiOiI0Nzg0NDU5MTIifQ==</vt:lpwstr>
  </property>
</Properties>
</file>