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环江毛南族自治县龙岩乡中心幼儿园</w:t>
      </w: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ind w:left="0" w:leftChars="0"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单位负责人：桂顺党</w:t>
      </w:r>
    </w:p>
    <w:p>
      <w:pPr>
        <w:jc w:val="left"/>
        <w:rPr>
          <w:rFonts w:ascii="仿宋" w:hAnsi="仿宋" w:eastAsia="仿宋" w:cs="仿宋"/>
          <w:color w:val="auto"/>
          <w:sz w:val="32"/>
          <w:szCs w:val="32"/>
          <w:highlight w:val="none"/>
        </w:rPr>
      </w:pPr>
    </w:p>
    <w:p>
      <w:pPr>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r>
        <w:rPr>
          <w:rFonts w:hint="eastAsia" w:ascii="黑体" w:hAnsi="黑体" w:eastAsia="黑体" w:cs="黑体"/>
          <w:b/>
          <w:bCs/>
          <w:color w:val="auto"/>
          <w:sz w:val="36"/>
          <w:szCs w:val="36"/>
          <w:highlight w:val="none"/>
          <w:lang w:val="en-US" w:eastAsia="zh-CN"/>
        </w:rPr>
        <w:t>03日</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环江毛南族自治县龙岩乡中心幼儿园</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环江毛南族自治县龙岩乡中心幼儿园</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环江毛南族自治县龙岩乡中心幼儿园</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eastAsia="zh-CN"/>
        </w:rPr>
        <w:t>环江毛南族自治县龙岩乡中心幼儿园</w:t>
      </w:r>
      <w:r>
        <w:rPr>
          <w:rFonts w:hint="eastAsia" w:ascii="黑体" w:hAnsi="黑体" w:eastAsia="黑体" w:cs="黑体"/>
          <w:b/>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宋体" w:hAnsi="宋体" w:eastAsia="宋体" w:cs="宋体"/>
          <w:i w:val="0"/>
          <w:iCs w:val="0"/>
          <w:caps w:val="0"/>
          <w:color w:val="auto"/>
          <w:spacing w:val="0"/>
          <w:sz w:val="32"/>
          <w:szCs w:val="32"/>
          <w:shd w:val="clear" w:fill="FFFFFF"/>
        </w:rPr>
      </w:pPr>
      <w:r>
        <w:rPr>
          <w:rFonts w:hint="eastAsia" w:ascii="仿宋" w:hAnsi="仿宋" w:eastAsia="仿宋" w:cs="仿宋"/>
          <w:color w:val="auto"/>
          <w:sz w:val="32"/>
          <w:szCs w:val="32"/>
          <w:lang w:val="en-US" w:eastAsia="zh-CN"/>
        </w:rPr>
        <w:t>环江毛南族自治县龙岩乡中心幼儿园</w:t>
      </w:r>
      <w:r>
        <w:rPr>
          <w:rFonts w:hint="eastAsia" w:ascii="仿宋" w:hAnsi="仿宋" w:eastAsia="仿宋" w:cs="仿宋"/>
          <w:color w:val="auto"/>
          <w:sz w:val="32"/>
          <w:szCs w:val="32"/>
        </w:rPr>
        <w:t>的主要职能是</w:t>
      </w:r>
      <w:r>
        <w:rPr>
          <w:rFonts w:hint="eastAsia" w:ascii="仿宋" w:hAnsi="仿宋" w:eastAsia="仿宋" w:cs="仿宋"/>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（一）贯彻执行党和国家的教育方针、政策和法律法规；拟订全园教育改革与发展规划并组织实施。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（二）编制本园教育事业发展规划并检查实施情况，向自治县人民政府和上级教育部门作出报告。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（三）督促检查全园贯彻执行教育方针、政策、法令、法规和上级的各项规定；评估指导全园教育教学工作。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（四）负责推进幼儿教育均衡发展和促进教育公平。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（五）负责全园人才队伍和教师队伍建设，包括园长岗位培训、后备干部队伍建设、教师学历教育、继续教育等。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（六）负责组织全园做好学籍管理工作。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（七）按照中央关于全面推进素质教育要求，负责教育教学管理、教育教学改革及教育教学科学研究工作，检查指导全园实施素质教育工作，并组织推广先进的教育教学经验。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（八）检查指导学校教育教学设备的装备、管理和使用工作。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（九）检查指导全园开展电化教育和信息化教学工作。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（十）负责全园教师初级专业技术职务资格的评审，中、高级专业技术职务资格的申报工作。按照管理权限对教师进行考核、聘任、奖惩、晋升等工作。</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ind w:firstLine="640" w:firstLineChars="200"/>
        <w:jc w:val="left"/>
        <w:rPr>
          <w:rFonts w:hint="eastAsia" w:ascii="黑体" w:hAnsi="黑体" w:eastAsia="黑体" w:cs="黑体"/>
          <w:color w:val="auto"/>
          <w:sz w:val="32"/>
          <w:szCs w:val="32"/>
          <w:highlight w:val="none"/>
          <w:lang w:val="en-US" w:eastAsia="zh-CN"/>
        </w:rPr>
      </w:pPr>
      <w:r>
        <w:rPr>
          <w:rFonts w:hint="eastAsia" w:ascii="仿宋" w:hAnsi="仿宋" w:eastAsia="仿宋" w:cs="仿宋"/>
          <w:color w:val="auto"/>
          <w:sz w:val="32"/>
          <w:szCs w:val="32"/>
        </w:rPr>
        <w:t>我部门没有下属单位，按照部门决算编报要求，单独编制本部门决算。</w:t>
      </w:r>
    </w:p>
    <w:p>
      <w:pPr>
        <w:jc w:val="center"/>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环江毛南族自治县龙岩乡中心幼儿园</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6"/>
        <w:tblW w:w="13920" w:type="dxa"/>
        <w:tblInd w:w="96" w:type="dxa"/>
        <w:tblLayout w:type="fixed"/>
        <w:tblCellMar>
          <w:top w:w="0" w:type="dxa"/>
          <w:left w:w="108" w:type="dxa"/>
          <w:bottom w:w="0" w:type="dxa"/>
          <w:right w:w="108" w:type="dxa"/>
        </w:tblCellMar>
      </w:tblPr>
      <w:tblGrid>
        <w:gridCol w:w="2538"/>
        <w:gridCol w:w="2389"/>
        <w:gridCol w:w="2227"/>
        <w:gridCol w:w="2664"/>
        <w:gridCol w:w="2198"/>
        <w:gridCol w:w="1904"/>
      </w:tblGrid>
      <w:tr>
        <w:tblPrEx>
          <w:tblCellMar>
            <w:top w:w="0" w:type="dxa"/>
            <w:left w:w="108" w:type="dxa"/>
            <w:bottom w:w="0" w:type="dxa"/>
            <w:right w:w="108" w:type="dxa"/>
          </w:tblCellMar>
        </w:tblPrEx>
        <w:trPr>
          <w:trHeight w:val="90" w:hRule="atLeast"/>
        </w:trPr>
        <w:tc>
          <w:tcPr>
            <w:tcW w:w="1392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90" w:hRule="atLeast"/>
        </w:trPr>
        <w:tc>
          <w:tcPr>
            <w:tcW w:w="25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90" w:hRule="atLeast"/>
        </w:trPr>
        <w:tc>
          <w:tcPr>
            <w:tcW w:w="7154"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90" w:hRule="atLeast"/>
        </w:trPr>
        <w:tc>
          <w:tcPr>
            <w:tcW w:w="71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67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154.62</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1.42</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129.62</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8.77</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6.20</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8.61</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154.62</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154.62</w:t>
            </w: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2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154.62</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154.62</w:t>
            </w:r>
          </w:p>
        </w:tc>
      </w:tr>
    </w:tbl>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宋体" w:hAnsi="宋体" w:eastAsia="宋体" w:cs="宋体"/>
          <w:color w:val="auto"/>
          <w:kern w:val="0"/>
          <w:sz w:val="30"/>
          <w:szCs w:val="30"/>
          <w:highlight w:val="none"/>
          <w:lang w:bidi="ar"/>
        </w:rPr>
        <w:br w:type="page"/>
      </w:r>
      <w:r>
        <w:rPr>
          <w:rFonts w:hint="eastAsia" w:ascii="仿宋" w:hAnsi="仿宋" w:eastAsia="仿宋" w:cs="仿宋"/>
          <w:color w:val="auto"/>
          <w:sz w:val="24"/>
          <w:highlight w:val="none"/>
        </w:rPr>
        <w:t>表二：收入决算表</w:t>
      </w:r>
    </w:p>
    <w:p>
      <w:pPr>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收入决算表</w:t>
      </w:r>
    </w:p>
    <w:tbl>
      <w:tblPr>
        <w:tblStyle w:val="6"/>
        <w:tblW w:w="13758" w:type="dxa"/>
        <w:tblInd w:w="93" w:type="dxa"/>
        <w:tblLayout w:type="fixed"/>
        <w:tblCellMar>
          <w:top w:w="0" w:type="dxa"/>
          <w:left w:w="108" w:type="dxa"/>
          <w:bottom w:w="0" w:type="dxa"/>
          <w:right w:w="108" w:type="dxa"/>
        </w:tblCellMar>
      </w:tblPr>
      <w:tblGrid>
        <w:gridCol w:w="3"/>
        <w:gridCol w:w="984"/>
        <w:gridCol w:w="1554"/>
        <w:gridCol w:w="2188"/>
        <w:gridCol w:w="201"/>
        <w:gridCol w:w="1133"/>
        <w:gridCol w:w="1094"/>
        <w:gridCol w:w="241"/>
        <w:gridCol w:w="1272"/>
        <w:gridCol w:w="1151"/>
        <w:gridCol w:w="121"/>
        <w:gridCol w:w="1272"/>
        <w:gridCol w:w="805"/>
        <w:gridCol w:w="467"/>
        <w:gridCol w:w="1272"/>
      </w:tblGrid>
      <w:tr>
        <w:tblPrEx>
          <w:tblCellMar>
            <w:top w:w="0" w:type="dxa"/>
            <w:left w:w="108" w:type="dxa"/>
            <w:bottom w:w="0" w:type="dxa"/>
            <w:right w:w="108" w:type="dxa"/>
          </w:tblCellMar>
        </w:tblPrEx>
        <w:trPr>
          <w:gridBefore w:val="1"/>
          <w:wBefore w:w="3" w:type="dxa"/>
          <w:trHeight w:val="90" w:hRule="atLeast"/>
        </w:trPr>
        <w:tc>
          <w:tcPr>
            <w:tcW w:w="25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gridBefore w:val="1"/>
          <w:wBefore w:w="3" w:type="dxa"/>
          <w:trHeight w:val="90" w:hRule="atLeast"/>
        </w:trPr>
        <w:tc>
          <w:tcPr>
            <w:tcW w:w="715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47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37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12" w:hRule="atLeast"/>
        </w:trPr>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52" w:hRule="atLeast"/>
        </w:trPr>
        <w:tc>
          <w:tcPr>
            <w:tcW w:w="47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52" w:hRule="atLeast"/>
        </w:trPr>
        <w:tc>
          <w:tcPr>
            <w:tcW w:w="47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154.62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154.62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2012999</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2050201</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学前教育</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129.62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129.62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547" w:hRule="atLeast"/>
        </w:trPr>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8.77</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住房公积金</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7" w:hRule="atLeast"/>
        </w:trPr>
        <w:tc>
          <w:tcPr>
            <w:tcW w:w="13758" w:type="dxa"/>
            <w:gridSpan w:val="15"/>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jc w:val="left"/>
        <w:rPr>
          <w:rFonts w:hint="eastAsia" w:ascii="仿宋" w:hAnsi="仿宋" w:eastAsia="仿宋" w:cs="仿宋"/>
          <w:color w:val="auto"/>
          <w:sz w:val="24"/>
          <w:highlight w:val="none"/>
        </w:rPr>
      </w:pPr>
    </w:p>
    <w:p>
      <w:pPr>
        <w:jc w:val="left"/>
        <w:rPr>
          <w:rFonts w:hint="eastAsia" w:ascii="宋体" w:hAnsi="宋体" w:eastAsia="宋体" w:cs="宋体"/>
          <w:color w:val="auto"/>
          <w:kern w:val="0"/>
          <w:sz w:val="32"/>
          <w:szCs w:val="32"/>
          <w:highlight w:val="none"/>
          <w:lang w:bidi="ar"/>
        </w:rPr>
      </w:pPr>
      <w:r>
        <w:rPr>
          <w:rFonts w:hint="eastAsia" w:ascii="仿宋" w:hAnsi="仿宋" w:eastAsia="仿宋" w:cs="仿宋"/>
          <w:color w:val="auto"/>
          <w:sz w:val="24"/>
          <w:highlight w:val="none"/>
        </w:rPr>
        <w:t>表三：支出决算表</w:t>
      </w:r>
    </w:p>
    <w:p>
      <w:pPr>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支出决算表</w:t>
      </w:r>
    </w:p>
    <w:tbl>
      <w:tblPr>
        <w:tblStyle w:val="6"/>
        <w:tblW w:w="13923" w:type="dxa"/>
        <w:tblInd w:w="93" w:type="dxa"/>
        <w:tblLayout w:type="fixed"/>
        <w:tblCellMar>
          <w:top w:w="0" w:type="dxa"/>
          <w:left w:w="108" w:type="dxa"/>
          <w:bottom w:w="0" w:type="dxa"/>
          <w:right w:w="108" w:type="dxa"/>
        </w:tblCellMar>
      </w:tblPr>
      <w:tblGrid>
        <w:gridCol w:w="3"/>
        <w:gridCol w:w="985"/>
        <w:gridCol w:w="1553"/>
        <w:gridCol w:w="2195"/>
        <w:gridCol w:w="194"/>
        <w:gridCol w:w="1352"/>
        <w:gridCol w:w="875"/>
        <w:gridCol w:w="671"/>
        <w:gridCol w:w="1539"/>
        <w:gridCol w:w="454"/>
        <w:gridCol w:w="1062"/>
        <w:gridCol w:w="1136"/>
        <w:gridCol w:w="380"/>
        <w:gridCol w:w="1517"/>
        <w:gridCol w:w="7"/>
      </w:tblGrid>
      <w:tr>
        <w:tblPrEx>
          <w:tblCellMar>
            <w:top w:w="0" w:type="dxa"/>
            <w:left w:w="108" w:type="dxa"/>
            <w:bottom w:w="0" w:type="dxa"/>
            <w:right w:w="108" w:type="dxa"/>
          </w:tblCellMar>
        </w:tblPrEx>
        <w:trPr>
          <w:gridBefore w:val="1"/>
          <w:wBefore w:w="3" w:type="dxa"/>
          <w:trHeight w:val="90" w:hRule="atLeast"/>
        </w:trPr>
        <w:tc>
          <w:tcPr>
            <w:tcW w:w="25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gridBefore w:val="1"/>
          <w:wBefore w:w="3" w:type="dxa"/>
          <w:trHeight w:val="90" w:hRule="atLeast"/>
        </w:trPr>
        <w:tc>
          <w:tcPr>
            <w:tcW w:w="715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05"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0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0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154.62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53.40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5" w:hRule="atLeast"/>
        </w:trPr>
        <w:tc>
          <w:tcPr>
            <w:tcW w:w="13916" w:type="dxa"/>
            <w:gridSpan w:val="14"/>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表四：财政拨款收入支出决算总表</w:t>
      </w:r>
    </w:p>
    <w:p>
      <w:pPr>
        <w:jc w:val="center"/>
        <w:rPr>
          <w:rFonts w:hint="eastAsia" w:ascii="仿宋" w:hAnsi="仿宋" w:eastAsia="仿宋" w:cs="仿宋"/>
          <w:color w:val="auto"/>
          <w:sz w:val="24"/>
          <w:highlight w:val="none"/>
        </w:rPr>
      </w:pPr>
      <w:r>
        <w:rPr>
          <w:rFonts w:hint="eastAsia" w:ascii="宋体" w:hAnsi="宋体" w:eastAsia="宋体" w:cs="宋体"/>
          <w:color w:val="auto"/>
          <w:kern w:val="0"/>
          <w:sz w:val="32"/>
          <w:szCs w:val="32"/>
          <w:highlight w:val="none"/>
          <w:lang w:bidi="ar"/>
        </w:rPr>
        <w:t>财政拨款收入支出决算总表</w:t>
      </w:r>
    </w:p>
    <w:tbl>
      <w:tblPr>
        <w:tblStyle w:val="6"/>
        <w:tblW w:w="13932" w:type="dxa"/>
        <w:tblInd w:w="93" w:type="dxa"/>
        <w:tblLayout w:type="fixed"/>
        <w:tblCellMar>
          <w:top w:w="0" w:type="dxa"/>
          <w:left w:w="108" w:type="dxa"/>
          <w:bottom w:w="0" w:type="dxa"/>
          <w:right w:w="108" w:type="dxa"/>
        </w:tblCellMar>
      </w:tblPr>
      <w:tblGrid>
        <w:gridCol w:w="3"/>
        <w:gridCol w:w="2538"/>
        <w:gridCol w:w="680"/>
        <w:gridCol w:w="510"/>
        <w:gridCol w:w="1199"/>
        <w:gridCol w:w="32"/>
        <w:gridCol w:w="2195"/>
        <w:gridCol w:w="1030"/>
        <w:gridCol w:w="660"/>
        <w:gridCol w:w="974"/>
        <w:gridCol w:w="31"/>
        <w:gridCol w:w="1215"/>
        <w:gridCol w:w="952"/>
        <w:gridCol w:w="503"/>
        <w:gridCol w:w="1401"/>
        <w:gridCol w:w="9"/>
      </w:tblGrid>
      <w:tr>
        <w:tblPrEx>
          <w:tblCellMar>
            <w:top w:w="0" w:type="dxa"/>
            <w:left w:w="108" w:type="dxa"/>
            <w:bottom w:w="0" w:type="dxa"/>
            <w:right w:w="108" w:type="dxa"/>
          </w:tblCellMar>
        </w:tblPrEx>
        <w:trPr>
          <w:gridBefore w:val="1"/>
          <w:gridAfter w:val="1"/>
          <w:wBefore w:w="3" w:type="dxa"/>
          <w:wAfter w:w="9" w:type="dxa"/>
          <w:trHeight w:val="90" w:hRule="atLeast"/>
        </w:trPr>
        <w:tc>
          <w:tcPr>
            <w:tcW w:w="25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3" w:type="dxa"/>
          <w:wAfter w:w="9" w:type="dxa"/>
          <w:trHeight w:val="90" w:hRule="atLeast"/>
        </w:trPr>
        <w:tc>
          <w:tcPr>
            <w:tcW w:w="715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9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7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2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2522" w:type="dxa"/>
            <w:gridSpan w:val="14"/>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10" w:type="dxa"/>
            <w:gridSpan w:val="2"/>
            <w:tcBorders>
              <w:top w:val="single" w:color="000000"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一般公共预算财政拨款支出决算表</w:t>
      </w:r>
    </w:p>
    <w:tbl>
      <w:tblPr>
        <w:tblStyle w:val="6"/>
        <w:tblW w:w="13959" w:type="dxa"/>
        <w:tblInd w:w="93" w:type="dxa"/>
        <w:tblLayout w:type="fixed"/>
        <w:tblCellMar>
          <w:top w:w="0" w:type="dxa"/>
          <w:left w:w="108" w:type="dxa"/>
          <w:bottom w:w="0" w:type="dxa"/>
          <w:right w:w="108" w:type="dxa"/>
        </w:tblCellMar>
      </w:tblPr>
      <w:tblGrid>
        <w:gridCol w:w="3"/>
        <w:gridCol w:w="983"/>
        <w:gridCol w:w="1555"/>
        <w:gridCol w:w="2181"/>
        <w:gridCol w:w="208"/>
        <w:gridCol w:w="2227"/>
        <w:gridCol w:w="382"/>
        <w:gridCol w:w="2282"/>
        <w:gridCol w:w="423"/>
        <w:gridCol w:w="1775"/>
        <w:gridCol w:w="1904"/>
        <w:gridCol w:w="36"/>
      </w:tblGrid>
      <w:tr>
        <w:tblPrEx>
          <w:tblCellMar>
            <w:top w:w="0" w:type="dxa"/>
            <w:left w:w="108" w:type="dxa"/>
            <w:bottom w:w="0" w:type="dxa"/>
            <w:right w:w="108" w:type="dxa"/>
          </w:tblCellMar>
        </w:tblPrEx>
        <w:trPr>
          <w:gridBefore w:val="1"/>
          <w:gridAfter w:val="1"/>
          <w:wBefore w:w="3" w:type="dxa"/>
          <w:wAfter w:w="36" w:type="dxa"/>
          <w:trHeight w:val="90" w:hRule="atLeast"/>
        </w:trPr>
        <w:tc>
          <w:tcPr>
            <w:tcW w:w="25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3" w:type="dxa"/>
          <w:wAfter w:w="36" w:type="dxa"/>
          <w:trHeight w:val="90" w:hRule="atLeast"/>
        </w:trPr>
        <w:tc>
          <w:tcPr>
            <w:tcW w:w="7154"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7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2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47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7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154.62</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101.21</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129.62</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76.21</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959" w:type="dxa"/>
            <w:gridSpan w:val="12"/>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color w:val="auto"/>
          <w:sz w:val="24"/>
          <w:highlight w:val="none"/>
        </w:rPr>
      </w:pPr>
    </w:p>
    <w:p>
      <w:pP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一般公共预算财政拨款基本支出决算明细表</w:t>
      </w:r>
    </w:p>
    <w:tbl>
      <w:tblPr>
        <w:tblStyle w:val="6"/>
        <w:tblW w:w="13923" w:type="dxa"/>
        <w:tblInd w:w="96" w:type="dxa"/>
        <w:tblLayout w:type="fixed"/>
        <w:tblCellMar>
          <w:top w:w="0" w:type="dxa"/>
          <w:left w:w="108" w:type="dxa"/>
          <w:bottom w:w="0" w:type="dxa"/>
          <w:right w:w="108" w:type="dxa"/>
        </w:tblCellMar>
      </w:tblPr>
      <w:tblGrid>
        <w:gridCol w:w="2538"/>
        <w:gridCol w:w="2389"/>
        <w:gridCol w:w="2227"/>
        <w:gridCol w:w="2664"/>
        <w:gridCol w:w="2198"/>
        <w:gridCol w:w="1904"/>
      </w:tblGrid>
      <w:tr>
        <w:tblPrEx>
          <w:tblCellMar>
            <w:top w:w="0" w:type="dxa"/>
            <w:left w:w="108" w:type="dxa"/>
            <w:bottom w:w="0" w:type="dxa"/>
            <w:right w:w="108" w:type="dxa"/>
          </w:tblCellMar>
        </w:tblPrEx>
        <w:trPr>
          <w:trHeight w:val="90" w:hRule="atLeast"/>
        </w:trPr>
        <w:tc>
          <w:tcPr>
            <w:tcW w:w="25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90" w:hRule="atLeast"/>
        </w:trPr>
        <w:tc>
          <w:tcPr>
            <w:tcW w:w="715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bookmarkStart w:id="3" w:name="_GoBack"/>
            <w:bookmarkEnd w:id="3"/>
          </w:p>
        </w:tc>
        <w:tc>
          <w:tcPr>
            <w:tcW w:w="26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bl>
    <w:tbl>
      <w:tblPr>
        <w:tblStyle w:val="6"/>
        <w:tblpPr w:leftFromText="180" w:rightFromText="180" w:vertAnchor="text" w:horzAnchor="page" w:tblpX="1509" w:tblpY="612"/>
        <w:tblOverlap w:val="never"/>
        <w:tblW w:w="14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298"/>
        <w:gridCol w:w="766"/>
        <w:gridCol w:w="766"/>
        <w:gridCol w:w="1867"/>
        <w:gridCol w:w="1059"/>
        <w:gridCol w:w="766"/>
        <w:gridCol w:w="4122"/>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99.80</w:t>
            </w:r>
          </w:p>
        </w:tc>
        <w:tc>
          <w:tcPr>
            <w:tcW w:w="8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066" w:type="dxa"/>
            <w:gridSpan w:val="9"/>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政府性基金预算财政拨款收入支出决算表</w:t>
      </w:r>
    </w:p>
    <w:tbl>
      <w:tblPr>
        <w:tblStyle w:val="6"/>
        <w:tblW w:w="13957" w:type="dxa"/>
        <w:tblInd w:w="93" w:type="dxa"/>
        <w:tblLayout w:type="fixed"/>
        <w:tblCellMar>
          <w:top w:w="0" w:type="dxa"/>
          <w:left w:w="108" w:type="dxa"/>
          <w:bottom w:w="0" w:type="dxa"/>
          <w:right w:w="108" w:type="dxa"/>
        </w:tblCellMar>
      </w:tblPr>
      <w:tblGrid>
        <w:gridCol w:w="3"/>
        <w:gridCol w:w="918"/>
        <w:gridCol w:w="1620"/>
        <w:gridCol w:w="2037"/>
        <w:gridCol w:w="352"/>
        <w:gridCol w:w="1211"/>
        <w:gridCol w:w="1016"/>
        <w:gridCol w:w="547"/>
        <w:gridCol w:w="1563"/>
        <w:gridCol w:w="554"/>
        <w:gridCol w:w="1009"/>
        <w:gridCol w:w="1189"/>
        <w:gridCol w:w="375"/>
        <w:gridCol w:w="1529"/>
        <w:gridCol w:w="34"/>
      </w:tblGrid>
      <w:tr>
        <w:tblPrEx>
          <w:tblCellMar>
            <w:top w:w="0" w:type="dxa"/>
            <w:left w:w="108" w:type="dxa"/>
            <w:bottom w:w="0" w:type="dxa"/>
            <w:right w:w="108" w:type="dxa"/>
          </w:tblCellMar>
        </w:tblPrEx>
        <w:trPr>
          <w:gridBefore w:val="1"/>
          <w:gridAfter w:val="1"/>
          <w:wBefore w:w="3" w:type="dxa"/>
          <w:wAfter w:w="34" w:type="dxa"/>
          <w:trHeight w:val="90" w:hRule="atLeast"/>
        </w:trPr>
        <w:tc>
          <w:tcPr>
            <w:tcW w:w="25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3" w:type="dxa"/>
          <w:wAfter w:w="34" w:type="dxa"/>
          <w:trHeight w:val="90" w:hRule="atLeast"/>
        </w:trPr>
        <w:tc>
          <w:tcPr>
            <w:tcW w:w="715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266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3957" w:type="dxa"/>
            <w:gridSpan w:val="15"/>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2"/>
                <w:szCs w:val="22"/>
                <w:u w:val="none"/>
                <w:lang w:val="en-US" w:eastAsia="zh-CN" w:bidi="ar"/>
              </w:rPr>
            </w:pPr>
          </w:p>
        </w:tc>
      </w:tr>
    </w:tbl>
    <w:p>
      <w:pPr>
        <w:jc w:val="left"/>
        <w:rPr>
          <w:rFonts w:hint="eastAsia"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3919" w:type="dxa"/>
        <w:tblInd w:w="0" w:type="dxa"/>
        <w:tblLayout w:type="fixed"/>
        <w:tblCellMar>
          <w:top w:w="0" w:type="dxa"/>
          <w:left w:w="108" w:type="dxa"/>
          <w:bottom w:w="0" w:type="dxa"/>
          <w:right w:w="108" w:type="dxa"/>
        </w:tblCellMar>
      </w:tblPr>
      <w:tblGrid>
        <w:gridCol w:w="95"/>
        <w:gridCol w:w="1426"/>
        <w:gridCol w:w="1413"/>
        <w:gridCol w:w="1084"/>
        <w:gridCol w:w="1149"/>
        <w:gridCol w:w="1123"/>
        <w:gridCol w:w="1031"/>
        <w:gridCol w:w="1057"/>
        <w:gridCol w:w="1151"/>
        <w:gridCol w:w="1044"/>
        <w:gridCol w:w="1138"/>
        <w:gridCol w:w="1123"/>
        <w:gridCol w:w="1069"/>
        <w:gridCol w:w="16"/>
      </w:tblGrid>
      <w:tr>
        <w:tblPrEx>
          <w:tblCellMar>
            <w:top w:w="0" w:type="dxa"/>
            <w:left w:w="108" w:type="dxa"/>
            <w:bottom w:w="0" w:type="dxa"/>
            <w:right w:w="108" w:type="dxa"/>
          </w:tblCellMar>
        </w:tblPrEx>
        <w:trPr>
          <w:gridBefore w:val="1"/>
          <w:wBefore w:w="95" w:type="dxa"/>
          <w:trHeight w:val="369" w:hRule="atLeast"/>
        </w:trPr>
        <w:tc>
          <w:tcPr>
            <w:tcW w:w="1382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6" w:type="dxa"/>
          <w:trHeight w:val="1849" w:hRule="atLeast"/>
        </w:trPr>
        <w:tc>
          <w:tcPr>
            <w:tcW w:w="13903"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6" w:type="dxa"/>
          <w:trHeight w:val="374" w:hRule="atLeast"/>
        </w:trPr>
        <w:tc>
          <w:tcPr>
            <w:tcW w:w="152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8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2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2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6" w:type="dxa"/>
          <w:trHeight w:val="374" w:hRule="atLeast"/>
        </w:trPr>
        <w:tc>
          <w:tcPr>
            <w:tcW w:w="7321"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环江毛南族自治县龙岩乡中心幼儿园</w:t>
            </w:r>
          </w:p>
        </w:tc>
        <w:tc>
          <w:tcPr>
            <w:tcW w:w="10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6" w:type="dxa"/>
          <w:trHeight w:val="398" w:hRule="atLeast"/>
        </w:trPr>
        <w:tc>
          <w:tcPr>
            <w:tcW w:w="73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58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6" w:type="dxa"/>
          <w:trHeight w:val="398" w:hRule="atLeast"/>
        </w:trPr>
        <w:tc>
          <w:tcPr>
            <w:tcW w:w="152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5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3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5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0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6" w:type="dxa"/>
          <w:trHeight w:val="773" w:hRule="atLeast"/>
        </w:trPr>
        <w:tc>
          <w:tcPr>
            <w:tcW w:w="152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3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5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6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6" w:type="dxa"/>
          <w:trHeight w:val="1149" w:hRule="atLeast"/>
        </w:trPr>
        <w:tc>
          <w:tcPr>
            <w:tcW w:w="152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6" w:type="dxa"/>
          <w:trHeight w:val="773" w:hRule="atLeast"/>
        </w:trPr>
        <w:tc>
          <w:tcPr>
            <w:tcW w:w="152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41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0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2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default"/>
                <w:color w:val="auto"/>
                <w:highlight w:val="none"/>
              </w:rPr>
              <w:t>0.00</w:t>
            </w:r>
          </w:p>
        </w:tc>
        <w:tc>
          <w:tcPr>
            <w:tcW w:w="1069"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eastAsia"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gridAfter w:val="1"/>
          <w:wAfter w:w="16" w:type="dxa"/>
          <w:trHeight w:val="773" w:hRule="atLeast"/>
        </w:trPr>
        <w:tc>
          <w:tcPr>
            <w:tcW w:w="13903"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keepNext w:val="0"/>
              <w:keepLines w:val="0"/>
              <w:suppressLineNumbers w:val="0"/>
              <w:spacing w:before="0" w:beforeAutospacing="0" w:after="0" w:afterAutospacing="0"/>
              <w:ind w:left="0" w:right="0"/>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环江毛南族自治县龙岩乡中心幼儿园</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年度总收入</w:t>
      </w:r>
      <w:r>
        <w:rPr>
          <w:rFonts w:hint="eastAsia" w:ascii="仿宋" w:hAnsi="仿宋" w:eastAsia="仿宋" w:cs="仿宋"/>
          <w:color w:val="auto"/>
          <w:sz w:val="32"/>
          <w:u w:color="auto"/>
          <w:lang w:val="en-US" w:eastAsia="zh-CN"/>
        </w:rPr>
        <w:t>154.62</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38.5</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增加了</w:t>
      </w:r>
      <w:r>
        <w:rPr>
          <w:rFonts w:hint="eastAsia" w:ascii="仿宋" w:hAnsi="仿宋" w:eastAsia="仿宋" w:cs="仿宋"/>
          <w:color w:val="auto"/>
          <w:sz w:val="32"/>
          <w:u w:color="auto"/>
          <w:lang w:val="en-US" w:eastAsia="zh-CN"/>
        </w:rPr>
        <w:t>33.16</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u w:color="auto"/>
          <w:lang w:val="en-US" w:eastAsia="zh-CN"/>
        </w:rPr>
        <w:t>154.62</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lang w:val="en-US" w:eastAsia="zh-CN"/>
        </w:rPr>
        <w:t>154.62</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38.5</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highlight w:val="none"/>
          <w:u w:color="auto"/>
          <w:lang w:val="en-US" w:eastAsia="zh-CN"/>
        </w:rPr>
        <w:t>33.16</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，主要原因：本年度有人员岗位变动，以其五险基数调整。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w:t>
      </w:r>
      <w:r>
        <w:rPr>
          <w:rFonts w:hint="eastAsia" w:ascii="仿宋" w:hAnsi="仿宋" w:eastAsia="仿宋" w:cs="仿宋"/>
          <w:color w:val="auto"/>
          <w:kern w:val="2"/>
          <w:sz w:val="32"/>
          <w:szCs w:val="32"/>
          <w:lang w:val="en-US" w:eastAsia="zh-CN" w:bidi="ar"/>
        </w:rPr>
        <w:t>2023年度部门没有政府性基金预算财政拨款收入，也没有政府性基金预算财政拨款安排的支出，故本表无数据。</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kern w:val="2"/>
          <w:sz w:val="32"/>
          <w:szCs w:val="32"/>
          <w:lang w:val="en-US" w:eastAsia="zh-CN" w:bidi="ar"/>
        </w:rPr>
        <w:t>2023年度本部门没有国有资本经营预算财政拨款收入，也没有国有资本经营预算财政拨款安排的支出，故本表无数据</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万元，为上级部门当年拨付的资金。较2022年度决算数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，主要原因是：2023年度本部门没有上级补助收入。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，主要原因是：2023年度本部门没有事业收入。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，主要原因是：本部门没有经营性收入。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，主要原因是：本部门无附属单位。</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，主要原因是：2023年度本部门没有其他收入。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，主要原因是：2023年度本部门没有非财政拨款结余。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万元，为以前年度支出预算因客观条件变化未执行完毕、结转到本年度按有关规定继续使用的资金。主要原因：部分项目已在本年执行完毕，不需要结转至下年继续执行。</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rPr>
        <w:t>154.62</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rPr>
        <w:t>154.62</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u w:color="auto"/>
          <w:lang w:val="en-US" w:eastAsia="zh-CN"/>
        </w:rPr>
        <w:t>38.5</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33.16</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1.42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单位职工工会活动支出，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0.92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w:t>
      </w:r>
      <w:r>
        <w:rPr>
          <w:rFonts w:hint="eastAsia" w:ascii="仿宋" w:hAnsi="仿宋" w:eastAsia="仿宋" w:cs="仿宋"/>
          <w:color w:val="auto"/>
          <w:sz w:val="32"/>
          <w:szCs w:val="32"/>
          <w:highlight w:val="none"/>
          <w:lang w:val="en-US" w:eastAsia="zh-CN" w:bidi="ar"/>
        </w:rPr>
        <w:t>84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主要原因是：我部门2023年有新增工会人员，有工会活动。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w:t>
      </w:r>
      <w:r>
        <w:rPr>
          <w:rFonts w:hint="eastAsia" w:ascii="仿宋" w:hAnsi="仿宋" w:eastAsia="仿宋" w:cs="仿宋"/>
          <w:color w:val="auto"/>
          <w:sz w:val="32"/>
          <w:szCs w:val="32"/>
          <w:highlight w:val="none"/>
          <w:lang w:val="en-US" w:eastAsia="zh-CN" w:bidi="ar"/>
        </w:rPr>
        <w:t>29.62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人员工资，商品服务支出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25.83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24.89</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主要原因是：2023年聘用教职工工资基数上调。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8.77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单位职工基本养老保险缴费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4.31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96.63</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主要原因是：2023年职工基本养老保险基数上调。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单位职工住房公积金缴费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2.7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77.14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主要原因是：2023年职工公积金基数上调。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8.61</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单位职工工资福利</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4.74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w:t>
      </w:r>
      <w:r>
        <w:rPr>
          <w:rFonts w:hint="eastAsia" w:ascii="仿宋" w:hAnsi="仿宋" w:eastAsia="仿宋" w:cs="仿宋"/>
          <w:color w:val="auto"/>
          <w:sz w:val="32"/>
          <w:szCs w:val="32"/>
          <w:highlight w:val="none"/>
          <w:lang w:val="en-US" w:eastAsia="zh-CN" w:bidi="ar"/>
        </w:rPr>
        <w:t>22.48</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主要原因是：本年度有人员岗位变动，以其五险基数调整。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lang w:val="en-US" w:eastAsia="zh-CN" w:bidi="ar"/>
        </w:rPr>
        <w:t>本部门2023年度没有国结余分配资金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kern w:val="2"/>
          <w:sz w:val="32"/>
          <w:szCs w:val="32"/>
          <w:lang w:val="en-US" w:eastAsia="zh-CN" w:bidi="ar"/>
        </w:rPr>
        <w:t>本部门2023年度没有年末结转和结余资金</w:t>
      </w:r>
      <w:r>
        <w:rPr>
          <w:rFonts w:hint="eastAsia" w:ascii="仿宋" w:hAnsi="仿宋" w:eastAsia="仿宋" w:cs="仿宋"/>
          <w:color w:val="auto"/>
          <w:kern w:val="2"/>
          <w:sz w:val="32"/>
          <w:szCs w:val="32"/>
          <w:highlight w:val="none"/>
          <w:lang w:val="en-US" w:eastAsia="zh-CN" w:bidi="ar"/>
        </w:rPr>
        <w:t>。</w:t>
      </w:r>
    </w:p>
    <w:p>
      <w:pPr>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 xml:space="preserve"> 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u w:color="auto"/>
          <w:lang w:val="en-US" w:eastAsia="zh-CN"/>
        </w:rPr>
        <w:t>154.62</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38.5</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33.16</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lang w:val="en-US" w:eastAsia="zh-CN"/>
        </w:rPr>
        <w:t>101.21</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lang w:val="en-US" w:eastAsia="zh-CN"/>
        </w:rPr>
        <w:t>53.4</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年度一般公共预算财政拨款支出年初预算为</w:t>
      </w:r>
      <w:r>
        <w:rPr>
          <w:rFonts w:hint="eastAsia" w:ascii="仿宋" w:hAnsi="仿宋" w:eastAsia="仿宋" w:cs="仿宋"/>
          <w:color w:val="auto"/>
          <w:sz w:val="32"/>
          <w:u w:color="auto"/>
          <w:lang w:val="en-US" w:eastAsia="zh-CN"/>
        </w:rPr>
        <w:t>136.17</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154.62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113.55</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p>
    <w:p>
      <w:pPr>
        <w:jc w:val="left"/>
        <w:rPr>
          <w:rFonts w:ascii="仿宋" w:hAnsi="仿宋" w:eastAsia="仿宋"/>
          <w:color w:val="auto"/>
          <w:sz w:val="32"/>
          <w:szCs w:val="32"/>
          <w:highlight w:val="none"/>
        </w:rPr>
      </w:pPr>
      <w:bookmarkStart w:id="1" w:name="OLE_LINK2"/>
      <w:bookmarkEnd w:id="1"/>
      <w:r>
        <w:rPr>
          <w:rFonts w:hint="eastAsia" w:ascii="仿宋" w:hAnsi="仿宋" w:eastAsia="仿宋"/>
          <w:color w:val="auto"/>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1.42</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1.42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p>
      <w:pPr>
        <w:jc w:val="left"/>
        <w:rPr>
          <w:rFonts w:hint="eastAsia" w:ascii="仿宋" w:hAnsi="仿宋" w:eastAsia="仿宋"/>
          <w:color w:val="auto"/>
          <w:sz w:val="32"/>
          <w:szCs w:val="32"/>
          <w:highlight w:val="none"/>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114.26</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129.62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113.44</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原因是：人员增加，岗位变动调资</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114.26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129.62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113.44%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人员基本工资支出、商品和服务支出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人员增加，岗位变动调资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114.26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129.62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113.44%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11.71</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8.77</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74.89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原因是：年初预算缴费基数偏高</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74.89%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年初预算缴费基数偏高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74.89%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8.78</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6.2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70.62</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原因是：实际缴纳基数低于预算基数</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70.62%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实际缴纳基数低于预算基数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70.62%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其他支出</w:t>
      </w:r>
      <w:r>
        <w:rPr>
          <w:rFonts w:ascii="仿宋" w:hAnsi="仿宋" w:eastAsia="仿宋"/>
          <w:color w:val="auto"/>
          <w:sz w:val="32"/>
          <w:highlight w:val="none"/>
          <w:u w:color="auto"/>
        </w:rPr>
        <w:t>（229</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8.61</w:t>
      </w:r>
      <w:r>
        <w:rPr>
          <w:rFonts w:hint="eastAsia" w:ascii="仿宋" w:hAnsi="仿宋" w:eastAsia="仿宋"/>
          <w:color w:val="auto"/>
          <w:sz w:val="32"/>
          <w:szCs w:val="32"/>
          <w:highlight w:val="none"/>
        </w:rPr>
        <w:t>万元。预决算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原因是：此部分资金由上级部门预算直接下达，本部门无需做预算</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发放</w:t>
            </w:r>
            <w:r>
              <w:rPr>
                <w:rFonts w:hint="eastAsia" w:ascii="宋体" w:hAnsi="宋体" w:eastAsia="宋体" w:cs="宋体"/>
                <w:i w:val="0"/>
                <w:iCs w:val="0"/>
                <w:color w:val="auto"/>
                <w:sz w:val="18"/>
                <w:szCs w:val="18"/>
                <w:highlight w:val="none"/>
                <w:u w:val="none"/>
                <w:lang w:val="en-US" w:eastAsia="zh-CN"/>
              </w:rPr>
              <w:t>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此部分资金由上级部门预算直接下达，本部门无需做预算。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u w:color="auto"/>
          <w:lang w:val="en-US" w:eastAsia="zh-CN"/>
        </w:rPr>
        <w:t>101.22</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lang w:val="en-US" w:eastAsia="zh-CN"/>
        </w:rPr>
        <w:t>99.8</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lang w:val="en-US" w:eastAsia="zh-CN"/>
        </w:rPr>
        <w:t>1.42</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99.8</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111.2</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主要原因是：本年度有人员岗位变动。</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31.96万元，30102津贴补贴9.77万元，30103奖金21.84万元，30107绩效工资17.247万元，30108机关事业单位基本养老保险缴费8.77万元，30110职工基本医疗保险缴费3.57万元，30112其他社会保障缴费0.44万元，30113住房公积金6.2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u w:color="auto"/>
          <w:lang w:val="en-US" w:eastAsia="zh-CN"/>
        </w:rPr>
        <w:t>1.42</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100%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主要原因是：无差异。</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30228工会经费1.42万元。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w:t>
      </w: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szCs w:val="32"/>
          <w:highlight w:val="none"/>
          <w:lang w:val="en-US" w:eastAsia="zh-CN"/>
        </w:rPr>
        <w:t>资金</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w:t>
      </w:r>
      <w:r>
        <w:rPr>
          <w:rFonts w:hint="eastAsia" w:ascii="仿宋" w:hAnsi="仿宋" w:eastAsia="仿宋" w:cs="仿宋"/>
          <w:color w:val="auto"/>
          <w:sz w:val="32"/>
          <w:szCs w:val="32"/>
          <w:highlight w:val="none"/>
        </w:rPr>
        <w:t>债务利息及费用</w:t>
      </w:r>
      <w:r>
        <w:rPr>
          <w:rFonts w:hint="eastAsia" w:ascii="仿宋" w:hAnsi="仿宋" w:eastAsia="仿宋" w:cs="仿宋"/>
          <w:color w:val="auto"/>
          <w:sz w:val="32"/>
          <w:szCs w:val="32"/>
          <w:highlight w:val="none"/>
          <w:lang w:val="en-US" w:eastAsia="zh-CN"/>
        </w:rPr>
        <w:t>资金</w:t>
      </w:r>
      <w:r>
        <w:rPr>
          <w:rFonts w:hint="eastAsia" w:ascii="仿宋" w:hAnsi="仿宋" w:eastAsia="仿宋" w:cs="仿宋"/>
          <w:color w:val="auto"/>
          <w:sz w:val="32"/>
          <w:szCs w:val="32"/>
          <w:highlight w:val="none"/>
        </w:rPr>
        <w:t>支出</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主要原因是：2023年度本部门无资本性支出。</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主要原因是：2023年度本部门无其他资金支出。</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环江毛南族自治县龙岩乡中心幼儿园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环江毛南族自治县龙岩乡中心幼儿园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eastAsia="zh-CN"/>
        </w:rPr>
        <w:t>环江毛南族自治县龙岩乡中心幼儿园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w:t>
      </w:r>
      <w:bookmarkEnd w:id="2"/>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年预算财政拨款安排的“三公”经费支出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主要原因是：本单位无“三公经费支出”。</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原因是：本单位无因公出国（境）支出</w:t>
      </w:r>
      <w:r>
        <w:rPr>
          <w:rFonts w:hint="eastAsia" w:ascii="仿宋_GB2312" w:hAnsi="Times New Roman" w:eastAsia="仿宋_GB2312" w:cs="Times New Roman"/>
          <w:color w:val="auto"/>
          <w:sz w:val="32"/>
          <w:szCs w:val="32"/>
          <w:lang w:val="en-US" w:eastAsia="zh-CN"/>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r>
        <w:rPr>
          <w:rFonts w:hint="eastAsia" w:ascii="仿宋" w:hAnsi="仿宋" w:eastAsia="仿宋" w:cs="仿宋"/>
          <w:color w:val="auto"/>
          <w:sz w:val="32"/>
          <w:szCs w:val="32"/>
          <w:highlight w:val="none"/>
        </w:rPr>
        <w:t>本单位无公务用车购置</w:t>
      </w:r>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万元。主要原因是：本部门无公务车运行维护资金支出。202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环江毛南族自治县龙岩乡中心幼儿园</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0</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rPr>
        <w:t>本部门无公务接待费资金支出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国内公务接待批次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本部门</w:t>
      </w:r>
      <w:r>
        <w:rPr>
          <w:rFonts w:hint="eastAsia" w:ascii="仿宋" w:hAnsi="仿宋" w:eastAsia="仿宋" w:cs="仿宋"/>
          <w:color w:val="auto"/>
          <w:sz w:val="32"/>
          <w:szCs w:val="32"/>
          <w:highlight w:val="none"/>
          <w:lang w:val="en-US" w:eastAsia="zh-CN"/>
        </w:rPr>
        <w:t>无机关运行经费</w:t>
      </w:r>
      <w:r>
        <w:rPr>
          <w:rFonts w:hint="eastAsia" w:ascii="仿宋" w:hAnsi="仿宋" w:eastAsia="仿宋" w:cs="仿宋"/>
          <w:color w:val="auto"/>
          <w:sz w:val="32"/>
          <w:szCs w:val="32"/>
          <w:highlight w:val="none"/>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p>
    <w:p>
      <w:pPr>
        <w:jc w:val="left"/>
        <w:rPr>
          <w:rFonts w:hint="eastAsia" w:ascii="仿宋" w:hAnsi="仿宋" w:eastAsia="仿宋" w:cs="仿宋"/>
          <w:color w:val="auto"/>
          <w:sz w:val="32"/>
          <w:szCs w:val="32"/>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66.45</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70.28</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个政府性基金预算项目支出开展绩效自评，共涉及资金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个国有资本经营预算项目支出开展绩效自评，共涉及资金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万元，占国有资本经营预算项目支出总额的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66.45</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万元。从评价情况来看，</w:t>
      </w:r>
      <w:r>
        <w:rPr>
          <w:rFonts w:hint="eastAsia" w:ascii="仿宋" w:hAnsi="仿宋" w:eastAsia="仿宋" w:cs="仿宋"/>
          <w:color w:val="auto"/>
          <w:sz w:val="32"/>
          <w:szCs w:val="32"/>
          <w:lang w:val="en-US" w:eastAsia="zh-CN"/>
        </w:rPr>
        <w:t>整体预算项目支出率较高，达到了预计期效益指标，还需要进一步完善相关项目管理制度，并依照制度办事，为项目实施提供有效的保障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2.部门决算中项目绩效自评结果。</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我部门根据年初设定的绩效目标，</w:t>
      </w:r>
      <w:r>
        <w:rPr>
          <w:rFonts w:hint="eastAsia" w:ascii="仿宋" w:hAnsi="仿宋" w:eastAsia="仿宋" w:cs="仿宋"/>
          <w:color w:val="auto"/>
          <w:sz w:val="32"/>
          <w:szCs w:val="32"/>
          <w:highlight w:val="none"/>
          <w:lang w:val="en-US" w:eastAsia="zh-CN"/>
        </w:rPr>
        <w:t>11个</w:t>
      </w:r>
      <w:r>
        <w:rPr>
          <w:rFonts w:hint="eastAsia" w:ascii="仿宋" w:hAnsi="仿宋" w:eastAsia="仿宋" w:cs="仿宋"/>
          <w:color w:val="auto"/>
          <w:sz w:val="32"/>
          <w:szCs w:val="32"/>
          <w:highlight w:val="none"/>
        </w:rPr>
        <w:t>项目自评得分为</w:t>
      </w:r>
      <w:r>
        <w:rPr>
          <w:rFonts w:hint="eastAsia" w:ascii="仿宋" w:hAnsi="仿宋" w:eastAsia="仿宋" w:cs="仿宋"/>
          <w:color w:val="auto"/>
          <w:sz w:val="32"/>
          <w:szCs w:val="32"/>
          <w:highlight w:val="none"/>
          <w:lang w:val="en-US" w:eastAsia="zh-CN"/>
        </w:rPr>
        <w:t>1075.35</w:t>
      </w:r>
      <w:r>
        <w:rPr>
          <w:rFonts w:hint="eastAsia" w:ascii="仿宋" w:hAnsi="仿宋" w:eastAsia="仿宋" w:cs="仿宋"/>
          <w:color w:val="auto"/>
          <w:sz w:val="32"/>
          <w:szCs w:val="32"/>
          <w:highlight w:val="none"/>
        </w:rPr>
        <w:t>分。发现的主要问题及原因：一</w:t>
      </w:r>
      <w:r>
        <w:rPr>
          <w:rFonts w:hint="eastAsia" w:ascii="仿宋" w:hAnsi="仿宋" w:eastAsia="仿宋" w:cs="仿宋"/>
          <w:color w:val="auto"/>
          <w:sz w:val="32"/>
          <w:szCs w:val="32"/>
          <w:highlight w:val="none"/>
          <w:lang w:val="en-US" w:eastAsia="zh-CN"/>
        </w:rPr>
        <w:t>是相关制度管理不够完善</w:t>
      </w: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部分材料未能及时整理材料报账</w:t>
      </w:r>
      <w:r>
        <w:rPr>
          <w:rFonts w:hint="eastAsia" w:ascii="仿宋" w:hAnsi="仿宋" w:eastAsia="仿宋" w:cs="仿宋"/>
          <w:color w:val="auto"/>
          <w:sz w:val="32"/>
          <w:szCs w:val="32"/>
          <w:highlight w:val="none"/>
        </w:rPr>
        <w:t>。下一步改进措施：一</w:t>
      </w:r>
      <w:r>
        <w:rPr>
          <w:rFonts w:hint="eastAsia" w:ascii="仿宋" w:hAnsi="仿宋" w:eastAsia="仿宋" w:cs="仿宋"/>
          <w:color w:val="auto"/>
          <w:sz w:val="32"/>
          <w:szCs w:val="32"/>
          <w:highlight w:val="none"/>
          <w:lang w:val="en-US" w:eastAsia="zh-CN"/>
        </w:rPr>
        <w:t>是完善相关项目管理制度，并依照制度办事，为项目实施提供有效的保障</w:t>
      </w: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是及时整理材料报账，提高项目实施进度</w:t>
      </w:r>
      <w:r>
        <w:rPr>
          <w:rFonts w:hint="eastAsia" w:ascii="仿宋" w:hAnsi="仿宋" w:eastAsia="仿宋" w:cs="仿宋"/>
          <w:color w:val="auto"/>
          <w:sz w:val="32"/>
          <w:szCs w:val="32"/>
          <w:highlight w:val="none"/>
        </w:rPr>
        <w:t>。</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物业管理费、公务用车运行维护费以及其他费用。</w:t>
      </w:r>
    </w:p>
    <w:p>
      <w:pPr>
        <w:ind w:firstLine="640" w:firstLineChars="200"/>
        <w:jc w:val="left"/>
        <w:rPr>
          <w:rFonts w:hint="eastAsia" w:ascii="仿宋" w:hAnsi="仿宋" w:eastAsia="仿宋" w:cs="仿宋"/>
          <w:color w:val="auto"/>
          <w:sz w:val="32"/>
          <w:szCs w:val="32"/>
          <w:highlight w:val="none"/>
        </w:rPr>
      </w:pP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附表：2023年度预算项目绩效自评表</w:t>
      </w: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640" w:firstLineChars="200"/>
        <w:jc w:val="left"/>
        <w:rPr>
          <w:rFonts w:hint="eastAsia" w:ascii="仿宋" w:hAnsi="仿宋" w:eastAsia="仿宋" w:cs="仿宋"/>
          <w:color w:val="auto"/>
          <w:sz w:val="32"/>
          <w:szCs w:val="32"/>
          <w:highlight w:val="none"/>
          <w:lang w:val="en-US" w:eastAsia="zh-CN"/>
        </w:rPr>
      </w:pPr>
    </w:p>
    <w:p>
      <w:pPr>
        <w:ind w:firstLine="2880" w:firstLineChars="9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环江毛南族自治县龙岩乡中心幼儿园</w:t>
      </w:r>
    </w:p>
    <w:p>
      <w:pPr>
        <w:ind w:firstLine="4160" w:firstLineChars="13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2024年12月03日</w:t>
      </w: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NDM1MWE1ZWM1ZjYyMzZjYmZhNzYzNGVmMjNlMD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1A09FD"/>
    <w:rsid w:val="02C72207"/>
    <w:rsid w:val="02E0291A"/>
    <w:rsid w:val="04E54546"/>
    <w:rsid w:val="05992762"/>
    <w:rsid w:val="06BC454B"/>
    <w:rsid w:val="07A22F33"/>
    <w:rsid w:val="07B0770E"/>
    <w:rsid w:val="091C52E9"/>
    <w:rsid w:val="0942143F"/>
    <w:rsid w:val="096D1D5A"/>
    <w:rsid w:val="0A4214C3"/>
    <w:rsid w:val="0CF62067"/>
    <w:rsid w:val="0D100297"/>
    <w:rsid w:val="0D202B45"/>
    <w:rsid w:val="0EAF4BC3"/>
    <w:rsid w:val="0F07055B"/>
    <w:rsid w:val="0F8D4C87"/>
    <w:rsid w:val="10436E83"/>
    <w:rsid w:val="10505FAA"/>
    <w:rsid w:val="105F7E7E"/>
    <w:rsid w:val="106075E4"/>
    <w:rsid w:val="10D17073"/>
    <w:rsid w:val="10D43663"/>
    <w:rsid w:val="11E56B5B"/>
    <w:rsid w:val="1217334C"/>
    <w:rsid w:val="125C77AB"/>
    <w:rsid w:val="12C64289"/>
    <w:rsid w:val="132D2960"/>
    <w:rsid w:val="13450407"/>
    <w:rsid w:val="144750B0"/>
    <w:rsid w:val="14CB726E"/>
    <w:rsid w:val="15B50D11"/>
    <w:rsid w:val="15C56A7A"/>
    <w:rsid w:val="167D2847"/>
    <w:rsid w:val="17122173"/>
    <w:rsid w:val="178055AA"/>
    <w:rsid w:val="17E92249"/>
    <w:rsid w:val="1830068D"/>
    <w:rsid w:val="18D304F1"/>
    <w:rsid w:val="18ED0964"/>
    <w:rsid w:val="19F32577"/>
    <w:rsid w:val="19F45B80"/>
    <w:rsid w:val="1A5D7FC5"/>
    <w:rsid w:val="1B0C078D"/>
    <w:rsid w:val="1B2B31E2"/>
    <w:rsid w:val="1B4C295A"/>
    <w:rsid w:val="1B973C63"/>
    <w:rsid w:val="1BA1001E"/>
    <w:rsid w:val="1BFB2831"/>
    <w:rsid w:val="1C522596"/>
    <w:rsid w:val="1D317259"/>
    <w:rsid w:val="1E664F5B"/>
    <w:rsid w:val="1EB34BE1"/>
    <w:rsid w:val="1EE61C9C"/>
    <w:rsid w:val="1F5D3404"/>
    <w:rsid w:val="1FC87893"/>
    <w:rsid w:val="206D21E8"/>
    <w:rsid w:val="215E639F"/>
    <w:rsid w:val="21EC3183"/>
    <w:rsid w:val="225E72CD"/>
    <w:rsid w:val="23151041"/>
    <w:rsid w:val="235F050E"/>
    <w:rsid w:val="246E2F77"/>
    <w:rsid w:val="24964711"/>
    <w:rsid w:val="254B4E2B"/>
    <w:rsid w:val="259C15A5"/>
    <w:rsid w:val="25AE6F33"/>
    <w:rsid w:val="26D93DA6"/>
    <w:rsid w:val="27A02A0E"/>
    <w:rsid w:val="27EE6FF6"/>
    <w:rsid w:val="283D7C94"/>
    <w:rsid w:val="28425D08"/>
    <w:rsid w:val="289123ED"/>
    <w:rsid w:val="29480E03"/>
    <w:rsid w:val="2983634D"/>
    <w:rsid w:val="2AE63BEA"/>
    <w:rsid w:val="2BB02055"/>
    <w:rsid w:val="2C575A56"/>
    <w:rsid w:val="2DF301D1"/>
    <w:rsid w:val="2E431036"/>
    <w:rsid w:val="2F257714"/>
    <w:rsid w:val="2F3275E5"/>
    <w:rsid w:val="30AA08EF"/>
    <w:rsid w:val="30D23D1C"/>
    <w:rsid w:val="31221CF5"/>
    <w:rsid w:val="31400178"/>
    <w:rsid w:val="321E3342"/>
    <w:rsid w:val="327759C8"/>
    <w:rsid w:val="32FC7B27"/>
    <w:rsid w:val="33185FE3"/>
    <w:rsid w:val="339935C8"/>
    <w:rsid w:val="33CF6FEA"/>
    <w:rsid w:val="34EE2E36"/>
    <w:rsid w:val="35F37E4B"/>
    <w:rsid w:val="363A36A9"/>
    <w:rsid w:val="36777241"/>
    <w:rsid w:val="36C611A7"/>
    <w:rsid w:val="371E78D5"/>
    <w:rsid w:val="37B26A07"/>
    <w:rsid w:val="37E959C9"/>
    <w:rsid w:val="38A951DB"/>
    <w:rsid w:val="38B31605"/>
    <w:rsid w:val="39003F4F"/>
    <w:rsid w:val="39745F39"/>
    <w:rsid w:val="3AAF547F"/>
    <w:rsid w:val="3AE80991"/>
    <w:rsid w:val="3B9337B4"/>
    <w:rsid w:val="3C07002B"/>
    <w:rsid w:val="3D0D152A"/>
    <w:rsid w:val="3D1D0DC6"/>
    <w:rsid w:val="3DBC1ECE"/>
    <w:rsid w:val="3DF62756"/>
    <w:rsid w:val="3E8A6BAC"/>
    <w:rsid w:val="3F1B7587"/>
    <w:rsid w:val="403608D2"/>
    <w:rsid w:val="41445C3F"/>
    <w:rsid w:val="41E57B4F"/>
    <w:rsid w:val="42A258CA"/>
    <w:rsid w:val="432F26F6"/>
    <w:rsid w:val="43880F63"/>
    <w:rsid w:val="441C5A6F"/>
    <w:rsid w:val="445E272C"/>
    <w:rsid w:val="44C44FCC"/>
    <w:rsid w:val="44CC7369"/>
    <w:rsid w:val="457F5108"/>
    <w:rsid w:val="4627799C"/>
    <w:rsid w:val="46951B6B"/>
    <w:rsid w:val="47B75005"/>
    <w:rsid w:val="48244C6E"/>
    <w:rsid w:val="49365BD6"/>
    <w:rsid w:val="49940662"/>
    <w:rsid w:val="49A34401"/>
    <w:rsid w:val="49C9008D"/>
    <w:rsid w:val="4A3E30AB"/>
    <w:rsid w:val="4AC14DAC"/>
    <w:rsid w:val="4B032666"/>
    <w:rsid w:val="4C2C4B82"/>
    <w:rsid w:val="4C43353F"/>
    <w:rsid w:val="4C5333C4"/>
    <w:rsid w:val="4C590ECC"/>
    <w:rsid w:val="4D154C85"/>
    <w:rsid w:val="4DDA26C7"/>
    <w:rsid w:val="4EB35ECE"/>
    <w:rsid w:val="4F937BB1"/>
    <w:rsid w:val="508F4E24"/>
    <w:rsid w:val="51461E90"/>
    <w:rsid w:val="51463753"/>
    <w:rsid w:val="51BC1CFD"/>
    <w:rsid w:val="51BF3DA2"/>
    <w:rsid w:val="52302EF2"/>
    <w:rsid w:val="52350F0F"/>
    <w:rsid w:val="52553A93"/>
    <w:rsid w:val="52C8137C"/>
    <w:rsid w:val="53521F8B"/>
    <w:rsid w:val="53E22F47"/>
    <w:rsid w:val="54522FF8"/>
    <w:rsid w:val="55450629"/>
    <w:rsid w:val="554C23B4"/>
    <w:rsid w:val="560C01B5"/>
    <w:rsid w:val="56692963"/>
    <w:rsid w:val="568B0F48"/>
    <w:rsid w:val="576553EC"/>
    <w:rsid w:val="5786217B"/>
    <w:rsid w:val="579F1C7C"/>
    <w:rsid w:val="580746F5"/>
    <w:rsid w:val="580B5F93"/>
    <w:rsid w:val="58900396"/>
    <w:rsid w:val="59337A15"/>
    <w:rsid w:val="595C3991"/>
    <w:rsid w:val="59810274"/>
    <w:rsid w:val="5A14201D"/>
    <w:rsid w:val="5A7F0572"/>
    <w:rsid w:val="5B7C4AB2"/>
    <w:rsid w:val="5BB92D17"/>
    <w:rsid w:val="5CA96A00"/>
    <w:rsid w:val="5CD917E7"/>
    <w:rsid w:val="5CF23F76"/>
    <w:rsid w:val="5CF730BC"/>
    <w:rsid w:val="5E5F0DCE"/>
    <w:rsid w:val="5EE60C28"/>
    <w:rsid w:val="5F021772"/>
    <w:rsid w:val="5F235D8B"/>
    <w:rsid w:val="5FA40A7B"/>
    <w:rsid w:val="5FAD7930"/>
    <w:rsid w:val="5FD56D29"/>
    <w:rsid w:val="5FEC7F3F"/>
    <w:rsid w:val="60E37357"/>
    <w:rsid w:val="60F74BC3"/>
    <w:rsid w:val="617D3BF8"/>
    <w:rsid w:val="61841F6A"/>
    <w:rsid w:val="620174BF"/>
    <w:rsid w:val="62201DAA"/>
    <w:rsid w:val="623007A9"/>
    <w:rsid w:val="626C5880"/>
    <w:rsid w:val="6377272F"/>
    <w:rsid w:val="637D7558"/>
    <w:rsid w:val="644F19AC"/>
    <w:rsid w:val="65AA4920"/>
    <w:rsid w:val="65C90CCB"/>
    <w:rsid w:val="65E31D0B"/>
    <w:rsid w:val="66FE32D3"/>
    <w:rsid w:val="67087B42"/>
    <w:rsid w:val="672F3C25"/>
    <w:rsid w:val="675B5EC3"/>
    <w:rsid w:val="67694F1E"/>
    <w:rsid w:val="69597934"/>
    <w:rsid w:val="69FB0C13"/>
    <w:rsid w:val="6B964DDC"/>
    <w:rsid w:val="6C783074"/>
    <w:rsid w:val="6CD94E77"/>
    <w:rsid w:val="6D12601F"/>
    <w:rsid w:val="6D9E65C6"/>
    <w:rsid w:val="6DA81947"/>
    <w:rsid w:val="6DAF2C53"/>
    <w:rsid w:val="6E49630A"/>
    <w:rsid w:val="6EB66DE2"/>
    <w:rsid w:val="6ED3075F"/>
    <w:rsid w:val="6F2A2D4B"/>
    <w:rsid w:val="6F8A0C1E"/>
    <w:rsid w:val="70383246"/>
    <w:rsid w:val="703F45D4"/>
    <w:rsid w:val="715D6546"/>
    <w:rsid w:val="71BE069E"/>
    <w:rsid w:val="72BD3ED6"/>
    <w:rsid w:val="73616DE1"/>
    <w:rsid w:val="73953409"/>
    <w:rsid w:val="739B4217"/>
    <w:rsid w:val="73E069A3"/>
    <w:rsid w:val="73F766BA"/>
    <w:rsid w:val="74145D78"/>
    <w:rsid w:val="74524843"/>
    <w:rsid w:val="75383CE8"/>
    <w:rsid w:val="75B71F84"/>
    <w:rsid w:val="75F6437C"/>
    <w:rsid w:val="765C7562"/>
    <w:rsid w:val="76984881"/>
    <w:rsid w:val="76B3005E"/>
    <w:rsid w:val="771222E8"/>
    <w:rsid w:val="78104AA8"/>
    <w:rsid w:val="78664144"/>
    <w:rsid w:val="787D213D"/>
    <w:rsid w:val="78E212EF"/>
    <w:rsid w:val="78E257C5"/>
    <w:rsid w:val="794B35BE"/>
    <w:rsid w:val="7A257DC9"/>
    <w:rsid w:val="7B0A3A31"/>
    <w:rsid w:val="7B3360ED"/>
    <w:rsid w:val="7BDF037E"/>
    <w:rsid w:val="7BF50948"/>
    <w:rsid w:val="7CE66A78"/>
    <w:rsid w:val="7D23564C"/>
    <w:rsid w:val="7D5E062D"/>
    <w:rsid w:val="7DF76CD8"/>
    <w:rsid w:val="7E1D2048"/>
    <w:rsid w:val="7E3F273A"/>
    <w:rsid w:val="7E933D3D"/>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154.62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0.5</c:v>
                </c:pt>
                <c:pt idx="1">
                  <c:v>103.79</c:v>
                </c:pt>
                <c:pt idx="2">
                  <c:v>4.46</c:v>
                </c:pt>
                <c:pt idx="3">
                  <c:v>3.5</c:v>
                </c:pt>
                <c:pt idx="4">
                  <c:v>3.87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1.42</c:v>
                </c:pt>
                <c:pt idx="1">
                  <c:v>129.62</c:v>
                </c:pt>
                <c:pt idx="2">
                  <c:v>8.77</c:v>
                </c:pt>
                <c:pt idx="3">
                  <c:v>6.2</c:v>
                </c:pt>
                <c:pt idx="4">
                  <c:v>8.61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1.42</c:v>
                </c:pt>
                <c:pt idx="1">
                  <c:v>1.42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2050201</c:v>
                </c:pt>
                <c:pt idx="1">
                  <c:v>205x</c:v>
                </c:pt>
              </c:strCache>
            </c:strRef>
          </c:cat>
          <c:val>
            <c:numRef>
              <c:f>Sheet1!$B$2:$B$3</c:f>
              <c:numCache>
                <c:formatCode>General</c:formatCode>
                <c:ptCount val="2"/>
                <c:pt idx="0">
                  <c:v>129.26</c:v>
                </c:pt>
                <c:pt idx="1">
                  <c:v>129.26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8.77</c:v>
                </c:pt>
                <c:pt idx="1">
                  <c:v>8.77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6.2</c:v>
                </c:pt>
                <c:pt idx="1">
                  <c:v>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8.61</c:v>
                </c:pt>
                <c:pt idx="1">
                  <c:v>8.61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31.96</c:v>
                </c:pt>
                <c:pt idx="1">
                  <c:v>9.77</c:v>
                </c:pt>
                <c:pt idx="2">
                  <c:v>21.84</c:v>
                </c:pt>
                <c:pt idx="3">
                  <c:v>17.24</c:v>
                </c:pt>
                <c:pt idx="4">
                  <c:v>8.77</c:v>
                </c:pt>
                <c:pt idx="5">
                  <c:v>3.57</c:v>
                </c:pt>
                <c:pt idx="6">
                  <c:v>0.44</c:v>
                </c:pt>
                <c:pt idx="7">
                  <c:v>6.2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1.42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2027</Words>
  <Characters>2346</Characters>
  <Lines>90</Lines>
  <Paragraphs>25</Paragraphs>
  <TotalTime>2</TotalTime>
  <ScaleCrop>false</ScaleCrop>
  <LinksUpToDate>false</LinksUpToDate>
  <CharactersWithSpaces>2360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2024-12-24T05:40:00Z</cp:lastPrinted>
  <dcterms:modified xsi:type="dcterms:W3CDTF">2025-01-04T09:05:48Z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248AF312EF7D4B32B657B680C44B6FC1_13</vt:lpwstr>
  </property>
  <property fmtid="{D5CDD505-2E9C-101B-9397-08002B2CF9AE}" pid="4" name="KSOTemplateDocerSaveRecord">
    <vt:lpwstr>eyJoZGlkIjoiMmZkNDM1MWE1ZWM1ZjYyMzZjYmZhNzYzNGVmMjNlMDQiLCJ1c2VySWQiOiIyOTk2MDc5MTYifQ==</vt:lpwstr>
  </property>
</Properties>
</file>