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hint="eastAsia" w:ascii="方正小标宋简体" w:hAnsi="Times New Roman" w:eastAsia="方正小标宋简体" w:cs="ArialUnicodeMS"/>
          <w:kern w:val="0"/>
          <w:sz w:val="52"/>
          <w:szCs w:val="52"/>
        </w:rPr>
      </w:pPr>
      <w:r>
        <w:rPr>
          <w:rFonts w:hint="eastAsia" w:ascii="方正小标宋简体" w:hAnsi="Times New Roman" w:eastAsia="方正小标宋简体" w:cs="ArialUnicodeMS"/>
          <w:kern w:val="0"/>
          <w:sz w:val="52"/>
          <w:szCs w:val="52"/>
          <w:lang w:eastAsia="zh-CN"/>
        </w:rPr>
        <w:t>环江毛南族自治县东兴镇中心小学</w:t>
      </w:r>
      <w:r>
        <w:rPr>
          <w:rFonts w:hint="eastAsia" w:ascii="方正小标宋简体" w:hAnsi="Times New Roman" w:eastAsia="方正小标宋简体" w:cs="ArialUnicodeMS"/>
          <w:kern w:val="0"/>
          <w:sz w:val="52"/>
          <w:szCs w:val="52"/>
        </w:rPr>
        <w:t>202</w:t>
      </w:r>
      <w:r>
        <w:rPr>
          <w:rFonts w:hint="eastAsia" w:ascii="方正小标宋简体" w:hAnsi="Times New Roman" w:eastAsia="方正小标宋简体" w:cs="ArialUnicodeMS"/>
          <w:kern w:val="0"/>
          <w:sz w:val="52"/>
          <w:szCs w:val="52"/>
          <w:lang w:val="en-US" w:eastAsia="zh-CN"/>
        </w:rPr>
        <w:t>3</w:t>
      </w:r>
      <w:r>
        <w:rPr>
          <w:rFonts w:hint="eastAsia" w:ascii="方正小标宋简体" w:hAnsi="Times New Roman" w:eastAsia="方正小标宋简体" w:cs="ArialUnicodeMS"/>
          <w:kern w:val="0"/>
          <w:sz w:val="52"/>
          <w:szCs w:val="52"/>
        </w:rPr>
        <w:t>年度部门决算</w:t>
      </w:r>
    </w:p>
    <w:p>
      <w:pPr>
        <w:jc w:val="center"/>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hint="eastAsia" w:ascii="黑体" w:hAnsi="黑体" w:eastAsia="黑体" w:cs="黑体"/>
          <w:b/>
          <w:bCs/>
          <w:sz w:val="36"/>
          <w:szCs w:val="36"/>
          <w:highlight w:val="none"/>
          <w:lang w:val="en-US" w:eastAsia="zh-CN"/>
        </w:rPr>
      </w:pPr>
      <w:r>
        <w:rPr>
          <w:rFonts w:hint="eastAsia" w:ascii="黑体" w:hAnsi="黑体" w:eastAsia="黑体" w:cs="黑体"/>
          <w:b/>
          <w:bCs/>
          <w:sz w:val="36"/>
          <w:szCs w:val="36"/>
          <w:highlight w:val="none"/>
          <w:lang w:val="en-US" w:eastAsia="zh-CN"/>
        </w:rPr>
        <w:t>单位负责人：覃朝慧</w:t>
      </w:r>
    </w:p>
    <w:p>
      <w:pPr>
        <w:jc w:val="center"/>
        <w:rPr>
          <w:rFonts w:hint="default" w:ascii="黑体" w:hAnsi="黑体" w:eastAsia="黑体" w:cs="黑体"/>
          <w:b/>
          <w:bCs/>
          <w:sz w:val="36"/>
          <w:szCs w:val="36"/>
          <w:highlight w:val="none"/>
          <w:lang w:val="en-US" w:eastAsia="zh-CN"/>
        </w:rPr>
      </w:pPr>
      <w:r>
        <w:rPr>
          <w:rFonts w:hint="eastAsia" w:ascii="黑体" w:hAnsi="黑体" w:eastAsia="黑体" w:cs="黑体"/>
          <w:b/>
          <w:bCs/>
          <w:sz w:val="36"/>
          <w:szCs w:val="36"/>
          <w:highlight w:val="none"/>
          <w:lang w:val="en-US" w:eastAsia="zh-CN"/>
        </w:rPr>
        <w:t>2024年12月3日</w:t>
      </w:r>
    </w:p>
    <w:p>
      <w:pPr>
        <w:rPr>
          <w:rFonts w:ascii="仿宋" w:hAnsi="仿宋" w:eastAsia="仿宋" w:cs="仿宋"/>
          <w:sz w:val="32"/>
          <w:szCs w:val="32"/>
          <w:highlight w:val="none"/>
        </w:rPr>
      </w:pPr>
      <w:r>
        <w:rPr>
          <w:rFonts w:ascii="仿宋" w:hAnsi="仿宋" w:eastAsia="仿宋" w:cs="仿宋"/>
          <w:sz w:val="32"/>
          <w:szCs w:val="32"/>
          <w:highlight w:val="none"/>
        </w:rPr>
        <w:br w:type="page"/>
      </w:r>
    </w:p>
    <w:p>
      <w:pPr>
        <w:spacing w:line="560" w:lineRule="exact"/>
        <w:ind w:firstLine="646"/>
        <w:jc w:val="center"/>
        <w:rPr>
          <w:rFonts w:hint="eastAsia" w:ascii="方正小标宋简体" w:hAnsi="Times New Roman" w:eastAsia="方正小标宋简体" w:cs="Times New Roman"/>
          <w:b/>
          <w:sz w:val="44"/>
          <w:szCs w:val="44"/>
        </w:rPr>
      </w:pPr>
      <w:r>
        <w:rPr>
          <w:rFonts w:hint="eastAsia" w:ascii="方正小标宋简体" w:hAnsi="Times New Roman" w:eastAsia="方正小标宋简体" w:cs="Times New Roman"/>
          <w:b/>
          <w:sz w:val="44"/>
          <w:szCs w:val="44"/>
        </w:rPr>
        <w:t>目</w:t>
      </w:r>
      <w:r>
        <w:rPr>
          <w:rFonts w:hint="eastAsia" w:ascii="方正小标宋简体" w:hAnsi="Times New Roman" w:eastAsia="方正小标宋简体" w:cs="Times New Roman"/>
          <w:b/>
          <w:sz w:val="44"/>
          <w:szCs w:val="44"/>
          <w:lang w:val="en-US" w:eastAsia="zh-CN"/>
        </w:rPr>
        <w:t xml:space="preserve">  </w:t>
      </w:r>
      <w:r>
        <w:rPr>
          <w:rFonts w:hint="eastAsia" w:ascii="方正小标宋简体" w:hAnsi="Times New Roman" w:eastAsia="方正小标宋简体" w:cs="Times New Roman"/>
          <w:b/>
          <w:sz w:val="44"/>
          <w:szCs w:val="44"/>
        </w:rPr>
        <w:t xml:space="preserve"> 录</w:t>
      </w:r>
    </w:p>
    <w:p>
      <w:pPr>
        <w:jc w:val="left"/>
        <w:rPr>
          <w:rFonts w:ascii="黑体" w:hAnsi="黑体" w:eastAsia="黑体" w:cs="黑体"/>
          <w:b/>
          <w:bCs/>
          <w:sz w:val="36"/>
          <w:szCs w:val="36"/>
          <w:highlight w:val="none"/>
        </w:rPr>
      </w:pP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第一部分：</w:t>
      </w:r>
      <w:r>
        <w:rPr>
          <w:rFonts w:hint="eastAsia" w:ascii="黑体" w:hAnsi="黑体" w:eastAsia="黑体" w:cs="黑体"/>
          <w:sz w:val="32"/>
          <w:u w:color="auto"/>
          <w:lang w:eastAsia="zh-CN"/>
        </w:rPr>
        <w:t>环江毛南族自治县东兴镇中心小学</w:t>
      </w:r>
      <w:r>
        <w:rPr>
          <w:rFonts w:hint="eastAsia" w:ascii="黑体" w:hAnsi="黑体" w:eastAsia="黑体" w:cs="黑体"/>
          <w:sz w:val="32"/>
          <w:szCs w:val="32"/>
          <w:highlight w:val="none"/>
        </w:rPr>
        <w:t>概况</w:t>
      </w:r>
    </w:p>
    <w:p>
      <w:pPr>
        <w:rPr>
          <w:rFonts w:hint="eastAsia" w:ascii="仿宋_GB2312" w:eastAsia="仿宋_GB2312"/>
          <w:sz w:val="32"/>
          <w:szCs w:val="32"/>
          <w:highlight w:val="none"/>
        </w:rPr>
      </w:pPr>
      <w:r>
        <w:rPr>
          <w:rFonts w:hint="eastAsia" w:ascii="仿宋_GB2312" w:eastAsia="仿宋_GB2312"/>
          <w:sz w:val="32"/>
          <w:szCs w:val="32"/>
          <w:highlight w:val="none"/>
        </w:rPr>
        <w:t>一、</w:t>
      </w:r>
      <w:r>
        <w:rPr>
          <w:rFonts w:hint="eastAsia" w:ascii="仿宋_GB2312" w:eastAsia="仿宋_GB2312"/>
          <w:sz w:val="32"/>
          <w:szCs w:val="32"/>
          <w:lang w:eastAsia="zh-CN"/>
        </w:rPr>
        <w:t>本部门职责</w:t>
      </w:r>
    </w:p>
    <w:p>
      <w:pPr>
        <w:rPr>
          <w:rFonts w:hint="eastAsia" w:ascii="仿宋_GB2312" w:eastAsia="仿宋_GB2312"/>
          <w:sz w:val="32"/>
          <w:szCs w:val="32"/>
          <w:highlight w:val="none"/>
        </w:rPr>
      </w:pPr>
      <w:r>
        <w:rPr>
          <w:rFonts w:hint="eastAsia" w:ascii="仿宋_GB2312" w:eastAsia="仿宋_GB2312"/>
          <w:sz w:val="32"/>
          <w:szCs w:val="32"/>
          <w:highlight w:val="none"/>
        </w:rPr>
        <w:t>二、</w:t>
      </w:r>
      <w:r>
        <w:rPr>
          <w:rFonts w:hint="eastAsia" w:ascii="仿宋_GB2312" w:eastAsia="仿宋_GB2312"/>
          <w:sz w:val="32"/>
          <w:szCs w:val="32"/>
          <w:lang w:eastAsia="zh-CN"/>
        </w:rPr>
        <w:t>机构设置情况</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hint="eastAsia" w:ascii="黑体" w:hAnsi="黑体" w:eastAsia="黑体" w:cs="黑体"/>
          <w:sz w:val="32"/>
          <w:u w:color="auto"/>
          <w:lang w:eastAsia="zh-CN"/>
        </w:rPr>
        <w:t>环江毛南族自治县东兴镇中心小学</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年度部门决算报表</w:t>
      </w:r>
    </w:p>
    <w:p>
      <w:pPr>
        <w:rPr>
          <w:rFonts w:hint="eastAsia" w:ascii="仿宋_GB2312" w:eastAsia="仿宋_GB2312"/>
          <w:sz w:val="32"/>
          <w:szCs w:val="32"/>
          <w:highlight w:val="none"/>
        </w:rPr>
      </w:pPr>
      <w:r>
        <w:rPr>
          <w:rFonts w:hint="eastAsia" w:ascii="仿宋_GB2312" w:eastAsia="仿宋_GB2312"/>
          <w:sz w:val="32"/>
          <w:szCs w:val="32"/>
          <w:highlight w:val="none"/>
        </w:rPr>
        <w:t>表一：收入支出决算总表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表二：收入决算表</w:t>
      </w:r>
    </w:p>
    <w:p>
      <w:pPr>
        <w:rPr>
          <w:rFonts w:hint="eastAsia" w:ascii="仿宋_GB2312" w:eastAsia="仿宋_GB2312"/>
          <w:sz w:val="32"/>
          <w:szCs w:val="32"/>
          <w:highlight w:val="none"/>
        </w:rPr>
      </w:pPr>
      <w:r>
        <w:rPr>
          <w:rFonts w:hint="eastAsia" w:ascii="仿宋_GB2312" w:eastAsia="仿宋_GB2312"/>
          <w:sz w:val="32"/>
          <w:szCs w:val="32"/>
          <w:highlight w:val="none"/>
        </w:rPr>
        <w:t>表三：支出决算表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表四：财政拨款收入支出决算总表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表五：一般公共预算财政拨款支出决算表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表六：一般公共预算财政拨款基本支出决算明细表</w:t>
      </w:r>
    </w:p>
    <w:p>
      <w:pPr>
        <w:rPr>
          <w:rFonts w:hint="eastAsia" w:ascii="仿宋_GB2312" w:eastAsia="仿宋_GB2312"/>
          <w:sz w:val="32"/>
          <w:szCs w:val="32"/>
          <w:highlight w:val="none"/>
        </w:rPr>
      </w:pPr>
      <w:r>
        <w:rPr>
          <w:rFonts w:hint="eastAsia" w:ascii="仿宋_GB2312" w:eastAsia="仿宋_GB2312"/>
          <w:sz w:val="32"/>
          <w:szCs w:val="32"/>
          <w:highlight w:val="none"/>
        </w:rPr>
        <w:t>表七：政府性基金</w:t>
      </w:r>
      <w:r>
        <w:rPr>
          <w:rFonts w:hint="eastAsia" w:ascii="仿宋_GB2312" w:hAnsi="黑体" w:eastAsia="仿宋_GB2312"/>
          <w:sz w:val="32"/>
          <w:szCs w:val="32"/>
          <w:highlight w:val="none"/>
        </w:rPr>
        <w:t>预算财政拨款</w:t>
      </w:r>
      <w:r>
        <w:rPr>
          <w:rFonts w:hint="eastAsia" w:ascii="仿宋_GB2312" w:eastAsia="仿宋_GB2312"/>
          <w:sz w:val="32"/>
          <w:szCs w:val="32"/>
          <w:highlight w:val="none"/>
        </w:rPr>
        <w:t>收入支出决算表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表八：国有资本经营预算</w:t>
      </w:r>
      <w:r>
        <w:rPr>
          <w:rFonts w:hint="eastAsia" w:ascii="仿宋_GB2312" w:hAnsi="黑体" w:eastAsia="仿宋_GB2312"/>
          <w:sz w:val="32"/>
          <w:szCs w:val="32"/>
          <w:highlight w:val="none"/>
        </w:rPr>
        <w:t>财政拨款</w:t>
      </w:r>
      <w:r>
        <w:rPr>
          <w:rFonts w:hint="eastAsia" w:ascii="仿宋_GB2312" w:eastAsia="仿宋_GB2312"/>
          <w:sz w:val="32"/>
          <w:szCs w:val="32"/>
          <w:highlight w:val="none"/>
        </w:rPr>
        <w:t>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表九：财政拨款“三公”经费支出决算表</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hint="eastAsia" w:ascii="黑体" w:hAnsi="黑体" w:eastAsia="黑体" w:cs="黑体"/>
          <w:sz w:val="32"/>
          <w:u w:color="auto"/>
          <w:lang w:eastAsia="zh-CN"/>
        </w:rPr>
        <w:t>环江毛南族自治县东兴镇中心小学</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w:t>
      </w:r>
      <w:r>
        <w:rPr>
          <w:rFonts w:hint="eastAsia" w:ascii="仿宋_GB2312" w:eastAsia="仿宋_GB2312"/>
          <w:kern w:val="0"/>
          <w:sz w:val="32"/>
          <w:szCs w:val="32"/>
          <w:highlight w:val="none"/>
        </w:rPr>
        <w:t>202</w:t>
      </w:r>
      <w:r>
        <w:rPr>
          <w:rFonts w:hint="eastAsia" w:ascii="仿宋_GB2312" w:eastAsia="仿宋_GB2312"/>
          <w:kern w:val="0"/>
          <w:sz w:val="32"/>
          <w:szCs w:val="32"/>
          <w:highlight w:val="none"/>
          <w:lang w:val="en-US" w:eastAsia="zh-CN"/>
        </w:rPr>
        <w:t>3</w:t>
      </w:r>
      <w:r>
        <w:rPr>
          <w:rFonts w:hint="eastAsia" w:ascii="仿宋_GB2312" w:eastAsia="仿宋_GB2312" w:cs="仿宋_GB2312"/>
          <w:kern w:val="0"/>
          <w:sz w:val="32"/>
          <w:szCs w:val="32"/>
          <w:highlight w:val="none"/>
        </w:rPr>
        <w:t>年度收入支出决算总体情况。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23</w:t>
      </w:r>
      <w:r>
        <w:rPr>
          <w:rFonts w:hint="eastAsia" w:ascii="仿宋_GB2312" w:eastAsia="仿宋_GB2312" w:cs="仿宋_GB2312"/>
          <w:kern w:val="0"/>
          <w:sz w:val="32"/>
          <w:szCs w:val="32"/>
          <w:highlight w:val="none"/>
        </w:rPr>
        <w:t>年度</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公共预算财政拨款支出决算情况。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三、20</w:t>
      </w:r>
      <w:r>
        <w:rPr>
          <w:rFonts w:hint="eastAsia" w:ascii="仿宋_GB2312" w:eastAsia="仿宋_GB2312" w:cs="仿宋_GB2312"/>
          <w:kern w:val="0"/>
          <w:sz w:val="32"/>
          <w:szCs w:val="32"/>
          <w:highlight w:val="none"/>
          <w:lang w:val="en-US" w:eastAsia="zh-CN"/>
        </w:rPr>
        <w:t>23</w:t>
      </w:r>
      <w:r>
        <w:rPr>
          <w:rFonts w:hint="eastAsia" w:ascii="仿宋_GB2312" w:eastAsia="仿宋_GB2312" w:cs="仿宋_GB2312"/>
          <w:kern w:val="0"/>
          <w:sz w:val="32"/>
          <w:szCs w:val="32"/>
          <w:highlight w:val="none"/>
        </w:rPr>
        <w:t>年度一般公共预算财政拨款基本支出决算情况说明。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四、</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23</w:t>
      </w:r>
      <w:r>
        <w:rPr>
          <w:rFonts w:hint="eastAsia" w:ascii="仿宋_GB2312" w:eastAsia="仿宋_GB2312" w:cs="仿宋_GB2312"/>
          <w:kern w:val="0"/>
          <w:sz w:val="32"/>
          <w:szCs w:val="32"/>
          <w:highlight w:val="none"/>
        </w:rPr>
        <w:t>年度政府性基金支出决算情况。</w:t>
      </w:r>
    </w:p>
    <w:p>
      <w:pPr>
        <w:autoSpaceDE w:val="0"/>
        <w:autoSpaceDN w:val="0"/>
        <w:adjustRightInd w:val="0"/>
        <w:jc w:val="left"/>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rPr>
        <w:t>五、20</w:t>
      </w:r>
      <w:r>
        <w:rPr>
          <w:rFonts w:hint="eastAsia" w:ascii="仿宋_GB2312" w:eastAsia="仿宋_GB2312" w:cs="仿宋_GB2312"/>
          <w:kern w:val="0"/>
          <w:sz w:val="32"/>
          <w:szCs w:val="32"/>
          <w:highlight w:val="none"/>
          <w:lang w:val="en-US" w:eastAsia="zh-CN"/>
        </w:rPr>
        <w:t>23</w:t>
      </w:r>
      <w:r>
        <w:rPr>
          <w:rFonts w:hint="eastAsia" w:ascii="仿宋_GB2312" w:eastAsia="仿宋_GB2312" w:cs="仿宋_GB2312"/>
          <w:kern w:val="0"/>
          <w:sz w:val="32"/>
          <w:szCs w:val="32"/>
          <w:highlight w:val="none"/>
        </w:rPr>
        <w:t>年度国有资本经营预算支出决算情况</w:t>
      </w:r>
      <w:r>
        <w:rPr>
          <w:rFonts w:hint="eastAsia" w:ascii="仿宋_GB2312" w:eastAsia="仿宋_GB2312" w:cs="仿宋_GB2312"/>
          <w:kern w:val="0"/>
          <w:sz w:val="32"/>
          <w:szCs w:val="32"/>
          <w:highlight w:val="none"/>
          <w:lang w:eastAsia="zh-CN"/>
        </w:rPr>
        <w:t>。</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六、财政拨款“三公”经费支出决算情况说明。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七、其他重要事项情况说明。</w:t>
      </w:r>
    </w:p>
    <w:p>
      <w:pPr>
        <w:jc w:val="left"/>
        <w:rPr>
          <w:rFonts w:hint="eastAsia" w:ascii="仿宋_GB2312" w:eastAsia="仿宋_GB2312" w:cs="仿宋_GB2312"/>
          <w:kern w:val="0"/>
          <w:sz w:val="32"/>
          <w:szCs w:val="32"/>
          <w:highlight w:val="none"/>
          <w:lang w:eastAsia="zh-CN"/>
        </w:rPr>
      </w:pPr>
      <w:r>
        <w:rPr>
          <w:rFonts w:hint="default" w:ascii="仿宋_GB2312" w:eastAsia="仿宋_GB2312" w:cs="仿宋_GB2312"/>
          <w:kern w:val="0"/>
          <w:sz w:val="32"/>
          <w:szCs w:val="32"/>
          <w:highlight w:val="none"/>
        </w:rPr>
        <w:t>八、预算绩效管理工作开展情况</w:t>
      </w:r>
      <w:r>
        <w:rPr>
          <w:rFonts w:hint="eastAsia" w:ascii="仿宋_GB2312" w:eastAsia="仿宋_GB2312" w:cs="仿宋_GB2312"/>
          <w:kern w:val="0"/>
          <w:sz w:val="32"/>
          <w:szCs w:val="32"/>
          <w:highlight w:val="none"/>
          <w:lang w:eastAsia="zh-CN"/>
        </w:rPr>
        <w:t>。</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第四部分：名词解释</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br w:type="page"/>
      </w:r>
    </w:p>
    <w:p>
      <w:pPr>
        <w:jc w:val="center"/>
        <w:rPr>
          <w:rFonts w:ascii="仿宋" w:hAnsi="仿宋" w:eastAsia="仿宋" w:cs="仿宋"/>
          <w:sz w:val="32"/>
          <w:szCs w:val="32"/>
          <w:highlight w:val="none"/>
        </w:rPr>
      </w:pPr>
      <w:r>
        <w:rPr>
          <w:rFonts w:hint="eastAsia" w:ascii="黑体" w:hAnsi="黑体" w:eastAsia="黑体" w:cs="黑体"/>
          <w:b/>
          <w:bCs/>
          <w:sz w:val="32"/>
          <w:szCs w:val="32"/>
          <w:highlight w:val="none"/>
        </w:rPr>
        <w:t>第一部分：</w:t>
      </w:r>
      <w:r>
        <w:rPr>
          <w:rFonts w:hint="eastAsia" w:ascii="黑体" w:hAnsi="黑体" w:eastAsia="黑体" w:cs="黑体"/>
          <w:b/>
          <w:sz w:val="32"/>
          <w:u w:color="auto"/>
          <w:lang w:eastAsia="zh-CN"/>
        </w:rPr>
        <w:t>环江毛南族自治县东兴镇中心小学</w:t>
      </w:r>
      <w:r>
        <w:rPr>
          <w:rFonts w:hint="eastAsia" w:ascii="黑体" w:hAnsi="黑体" w:eastAsia="黑体" w:cs="黑体"/>
          <w:b/>
          <w:bCs/>
          <w:sz w:val="32"/>
          <w:szCs w:val="32"/>
          <w:highlight w:val="none"/>
        </w:rPr>
        <w:t>概况</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一、</w:t>
      </w:r>
      <w:r>
        <w:rPr>
          <w:rFonts w:hint="eastAsia" w:ascii="黑体" w:hAnsi="黑体" w:eastAsia="黑体" w:cs="黑体"/>
          <w:sz w:val="32"/>
          <w:szCs w:val="32"/>
          <w:highlight w:val="none"/>
          <w:lang w:val="en-US" w:eastAsia="zh-CN"/>
        </w:rPr>
        <w:t>本部门</w:t>
      </w:r>
      <w:r>
        <w:rPr>
          <w:rFonts w:hint="eastAsia" w:ascii="黑体" w:hAnsi="黑体" w:eastAsia="黑体" w:cs="黑体"/>
          <w:sz w:val="32"/>
          <w:szCs w:val="32"/>
          <w:highlight w:val="none"/>
        </w:rPr>
        <w:t>主要职能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ascii="仿宋" w:hAnsi="仿宋" w:eastAsia="仿宋"/>
          <w:sz w:val="32"/>
          <w:szCs w:val="32"/>
          <w:lang w:val="en-US"/>
        </w:rPr>
      </w:pPr>
      <w:r>
        <w:rPr>
          <w:rFonts w:hint="eastAsia" w:ascii="仿宋" w:hAnsi="仿宋" w:eastAsia="仿宋"/>
          <w:sz w:val="32"/>
          <w:szCs w:val="32"/>
          <w:lang w:val="en-US" w:eastAsia="zh-CN"/>
        </w:rPr>
        <w:t>环江毛南族自治县东兴镇中心小学的主要职能是：</w:t>
      </w:r>
    </w:p>
    <w:p>
      <w:pPr>
        <w:keepNext w:val="0"/>
        <w:keepLines w:val="0"/>
        <w:pageBreakBefore w:val="0"/>
        <w:widowControl w:val="0"/>
        <w:numPr>
          <w:ilvl w:val="0"/>
          <w:numId w:val="1"/>
        </w:numPr>
        <w:kinsoku/>
        <w:wordWrap/>
        <w:overflowPunct/>
        <w:topLinePunct w:val="0"/>
        <w:bidi w:val="0"/>
        <w:snapToGrid/>
        <w:spacing w:line="520" w:lineRule="exact"/>
        <w:ind w:left="0" w:leftChars="0" w:firstLine="420" w:firstLineChars="0"/>
        <w:jc w:val="left"/>
        <w:textAlignment w:val="auto"/>
        <w:rPr>
          <w:rFonts w:hint="eastAsia" w:ascii="仿宋" w:hAnsi="仿宋" w:eastAsia="仿宋"/>
          <w:sz w:val="32"/>
          <w:szCs w:val="32"/>
        </w:rPr>
      </w:pPr>
      <w:r>
        <w:rPr>
          <w:rFonts w:hint="eastAsia" w:ascii="仿宋" w:hAnsi="仿宋" w:eastAsia="仿宋"/>
          <w:sz w:val="32"/>
          <w:szCs w:val="32"/>
        </w:rPr>
        <w:t>贯彻执行党和国家的教育方针、政策和法律法规；</w:t>
      </w:r>
      <w:r>
        <w:rPr>
          <w:rFonts w:hint="eastAsia" w:ascii="仿宋" w:hAnsi="仿宋" w:eastAsia="仿宋"/>
          <w:sz w:val="32"/>
          <w:szCs w:val="32"/>
          <w:lang w:val="en-US" w:eastAsia="zh-CN"/>
        </w:rPr>
        <w:t>根据国家、上级有关要求规定及我镇小学教育实际情况，</w:t>
      </w:r>
      <w:r>
        <w:rPr>
          <w:rFonts w:hint="eastAsia" w:ascii="仿宋" w:hAnsi="仿宋" w:eastAsia="仿宋"/>
          <w:sz w:val="32"/>
          <w:szCs w:val="32"/>
        </w:rPr>
        <w:t>拟订全</w:t>
      </w:r>
      <w:r>
        <w:rPr>
          <w:rFonts w:hint="eastAsia" w:ascii="仿宋" w:hAnsi="仿宋" w:eastAsia="仿宋"/>
          <w:sz w:val="32"/>
          <w:szCs w:val="32"/>
          <w:lang w:val="en-US" w:eastAsia="zh-CN"/>
        </w:rPr>
        <w:t>镇小学</w:t>
      </w:r>
      <w:r>
        <w:rPr>
          <w:rFonts w:hint="eastAsia" w:ascii="仿宋" w:hAnsi="仿宋" w:eastAsia="仿宋"/>
          <w:sz w:val="32"/>
          <w:szCs w:val="32"/>
        </w:rPr>
        <w:t>教育改革与发展规划并组织实施。</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520" w:lineRule="exact"/>
        <w:ind w:left="0" w:leftChars="0" w:firstLine="420" w:firstLineChars="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研究拟定全镇</w:t>
      </w:r>
      <w:r>
        <w:rPr>
          <w:rFonts w:hint="eastAsia" w:ascii="仿宋" w:hAnsi="仿宋" w:eastAsia="仿宋" w:cs="仿宋"/>
          <w:kern w:val="0"/>
          <w:sz w:val="32"/>
          <w:szCs w:val="32"/>
          <w:lang w:val="en-US" w:eastAsia="zh-CN"/>
        </w:rPr>
        <w:t>小学</w:t>
      </w:r>
      <w:r>
        <w:rPr>
          <w:rFonts w:hint="eastAsia" w:ascii="仿宋" w:hAnsi="仿宋" w:eastAsia="仿宋" w:cs="仿宋"/>
          <w:kern w:val="0"/>
          <w:sz w:val="32"/>
          <w:szCs w:val="32"/>
        </w:rPr>
        <w:t>教育发展战略和教育工作的规定、办法，监督和检查所属学校对党和国家的教育方针、政策、法规的贯彻执行。要依法办学，不断提高管理水平和教育质量。不断改善办学水平和提高教育质量，促进全镇小学教育均衡发展。</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520" w:lineRule="exact"/>
        <w:ind w:left="0" w:leftChars="0" w:firstLine="420" w:firstLineChars="0"/>
        <w:jc w:val="left"/>
        <w:textAlignment w:val="auto"/>
        <w:rPr>
          <w:rFonts w:hint="eastAsia" w:ascii="仿宋_GB2312" w:hAnsi="Times New Roman" w:eastAsia="仿宋_GB2312" w:cs="仿宋_GB2312"/>
          <w:kern w:val="0"/>
          <w:sz w:val="32"/>
          <w:szCs w:val="32"/>
        </w:rPr>
      </w:pPr>
      <w:r>
        <w:rPr>
          <w:rFonts w:hint="eastAsia" w:ascii="仿宋" w:hAnsi="仿宋" w:eastAsia="仿宋" w:cs="仿宋"/>
          <w:kern w:val="0"/>
          <w:sz w:val="32"/>
          <w:szCs w:val="32"/>
        </w:rPr>
        <w:t>管理和指导全镇教育教学研究工作；规划、指导教育现代化和教育信息化工作；发挥小学教研中心作用。在中心学校统一领导下，组织全镇小学教师开展教育教学研究课、教学观摩、教学竞赛、课题实验、经验交流、教学基本功训练、专题研讨等教研活动。</w:t>
      </w:r>
      <w:r>
        <w:rPr>
          <w:rFonts w:hint="eastAsia" w:ascii="仿宋_GB2312" w:hAnsi="Times New Roman" w:eastAsia="仿宋_GB2312" w:cs="仿宋_GB2312"/>
          <w:kern w:val="0"/>
          <w:sz w:val="32"/>
          <w:szCs w:val="32"/>
        </w:rPr>
        <w:t>   </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520" w:lineRule="exact"/>
        <w:ind w:left="0" w:leftChars="0" w:firstLine="420" w:firstLineChars="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发挥小学教师进修培训作用。乡镇中心学校负责制定并实施本乡镇小学教师继续计划，并有针对性的组织教师参加培训进修，更新教育观念，提高教师职业道德水平和教育教学能力。</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520" w:lineRule="exact"/>
        <w:ind w:left="0" w:leftChars="0" w:firstLine="420" w:firstLineChars="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管理小学学籍。建立全乡镇适龄儿童、少年档案，掌握全镇每学年适龄儿童、适龄少年人数，严格控制学生辍学。已入学学生建立学籍档案，并报教育行政部门备案。</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520" w:lineRule="exact"/>
        <w:ind w:left="0" w:leftChars="0" w:firstLine="420" w:firstLineChars="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负责本乡镇小学教师的教育教学业务档案的管理、教育统计、教师工资统计、学校报帐。管理本部门教育经费；拟定教育经费筹措和管理的规定及财务管理制度；统计并监测全镇教育经费的筹措和使用情况。</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520" w:lineRule="exact"/>
        <w:ind w:left="0" w:leftChars="0" w:firstLine="420" w:firstLineChars="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协助乡镇政府组织发动学生入学，负责和协助学校做好社会治安综合治理及安全保卫工作。</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520" w:lineRule="exact"/>
        <w:ind w:left="0" w:leftChars="0" w:firstLine="420" w:firstLineChars="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协助教育行政部门做好教师编制核定、资格认定、职务评聘、调配和交流、培训和考核等工作。</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520" w:lineRule="exact"/>
        <w:ind w:left="0" w:leftChars="0" w:firstLine="420" w:firstLineChars="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协助乡镇政府和教育行政部门做好调整校点布局</w:t>
      </w:r>
      <w:r>
        <w:rPr>
          <w:rFonts w:hint="eastAsia" w:ascii="仿宋" w:hAnsi="仿宋" w:eastAsia="仿宋" w:cs="仿宋"/>
          <w:kern w:val="0"/>
          <w:sz w:val="32"/>
          <w:szCs w:val="32"/>
          <w:lang w:val="en-US" w:eastAsia="zh-CN"/>
        </w:rPr>
        <w:t>等</w:t>
      </w:r>
      <w:r>
        <w:rPr>
          <w:rFonts w:hint="eastAsia" w:ascii="仿宋" w:hAnsi="仿宋" w:eastAsia="仿宋" w:cs="仿宋"/>
          <w:kern w:val="0"/>
          <w:sz w:val="32"/>
          <w:szCs w:val="32"/>
        </w:rPr>
        <w:t>有关工作。</w:t>
      </w:r>
    </w:p>
    <w:p>
      <w:pPr>
        <w:ind w:firstLine="640" w:firstLineChars="200"/>
        <w:jc w:val="left"/>
        <w:rPr>
          <w:rFonts w:hint="eastAsia" w:ascii="仿宋" w:hAnsi="仿宋" w:eastAsia="仿宋" w:cs="仿宋"/>
          <w:color w:val="FF0000"/>
          <w:sz w:val="32"/>
          <w:szCs w:val="32"/>
          <w:lang w:val="en-US" w:eastAsia="zh-CN"/>
        </w:rPr>
      </w:pPr>
      <w:r>
        <w:rPr>
          <w:rFonts w:hint="eastAsia" w:ascii="仿宋" w:hAnsi="仿宋" w:eastAsia="仿宋" w:cs="仿宋"/>
          <w:kern w:val="0"/>
          <w:sz w:val="32"/>
          <w:szCs w:val="32"/>
        </w:rPr>
        <w:t>在教育行政部门指导下，负责组织小学毕业考试、教育教学质量检测评估工作。</w:t>
      </w:r>
      <w:r>
        <w:rPr>
          <w:rFonts w:hint="eastAsia" w:ascii="仿宋" w:hAnsi="仿宋" w:eastAsia="仿宋" w:cs="仿宋"/>
          <w:kern w:val="0"/>
          <w:sz w:val="32"/>
          <w:szCs w:val="32"/>
          <w:lang w:val="en-US" w:eastAsia="zh-CN"/>
        </w:rPr>
        <w:t>同时，</w:t>
      </w:r>
      <w:r>
        <w:rPr>
          <w:rFonts w:hint="eastAsia" w:ascii="仿宋" w:hAnsi="仿宋" w:eastAsia="仿宋" w:cs="仿宋"/>
          <w:kern w:val="0"/>
          <w:sz w:val="32"/>
          <w:szCs w:val="32"/>
        </w:rPr>
        <w:t>自觉接受县教育局、镇党委、政府及党总支的监督与指导，积极承办镇政府及上级主管部门交办的其他事项</w:t>
      </w:r>
      <w:r>
        <w:rPr>
          <w:rFonts w:hint="eastAsia" w:ascii="仿宋" w:hAnsi="仿宋" w:eastAsia="仿宋" w:cs="仿宋"/>
          <w:kern w:val="0"/>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 w:hAnsi="仿宋" w:eastAsia="黑体" w:cs="仿宋"/>
          <w:sz w:val="32"/>
          <w:szCs w:val="32"/>
          <w:highlight w:val="none"/>
          <w:lang w:val="en-US" w:eastAsia="zh-CN"/>
        </w:rPr>
      </w:pPr>
      <w:r>
        <w:rPr>
          <w:rFonts w:hint="eastAsia" w:ascii="黑体" w:hAnsi="黑体" w:eastAsia="黑体" w:cs="黑体"/>
          <w:sz w:val="32"/>
          <w:szCs w:val="32"/>
          <w:highlight w:val="none"/>
        </w:rPr>
        <w:t>二、</w:t>
      </w:r>
      <w:r>
        <w:rPr>
          <w:rFonts w:hint="eastAsia" w:ascii="黑体" w:hAnsi="黑体" w:eastAsia="黑体" w:cs="黑体"/>
          <w:sz w:val="32"/>
          <w:szCs w:val="32"/>
          <w:highlight w:val="none"/>
          <w:lang w:val="en-US" w:eastAsia="zh-CN"/>
        </w:rPr>
        <w:t>机构设置情况</w:t>
      </w:r>
    </w:p>
    <w:p>
      <w:pPr>
        <w:ind w:firstLine="640" w:firstLineChars="200"/>
        <w:jc w:val="left"/>
        <w:rPr>
          <w:rFonts w:hint="eastAsia" w:ascii="仿宋" w:hAnsi="仿宋" w:eastAsia="仿宋" w:cs="仿宋"/>
          <w:color w:val="FF0000"/>
          <w:sz w:val="32"/>
          <w:szCs w:val="32"/>
        </w:rPr>
      </w:pPr>
      <w:r>
        <w:rPr>
          <w:rFonts w:hint="eastAsia" w:ascii="仿宋" w:hAnsi="仿宋" w:eastAsia="仿宋" w:cs="仿宋"/>
          <w:color w:val="auto"/>
          <w:sz w:val="32"/>
          <w:szCs w:val="32"/>
          <w:lang w:val="en-US" w:eastAsia="zh-CN"/>
        </w:rPr>
        <w:t>2023年环江毛南族自治县东兴镇中心小学下设机构有4个，分别为东兴镇中心校、东兴镇第二小学、东兴镇为才小学、东兴镇笃雅教学点(2023年秋季学期该处教学点已撤并)。我部门</w:t>
      </w:r>
      <w:r>
        <w:rPr>
          <w:rFonts w:hint="eastAsia" w:ascii="仿宋" w:hAnsi="仿宋" w:eastAsia="仿宋" w:cs="仿宋"/>
          <w:color w:val="auto"/>
          <w:sz w:val="32"/>
          <w:szCs w:val="32"/>
        </w:rPr>
        <w:t>按照部门决算编报要求，单独编制本部门决算。</w:t>
      </w:r>
    </w:p>
    <w:p>
      <w:pPr>
        <w:jc w:val="center"/>
        <w:rPr>
          <w:rFonts w:hint="eastAsia" w:ascii="仿宋" w:hAnsi="仿宋" w:eastAsia="仿宋" w:cs="仿宋"/>
          <w:sz w:val="32"/>
          <w:szCs w:val="32"/>
          <w:highlight w:val="none"/>
          <w:lang w:val="en-US" w:eastAsia="zh-CN"/>
        </w:rPr>
      </w:pPr>
    </w:p>
    <w:p>
      <w:pPr>
        <w:jc w:val="center"/>
        <w:rPr>
          <w:rFonts w:hint="eastAsia" w:ascii="黑体" w:hAnsi="黑体" w:eastAsia="黑体" w:cs="黑体"/>
          <w:sz w:val="32"/>
          <w:szCs w:val="32"/>
          <w:highlight w:val="none"/>
          <w:lang w:val="en-US" w:eastAsia="zh-CN"/>
        </w:rPr>
      </w:pPr>
    </w:p>
    <w:p>
      <w:pPr>
        <w:jc w:val="center"/>
        <w:rPr>
          <w:rFonts w:hint="eastAsia" w:ascii="黑体" w:hAnsi="黑体" w:eastAsia="黑体" w:cs="黑体"/>
          <w:sz w:val="32"/>
          <w:szCs w:val="32"/>
          <w:highlight w:val="none"/>
          <w:lang w:val="en-US" w:eastAsia="zh-CN"/>
        </w:rPr>
      </w:pPr>
    </w:p>
    <w:p>
      <w:pPr>
        <w:jc w:val="center"/>
        <w:rPr>
          <w:rFonts w:hint="eastAsia" w:ascii="黑体" w:hAnsi="黑体" w:eastAsia="黑体" w:cs="黑体"/>
          <w:sz w:val="32"/>
          <w:szCs w:val="32"/>
          <w:highlight w:val="none"/>
          <w:lang w:val="en-US" w:eastAsia="zh-CN"/>
        </w:rPr>
        <w:sectPr>
          <w:pgSz w:w="11906" w:h="16838"/>
          <w:pgMar w:top="1440" w:right="1800" w:bottom="1440" w:left="1800" w:header="851" w:footer="992" w:gutter="0"/>
          <w:cols w:space="425" w:num="1"/>
          <w:docGrid w:type="lines" w:linePitch="312" w:charSpace="0"/>
        </w:sectPr>
      </w:pPr>
    </w:p>
    <w:p>
      <w:pPr>
        <w:jc w:val="both"/>
        <w:rPr>
          <w:rFonts w:hint="eastAsia" w:ascii="黑体" w:hAnsi="黑体" w:eastAsia="黑体" w:cs="黑体"/>
          <w:sz w:val="32"/>
          <w:szCs w:val="32"/>
          <w:highlight w:val="none"/>
          <w:lang w:val="en-US" w:eastAsia="zh-CN"/>
        </w:rPr>
      </w:pPr>
    </w:p>
    <w:p>
      <w:pPr>
        <w:jc w:val="both"/>
        <w:rPr>
          <w:rFonts w:hint="default" w:ascii="黑体" w:hAnsi="黑体" w:eastAsia="黑体" w:cs="黑体"/>
          <w:sz w:val="32"/>
          <w:szCs w:val="32"/>
          <w:highlight w:val="none"/>
          <w:lang w:val="en-US" w:eastAsia="zh-CN"/>
        </w:rPr>
      </w:pPr>
    </w:p>
    <w:p>
      <w:pPr>
        <w:jc w:val="center"/>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hint="eastAsia" w:ascii="黑体" w:hAnsi="黑体" w:eastAsia="黑体" w:cs="黑体"/>
          <w:sz w:val="32"/>
          <w:u w:color="auto"/>
          <w:lang w:eastAsia="zh-CN"/>
        </w:rPr>
        <w:t>环江毛南族自治县东兴镇中心小学</w:t>
      </w:r>
      <w:r>
        <w:rPr>
          <w:rFonts w:hint="eastAsia" w:ascii="黑体" w:hAnsi="黑体" w:eastAsia="黑体" w:cs="黑体"/>
          <w:sz w:val="32"/>
          <w:szCs w:val="32"/>
          <w:highlight w:val="none"/>
        </w:rPr>
        <w:t xml:space="preserve"> 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年度部门决算报表</w:t>
      </w:r>
    </w:p>
    <w:tbl>
      <w:tblPr>
        <w:tblStyle w:val="6"/>
        <w:tblW w:w="13940" w:type="dxa"/>
        <w:tblInd w:w="96" w:type="dxa"/>
        <w:tblLayout w:type="fixed"/>
        <w:tblCellMar>
          <w:top w:w="0" w:type="dxa"/>
          <w:left w:w="108" w:type="dxa"/>
          <w:bottom w:w="0" w:type="dxa"/>
          <w:right w:w="108" w:type="dxa"/>
        </w:tblCellMar>
      </w:tblPr>
      <w:tblGrid>
        <w:gridCol w:w="2543"/>
        <w:gridCol w:w="2393"/>
        <w:gridCol w:w="2231"/>
        <w:gridCol w:w="2669"/>
        <w:gridCol w:w="2202"/>
        <w:gridCol w:w="1902"/>
      </w:tblGrid>
      <w:tr>
        <w:tblPrEx>
          <w:tblCellMar>
            <w:top w:w="0" w:type="dxa"/>
            <w:left w:w="108" w:type="dxa"/>
            <w:bottom w:w="0" w:type="dxa"/>
            <w:right w:w="108" w:type="dxa"/>
          </w:tblCellMar>
        </w:tblPrEx>
        <w:trPr>
          <w:trHeight w:val="902" w:hRule="atLeast"/>
        </w:trPr>
        <w:tc>
          <w:tcPr>
            <w:tcW w:w="139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表一：收入支出决算总表</w:t>
            </w:r>
          </w:p>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收入支出决算总表</w:t>
            </w:r>
          </w:p>
        </w:tc>
      </w:tr>
      <w:tr>
        <w:tblPrEx>
          <w:tblCellMar>
            <w:top w:w="0" w:type="dxa"/>
            <w:left w:w="108" w:type="dxa"/>
            <w:bottom w:w="0" w:type="dxa"/>
            <w:right w:w="108" w:type="dxa"/>
          </w:tblCellMar>
        </w:tblPrEx>
        <w:trPr>
          <w:trHeight w:val="301" w:hRule="atLeast"/>
        </w:trPr>
        <w:tc>
          <w:tcPr>
            <w:tcW w:w="254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3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66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02"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公开01表</w:t>
            </w:r>
          </w:p>
        </w:tc>
      </w:tr>
      <w:tr>
        <w:tblPrEx>
          <w:tblCellMar>
            <w:top w:w="0" w:type="dxa"/>
            <w:left w:w="108" w:type="dxa"/>
            <w:bottom w:w="0" w:type="dxa"/>
            <w:right w:w="108" w:type="dxa"/>
          </w:tblCellMar>
        </w:tblPrEx>
        <w:trPr>
          <w:trHeight w:val="301" w:hRule="atLeast"/>
        </w:trPr>
        <w:tc>
          <w:tcPr>
            <w:tcW w:w="7167" w:type="dxa"/>
            <w:gridSpan w:val="3"/>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eastAsia="zh-CN"/>
              </w:rPr>
              <w:t>环江毛南族自治县东兴镇中心小学</w:t>
            </w:r>
          </w:p>
        </w:tc>
        <w:tc>
          <w:tcPr>
            <w:tcW w:w="2669"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2"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02"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15" w:hRule="atLeast"/>
        </w:trPr>
        <w:tc>
          <w:tcPr>
            <w:tcW w:w="716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收入</w:t>
            </w:r>
          </w:p>
        </w:tc>
        <w:tc>
          <w:tcPr>
            <w:tcW w:w="677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支出</w:t>
            </w:r>
          </w:p>
        </w:tc>
      </w:tr>
      <w:tr>
        <w:tblPrEx>
          <w:tblCellMar>
            <w:top w:w="0" w:type="dxa"/>
            <w:left w:w="108" w:type="dxa"/>
            <w:bottom w:w="0" w:type="dxa"/>
            <w:right w:w="108" w:type="dxa"/>
          </w:tblCellMar>
        </w:tblPrEx>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r>
      <w:tr>
        <w:tblPrEx>
          <w:tblCellMar>
            <w:top w:w="0" w:type="dxa"/>
            <w:left w:w="108" w:type="dxa"/>
            <w:bottom w:w="0" w:type="dxa"/>
            <w:right w:w="108" w:type="dxa"/>
          </w:tblCellMar>
        </w:tblPrEx>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一、一般公共预算财政拨款收入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2301.26</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一、一般公共服务支出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22.73</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二、政府性基金预算财政拨款收入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3.04</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二、外交支出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三、国有资本经营预算财政拨款收入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三、国防支出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四、上级补助收入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四、公共安全支出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五、事业收入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五、教育支出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1772.62</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六、经营收入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六、科学技术支出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七、附属单位上缴收入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七、文化旅游体育与传媒支出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八、其他收入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八、社会保障和就业支出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172.97</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九、卫生健康支出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十、节能环保支出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十一、城乡社区支出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十二、农林水支出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十三、交通运输支出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十四、资源勘探工业信息等支出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十五、商业服务业等支出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十六、金融支出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十七、援助其他地区支出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十八、自然资源海洋气象等支出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十九、住房保障支出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133.77</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二十、粮油物资储备支出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二十一、国有资本经营预算支出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二十二、灾害防治及应急管理支出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二十三、其他支出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202.2</w:t>
            </w:r>
            <w:r>
              <w:rPr>
                <w:rFonts w:hint="eastAsia" w:ascii="宋体" w:hAnsi="宋体" w:eastAsia="宋体" w:cs="宋体"/>
                <w:color w:val="000000"/>
                <w:kern w:val="0"/>
                <w:sz w:val="22"/>
                <w:szCs w:val="22"/>
                <w:highlight w:val="none"/>
                <w:lang w:val="en-US" w:eastAsia="zh-CN" w:bidi="ar"/>
              </w:rPr>
              <w:t>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二十四、债务还本支出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二十五、债务付息支出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二十六、抗疫特别国债安排的支出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本年收入合计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2304.3</w:t>
            </w:r>
            <w:r>
              <w:rPr>
                <w:rFonts w:hint="eastAsia" w:ascii="宋体" w:hAnsi="宋体" w:eastAsia="宋体" w:cs="宋体"/>
                <w:color w:val="000000"/>
                <w:kern w:val="0"/>
                <w:sz w:val="22"/>
                <w:szCs w:val="22"/>
                <w:highlight w:val="none"/>
                <w:lang w:val="en-US" w:eastAsia="zh-CN" w:bidi="ar"/>
              </w:rPr>
              <w:t>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本年支出合计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2304.3</w:t>
            </w:r>
            <w:r>
              <w:rPr>
                <w:rFonts w:hint="eastAsia" w:ascii="宋体" w:hAnsi="宋体" w:eastAsia="宋体" w:cs="宋体"/>
                <w:color w:val="000000"/>
                <w:kern w:val="0"/>
                <w:sz w:val="22"/>
                <w:szCs w:val="22"/>
                <w:highlight w:val="none"/>
                <w:lang w:val="en-US" w:eastAsia="zh-CN" w:bidi="ar"/>
              </w:rPr>
              <w:t>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使用非财政拨款结余</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结余分配</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年初结转和结余</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年末结转和结余</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总计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2304.3</w:t>
            </w:r>
            <w:r>
              <w:rPr>
                <w:rFonts w:hint="eastAsia" w:ascii="宋体" w:hAnsi="宋体" w:eastAsia="宋体" w:cs="宋体"/>
                <w:color w:val="000000"/>
                <w:kern w:val="0"/>
                <w:sz w:val="22"/>
                <w:szCs w:val="22"/>
                <w:highlight w:val="none"/>
                <w:lang w:val="en-US" w:eastAsia="zh-CN" w:bidi="ar"/>
              </w:rPr>
              <w:t>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总计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2304.3</w:t>
            </w:r>
            <w:r>
              <w:rPr>
                <w:rFonts w:hint="eastAsia" w:ascii="宋体" w:hAnsi="宋体" w:eastAsia="宋体" w:cs="宋体"/>
                <w:color w:val="000000"/>
                <w:kern w:val="0"/>
                <w:sz w:val="22"/>
                <w:szCs w:val="22"/>
                <w:highlight w:val="none"/>
                <w:lang w:val="en-US" w:eastAsia="zh-CN" w:bidi="ar"/>
              </w:rPr>
              <w:t>0</w:t>
            </w:r>
          </w:p>
        </w:tc>
      </w:tr>
    </w:tbl>
    <w:p>
      <w:pPr>
        <w:rPr>
          <w:rFonts w:ascii="宋体" w:hAnsi="宋体" w:eastAsia="宋体" w:cs="宋体"/>
          <w:color w:val="000000"/>
          <w:kern w:val="0"/>
          <w:sz w:val="30"/>
          <w:szCs w:val="30"/>
          <w:highlight w:val="none"/>
          <w:lang w:bidi="ar"/>
        </w:rPr>
      </w:pPr>
      <w:r>
        <w:rPr>
          <w:rFonts w:hint="eastAsia" w:ascii="宋体" w:hAnsi="宋体" w:eastAsia="宋体" w:cs="宋体"/>
          <w:color w:val="000000"/>
          <w:kern w:val="0"/>
          <w:sz w:val="30"/>
          <w:szCs w:val="30"/>
          <w:highlight w:val="none"/>
          <w:lang w:bidi="ar"/>
        </w:rPr>
        <w:br w:type="page"/>
      </w:r>
    </w:p>
    <w:tbl>
      <w:tblPr>
        <w:tblStyle w:val="6"/>
        <w:tblW w:w="13960" w:type="dxa"/>
        <w:tblInd w:w="96" w:type="dxa"/>
        <w:tblLayout w:type="fixed"/>
        <w:tblCellMar>
          <w:top w:w="0" w:type="dxa"/>
          <w:left w:w="108" w:type="dxa"/>
          <w:bottom w:w="0" w:type="dxa"/>
          <w:right w:w="108" w:type="dxa"/>
        </w:tblCellMar>
      </w:tblPr>
      <w:tblGrid>
        <w:gridCol w:w="1584"/>
        <w:gridCol w:w="1378"/>
        <w:gridCol w:w="236"/>
        <w:gridCol w:w="236"/>
        <w:gridCol w:w="524"/>
        <w:gridCol w:w="1520"/>
        <w:gridCol w:w="1453"/>
        <w:gridCol w:w="1373"/>
        <w:gridCol w:w="1467"/>
        <w:gridCol w:w="1480"/>
        <w:gridCol w:w="1440"/>
        <w:gridCol w:w="1269"/>
      </w:tblGrid>
      <w:tr>
        <w:tblPrEx>
          <w:tblCellMar>
            <w:top w:w="0" w:type="dxa"/>
            <w:left w:w="108" w:type="dxa"/>
            <w:bottom w:w="0" w:type="dxa"/>
            <w:right w:w="108" w:type="dxa"/>
          </w:tblCellMar>
        </w:tblPrEx>
        <w:trPr>
          <w:trHeight w:val="951" w:hRule="atLeast"/>
        </w:trPr>
        <w:tc>
          <w:tcPr>
            <w:tcW w:w="13960" w:type="dxa"/>
            <w:gridSpan w:val="1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表二：收入决算表</w:t>
            </w:r>
          </w:p>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收入决算表</w:t>
            </w:r>
          </w:p>
        </w:tc>
      </w:tr>
      <w:tr>
        <w:tblPrEx>
          <w:tblCellMar>
            <w:top w:w="0" w:type="dxa"/>
            <w:left w:w="108" w:type="dxa"/>
            <w:bottom w:w="0" w:type="dxa"/>
            <w:right w:w="108" w:type="dxa"/>
          </w:tblCellMar>
        </w:tblPrEx>
        <w:trPr>
          <w:trHeight w:val="317" w:hRule="atLeast"/>
        </w:trPr>
        <w:tc>
          <w:tcPr>
            <w:tcW w:w="2962"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2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52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6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09"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公开02表</w:t>
            </w:r>
          </w:p>
        </w:tc>
      </w:tr>
      <w:tr>
        <w:tblPrEx>
          <w:tblCellMar>
            <w:top w:w="0" w:type="dxa"/>
            <w:left w:w="108" w:type="dxa"/>
            <w:bottom w:w="0" w:type="dxa"/>
            <w:right w:w="108" w:type="dxa"/>
          </w:tblCellMar>
        </w:tblPrEx>
        <w:trPr>
          <w:trHeight w:val="317" w:hRule="atLeast"/>
        </w:trPr>
        <w:tc>
          <w:tcPr>
            <w:tcW w:w="6931"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eastAsia="zh-CN"/>
              </w:rPr>
              <w:t>环江毛南族自治县东兴镇中心小学</w:t>
            </w:r>
          </w:p>
        </w:tc>
        <w:tc>
          <w:tcPr>
            <w:tcW w:w="1373"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67"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09" w:type="dxa"/>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27"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本年收入合计</w:t>
            </w:r>
          </w:p>
        </w:tc>
        <w:tc>
          <w:tcPr>
            <w:tcW w:w="14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财政拨款收入</w:t>
            </w:r>
          </w:p>
        </w:tc>
        <w:tc>
          <w:tcPr>
            <w:tcW w:w="13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上级补助收入</w:t>
            </w:r>
          </w:p>
        </w:tc>
        <w:tc>
          <w:tcPr>
            <w:tcW w:w="14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事业收入</w:t>
            </w:r>
          </w:p>
        </w:tc>
        <w:tc>
          <w:tcPr>
            <w:tcW w:w="1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经营收入</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附属单位上缴收入</w:t>
            </w:r>
          </w:p>
        </w:tc>
        <w:tc>
          <w:tcPr>
            <w:tcW w:w="12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其他收入</w:t>
            </w:r>
          </w:p>
        </w:tc>
      </w:tr>
      <w:tr>
        <w:tblPrEx>
          <w:tblCellMar>
            <w:top w:w="0" w:type="dxa"/>
            <w:left w:w="108" w:type="dxa"/>
            <w:bottom w:w="0" w:type="dxa"/>
            <w:right w:w="108" w:type="dxa"/>
          </w:tblCellMar>
        </w:tblPrEx>
        <w:trPr>
          <w:trHeight w:val="327" w:hRule="atLeast"/>
        </w:trPr>
        <w:tc>
          <w:tcPr>
            <w:tcW w:w="15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374"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1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4"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1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4"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r>
      <w:tr>
        <w:tblPrEx>
          <w:tblCellMar>
            <w:top w:w="0" w:type="dxa"/>
            <w:left w:w="108" w:type="dxa"/>
            <w:bottom w:w="0" w:type="dxa"/>
            <w:right w:w="108" w:type="dxa"/>
          </w:tblCellMar>
        </w:tblPrEx>
        <w:trPr>
          <w:trHeight w:val="961"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color w:val="000000"/>
                <w:sz w:val="22"/>
                <w:szCs w:val="22"/>
                <w:highlight w:val="none"/>
                <w:lang w:val="en-US" w:eastAsia="zh-CN"/>
              </w:rPr>
            </w:pPr>
            <w:r>
              <w:rPr>
                <w:rFonts w:hint="default" w:ascii="宋体" w:hAnsi="宋体" w:eastAsia="宋体" w:cs="宋体"/>
                <w:b/>
                <w:bCs/>
                <w:color w:val="000000"/>
                <w:sz w:val="22"/>
                <w:szCs w:val="22"/>
                <w:highlight w:val="none"/>
              </w:rPr>
              <w:t>2304.3</w:t>
            </w:r>
            <w:r>
              <w:rPr>
                <w:rFonts w:hint="eastAsia" w:ascii="宋体" w:hAnsi="宋体" w:eastAsia="宋体" w:cs="宋体"/>
                <w:b/>
                <w:bCs/>
                <w:color w:val="000000"/>
                <w:sz w:val="22"/>
                <w:szCs w:val="22"/>
                <w:highlight w:val="none"/>
                <w:lang w:val="en-US" w:eastAsia="zh-CN"/>
              </w:rPr>
              <w:t>0</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color w:val="000000"/>
                <w:sz w:val="22"/>
                <w:szCs w:val="22"/>
                <w:highlight w:val="none"/>
                <w:lang w:val="en-US" w:eastAsia="zh-CN"/>
              </w:rPr>
            </w:pPr>
            <w:r>
              <w:rPr>
                <w:rFonts w:hint="default" w:ascii="宋体" w:hAnsi="宋体" w:eastAsia="宋体" w:cs="宋体"/>
                <w:b/>
                <w:bCs/>
                <w:color w:val="000000"/>
                <w:sz w:val="22"/>
                <w:szCs w:val="22"/>
                <w:highlight w:val="none"/>
              </w:rPr>
              <w:t>2304.3</w:t>
            </w:r>
            <w:r>
              <w:rPr>
                <w:rFonts w:hint="eastAsia" w:ascii="宋体" w:hAnsi="宋体" w:eastAsia="宋体" w:cs="宋体"/>
                <w:b/>
                <w:bCs/>
                <w:color w:val="000000"/>
                <w:sz w:val="22"/>
                <w:szCs w:val="22"/>
                <w:highlight w:val="none"/>
                <w:lang w:val="en-US" w:eastAsia="zh-CN"/>
              </w:rPr>
              <w:t>0</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一般公共服务支出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22.73</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22.73</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20129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群众团体事务</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22.73</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22.73</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2012999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其他群众团体事务支出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22.73</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22.73</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205</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教育支出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1772.62</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1772.62</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20502</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普通教育</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1772.62</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1772.62</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90"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2050202</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小学教育</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1754.6</w:t>
            </w:r>
            <w:r>
              <w:rPr>
                <w:rFonts w:hint="eastAsia" w:ascii="宋体" w:hAnsi="宋体" w:eastAsia="宋体" w:cs="宋体"/>
                <w:color w:val="000000"/>
                <w:kern w:val="0"/>
                <w:sz w:val="22"/>
                <w:szCs w:val="22"/>
                <w:highlight w:val="none"/>
                <w:lang w:val="en-US" w:eastAsia="zh-CN" w:bidi="ar"/>
              </w:rPr>
              <w:t>0</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1754.6</w:t>
            </w:r>
            <w:r>
              <w:rPr>
                <w:rFonts w:hint="eastAsia" w:ascii="宋体" w:hAnsi="宋体" w:eastAsia="宋体" w:cs="宋体"/>
                <w:color w:val="000000"/>
                <w:kern w:val="0"/>
                <w:sz w:val="22"/>
                <w:szCs w:val="22"/>
                <w:highlight w:val="none"/>
                <w:lang w:val="en-US" w:eastAsia="zh-CN" w:bidi="ar"/>
              </w:rPr>
              <w:t>0</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2050299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其他普通教育支出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15.52</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15.52</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2050701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 xml:space="preserve">  特殊学校教育</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1.43</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1.43</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2050999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 xml:space="preserve">  其他教育费附加安排的支出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1.08</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1.08</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社会保障和就业支出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172.97</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172.97</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20805</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行政事业单位养老支出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172.97</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172.97</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2080505</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机关事业单位基本养老保险缴费支出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172.97</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172.97</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住房保障支出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133.77</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 xml:space="preserve">     </w:t>
            </w:r>
            <w:r>
              <w:rPr>
                <w:rFonts w:hint="default" w:ascii="宋体" w:hAnsi="宋体" w:eastAsia="宋体" w:cs="宋体"/>
                <w:color w:val="000000"/>
                <w:kern w:val="0"/>
                <w:sz w:val="22"/>
                <w:szCs w:val="22"/>
                <w:highlight w:val="none"/>
                <w:lang w:bidi="ar"/>
              </w:rPr>
              <w:t>133.77</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22102</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住房改革支出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133.77</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133.77</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2210201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住房公积金</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133.77</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133.77</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其他支出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202.20</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202.20</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22960</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彩票公益金安排的支出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3.04</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3.04</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2296004</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用于教育事业的彩票公益金支出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3.04</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3.04</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22999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其他支出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199.16</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199.16</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2299999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199.16</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199.16</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3960" w:type="dxa"/>
            <w:gridSpan w:val="12"/>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注：本表反映部门本年度取得的各项收入情况。</w:t>
            </w:r>
          </w:p>
        </w:tc>
      </w:tr>
    </w:tbl>
    <w:p>
      <w:pPr>
        <w:jc w:val="center"/>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cente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表三：支出决算表</w:t>
      </w:r>
    </w:p>
    <w:p>
      <w:pPr>
        <w:jc w:val="left"/>
        <w:rPr>
          <w:rFonts w:hint="eastAsia" w:ascii="仿宋" w:hAnsi="仿宋" w:eastAsia="仿宋" w:cs="仿宋"/>
          <w:sz w:val="24"/>
          <w:highlight w:val="none"/>
        </w:rPr>
      </w:pPr>
    </w:p>
    <w:tbl>
      <w:tblPr>
        <w:tblStyle w:val="6"/>
        <w:tblW w:w="13980" w:type="dxa"/>
        <w:tblInd w:w="96" w:type="dxa"/>
        <w:tblLayout w:type="fixed"/>
        <w:tblCellMar>
          <w:top w:w="0" w:type="dxa"/>
          <w:left w:w="108" w:type="dxa"/>
          <w:bottom w:w="0" w:type="dxa"/>
          <w:right w:w="108" w:type="dxa"/>
        </w:tblCellMar>
      </w:tblPr>
      <w:tblGrid>
        <w:gridCol w:w="1142"/>
        <w:gridCol w:w="237"/>
        <w:gridCol w:w="239"/>
        <w:gridCol w:w="64"/>
        <w:gridCol w:w="2222"/>
        <w:gridCol w:w="1627"/>
        <w:gridCol w:w="1680"/>
        <w:gridCol w:w="1760"/>
        <w:gridCol w:w="1653"/>
        <w:gridCol w:w="1654"/>
        <w:gridCol w:w="1702"/>
      </w:tblGrid>
      <w:tr>
        <w:tblPrEx>
          <w:tblCellMar>
            <w:top w:w="0" w:type="dxa"/>
            <w:left w:w="108" w:type="dxa"/>
            <w:bottom w:w="0" w:type="dxa"/>
            <w:right w:w="108" w:type="dxa"/>
          </w:tblCellMar>
        </w:tblPrEx>
        <w:trPr>
          <w:trHeight w:val="623"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支出决算表</w:t>
            </w:r>
          </w:p>
        </w:tc>
      </w:tr>
      <w:tr>
        <w:tblPrEx>
          <w:tblCellMar>
            <w:top w:w="0" w:type="dxa"/>
            <w:left w:w="108" w:type="dxa"/>
            <w:bottom w:w="0" w:type="dxa"/>
            <w:right w:w="108" w:type="dxa"/>
          </w:tblCellMar>
        </w:tblPrEx>
        <w:trPr>
          <w:trHeight w:val="312" w:hRule="atLeast"/>
        </w:trPr>
        <w:tc>
          <w:tcPr>
            <w:tcW w:w="114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3" w:type="dxa"/>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2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6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4"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公开03表</w:t>
            </w:r>
          </w:p>
        </w:tc>
      </w:tr>
      <w:tr>
        <w:tblPrEx>
          <w:tblCellMar>
            <w:top w:w="0" w:type="dxa"/>
            <w:left w:w="108" w:type="dxa"/>
            <w:bottom w:w="0" w:type="dxa"/>
            <w:right w:w="108" w:type="dxa"/>
          </w:tblCellMar>
        </w:tblPrEx>
        <w:trPr>
          <w:trHeight w:val="312" w:hRule="atLeast"/>
        </w:trPr>
        <w:tc>
          <w:tcPr>
            <w:tcW w:w="8971" w:type="dxa"/>
            <w:gridSpan w:val="8"/>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eastAsia="zh-CN"/>
              </w:rPr>
              <w:t>环江毛南族自治县东兴镇中心小学</w:t>
            </w:r>
          </w:p>
        </w:tc>
        <w:tc>
          <w:tcPr>
            <w:tcW w:w="1653" w:type="dxa"/>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4" w:type="dxa"/>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tcBorders>
              <w:top w:val="nil"/>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本年支出合计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上缴上级支出</w:t>
            </w:r>
          </w:p>
        </w:tc>
        <w:tc>
          <w:tcPr>
            <w:tcW w:w="16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经营支出</w:t>
            </w:r>
          </w:p>
        </w:tc>
        <w:tc>
          <w:tcPr>
            <w:tcW w:w="17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对附属单位补助支出</w:t>
            </w:r>
          </w:p>
        </w:tc>
      </w:tr>
      <w:tr>
        <w:tblPrEx>
          <w:tblCellMar>
            <w:top w:w="0" w:type="dxa"/>
            <w:left w:w="108" w:type="dxa"/>
            <w:bottom w:w="0" w:type="dxa"/>
            <w:right w:w="108" w:type="dxa"/>
          </w:tblCellMar>
        </w:tblPrEx>
        <w:trPr>
          <w:trHeight w:val="322" w:hRule="atLeast"/>
        </w:trPr>
        <w:tc>
          <w:tcPr>
            <w:tcW w:w="1618"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286"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465" w:hRule="atLeast"/>
        </w:trPr>
        <w:tc>
          <w:tcPr>
            <w:tcW w:w="161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8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837" w:hRule="atLeast"/>
        </w:trPr>
        <w:tc>
          <w:tcPr>
            <w:tcW w:w="161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8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tblPrEx>
          <w:tblCellMar>
            <w:top w:w="0" w:type="dxa"/>
            <w:left w:w="108" w:type="dxa"/>
            <w:bottom w:w="0" w:type="dxa"/>
            <w:right w:w="108" w:type="dxa"/>
          </w:tblCellMar>
        </w:tblPrEx>
        <w:trPr>
          <w:trHeight w:val="633"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color w:val="000000"/>
                <w:sz w:val="22"/>
                <w:szCs w:val="22"/>
                <w:highlight w:val="none"/>
                <w:lang w:val="en-US" w:eastAsia="zh-CN"/>
              </w:rPr>
            </w:pPr>
            <w:r>
              <w:rPr>
                <w:rFonts w:hint="default" w:ascii="宋体" w:hAnsi="宋体" w:eastAsia="宋体" w:cs="宋体"/>
                <w:b/>
                <w:bCs/>
                <w:color w:val="000000"/>
                <w:sz w:val="22"/>
                <w:szCs w:val="22"/>
                <w:highlight w:val="none"/>
              </w:rPr>
              <w:t>2304.3</w:t>
            </w:r>
            <w:r>
              <w:rPr>
                <w:rFonts w:hint="eastAsia" w:ascii="宋体" w:hAnsi="宋体" w:eastAsia="宋体" w:cs="宋体"/>
                <w:b/>
                <w:bCs/>
                <w:color w:val="000000"/>
                <w:sz w:val="22"/>
                <w:szCs w:val="22"/>
                <w:highlight w:val="none"/>
                <w:lang w:val="en-US" w:eastAsia="zh-CN"/>
              </w:rPr>
              <w:t>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default" w:ascii="宋体" w:hAnsi="宋体" w:eastAsia="宋体" w:cs="宋体"/>
                <w:b/>
                <w:bCs/>
                <w:color w:val="000000"/>
                <w:sz w:val="22"/>
                <w:szCs w:val="22"/>
                <w:highlight w:val="none"/>
              </w:rPr>
              <w:t>1971.46</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332.83</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default"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一般公共服务支出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22.73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22.73</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20129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群众团体事务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22.73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22.73</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2012999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其他群众团体事务支出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22.73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22.73</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205</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教育支出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1772.62</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1442.83</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329.79</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20502</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普通教育</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1772.62</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1442.83</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329.79</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2050202</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小学教育</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1754.6</w:t>
            </w:r>
            <w:r>
              <w:rPr>
                <w:rFonts w:hint="eastAsia" w:ascii="宋体" w:hAnsi="宋体" w:eastAsia="宋体" w:cs="宋体"/>
                <w:color w:val="000000"/>
                <w:kern w:val="0"/>
                <w:sz w:val="22"/>
                <w:szCs w:val="22"/>
                <w:highlight w:val="none"/>
                <w:lang w:val="en-US" w:eastAsia="zh-CN" w:bidi="ar"/>
              </w:rPr>
              <w:t>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1442.4</w:t>
            </w:r>
            <w:r>
              <w:rPr>
                <w:rFonts w:hint="eastAsia" w:ascii="宋体" w:hAnsi="宋体" w:eastAsia="宋体" w:cs="宋体"/>
                <w:color w:val="000000"/>
                <w:kern w:val="0"/>
                <w:sz w:val="22"/>
                <w:szCs w:val="22"/>
                <w:highlight w:val="none"/>
                <w:lang w:val="en-US" w:eastAsia="zh-CN" w:bidi="ar"/>
              </w:rPr>
              <w:t>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312.21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2050299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其他普通教育支出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15.52</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0.43</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15.08</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2050701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 xml:space="preserve">  特殊学校教育</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1.43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1.43</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2050999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其他教育费附加安排的支出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1.08</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1.08</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社会保障和就业支出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172.97</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172.97</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20805</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行政事业单位养老支出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172.97</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172.97</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2080505</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机关事业单位基本养老保险缴费支出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172.97</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172.97</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住房保障支出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133.77</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133.77</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22102</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住房改革支出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133.77</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133.77</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2210201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住房公积金</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133.77</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133.77</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其他支出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202.20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199.16</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3.04</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22960</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彩票公益金安排的支出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3.04</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3.04</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2296004</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用于教育事业的彩票公益金支出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3.04</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3.04</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22999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其他支出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199.16</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199.16</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2299999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199.16</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199.16</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3980" w:type="dxa"/>
            <w:gridSpan w:val="11"/>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注：本表反映部门本年度各项支出情况。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cente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表四：财政拨款收入支出决算总表</w:t>
      </w:r>
    </w:p>
    <w:p>
      <w:pPr>
        <w:jc w:val="left"/>
        <w:rPr>
          <w:rFonts w:hint="eastAsia" w:ascii="仿宋" w:hAnsi="仿宋" w:eastAsia="仿宋" w:cs="仿宋"/>
          <w:sz w:val="24"/>
          <w:highlight w:val="none"/>
        </w:rPr>
      </w:pPr>
    </w:p>
    <w:tbl>
      <w:tblPr>
        <w:tblStyle w:val="6"/>
        <w:tblW w:w="4966" w:type="pct"/>
        <w:tblInd w:w="0" w:type="dxa"/>
        <w:tblLayout w:type="fixed"/>
        <w:tblCellMar>
          <w:top w:w="0" w:type="dxa"/>
          <w:left w:w="108" w:type="dxa"/>
          <w:bottom w:w="0" w:type="dxa"/>
          <w:right w:w="108" w:type="dxa"/>
        </w:tblCellMar>
      </w:tblPr>
      <w:tblGrid>
        <w:gridCol w:w="2214"/>
        <w:gridCol w:w="785"/>
        <w:gridCol w:w="1307"/>
        <w:gridCol w:w="2360"/>
        <w:gridCol w:w="853"/>
        <w:gridCol w:w="1088"/>
        <w:gridCol w:w="1773"/>
        <w:gridCol w:w="1803"/>
        <w:gridCol w:w="1894"/>
      </w:tblGrid>
      <w:tr>
        <w:tblPrEx>
          <w:tblCellMar>
            <w:top w:w="0" w:type="dxa"/>
            <w:left w:w="108" w:type="dxa"/>
            <w:bottom w:w="0" w:type="dxa"/>
            <w:right w:w="108" w:type="dxa"/>
          </w:tblCellMar>
        </w:tblPrEx>
        <w:trPr>
          <w:trHeight w:val="520" w:hRule="atLeast"/>
        </w:trPr>
        <w:tc>
          <w:tcPr>
            <w:tcW w:w="5000" w:type="pct"/>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财政拨款收入支出决算总表</w:t>
            </w:r>
          </w:p>
        </w:tc>
      </w:tr>
      <w:tr>
        <w:tblPrEx>
          <w:tblCellMar>
            <w:top w:w="0" w:type="dxa"/>
            <w:left w:w="108" w:type="dxa"/>
            <w:bottom w:w="0" w:type="dxa"/>
            <w:right w:w="108" w:type="dxa"/>
          </w:tblCellMar>
        </w:tblPrEx>
        <w:trPr>
          <w:trHeight w:val="260" w:hRule="atLeast"/>
        </w:trPr>
        <w:tc>
          <w:tcPr>
            <w:tcW w:w="78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64"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83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2"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8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2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4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72"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公开04表</w:t>
            </w:r>
          </w:p>
        </w:tc>
      </w:tr>
      <w:tr>
        <w:tblPrEx>
          <w:tblCellMar>
            <w:top w:w="0" w:type="dxa"/>
            <w:left w:w="108" w:type="dxa"/>
            <w:bottom w:w="0" w:type="dxa"/>
            <w:right w:w="108" w:type="dxa"/>
          </w:tblCellMar>
        </w:tblPrEx>
        <w:trPr>
          <w:trHeight w:val="260" w:hRule="atLeast"/>
        </w:trPr>
        <w:tc>
          <w:tcPr>
            <w:tcW w:w="3056" w:type="pct"/>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eastAsia="zh-CN"/>
              </w:rPr>
              <w:t>环江毛南族自治县东兴镇中心小学</w:t>
            </w:r>
          </w:p>
        </w:tc>
        <w:tc>
          <w:tcPr>
            <w:tcW w:w="629"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40"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72" w:type="pct"/>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268" w:hRule="atLeast"/>
        </w:trPr>
        <w:tc>
          <w:tcPr>
            <w:tcW w:w="152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收     入</w:t>
            </w:r>
          </w:p>
        </w:tc>
        <w:tc>
          <w:tcPr>
            <w:tcW w:w="3470"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支     出</w:t>
            </w:r>
          </w:p>
        </w:tc>
      </w:tr>
      <w:tr>
        <w:tblPrEx>
          <w:tblCellMar>
            <w:top w:w="0" w:type="dxa"/>
            <w:left w:w="108" w:type="dxa"/>
            <w:bottom w:w="0" w:type="dxa"/>
            <w:right w:w="108" w:type="dxa"/>
          </w:tblCellMar>
        </w:tblPrEx>
        <w:trPr>
          <w:trHeight w:val="312" w:hRule="atLeast"/>
        </w:trPr>
        <w:tc>
          <w:tcPr>
            <w:tcW w:w="78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7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46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c>
          <w:tcPr>
            <w:tcW w:w="8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30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38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6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一般公共预算财政拨款</w:t>
            </w:r>
          </w:p>
        </w:tc>
        <w:tc>
          <w:tcPr>
            <w:tcW w:w="64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政府性基金预算财政拨款</w:t>
            </w:r>
          </w:p>
        </w:tc>
        <w:tc>
          <w:tcPr>
            <w:tcW w:w="67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国有资本经营预算财政拨款</w:t>
            </w:r>
          </w:p>
        </w:tc>
      </w:tr>
      <w:tr>
        <w:tblPrEx>
          <w:tblCellMar>
            <w:top w:w="0" w:type="dxa"/>
            <w:left w:w="108" w:type="dxa"/>
            <w:bottom w:w="0" w:type="dxa"/>
            <w:right w:w="108" w:type="dxa"/>
          </w:tblCellMar>
        </w:tblPrEx>
        <w:trPr>
          <w:trHeight w:val="536" w:hRule="atLeast"/>
        </w:trPr>
        <w:tc>
          <w:tcPr>
            <w:tcW w:w="7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7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6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8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86"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一、一般公共预算财政拨款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2301.26</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一、一般公共服务支出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22.73</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22.73</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二、政府性基金预算财政拨款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3.04</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二、外交支出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三、国有资本经营预算财政拨款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三、国防支出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四、公共安全支出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五、教育支出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1772.62</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1772.62</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六、科学技术支出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七、文化旅游体育与传媒支出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八、社会保障和就业支出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172.97</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172.97</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九、卫生健康支出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十、节能环保支出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十一、城乡社区支出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十二、农林水支出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十三、交通运输支出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十四、资源勘探工业信息等支出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十五、商业服务业等支出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十六、金融支出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十七、援助其他地区支出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十八、自然资源海洋气象等支出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十九、住房保障支出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133.77</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133.77</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二十、粮油物资储备支出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二十一、国有资本经营预算支出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二十二、灾害防治及应急管理支出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二十三、其他支出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202.2</w:t>
            </w:r>
            <w:r>
              <w:rPr>
                <w:rFonts w:hint="eastAsia" w:ascii="宋体" w:hAnsi="宋体" w:eastAsia="宋体" w:cs="宋体"/>
                <w:color w:val="000000"/>
                <w:kern w:val="0"/>
                <w:sz w:val="22"/>
                <w:szCs w:val="22"/>
                <w:highlight w:val="none"/>
                <w:lang w:val="en-US" w:eastAsia="zh-CN" w:bidi="ar"/>
              </w:rPr>
              <w:t>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199.16</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3.04</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二十四、债务还本支出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二十五、债务付息支出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二十六、抗疫特别国债安排的支出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本年收入合计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2304.3</w:t>
            </w:r>
            <w:r>
              <w:rPr>
                <w:rFonts w:hint="eastAsia" w:ascii="宋体" w:hAnsi="宋体" w:eastAsia="宋体" w:cs="宋体"/>
                <w:color w:val="000000"/>
                <w:kern w:val="0"/>
                <w:sz w:val="22"/>
                <w:szCs w:val="22"/>
                <w:highlight w:val="none"/>
                <w:lang w:val="en-US" w:eastAsia="zh-CN" w:bidi="ar"/>
              </w:rPr>
              <w:t>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本年支出合计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2304.3</w:t>
            </w:r>
            <w:r>
              <w:rPr>
                <w:rFonts w:hint="eastAsia" w:ascii="宋体" w:hAnsi="宋体" w:eastAsia="宋体" w:cs="宋体"/>
                <w:color w:val="000000"/>
                <w:kern w:val="0"/>
                <w:sz w:val="22"/>
                <w:szCs w:val="22"/>
                <w:highlight w:val="none"/>
                <w:lang w:val="en-US" w:eastAsia="zh-CN" w:bidi="ar"/>
              </w:rPr>
              <w:t>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2301.26</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3.04</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年初财政拨款结转和结余</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年末财政拨款结转和结余</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一般公共预算财政拨款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政府性基金预算财政拨款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国有资本经营预算财政拨款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总计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2304.3</w:t>
            </w:r>
            <w:r>
              <w:rPr>
                <w:rFonts w:hint="eastAsia" w:ascii="宋体" w:hAnsi="宋体" w:eastAsia="宋体" w:cs="宋体"/>
                <w:color w:val="000000"/>
                <w:kern w:val="0"/>
                <w:sz w:val="22"/>
                <w:szCs w:val="22"/>
                <w:highlight w:val="none"/>
                <w:lang w:val="en-US" w:eastAsia="zh-CN" w:bidi="ar"/>
              </w:rPr>
              <w:t>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总计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2304.3</w:t>
            </w:r>
            <w:r>
              <w:rPr>
                <w:rFonts w:hint="eastAsia" w:ascii="宋体" w:hAnsi="宋体" w:eastAsia="宋体" w:cs="宋体"/>
                <w:color w:val="000000"/>
                <w:kern w:val="0"/>
                <w:sz w:val="22"/>
                <w:szCs w:val="22"/>
                <w:highlight w:val="none"/>
                <w:lang w:val="en-US" w:eastAsia="zh-CN" w:bidi="ar"/>
              </w:rPr>
              <w:t>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2301.26</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3.04</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4327" w:type="pct"/>
            <w:gridSpan w:val="8"/>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注：本表反映部门本年度一般公共预算财政拨款、政府性基金预算财政拨款和国有资本经营预算财政拨款的总收支和年末结转结余情况。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tc>
        <w:tc>
          <w:tcPr>
            <w:tcW w:w="672" w:type="pct"/>
            <w:tcBorders>
              <w:top w:val="single" w:color="auto" w:sz="4" w:space="0"/>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0"/>
                <w:szCs w:val="20"/>
                <w:highlight w:val="none"/>
              </w:rPr>
            </w:pPr>
          </w:p>
        </w:tc>
      </w:tr>
    </w:tbl>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表五：一般公共预算财政拨款支出决算表</w:t>
      </w:r>
    </w:p>
    <w:p>
      <w:pPr>
        <w:jc w:val="left"/>
        <w:rPr>
          <w:rFonts w:hint="eastAsia" w:ascii="仿宋" w:hAnsi="仿宋" w:eastAsia="仿宋" w:cs="仿宋"/>
          <w:sz w:val="24"/>
          <w:highlight w:val="none"/>
        </w:rPr>
      </w:pPr>
    </w:p>
    <w:tbl>
      <w:tblPr>
        <w:tblStyle w:val="6"/>
        <w:tblW w:w="13980" w:type="dxa"/>
        <w:tblInd w:w="96" w:type="dxa"/>
        <w:tblLayout w:type="fixed"/>
        <w:tblCellMar>
          <w:top w:w="0" w:type="dxa"/>
          <w:left w:w="108" w:type="dxa"/>
          <w:bottom w:w="0" w:type="dxa"/>
          <w:right w:w="108" w:type="dxa"/>
        </w:tblCellMar>
      </w:tblPr>
      <w:tblGrid>
        <w:gridCol w:w="2011"/>
        <w:gridCol w:w="272"/>
        <w:gridCol w:w="238"/>
        <w:gridCol w:w="238"/>
        <w:gridCol w:w="2052"/>
        <w:gridCol w:w="3173"/>
        <w:gridCol w:w="3107"/>
        <w:gridCol w:w="2889"/>
      </w:tblGrid>
      <w:tr>
        <w:tblPrEx>
          <w:tblCellMar>
            <w:top w:w="0" w:type="dxa"/>
            <w:left w:w="108" w:type="dxa"/>
            <w:bottom w:w="0" w:type="dxa"/>
            <w:right w:w="108" w:type="dxa"/>
          </w:tblCellMar>
        </w:tblPrEx>
        <w:trPr>
          <w:trHeight w:val="693" w:hRule="atLeast"/>
        </w:trPr>
        <w:tc>
          <w:tcPr>
            <w:tcW w:w="1398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一般公共预算财政拨款支出决算表</w:t>
            </w:r>
          </w:p>
        </w:tc>
      </w:tr>
      <w:tr>
        <w:tblPrEx>
          <w:tblCellMar>
            <w:top w:w="0" w:type="dxa"/>
            <w:left w:w="108" w:type="dxa"/>
            <w:bottom w:w="0" w:type="dxa"/>
            <w:right w:w="108" w:type="dxa"/>
          </w:tblCellMar>
        </w:tblPrEx>
        <w:trPr>
          <w:trHeight w:val="346" w:hRule="atLeast"/>
        </w:trPr>
        <w:tc>
          <w:tcPr>
            <w:tcW w:w="2283"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05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0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公开05表</w:t>
            </w:r>
          </w:p>
        </w:tc>
      </w:tr>
      <w:tr>
        <w:tblPrEx>
          <w:tblCellMar>
            <w:top w:w="0" w:type="dxa"/>
            <w:left w:w="108" w:type="dxa"/>
            <w:bottom w:w="0" w:type="dxa"/>
            <w:right w:w="108" w:type="dxa"/>
          </w:tblCellMar>
        </w:tblPrEx>
        <w:trPr>
          <w:trHeight w:val="346" w:hRule="atLeast"/>
        </w:trPr>
        <w:tc>
          <w:tcPr>
            <w:tcW w:w="7984" w:type="dxa"/>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eastAsia="zh-CN"/>
              </w:rPr>
              <w:t>环江毛南族自治县东兴镇中心小学</w:t>
            </w:r>
          </w:p>
        </w:tc>
        <w:tc>
          <w:tcPr>
            <w:tcW w:w="3107"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6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tblPrEx>
          <w:tblCellMar>
            <w:top w:w="0" w:type="dxa"/>
            <w:left w:w="108" w:type="dxa"/>
            <w:bottom w:w="0" w:type="dxa"/>
            <w:right w:w="108" w:type="dxa"/>
          </w:tblCellMar>
        </w:tblPrEx>
        <w:trPr>
          <w:trHeight w:val="353" w:hRule="atLeast"/>
        </w:trPr>
        <w:tc>
          <w:tcPr>
            <w:tcW w:w="20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800"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3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31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28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tblPrEx>
          <w:tblCellMar>
            <w:top w:w="0" w:type="dxa"/>
            <w:left w:w="108" w:type="dxa"/>
            <w:bottom w:w="0" w:type="dxa"/>
            <w:right w:w="108" w:type="dxa"/>
          </w:tblCellMar>
        </w:tblPrEx>
        <w:trPr>
          <w:trHeight w:val="319" w:hRule="atLeast"/>
        </w:trPr>
        <w:tc>
          <w:tcPr>
            <w:tcW w:w="20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0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3" w:hRule="atLeast"/>
        </w:trPr>
        <w:tc>
          <w:tcPr>
            <w:tcW w:w="20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0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default" w:ascii="宋体" w:hAnsi="宋体" w:eastAsia="宋体" w:cs="宋体"/>
                <w:b/>
                <w:bCs/>
                <w:color w:val="000000"/>
                <w:sz w:val="22"/>
                <w:szCs w:val="22"/>
                <w:highlight w:val="none"/>
              </w:rPr>
              <w:t>2301.26</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default" w:ascii="宋体" w:hAnsi="宋体" w:eastAsia="宋体" w:cs="宋体"/>
                <w:b/>
                <w:bCs/>
                <w:color w:val="000000"/>
                <w:sz w:val="22"/>
                <w:szCs w:val="22"/>
                <w:highlight w:val="none"/>
              </w:rPr>
              <w:t>1971.46</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329.79</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一般公共服务支出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22.73</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22.73</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20129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群众团体事务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22.73</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22.73</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2012999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其他群众团体事务支出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22.73</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22.73</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205</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教育支出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1772.62</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1442.83</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329.79</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20502</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普通教育</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1772.62</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1442.83</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329.79</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2050202</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小学教育</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szCs w:val="22"/>
                <w:highlight w:val="none"/>
                <w:lang w:val="en-US" w:eastAsia="zh-CN"/>
              </w:rPr>
            </w:pPr>
            <w:r>
              <w:rPr>
                <w:rFonts w:hint="default" w:ascii="宋体" w:hAnsi="宋体" w:eastAsia="宋体" w:cs="宋体"/>
                <w:color w:val="000000"/>
                <w:sz w:val="22"/>
                <w:szCs w:val="22"/>
                <w:highlight w:val="none"/>
              </w:rPr>
              <w:t>1754.6</w:t>
            </w:r>
            <w:r>
              <w:rPr>
                <w:rFonts w:hint="eastAsia" w:ascii="宋体" w:hAnsi="宋体" w:eastAsia="宋体" w:cs="宋体"/>
                <w:color w:val="000000"/>
                <w:sz w:val="22"/>
                <w:szCs w:val="22"/>
                <w:highlight w:val="none"/>
                <w:lang w:val="en-US" w:eastAsia="zh-CN"/>
              </w:rPr>
              <w:t>0</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szCs w:val="22"/>
                <w:highlight w:val="none"/>
                <w:lang w:val="en-US" w:eastAsia="zh-CN"/>
              </w:rPr>
            </w:pPr>
            <w:r>
              <w:rPr>
                <w:rFonts w:hint="default" w:ascii="宋体" w:hAnsi="宋体" w:eastAsia="宋体" w:cs="宋体"/>
                <w:color w:val="000000"/>
                <w:sz w:val="22"/>
                <w:szCs w:val="22"/>
                <w:highlight w:val="none"/>
              </w:rPr>
              <w:t>1442.4</w:t>
            </w:r>
            <w:r>
              <w:rPr>
                <w:rFonts w:hint="eastAsia" w:ascii="宋体" w:hAnsi="宋体" w:eastAsia="宋体" w:cs="宋体"/>
                <w:color w:val="000000"/>
                <w:sz w:val="22"/>
                <w:szCs w:val="22"/>
                <w:highlight w:val="none"/>
                <w:lang w:val="en-US" w:eastAsia="zh-CN"/>
              </w:rPr>
              <w:t>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312.21</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2050299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其他普通教育支出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15.52</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0.43</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15.08</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2050701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firstLine="220" w:firstLineChars="10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特殊学校教育</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1.43</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1.43</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2050999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firstLine="220" w:firstLineChars="10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其他教育费附加安排的支出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1.08</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1.08</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208</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社会保障和就业支出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172.97</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172.97</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20805</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行政事业单位养老支出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172.97</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172.97</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2080505</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机关事业单位基本养老保险缴费支出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172.97</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172.97</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住房保障支出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133.77</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133.77</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22102</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住房改革支出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133.77</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133.77</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2210201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住房公积金</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133.77</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133.77</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其他支出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199.16</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199.16</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其他支出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199.16</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199.16</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2299999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其他支出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199.16</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199.16</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13980" w:type="dxa"/>
            <w:gridSpan w:val="8"/>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表六：一般公共预算财政拨款基本支出决算表</w:t>
      </w:r>
    </w:p>
    <w:p>
      <w:pPr>
        <w:jc w:val="left"/>
        <w:rPr>
          <w:rFonts w:hint="eastAsia" w:ascii="仿宋" w:hAnsi="仿宋" w:eastAsia="仿宋" w:cs="仿宋"/>
          <w:sz w:val="24"/>
          <w:highlight w:val="none"/>
        </w:rPr>
      </w:pPr>
    </w:p>
    <w:tbl>
      <w:tblPr>
        <w:tblStyle w:val="6"/>
        <w:tblW w:w="14000" w:type="dxa"/>
        <w:tblInd w:w="96" w:type="dxa"/>
        <w:tblLayout w:type="fixed"/>
        <w:tblCellMar>
          <w:top w:w="0" w:type="dxa"/>
          <w:left w:w="108" w:type="dxa"/>
          <w:bottom w:w="0" w:type="dxa"/>
          <w:right w:w="108" w:type="dxa"/>
        </w:tblCellMar>
      </w:tblPr>
      <w:tblGrid>
        <w:gridCol w:w="1107"/>
        <w:gridCol w:w="2371"/>
        <w:gridCol w:w="1106"/>
        <w:gridCol w:w="1280"/>
        <w:gridCol w:w="2347"/>
        <w:gridCol w:w="1160"/>
        <w:gridCol w:w="1173"/>
        <w:gridCol w:w="2147"/>
        <w:gridCol w:w="1309"/>
      </w:tblGrid>
      <w:tr>
        <w:tblPrEx>
          <w:tblCellMar>
            <w:top w:w="0" w:type="dxa"/>
            <w:left w:w="108" w:type="dxa"/>
            <w:bottom w:w="0" w:type="dxa"/>
            <w:right w:w="108" w:type="dxa"/>
          </w:tblCellMar>
        </w:tblPrEx>
        <w:trPr>
          <w:trHeight w:val="614" w:hRule="atLeast"/>
        </w:trPr>
        <w:tc>
          <w:tcPr>
            <w:tcW w:w="14000" w:type="dxa"/>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一般公共预算财政拨款基本支出决算明细表</w:t>
            </w:r>
          </w:p>
        </w:tc>
      </w:tr>
      <w:tr>
        <w:tblPrEx>
          <w:tblCellMar>
            <w:top w:w="0" w:type="dxa"/>
            <w:left w:w="108" w:type="dxa"/>
            <w:bottom w:w="0" w:type="dxa"/>
            <w:right w:w="108" w:type="dxa"/>
          </w:tblCellMar>
        </w:tblPrEx>
        <w:trPr>
          <w:trHeight w:val="307" w:hRule="atLeast"/>
        </w:trPr>
        <w:tc>
          <w:tcPr>
            <w:tcW w:w="110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0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2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1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0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公开06表</w:t>
            </w:r>
          </w:p>
        </w:tc>
      </w:tr>
      <w:tr>
        <w:tblPrEx>
          <w:tblCellMar>
            <w:top w:w="0" w:type="dxa"/>
            <w:left w:w="108" w:type="dxa"/>
            <w:bottom w:w="0" w:type="dxa"/>
            <w:right w:w="108" w:type="dxa"/>
          </w:tblCellMar>
        </w:tblPrEx>
        <w:trPr>
          <w:trHeight w:val="569" w:hRule="atLeast"/>
        </w:trPr>
        <w:tc>
          <w:tcPr>
            <w:tcW w:w="8211" w:type="dxa"/>
            <w:gridSpan w:val="5"/>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eastAsia="zh-CN"/>
              </w:rPr>
              <w:t>环江毛南族自治县东兴镇中心小学</w:t>
            </w:r>
          </w:p>
        </w:tc>
        <w:tc>
          <w:tcPr>
            <w:tcW w:w="116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456" w:type="dxa"/>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19" w:hRule="atLeast"/>
        </w:trPr>
        <w:tc>
          <w:tcPr>
            <w:tcW w:w="458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人员经费</w:t>
            </w:r>
          </w:p>
        </w:tc>
        <w:tc>
          <w:tcPr>
            <w:tcW w:w="941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公用经费</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科目编码</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23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2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3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1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3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tblPrEx>
          <w:tblCellMar>
            <w:top w:w="0" w:type="dxa"/>
            <w:left w:w="108" w:type="dxa"/>
            <w:bottom w:w="0" w:type="dxa"/>
            <w:right w:w="108" w:type="dxa"/>
          </w:tblCellMar>
        </w:tblPrEx>
        <w:trPr>
          <w:trHeight w:val="1237"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1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工资福利支出</w:t>
            </w:r>
            <w:bookmarkStart w:id="0" w:name="OLE_LINK4"/>
            <w:bookmarkStart w:id="1" w:name="OLE_LINK3"/>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1830.92</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22.73</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债务利息及费用支出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基本工资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515.96</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办公费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国内债务付息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津贴补贴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173.45</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印刷费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国外债务付息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奖金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509.78</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咨询费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伙食补助费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手续费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房屋建筑物购建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绩效工资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246.24</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水费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办公设备购置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机关事业单位基本养老保险缴费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172.97</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职业年金缴费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邮电费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31005</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基础设施建设</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职工基本医疗保险缴费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70.07</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取暖费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31006</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大型修缮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公务员医疗补助缴费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物业管理费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信息网络及软件购置更新</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其他社会保障缴费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8.69</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差旅费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物资储备</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住房公积金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133.77</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因公出国（境）费用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土地补偿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医疗费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维修（护）费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安置补助</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其他工资福利支出</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租赁费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地上附着物和青苗补偿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117.81</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会议费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拆迁补偿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离休费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培训费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公务用车购置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退休费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公务接待费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其他交通工具购置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退职（役）费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专用材料费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31021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文物和陈列品购置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抚恤金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被装购置费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31022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无形资产购置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30305</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生活补助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szCs w:val="22"/>
                <w:highlight w:val="none"/>
                <w:lang w:val="en-US" w:eastAsia="zh-CN"/>
              </w:rPr>
            </w:pPr>
            <w:r>
              <w:rPr>
                <w:rFonts w:hint="default" w:ascii="宋体" w:hAnsi="宋体" w:eastAsia="宋体" w:cs="宋体"/>
                <w:color w:val="000000"/>
                <w:sz w:val="22"/>
                <w:szCs w:val="22"/>
                <w:highlight w:val="none"/>
              </w:rPr>
              <w:t>117.8</w:t>
            </w:r>
            <w:r>
              <w:rPr>
                <w:rFonts w:hint="eastAsia" w:ascii="宋体" w:hAnsi="宋体" w:eastAsia="宋体" w:cs="宋体"/>
                <w:color w:val="000000"/>
                <w:sz w:val="22"/>
                <w:szCs w:val="22"/>
                <w:highlight w:val="none"/>
                <w:lang w:val="en-US" w:eastAsia="zh-CN"/>
              </w:rPr>
              <w:t>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专用燃料费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救济费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劳务费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医疗费补助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委托业务费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国家赔偿费用支出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助学金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工会经费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22.73</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对民间非营利组织和群众性自治组织补贴</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奖励金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0.01</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福利费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经常性赠与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个人农业生产补贴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30231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公务用车运行维护费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资本性赠与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代缴社会保险费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30239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其他交通费用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30240</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税金及附加费用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30299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人员经费合计</w:t>
            </w:r>
          </w:p>
          <w:bookmarkEnd w:id="0"/>
          <w:bookmarkEnd w:id="1"/>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1948.73</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公用经费合计</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22.73</w:t>
            </w:r>
          </w:p>
        </w:tc>
      </w:tr>
      <w:tr>
        <w:tblPrEx>
          <w:tblCellMar>
            <w:top w:w="0" w:type="dxa"/>
            <w:left w:w="108" w:type="dxa"/>
            <w:bottom w:w="0" w:type="dxa"/>
            <w:right w:w="108" w:type="dxa"/>
          </w:tblCellMar>
        </w:tblPrEx>
        <w:trPr>
          <w:trHeight w:val="319" w:hRule="atLeast"/>
        </w:trPr>
        <w:tc>
          <w:tcPr>
            <w:tcW w:w="14000" w:type="dxa"/>
            <w:gridSpan w:val="9"/>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注：本表反映部门本年度一般公共预算财政拨款基本支出明细情况。</w:t>
            </w:r>
          </w:p>
        </w:tc>
      </w:tr>
    </w:tbl>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七</w:t>
      </w:r>
      <w:r>
        <w:rPr>
          <w:rFonts w:hint="eastAsia" w:ascii="仿宋" w:hAnsi="仿宋" w:eastAsia="仿宋" w:cs="仿宋"/>
          <w:sz w:val="24"/>
          <w:highlight w:val="none"/>
        </w:rPr>
        <w:t>：政府性基金预算财政拨款收入支出决算表</w:t>
      </w:r>
    </w:p>
    <w:p>
      <w:pPr>
        <w:jc w:val="left"/>
        <w:rPr>
          <w:rFonts w:hint="eastAsia" w:ascii="仿宋" w:hAnsi="仿宋" w:eastAsia="仿宋" w:cs="仿宋"/>
          <w:sz w:val="24"/>
          <w:highlight w:val="none"/>
        </w:rPr>
      </w:pPr>
    </w:p>
    <w:tbl>
      <w:tblPr>
        <w:tblStyle w:val="6"/>
        <w:tblW w:w="13982" w:type="dxa"/>
        <w:tblInd w:w="96" w:type="dxa"/>
        <w:tblLayout w:type="fixed"/>
        <w:tblCellMar>
          <w:top w:w="0" w:type="dxa"/>
          <w:left w:w="108" w:type="dxa"/>
          <w:bottom w:w="0" w:type="dxa"/>
          <w:right w:w="108" w:type="dxa"/>
        </w:tblCellMar>
      </w:tblPr>
      <w:tblGrid>
        <w:gridCol w:w="1297"/>
        <w:gridCol w:w="240"/>
        <w:gridCol w:w="236"/>
        <w:gridCol w:w="1625"/>
        <w:gridCol w:w="1973"/>
        <w:gridCol w:w="1653"/>
        <w:gridCol w:w="1600"/>
        <w:gridCol w:w="1680"/>
        <w:gridCol w:w="1728"/>
        <w:gridCol w:w="2"/>
        <w:gridCol w:w="1946"/>
        <w:gridCol w:w="2"/>
      </w:tblGrid>
      <w:tr>
        <w:tblPrEx>
          <w:tblCellMar>
            <w:top w:w="0" w:type="dxa"/>
            <w:left w:w="108" w:type="dxa"/>
            <w:bottom w:w="0" w:type="dxa"/>
            <w:right w:w="108" w:type="dxa"/>
          </w:tblCellMar>
        </w:tblPrEx>
        <w:trPr>
          <w:gridAfter w:val="1"/>
          <w:wAfter w:w="2" w:type="dxa"/>
          <w:trHeight w:val="536" w:hRule="atLeast"/>
        </w:trPr>
        <w:tc>
          <w:tcPr>
            <w:tcW w:w="13980" w:type="dxa"/>
            <w:gridSpan w:val="11"/>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政府性基金预算财政拨款收入支出决算表</w:t>
            </w:r>
          </w:p>
        </w:tc>
      </w:tr>
      <w:tr>
        <w:tblPrEx>
          <w:tblCellMar>
            <w:top w:w="0" w:type="dxa"/>
            <w:left w:w="108" w:type="dxa"/>
            <w:bottom w:w="0" w:type="dxa"/>
            <w:right w:w="108" w:type="dxa"/>
          </w:tblCellMar>
        </w:tblPrEx>
        <w:trPr>
          <w:trHeight w:val="268" w:hRule="atLeast"/>
        </w:trPr>
        <w:tc>
          <w:tcPr>
            <w:tcW w:w="129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0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30"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7</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gridAfter w:val="1"/>
          <w:wAfter w:w="2" w:type="dxa"/>
          <w:trHeight w:val="268" w:hRule="atLeast"/>
        </w:trPr>
        <w:tc>
          <w:tcPr>
            <w:tcW w:w="8624"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eastAsia="zh-CN"/>
              </w:rPr>
              <w:t>环江毛南族自治县东兴镇中心小学</w:t>
            </w:r>
          </w:p>
        </w:tc>
        <w:tc>
          <w:tcPr>
            <w:tcW w:w="16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28"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9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年初结转和结余</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本年收入</w:t>
            </w:r>
          </w:p>
        </w:tc>
        <w:tc>
          <w:tcPr>
            <w:tcW w:w="50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c>
          <w:tcPr>
            <w:tcW w:w="19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年末结转和结余</w:t>
            </w: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1861"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color w:val="000000"/>
                <w:sz w:val="22"/>
                <w:szCs w:val="22"/>
                <w:highlight w:val="none"/>
                <w:lang w:val="en-US" w:eastAsia="zh-CN"/>
              </w:rPr>
              <w:t>3.04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color w:val="000000"/>
                <w:sz w:val="22"/>
                <w:szCs w:val="22"/>
                <w:highlight w:val="none"/>
                <w:lang w:val="en-US" w:eastAsia="zh-CN"/>
              </w:rPr>
              <w:t>3.04</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color w:val="000000"/>
                <w:sz w:val="22"/>
                <w:szCs w:val="22"/>
                <w:highlight w:val="none"/>
                <w:lang w:val="en-US" w:eastAsia="zh-CN"/>
              </w:rPr>
              <w:t>3.04</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229</w:t>
            </w: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其他支出</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3.04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3.04</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3.04</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22960</w:t>
            </w: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彩票公益金安排的支出</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3.04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3.04</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3.04</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2296004</w:t>
            </w: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  用于教育事业的彩票公益金支出</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3.04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3.04</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3.04</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注：本表反映部门本年度政府性基金预算财政拨款收入、支出及结转和结余情况。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：国有资本经营预算财政拨款支出决算表</w:t>
      </w:r>
    </w:p>
    <w:p>
      <w:pPr>
        <w:jc w:val="left"/>
        <w:rPr>
          <w:rFonts w:hint="eastAsia" w:ascii="仿宋" w:hAnsi="仿宋" w:eastAsia="仿宋" w:cs="仿宋"/>
          <w:sz w:val="24"/>
          <w:highlight w:val="none"/>
        </w:rPr>
      </w:pPr>
    </w:p>
    <w:tbl>
      <w:tblPr>
        <w:tblStyle w:val="6"/>
        <w:tblW w:w="13940" w:type="dxa"/>
        <w:tblInd w:w="96" w:type="dxa"/>
        <w:tblLayout w:type="fixed"/>
        <w:tblCellMar>
          <w:top w:w="0" w:type="dxa"/>
          <w:left w:w="108" w:type="dxa"/>
          <w:bottom w:w="0" w:type="dxa"/>
          <w:right w:w="108" w:type="dxa"/>
        </w:tblCellMar>
      </w:tblPr>
      <w:tblGrid>
        <w:gridCol w:w="1638"/>
        <w:gridCol w:w="501"/>
        <w:gridCol w:w="285"/>
        <w:gridCol w:w="363"/>
        <w:gridCol w:w="1960"/>
        <w:gridCol w:w="2993"/>
        <w:gridCol w:w="3135"/>
        <w:gridCol w:w="3065"/>
      </w:tblGrid>
      <w:tr>
        <w:trPr>
          <w:trHeight w:val="384" w:hRule="atLeast"/>
        </w:trPr>
        <w:tc>
          <w:tcPr>
            <w:tcW w:w="1394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国有资本经营预算财政拨款支出决算表</w:t>
            </w:r>
          </w:p>
        </w:tc>
      </w:tr>
      <w:tr>
        <w:tblPrEx>
          <w:tblCellMar>
            <w:top w:w="0" w:type="dxa"/>
            <w:left w:w="108" w:type="dxa"/>
            <w:bottom w:w="0" w:type="dxa"/>
            <w:right w:w="108" w:type="dxa"/>
          </w:tblCellMar>
        </w:tblPrEx>
        <w:trPr>
          <w:trHeight w:val="264" w:hRule="atLeast"/>
        </w:trPr>
        <w:tc>
          <w:tcPr>
            <w:tcW w:w="2139"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6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9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8</w:t>
            </w:r>
            <w:r>
              <w:rPr>
                <w:rFonts w:hint="eastAsia" w:ascii="宋体" w:hAnsi="宋体" w:eastAsia="宋体" w:cs="宋体"/>
                <w:color w:val="000000"/>
                <w:kern w:val="0"/>
                <w:sz w:val="20"/>
                <w:szCs w:val="20"/>
                <w:highlight w:val="none"/>
                <w:lang w:bidi="ar"/>
              </w:rPr>
              <w:t>表</w:t>
            </w:r>
          </w:p>
        </w:tc>
      </w:tr>
      <w:tr>
        <w:trPr>
          <w:trHeight w:val="264" w:hRule="atLeast"/>
        </w:trPr>
        <w:tc>
          <w:tcPr>
            <w:tcW w:w="77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eastAsia="zh-CN"/>
              </w:rPr>
              <w:t>环江毛南族自治县东兴镇中心小学</w:t>
            </w: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08" w:hRule="atLeast"/>
        </w:trPr>
        <w:tc>
          <w:tcPr>
            <w:tcW w:w="47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9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tblPrEx>
          <w:tblCellMar>
            <w:top w:w="0" w:type="dxa"/>
            <w:left w:w="108" w:type="dxa"/>
            <w:bottom w:w="0" w:type="dxa"/>
            <w:right w:w="108" w:type="dxa"/>
          </w:tblCellMar>
        </w:tblPrEx>
        <w:trPr>
          <w:trHeight w:val="312" w:hRule="atLeast"/>
        </w:trPr>
        <w:tc>
          <w:tcPr>
            <w:tcW w:w="163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3109" w:type="dxa"/>
            <w:gridSpan w:val="4"/>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299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3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306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bl>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注：本表反映部门本年度国有资本经营预算财政拨款支出情况。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说明：本部门</w:t>
      </w:r>
      <w:r>
        <w:rPr>
          <w:rFonts w:hint="default" w:ascii="宋体" w:hAnsi="宋体" w:eastAsia="宋体" w:cs="宋体"/>
          <w:color w:val="000000"/>
          <w:kern w:val="0"/>
          <w:sz w:val="22"/>
          <w:szCs w:val="22"/>
          <w:highlight w:val="none"/>
          <w:lang w:val="en-US" w:eastAsia="zh-CN" w:bidi="ar"/>
        </w:rPr>
        <w:t>202</w:t>
      </w:r>
      <w:r>
        <w:rPr>
          <w:rFonts w:hint="eastAsia" w:ascii="宋体" w:hAnsi="宋体" w:eastAsia="宋体" w:cs="宋体"/>
          <w:color w:val="000000"/>
          <w:kern w:val="0"/>
          <w:sz w:val="22"/>
          <w:szCs w:val="22"/>
          <w:highlight w:val="none"/>
          <w:lang w:val="en-US" w:eastAsia="zh-CN" w:bidi="ar"/>
        </w:rPr>
        <w:t>3年度没有国有资本经营预算财政拨款收入，也没有国有资本经营预算财政拨款安排的支出，故本表无数据。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br w:type="page"/>
      </w:r>
    </w:p>
    <w:tbl>
      <w:tblPr>
        <w:tblStyle w:val="6"/>
        <w:tblW w:w="14036" w:type="dxa"/>
        <w:tblInd w:w="0" w:type="dxa"/>
        <w:tblLayout w:type="fixed"/>
        <w:tblCellMar>
          <w:top w:w="0" w:type="dxa"/>
          <w:left w:w="108" w:type="dxa"/>
          <w:bottom w:w="0" w:type="dxa"/>
          <w:right w:w="108" w:type="dxa"/>
        </w:tblCellMar>
      </w:tblPr>
      <w:tblGrid>
        <w:gridCol w:w="96"/>
        <w:gridCol w:w="1438"/>
        <w:gridCol w:w="1425"/>
        <w:gridCol w:w="1094"/>
        <w:gridCol w:w="1159"/>
        <w:gridCol w:w="1133"/>
        <w:gridCol w:w="1040"/>
        <w:gridCol w:w="1066"/>
        <w:gridCol w:w="1161"/>
        <w:gridCol w:w="1053"/>
        <w:gridCol w:w="1148"/>
        <w:gridCol w:w="1133"/>
        <w:gridCol w:w="1073"/>
        <w:gridCol w:w="17"/>
      </w:tblGrid>
      <w:tr>
        <w:tblPrEx>
          <w:tblCellMar>
            <w:top w:w="0" w:type="dxa"/>
            <w:left w:w="108" w:type="dxa"/>
            <w:bottom w:w="0" w:type="dxa"/>
            <w:right w:w="108" w:type="dxa"/>
          </w:tblCellMar>
        </w:tblPrEx>
        <w:trPr>
          <w:gridBefore w:val="1"/>
          <w:wBefore w:w="96" w:type="dxa"/>
          <w:trHeight w:val="308" w:hRule="atLeast"/>
        </w:trPr>
        <w:tc>
          <w:tcPr>
            <w:tcW w:w="13940" w:type="dxa"/>
            <w:gridSpan w:val="1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After w:val="1"/>
          <w:wAfter w:w="17" w:type="dxa"/>
          <w:trHeight w:val="632" w:hRule="atLeast"/>
        </w:trPr>
        <w:tc>
          <w:tcPr>
            <w:tcW w:w="14019" w:type="dxa"/>
            <w:gridSpan w:val="1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r>
              <w:rPr>
                <w:rFonts w:hint="eastAsia" w:ascii="仿宋" w:hAnsi="仿宋" w:eastAsia="仿宋" w:cs="仿宋"/>
                <w:sz w:val="24"/>
                <w:highlight w:val="none"/>
                <w:lang w:val="en-US" w:eastAsia="zh-CN"/>
              </w:rPr>
              <w:t>表九：</w:t>
            </w:r>
            <w:r>
              <w:rPr>
                <w:rFonts w:hint="eastAsia" w:ascii="仿宋" w:hAnsi="仿宋" w:eastAsia="仿宋" w:cs="仿宋"/>
                <w:sz w:val="24"/>
                <w:highlight w:val="none"/>
              </w:rPr>
              <w:t>财政拨款“三公”经费支出决算表</w:t>
            </w:r>
          </w:p>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kern w:val="0"/>
                <w:sz w:val="30"/>
                <w:szCs w:val="30"/>
                <w:highlight w:val="none"/>
                <w:lang w:bidi="ar"/>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财政拨款“三公”经费支出决算表</w:t>
            </w:r>
          </w:p>
        </w:tc>
      </w:tr>
      <w:tr>
        <w:tblPrEx>
          <w:tblCellMar>
            <w:top w:w="0" w:type="dxa"/>
            <w:left w:w="108" w:type="dxa"/>
            <w:bottom w:w="0" w:type="dxa"/>
            <w:right w:w="108" w:type="dxa"/>
          </w:tblCellMar>
        </w:tblPrEx>
        <w:trPr>
          <w:gridAfter w:val="1"/>
          <w:wAfter w:w="17" w:type="dxa"/>
          <w:trHeight w:val="316" w:hRule="atLeast"/>
        </w:trPr>
        <w:tc>
          <w:tcPr>
            <w:tcW w:w="1534"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9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5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73"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9</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gridAfter w:val="1"/>
          <w:wAfter w:w="17" w:type="dxa"/>
          <w:trHeight w:val="316" w:hRule="atLeast"/>
        </w:trPr>
        <w:tc>
          <w:tcPr>
            <w:tcW w:w="7385" w:type="dxa"/>
            <w:gridSpan w:val="7"/>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eastAsia="zh-CN"/>
              </w:rPr>
              <w:t>环江毛南族自治县东兴镇中心小学</w:t>
            </w: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6"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17" w:type="dxa"/>
          <w:trHeight w:val="326" w:hRule="atLeast"/>
        </w:trPr>
        <w:tc>
          <w:tcPr>
            <w:tcW w:w="73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预算数</w:t>
            </w:r>
          </w:p>
        </w:tc>
        <w:tc>
          <w:tcPr>
            <w:tcW w:w="6634"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tblPrEx>
          <w:tblCellMar>
            <w:top w:w="0" w:type="dxa"/>
            <w:left w:w="108" w:type="dxa"/>
            <w:bottom w:w="0" w:type="dxa"/>
            <w:right w:w="108" w:type="dxa"/>
          </w:tblCellMar>
        </w:tblPrEx>
        <w:trPr>
          <w:gridAfter w:val="1"/>
          <w:wAfter w:w="17" w:type="dxa"/>
          <w:trHeight w:val="326" w:hRule="atLeast"/>
        </w:trPr>
        <w:tc>
          <w:tcPr>
            <w:tcW w:w="1534"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42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8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4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c>
          <w:tcPr>
            <w:tcW w:w="10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16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34"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7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r>
      <w:tr>
        <w:tblPrEx>
          <w:tblCellMar>
            <w:top w:w="0" w:type="dxa"/>
            <w:left w:w="108" w:type="dxa"/>
            <w:bottom w:w="0" w:type="dxa"/>
            <w:right w:w="108" w:type="dxa"/>
          </w:tblCellMar>
        </w:tblPrEx>
        <w:trPr>
          <w:gridAfter w:val="1"/>
          <w:wAfter w:w="17" w:type="dxa"/>
          <w:trHeight w:val="642" w:hRule="atLeast"/>
        </w:trPr>
        <w:tc>
          <w:tcPr>
            <w:tcW w:w="153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2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4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6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1"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7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17" w:type="dxa"/>
          <w:trHeight w:val="959" w:hRule="atLeast"/>
        </w:trPr>
        <w:tc>
          <w:tcPr>
            <w:tcW w:w="1534"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14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0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10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c>
          <w:tcPr>
            <w:tcW w:w="11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8</w:t>
            </w: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9</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10</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11</w:t>
            </w:r>
          </w:p>
        </w:tc>
        <w:tc>
          <w:tcPr>
            <w:tcW w:w="10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12</w:t>
            </w:r>
          </w:p>
        </w:tc>
      </w:tr>
      <w:tr>
        <w:tblPrEx>
          <w:tblCellMar>
            <w:top w:w="0" w:type="dxa"/>
            <w:left w:w="108" w:type="dxa"/>
            <w:bottom w:w="0" w:type="dxa"/>
            <w:right w:w="108" w:type="dxa"/>
          </w:tblCellMar>
        </w:tblPrEx>
        <w:trPr>
          <w:gridAfter w:val="1"/>
          <w:wAfter w:w="17" w:type="dxa"/>
          <w:trHeight w:val="642" w:hRule="atLeast"/>
        </w:trPr>
        <w:tc>
          <w:tcPr>
            <w:tcW w:w="1534"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9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3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0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0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16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5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4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33" w:type="dxa"/>
            <w:tcBorders>
              <w:top w:val="nil"/>
              <w:left w:val="nil"/>
              <w:bottom w:val="single" w:color="000000"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right"/>
              <w:rPr>
                <w:rFonts w:hint="default"/>
                <w:highlight w:val="none"/>
              </w:rPr>
            </w:pPr>
            <w:r>
              <w:rPr>
                <w:rFonts w:hint="default"/>
                <w:highlight w:val="none"/>
              </w:rPr>
              <w:t>0.00</w:t>
            </w:r>
          </w:p>
        </w:tc>
        <w:tc>
          <w:tcPr>
            <w:tcW w:w="1073" w:type="dxa"/>
            <w:tcBorders>
              <w:top w:val="nil"/>
              <w:left w:val="nil"/>
              <w:bottom w:val="single" w:color="000000"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right"/>
              <w:rPr>
                <w:rFonts w:hint="default"/>
                <w:highlight w:val="none"/>
              </w:rPr>
            </w:pPr>
            <w:r>
              <w:rPr>
                <w:rFonts w:hint="eastAsia"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gridAfter w:val="1"/>
          <w:wAfter w:w="17" w:type="dxa"/>
          <w:trHeight w:val="642" w:hRule="atLeast"/>
        </w:trPr>
        <w:tc>
          <w:tcPr>
            <w:tcW w:w="14019" w:type="dxa"/>
            <w:gridSpan w:val="13"/>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三公”经费支出预决算情况。其中，预算数为“三公”经费全年预算数，反映按规定程序调整后的预算数；决算数是包括当年一般公共预算财政拨款和以前年度结转资金安排的实际支出。</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说明：本部门</w:t>
            </w:r>
            <w:r>
              <w:rPr>
                <w:rFonts w:hint="default" w:ascii="宋体" w:hAnsi="宋体" w:eastAsia="宋体" w:cs="宋体"/>
                <w:color w:val="000000"/>
                <w:kern w:val="0"/>
                <w:sz w:val="22"/>
                <w:szCs w:val="22"/>
                <w:highlight w:val="none"/>
                <w:lang w:val="en-US" w:eastAsia="zh-CN" w:bidi="ar"/>
              </w:rPr>
              <w:t>202</w:t>
            </w:r>
            <w:r>
              <w:rPr>
                <w:rFonts w:hint="eastAsia" w:ascii="宋体" w:hAnsi="宋体" w:eastAsia="宋体" w:cs="宋体"/>
                <w:color w:val="000000"/>
                <w:kern w:val="0"/>
                <w:sz w:val="22"/>
                <w:szCs w:val="22"/>
                <w:highlight w:val="none"/>
                <w:lang w:val="en-US" w:eastAsia="zh-CN" w:bidi="ar"/>
              </w:rPr>
              <w:t>3年度财政拨款</w:t>
            </w:r>
            <w:r>
              <w:rPr>
                <w:rFonts w:hint="eastAsia" w:ascii="宋体" w:hAnsi="宋体" w:eastAsia="宋体" w:cs="宋体"/>
                <w:color w:val="000000"/>
                <w:kern w:val="0"/>
                <w:sz w:val="22"/>
                <w:szCs w:val="22"/>
                <w:highlight w:val="none"/>
                <w:lang w:bidi="ar"/>
              </w:rPr>
              <w:t>“三公”经费</w:t>
            </w:r>
            <w:r>
              <w:rPr>
                <w:rFonts w:hint="eastAsia" w:ascii="宋体" w:hAnsi="宋体" w:eastAsia="宋体" w:cs="宋体"/>
                <w:color w:val="000000"/>
                <w:kern w:val="0"/>
                <w:sz w:val="22"/>
                <w:szCs w:val="22"/>
                <w:highlight w:val="none"/>
                <w:lang w:val="en-US" w:eastAsia="zh-CN" w:bidi="ar"/>
              </w:rPr>
              <w:t>收入，也没有财政拨款</w:t>
            </w:r>
            <w:r>
              <w:rPr>
                <w:rFonts w:hint="eastAsia" w:ascii="宋体" w:hAnsi="宋体" w:eastAsia="宋体" w:cs="宋体"/>
                <w:color w:val="000000"/>
                <w:kern w:val="0"/>
                <w:sz w:val="22"/>
                <w:szCs w:val="22"/>
                <w:highlight w:val="none"/>
                <w:lang w:bidi="ar"/>
              </w:rPr>
              <w:t>“三公”经费</w:t>
            </w:r>
            <w:r>
              <w:rPr>
                <w:rFonts w:hint="eastAsia" w:ascii="宋体" w:hAnsi="宋体" w:eastAsia="宋体" w:cs="宋体"/>
                <w:color w:val="000000"/>
                <w:kern w:val="0"/>
                <w:sz w:val="22"/>
                <w:szCs w:val="22"/>
                <w:highlight w:val="none"/>
                <w:lang w:val="en-US" w:eastAsia="zh-CN" w:bidi="ar"/>
              </w:rPr>
              <w:t>安排的支出，故本表无数据。</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FF0000"/>
                <w:kern w:val="2"/>
                <w:sz w:val="21"/>
                <w:szCs w:val="21"/>
                <w:lang w:val="en-US" w:eastAsia="zh-CN" w:bidi="ar"/>
              </w:rPr>
              <w:t xml:space="preserve">  </w:t>
            </w:r>
          </w:p>
        </w:tc>
      </w:tr>
    </w:tbl>
    <w:p>
      <w:pPr>
        <w:ind w:firstLine="420" w:firstLineChars="0"/>
        <w:jc w:val="left"/>
        <w:rPr>
          <w:rFonts w:ascii="仿宋" w:hAnsi="仿宋" w:eastAsia="仿宋" w:cs="仿宋"/>
          <w:sz w:val="24"/>
          <w:highlight w:val="none"/>
        </w:rPr>
        <w:sectPr>
          <w:pgSz w:w="16838" w:h="11906" w:orient="landscape"/>
          <w:pgMar w:top="1800" w:right="1440" w:bottom="1800" w:left="1440" w:header="851" w:footer="992" w:gutter="0"/>
          <w:cols w:space="425" w:num="1"/>
          <w:docGrid w:type="lines" w:linePitch="312" w:charSpace="0"/>
        </w:sectPr>
      </w:pPr>
    </w:p>
    <w:p>
      <w:pPr>
        <w:jc w:val="left"/>
        <w:rPr>
          <w:rFonts w:ascii="仿宋" w:hAnsi="仿宋" w:eastAsia="仿宋" w:cs="仿宋"/>
          <w:sz w:val="24"/>
          <w:highlight w:val="none"/>
        </w:rPr>
      </w:pPr>
    </w:p>
    <w:p>
      <w:pPr>
        <w:jc w:val="center"/>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hint="eastAsia" w:ascii="黑体" w:hAnsi="黑体" w:eastAsia="黑体" w:cs="黑体"/>
          <w:sz w:val="32"/>
          <w:u w:color="auto"/>
          <w:lang w:eastAsia="zh-CN"/>
        </w:rPr>
        <w:t>环江毛南族自治县东兴镇中心小学</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年度部门决算情况说明</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一、202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年度收入支出决算总体情况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（一）本部门202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年度总收入2304.3万元，较202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val="en-US" w:eastAsia="zh-CN"/>
        </w:rPr>
        <w:t>增加268.99</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增长13.22</w:t>
      </w:r>
      <w:r>
        <w:rPr>
          <w:rFonts w:ascii="仿宋" w:hAnsi="仿宋" w:eastAsia="仿宋" w:cs="仿宋"/>
          <w:sz w:val="32"/>
          <w:u w:color="auto"/>
        </w:rPr>
        <w:t>%</w:t>
      </w:r>
      <w:r>
        <w:rPr>
          <w:rFonts w:hint="eastAsia" w:ascii="仿宋" w:hAnsi="仿宋" w:eastAsia="仿宋" w:cs="仿宋"/>
          <w:sz w:val="32"/>
          <w:szCs w:val="32"/>
          <w:highlight w:val="none"/>
        </w:rPr>
        <w:t>，其中本年收入2304.3万元。收入具体情况如下。</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1.一般公共预算财政拨款收入2301.26万元，为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本级财政当年拨付的资金。较2022年度决算数增加267.4万元，增长</w:t>
      </w:r>
      <w:r>
        <w:rPr>
          <w:rFonts w:hint="eastAsia" w:ascii="仿宋" w:hAnsi="仿宋" w:eastAsia="仿宋" w:cs="仿宋"/>
          <w:sz w:val="32"/>
          <w:u w:color="auto"/>
          <w:lang w:val="en-US" w:eastAsia="zh-CN"/>
        </w:rPr>
        <w:t>13.15</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r>
        <w:rPr>
          <w:rFonts w:hint="eastAsia" w:ascii="仿宋" w:hAnsi="仿宋" w:eastAsia="仿宋" w:cs="仿宋"/>
          <w:color w:val="auto"/>
          <w:kern w:val="2"/>
          <w:sz w:val="32"/>
          <w:szCs w:val="32"/>
          <w:highlight w:val="none"/>
          <w:lang w:val="en-US" w:eastAsia="zh-CN" w:bidi="ar"/>
        </w:rPr>
        <w:t>人员工资提高，社会保障和就业支出及住房公积金增长提高，财政拨款增加。</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Times New Roman"/>
          <w:sz w:val="32"/>
          <w:szCs w:val="32"/>
          <w:highlight w:val="none"/>
          <w:lang w:val="en-US"/>
        </w:rPr>
      </w:pPr>
      <w:r>
        <w:rPr>
          <w:rFonts w:hint="eastAsia" w:ascii="仿宋" w:hAnsi="仿宋" w:eastAsia="仿宋" w:cs="仿宋"/>
          <w:kern w:val="2"/>
          <w:sz w:val="32"/>
          <w:szCs w:val="32"/>
          <w:highlight w:val="none"/>
          <w:lang w:val="en-US" w:eastAsia="zh-CN" w:bidi="ar"/>
        </w:rPr>
        <w:t>2.政府性基金预算财政拨款收入3.04万元，为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本级财政当年拨付的资金。较2022年度决算数</w:t>
      </w:r>
      <w:r>
        <w:rPr>
          <w:rFonts w:ascii="仿宋" w:hAnsi="仿宋" w:eastAsia="仿宋" w:cs="仿宋"/>
          <w:sz w:val="32"/>
          <w:u w:color="auto"/>
        </w:rPr>
        <w:t>增加</w:t>
      </w:r>
      <w:r>
        <w:rPr>
          <w:rFonts w:hint="eastAsia" w:ascii="仿宋" w:hAnsi="仿宋" w:eastAsia="仿宋" w:cs="仿宋"/>
          <w:sz w:val="32"/>
          <w:u w:color="auto"/>
          <w:lang w:val="en-US" w:eastAsia="zh-CN"/>
        </w:rPr>
        <w:t>1.59</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增长10</w:t>
      </w:r>
      <w:r>
        <w:rPr>
          <w:rFonts w:hint="eastAsia" w:ascii="仿宋" w:hAnsi="仿宋" w:eastAsia="仿宋" w:cs="仿宋"/>
          <w:sz w:val="32"/>
          <w:u w:color="auto"/>
          <w:lang w:val="en-US" w:eastAsia="zh-CN"/>
        </w:rPr>
        <w:t>9.66</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主要原因是：学校开展乡村学校少年宫活动项目所需经费增加。</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r>
        <w:rPr>
          <w:rFonts w:hint="eastAsia" w:ascii="仿宋" w:hAnsi="仿宋" w:eastAsia="仿宋" w:cs="仿宋"/>
          <w:kern w:val="2"/>
          <w:sz w:val="32"/>
          <w:szCs w:val="32"/>
          <w:highlight w:val="none"/>
          <w:lang w:val="en-US" w:eastAsia="zh-CN" w:bidi="ar"/>
        </w:rPr>
        <w:t>3.国有资本经营预算财政拨款收入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主要原因是：本单位无</w:t>
      </w:r>
      <w:r>
        <w:rPr>
          <w:rFonts w:hint="eastAsia" w:ascii="仿宋" w:hAnsi="仿宋" w:eastAsia="仿宋" w:cs="仿宋"/>
          <w:kern w:val="2"/>
          <w:sz w:val="32"/>
          <w:szCs w:val="32"/>
          <w:highlight w:val="none"/>
          <w:lang w:val="en-US" w:eastAsia="zh-CN" w:bidi="ar"/>
        </w:rPr>
        <w:t>国有资本经营预算财政拨款收入</w:t>
      </w:r>
      <w:r>
        <w:rPr>
          <w:rFonts w:hint="eastAsia" w:ascii="仿宋" w:hAnsi="仿宋" w:eastAsia="仿宋" w:cs="仿宋"/>
          <w:color w:val="auto"/>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r>
        <w:rPr>
          <w:rFonts w:hint="eastAsia" w:ascii="仿宋" w:hAnsi="仿宋" w:eastAsia="仿宋" w:cs="仿宋"/>
          <w:kern w:val="2"/>
          <w:sz w:val="32"/>
          <w:szCs w:val="32"/>
          <w:highlight w:val="none"/>
          <w:lang w:val="en-US" w:eastAsia="zh-CN" w:bidi="ar"/>
        </w:rPr>
        <w:t>4.上级补助收入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本单位没有上级补助收入。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5.事业收入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本单位没有事业收入。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6.</w:t>
      </w:r>
      <w:r>
        <w:rPr>
          <w:rFonts w:hint="eastAsia" w:ascii="仿宋" w:hAnsi="仿宋" w:eastAsia="仿宋" w:cs="仿宋"/>
          <w:kern w:val="2"/>
          <w:sz w:val="36"/>
          <w:szCs w:val="36"/>
          <w:highlight w:val="none"/>
          <w:lang w:val="en-US" w:eastAsia="zh-CN" w:bidi="ar"/>
        </w:rPr>
        <w:t>经营收入</w:t>
      </w:r>
      <w:r>
        <w:rPr>
          <w:rFonts w:hint="eastAsia" w:ascii="仿宋" w:hAnsi="仿宋" w:eastAsia="仿宋" w:cs="仿宋"/>
          <w:kern w:val="2"/>
          <w:sz w:val="32"/>
          <w:szCs w:val="32"/>
          <w:highlight w:val="none"/>
          <w:lang w:val="en-US" w:eastAsia="zh-CN" w:bidi="ar"/>
        </w:rPr>
        <w:t>0.00万,较2022年度决算数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本单位没有经营性收入。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7.附属单位上缴收入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本单位无附属单位上缴收入。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8.其他收入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本单位没有其他收入。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9.使用非财政拨款结余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本单位没有非财政拨款结余。</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10.上年结转和结余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万元，较2022年度决算数</w:t>
      </w:r>
      <w:r>
        <w:rPr>
          <w:rFonts w:ascii="仿宋" w:hAnsi="仿宋" w:eastAsia="仿宋" w:cs="仿宋"/>
          <w:sz w:val="32"/>
          <w:u w:color="auto"/>
        </w:rPr>
        <w:t>减少</w:t>
      </w:r>
      <w:r>
        <w:rPr>
          <w:rFonts w:hint="eastAsia" w:ascii="仿宋" w:hAnsi="仿宋" w:eastAsia="仿宋" w:cs="仿宋"/>
          <w:sz w:val="32"/>
          <w:u w:color="auto"/>
          <w:lang w:val="en-US" w:eastAsia="zh-CN"/>
        </w:rPr>
        <w:t>0</w:t>
      </w:r>
      <w:r>
        <w:rPr>
          <w:rFonts w:hint="eastAsia" w:ascii="仿宋" w:hAnsi="仿宋" w:eastAsia="仿宋" w:cs="仿宋"/>
          <w:kern w:val="2"/>
          <w:sz w:val="32"/>
          <w:szCs w:val="32"/>
          <w:highlight w:val="none"/>
          <w:lang w:val="en-US" w:eastAsia="zh-CN" w:bidi="ar"/>
        </w:rPr>
        <w:t>万元，</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主要原因：相关</w:t>
      </w:r>
      <w:r>
        <w:rPr>
          <w:rFonts w:hint="eastAsia" w:ascii="仿宋" w:hAnsi="仿宋" w:eastAsia="仿宋" w:cs="仿宋"/>
          <w:color w:val="auto"/>
          <w:kern w:val="2"/>
          <w:sz w:val="32"/>
          <w:szCs w:val="32"/>
          <w:highlight w:val="none"/>
          <w:lang w:val="en-US" w:eastAsia="zh-CN" w:bidi="ar"/>
        </w:rPr>
        <w:t>项目均已在本年执行完毕，不需要结转至下年继续执行。</w:t>
      </w:r>
    </w:p>
    <w:p>
      <w:pPr>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080000" cy="3810000"/>
            <wp:effectExtent l="4445" t="4445" r="5715" b="10795"/>
            <wp:docPr id="2" name="图表 2" title="{{img_js_srzc}}"/>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（二）本部门202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年度总支出</w:t>
      </w:r>
      <w:r>
        <w:rPr>
          <w:rFonts w:hint="eastAsia" w:ascii="仿宋" w:hAnsi="仿宋" w:eastAsia="仿宋" w:cs="仿宋"/>
          <w:sz w:val="32"/>
          <w:szCs w:val="32"/>
          <w:highlight w:val="none"/>
          <w:lang w:val="en-US" w:eastAsia="zh-CN"/>
        </w:rPr>
        <w:t>2304.3</w:t>
      </w:r>
      <w:r>
        <w:rPr>
          <w:rFonts w:hint="eastAsia" w:ascii="仿宋" w:hAnsi="仿宋" w:eastAsia="仿宋" w:cs="仿宋"/>
          <w:sz w:val="32"/>
          <w:szCs w:val="32"/>
          <w:highlight w:val="none"/>
        </w:rPr>
        <w:t>万元，其中本年支出</w:t>
      </w:r>
      <w:r>
        <w:rPr>
          <w:rFonts w:hint="eastAsia" w:ascii="仿宋" w:hAnsi="仿宋" w:eastAsia="仿宋" w:cs="仿宋"/>
          <w:sz w:val="32"/>
          <w:szCs w:val="32"/>
          <w:highlight w:val="none"/>
          <w:lang w:val="en-US" w:eastAsia="zh-CN"/>
        </w:rPr>
        <w:t>2304.3</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u w:color="auto"/>
          <w:lang w:val="en-US" w:eastAsia="zh-CN"/>
        </w:rPr>
        <w:t>增加268.99</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增长</w:t>
      </w:r>
      <w:r>
        <w:rPr>
          <w:rFonts w:hint="eastAsia" w:ascii="仿宋" w:hAnsi="仿宋" w:eastAsia="仿宋" w:cs="仿宋"/>
          <w:sz w:val="32"/>
          <w:u w:color="auto"/>
          <w:lang w:val="en-US" w:eastAsia="zh-CN"/>
        </w:rPr>
        <w:t>13.22</w:t>
      </w:r>
      <w:r>
        <w:rPr>
          <w:rFonts w:ascii="仿宋" w:hAnsi="仿宋" w:eastAsia="仿宋" w:cs="仿宋"/>
          <w:sz w:val="32"/>
          <w:u w:color="auto"/>
        </w:rPr>
        <w:t>%</w:t>
      </w:r>
      <w:r>
        <w:rPr>
          <w:rFonts w:hint="eastAsia" w:ascii="仿宋" w:hAnsi="仿宋" w:eastAsia="仿宋" w:cs="仿宋"/>
          <w:sz w:val="32"/>
          <w:szCs w:val="32"/>
          <w:highlight w:val="none"/>
        </w:rPr>
        <w:t>。支出具体情况如下：</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r>
        <w:rPr>
          <w:rFonts w:hint="eastAsia" w:ascii="仿宋" w:hAnsi="仿宋" w:eastAsia="仿宋" w:cs="仿宋"/>
          <w:sz w:val="32"/>
          <w:szCs w:val="32"/>
          <w:highlight w:val="none"/>
        </w:rPr>
        <w:t>1</w:t>
      </w:r>
      <w:r>
        <w:rPr>
          <w:rFonts w:ascii="仿宋" w:hAnsi="仿宋" w:eastAsia="仿宋" w:cs="仿宋"/>
          <w:sz w:val="32"/>
          <w:u w:color="auto"/>
        </w:rPr>
        <w:t>.</w:t>
      </w:r>
      <w:r>
        <w:rPr>
          <w:rFonts w:hint="eastAsia" w:ascii="仿宋" w:hAnsi="仿宋" w:eastAsia="仿宋" w:cs="仿宋"/>
          <w:sz w:val="32"/>
          <w:szCs w:val="32"/>
          <w:highlight w:val="none"/>
          <w:lang w:bidi="ar"/>
        </w:rPr>
        <w:t>一般公共服务支出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类）22.73万元：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学校工会活动</w:t>
      </w:r>
      <w:r>
        <w:rPr>
          <w:rFonts w:hint="eastAsia" w:ascii="仿宋" w:hAnsi="仿宋" w:eastAsia="仿宋" w:cs="仿宋"/>
          <w:color w:val="auto"/>
          <w:sz w:val="32"/>
          <w:szCs w:val="32"/>
          <w:highlight w:val="none"/>
          <w:lang w:val="en-US" w:eastAsia="zh-CN"/>
        </w:rPr>
        <w:t>经费支出</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bidi="ar"/>
        </w:rPr>
        <w:t>增加</w:t>
      </w:r>
      <w:r>
        <w:rPr>
          <w:rFonts w:hint="eastAsia" w:ascii="仿宋" w:hAnsi="仿宋" w:eastAsia="仿宋" w:cs="仿宋"/>
          <w:sz w:val="32"/>
          <w:szCs w:val="32"/>
          <w:highlight w:val="none"/>
          <w:lang w:val="en-US" w:eastAsia="zh-CN" w:bidi="ar"/>
        </w:rPr>
        <w:t>1.05</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增长</w:t>
      </w:r>
      <w:r>
        <w:rPr>
          <w:rFonts w:hint="eastAsia" w:ascii="仿宋" w:hAnsi="仿宋" w:eastAsia="仿宋" w:cs="仿宋"/>
          <w:sz w:val="32"/>
          <w:szCs w:val="32"/>
          <w:highlight w:val="none"/>
          <w:lang w:val="en-US" w:eastAsia="zh-CN" w:bidi="ar"/>
        </w:rPr>
        <w:t>4.84</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主要原因是：部门人员工资提高，工会活动经费增加，工会活动经费支出增加</w:t>
      </w:r>
      <w:r>
        <w:rPr>
          <w:rFonts w:hint="eastAsia" w:ascii="仿宋" w:hAnsi="仿宋" w:eastAsia="仿宋" w:cs="仿宋"/>
          <w:color w:val="auto"/>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sz w:val="32"/>
          <w:szCs w:val="32"/>
          <w:highlight w:val="none"/>
        </w:rPr>
        <w:t>2</w:t>
      </w:r>
      <w:r>
        <w:rPr>
          <w:rFonts w:ascii="仿宋" w:hAnsi="仿宋" w:eastAsia="仿宋" w:cs="仿宋"/>
          <w:sz w:val="32"/>
          <w:u w:color="auto"/>
        </w:rPr>
        <w:t>.</w:t>
      </w:r>
      <w:r>
        <w:rPr>
          <w:rFonts w:hint="eastAsia" w:ascii="仿宋" w:hAnsi="仿宋" w:eastAsia="仿宋" w:cs="仿宋"/>
          <w:sz w:val="32"/>
          <w:szCs w:val="32"/>
          <w:highlight w:val="none"/>
          <w:lang w:bidi="ar"/>
        </w:rPr>
        <w:t>教育支出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205</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类）1772.62万元：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部门</w:t>
      </w:r>
      <w:r>
        <w:rPr>
          <w:rFonts w:hint="eastAsia" w:ascii="仿宋" w:hAnsi="仿宋" w:eastAsia="仿宋" w:cs="仿宋"/>
          <w:color w:val="auto"/>
          <w:sz w:val="32"/>
          <w:szCs w:val="32"/>
          <w:highlight w:val="none"/>
          <w:lang w:val="en-US" w:eastAsia="zh-CN"/>
        </w:rPr>
        <w:t>人员工资五险等人员经费支出</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val="en-US" w:eastAsia="zh-CN"/>
        </w:rPr>
        <w:t>增加283.99</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增长</w:t>
      </w:r>
      <w:r>
        <w:rPr>
          <w:rFonts w:hint="eastAsia" w:ascii="仿宋" w:hAnsi="仿宋" w:eastAsia="仿宋" w:cs="仿宋"/>
          <w:sz w:val="32"/>
          <w:szCs w:val="32"/>
          <w:highlight w:val="none"/>
          <w:lang w:val="en-US" w:eastAsia="zh-CN" w:bidi="ar"/>
        </w:rPr>
        <w:t>19.08</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主要原因是：在职及</w:t>
      </w:r>
      <w:r>
        <w:rPr>
          <w:rFonts w:hint="eastAsia" w:ascii="仿宋" w:hAnsi="仿宋" w:eastAsia="仿宋" w:cs="仿宋"/>
          <w:color w:val="auto"/>
          <w:kern w:val="2"/>
          <w:sz w:val="32"/>
          <w:szCs w:val="32"/>
          <w:highlight w:val="none"/>
          <w:lang w:val="en-US" w:eastAsia="zh-CN" w:bidi="ar"/>
        </w:rPr>
        <w:t>聘用人员工资提高，人员经费支出增加。</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r>
        <w:rPr>
          <w:rFonts w:hint="eastAsia" w:ascii="仿宋" w:hAnsi="仿宋" w:eastAsia="仿宋" w:cs="仿宋"/>
          <w:sz w:val="32"/>
          <w:szCs w:val="32"/>
          <w:highlight w:val="none"/>
        </w:rPr>
        <w:t>3</w:t>
      </w:r>
      <w:r>
        <w:rPr>
          <w:rFonts w:ascii="仿宋" w:hAnsi="仿宋" w:eastAsia="仿宋" w:cs="仿宋"/>
          <w:sz w:val="32"/>
          <w:u w:color="auto"/>
        </w:rPr>
        <w:t>.</w:t>
      </w:r>
      <w:r>
        <w:rPr>
          <w:rFonts w:hint="eastAsia" w:ascii="仿宋" w:hAnsi="仿宋" w:eastAsia="仿宋" w:cs="仿宋"/>
          <w:sz w:val="32"/>
          <w:szCs w:val="32"/>
          <w:highlight w:val="none"/>
          <w:lang w:bidi="ar"/>
        </w:rPr>
        <w:t>社会保障和就业支出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208</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类）172.97万元：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机关事业单位基本养老保险缴费支出</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val="en-US" w:eastAsia="zh-CN" w:bidi="ar"/>
        </w:rPr>
        <w:t>增加40.28</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bidi="ar"/>
        </w:rPr>
        <w:t>增长30.36</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主要原因是：部门人员工资提高</w:t>
      </w:r>
      <w:r>
        <w:rPr>
          <w:rFonts w:hint="eastAsia" w:ascii="仿宋" w:hAnsi="仿宋" w:eastAsia="仿宋" w:cs="仿宋"/>
          <w:color w:val="auto"/>
          <w:kern w:val="2"/>
          <w:sz w:val="32"/>
          <w:szCs w:val="32"/>
          <w:highlight w:val="none"/>
          <w:lang w:val="en-US" w:eastAsia="zh-CN" w:bidi="ar"/>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机关事业单位基本养老保险缴费基数提高，该项支出也相应增加</w:t>
      </w:r>
      <w:r>
        <w:rPr>
          <w:rFonts w:hint="eastAsia" w:ascii="仿宋" w:hAnsi="仿宋" w:eastAsia="仿宋" w:cs="仿宋"/>
          <w:color w:val="auto"/>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r>
        <w:rPr>
          <w:rFonts w:hint="eastAsia" w:ascii="仿宋" w:hAnsi="仿宋" w:eastAsia="仿宋" w:cs="仿宋"/>
          <w:sz w:val="32"/>
          <w:szCs w:val="32"/>
          <w:highlight w:val="none"/>
        </w:rPr>
        <w:t>4</w:t>
      </w:r>
      <w:r>
        <w:rPr>
          <w:rFonts w:ascii="仿宋" w:hAnsi="仿宋" w:eastAsia="仿宋" w:cs="仿宋"/>
          <w:sz w:val="32"/>
          <w:u w:color="auto"/>
        </w:rPr>
        <w:t>.</w:t>
      </w:r>
      <w:r>
        <w:rPr>
          <w:rFonts w:hint="eastAsia" w:ascii="仿宋" w:hAnsi="仿宋" w:eastAsia="仿宋" w:cs="仿宋"/>
          <w:sz w:val="32"/>
          <w:szCs w:val="32"/>
          <w:highlight w:val="none"/>
          <w:lang w:bidi="ar"/>
        </w:rPr>
        <w:t>住房保障支出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类）133.77万元：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本部门人员住房公积金缴费支出</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bidi="ar"/>
        </w:rPr>
        <w:t>增加</w:t>
      </w:r>
      <w:r>
        <w:rPr>
          <w:rFonts w:hint="eastAsia" w:ascii="仿宋" w:hAnsi="仿宋" w:eastAsia="仿宋" w:cs="仿宋"/>
          <w:sz w:val="32"/>
          <w:szCs w:val="32"/>
          <w:highlight w:val="none"/>
          <w:lang w:val="en-US" w:eastAsia="zh-CN" w:bidi="ar"/>
        </w:rPr>
        <w:t>22.25</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增长</w:t>
      </w:r>
      <w:r>
        <w:rPr>
          <w:rFonts w:hint="eastAsia" w:ascii="仿宋" w:hAnsi="仿宋" w:eastAsia="仿宋" w:cs="仿宋"/>
          <w:sz w:val="32"/>
          <w:szCs w:val="32"/>
          <w:highlight w:val="none"/>
          <w:lang w:val="en-US" w:eastAsia="zh-CN" w:bidi="ar"/>
        </w:rPr>
        <w:t>19.95</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主要原因是：部门人员住房公积金缴存基数上升，</w:t>
      </w:r>
      <w:r>
        <w:rPr>
          <w:rFonts w:hint="eastAsia" w:ascii="仿宋" w:hAnsi="仿宋" w:eastAsia="仿宋" w:cs="仿宋"/>
          <w:color w:val="000000" w:themeColor="text1"/>
          <w:sz w:val="32"/>
          <w:szCs w:val="32"/>
          <w:highlight w:val="none"/>
          <w:lang w:val="en-US" w:eastAsia="zh-CN"/>
          <w14:textFill>
            <w14:solidFill>
              <w14:schemeClr w14:val="tx1"/>
            </w14:solidFill>
          </w14:textFill>
        </w:rPr>
        <w:t>住房公积金缴费支出增加</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r>
        <w:rPr>
          <w:rFonts w:hint="eastAsia" w:ascii="仿宋" w:hAnsi="仿宋" w:eastAsia="仿宋" w:cs="仿宋"/>
          <w:sz w:val="32"/>
          <w:szCs w:val="32"/>
          <w:highlight w:val="none"/>
        </w:rPr>
        <w:t>5</w:t>
      </w:r>
      <w:r>
        <w:rPr>
          <w:rFonts w:ascii="仿宋" w:hAnsi="仿宋" w:eastAsia="仿宋" w:cs="仿宋"/>
          <w:sz w:val="32"/>
          <w:u w:color="auto"/>
        </w:rPr>
        <w:t>.</w:t>
      </w:r>
      <w:r>
        <w:rPr>
          <w:rFonts w:hint="eastAsia" w:ascii="仿宋" w:hAnsi="仿宋" w:eastAsia="仿宋" w:cs="仿宋"/>
          <w:sz w:val="32"/>
          <w:szCs w:val="32"/>
          <w:highlight w:val="none"/>
          <w:lang w:bidi="ar"/>
        </w:rPr>
        <w:t>其他支出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229</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rPr>
        <w:t>202.2</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其中彩票公益金安排的支出(22960类)3.04万元，其他支出(22999类)199.16万元</w:t>
      </w:r>
      <w:r>
        <w:rPr>
          <w:rFonts w:hint="eastAsia" w:ascii="仿宋" w:hAnsi="仿宋" w:eastAsia="仿宋" w:cs="仿宋"/>
          <w:sz w:val="32"/>
          <w:szCs w:val="32"/>
          <w:highlight w:val="none"/>
        </w:rPr>
        <w:t>：</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中央专项彩票公益金支持乡村学校少年宫经费项目支出及发放职工奖励性补贴</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bidi="ar"/>
        </w:rPr>
        <w:t>减少</w:t>
      </w:r>
      <w:r>
        <w:rPr>
          <w:rFonts w:hint="eastAsia" w:ascii="仿宋" w:hAnsi="仿宋" w:eastAsia="仿宋" w:cs="仿宋"/>
          <w:sz w:val="32"/>
          <w:szCs w:val="32"/>
          <w:highlight w:val="none"/>
          <w:lang w:val="en-US" w:eastAsia="zh-CN" w:bidi="ar"/>
        </w:rPr>
        <w:t>78.59</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下降</w:t>
      </w:r>
      <w:r>
        <w:rPr>
          <w:rFonts w:hint="eastAsia" w:ascii="仿宋" w:hAnsi="仿宋" w:eastAsia="仿宋" w:cs="仿宋"/>
          <w:sz w:val="32"/>
          <w:szCs w:val="32"/>
          <w:highlight w:val="none"/>
          <w:lang w:val="en-US" w:eastAsia="zh-CN" w:bidi="ar"/>
        </w:rPr>
        <w:t>27.99</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主要原因是：本年度学校少年宫开展的活动数量有所减少，学校教职工人数较上年度减少</w:t>
      </w:r>
      <w:r>
        <w:rPr>
          <w:rFonts w:hint="eastAsia" w:ascii="仿宋" w:hAnsi="仿宋" w:eastAsia="仿宋" w:cs="仿宋"/>
          <w:color w:val="auto"/>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eastAsia="zh-CN"/>
        </w:rPr>
      </w:pPr>
      <w:r>
        <w:rPr>
          <w:rFonts w:hint="default" w:ascii="仿宋" w:hAnsi="仿宋" w:eastAsia="仿宋" w:cs="仿宋"/>
          <w:sz w:val="32"/>
          <w:szCs w:val="32"/>
          <w:highlight w:val="none"/>
        </w:rPr>
        <w:t>结余分配</w:t>
      </w:r>
      <w:r>
        <w:rPr>
          <w:rFonts w:hint="eastAsia" w:ascii="仿宋" w:hAnsi="仿宋" w:eastAsia="仿宋" w:cs="仿宋"/>
          <w:sz w:val="32"/>
          <w:szCs w:val="32"/>
          <w:highlight w:val="none"/>
        </w:rPr>
        <w:t>0.00</w:t>
      </w:r>
      <w:r>
        <w:rPr>
          <w:rFonts w:hint="default"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default" w:ascii="仿宋" w:hAnsi="仿宋" w:eastAsia="仿宋" w:cs="仿宋"/>
          <w:sz w:val="32"/>
          <w:szCs w:val="32"/>
          <w:highlight w:val="none"/>
        </w:rPr>
        <w:t>年决算</w:t>
      </w:r>
      <w:r>
        <w:rPr>
          <w:rFonts w:hint="eastAsia" w:ascii="仿宋" w:hAnsi="仿宋" w:eastAsia="仿宋" w:cs="仿宋"/>
          <w:sz w:val="32"/>
          <w:szCs w:val="32"/>
          <w:highlight w:val="none"/>
        </w:rPr>
        <w:t>0.00</w:t>
      </w:r>
      <w:r>
        <w:rPr>
          <w:rFonts w:hint="default" w:ascii="仿宋" w:hAnsi="仿宋" w:eastAsia="仿宋" w:cs="仿宋"/>
          <w:sz w:val="32"/>
          <w:szCs w:val="32"/>
          <w:highlight w:val="none"/>
        </w:rPr>
        <w:t>万元</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rPr>
        <w:t>增加0.00</w:t>
      </w:r>
      <w:r>
        <w:rPr>
          <w:rFonts w:hint="default" w:ascii="仿宋" w:hAnsi="仿宋" w:eastAsia="仿宋" w:cs="仿宋"/>
          <w:sz w:val="32"/>
          <w:szCs w:val="32"/>
          <w:highlight w:val="none"/>
        </w:rPr>
        <w:t>万元，</w:t>
      </w:r>
      <w:r>
        <w:rPr>
          <w:rFonts w:hint="eastAsia" w:ascii="仿宋" w:hAnsi="仿宋" w:eastAsia="仿宋" w:cs="仿宋"/>
          <w:sz w:val="32"/>
          <w:szCs w:val="32"/>
          <w:highlight w:val="none"/>
        </w:rPr>
        <w:t>增长0%</w:t>
      </w:r>
      <w:r>
        <w:rPr>
          <w:rFonts w:hint="default" w:ascii="仿宋" w:hAnsi="仿宋" w:eastAsia="仿宋" w:cs="仿宋"/>
          <w:sz w:val="32"/>
          <w:szCs w:val="32"/>
          <w:highlight w:val="none"/>
        </w:rPr>
        <w:t>，主要原因是</w:t>
      </w:r>
      <w:r>
        <w:rPr>
          <w:rFonts w:hint="eastAsia" w:ascii="仿宋" w:hAnsi="仿宋" w:eastAsia="仿宋" w:cs="仿宋"/>
          <w:sz w:val="32"/>
          <w:szCs w:val="32"/>
          <w:highlight w:val="none"/>
          <w:lang w:val="en-US" w:eastAsia="zh-CN"/>
        </w:rPr>
        <w:t>：部门本年度无结余分配。</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年末结转和结余</w:t>
      </w:r>
      <w:r>
        <w:rPr>
          <w:rFonts w:ascii="仿宋" w:hAnsi="仿宋" w:eastAsia="仿宋" w:cs="仿宋"/>
          <w:sz w:val="32"/>
          <w:u w:color="auto"/>
        </w:rPr>
        <w:t>0.00</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ascii="仿宋" w:hAnsi="仿宋" w:eastAsia="仿宋" w:cs="仿宋"/>
          <w:sz w:val="32"/>
          <w:u w:color="auto"/>
        </w:rPr>
        <w:t>增加0.00</w:t>
      </w:r>
      <w:r>
        <w:rPr>
          <w:rFonts w:hint="eastAsia" w:ascii="仿宋" w:hAnsi="仿宋" w:eastAsia="仿宋" w:cs="仿宋"/>
          <w:sz w:val="32"/>
          <w:szCs w:val="32"/>
          <w:highlight w:val="none"/>
        </w:rPr>
        <w:t>万元，</w:t>
      </w:r>
      <w:r>
        <w:rPr>
          <w:rFonts w:ascii="仿宋" w:hAnsi="仿宋" w:eastAsia="仿宋" w:cs="仿宋"/>
          <w:sz w:val="32"/>
          <w:u w:color="auto"/>
        </w:rPr>
        <w:t>增长0%</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主要原因是：部门本年度无年末结转和结余。</w:t>
      </w:r>
    </w:p>
    <w:p>
      <w:pPr>
        <w:ind w:firstLine="640" w:firstLineChars="200"/>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080000" cy="3022600"/>
            <wp:effectExtent l="4445" t="4445" r="5715" b="5715"/>
            <wp:docPr id="3" name="图表 3" title="{{img_zcjs}}"/>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ind w:firstLine="640" w:firstLineChars="200"/>
        <w:jc w:val="center"/>
        <w:rPr>
          <w:rFonts w:hint="eastAsia" w:ascii="仿宋" w:hAnsi="仿宋" w:eastAsia="仿宋" w:cs="仿宋"/>
          <w:sz w:val="32"/>
          <w:szCs w:val="32"/>
          <w:highlight w:val="none"/>
        </w:rPr>
      </w:pP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 xml:space="preserve"> 年度</w:t>
      </w:r>
      <w:bookmarkStart w:id="2" w:name="OLE_LINK1"/>
      <w:r>
        <w:rPr>
          <w:rFonts w:hint="eastAsia" w:ascii="黑体" w:hAnsi="黑体" w:eastAsia="黑体" w:cs="黑体"/>
          <w:sz w:val="32"/>
          <w:szCs w:val="32"/>
          <w:highlight w:val="none"/>
        </w:rPr>
        <w:t>一般公共预算财政拨款支出决算情况</w:t>
      </w:r>
      <w:bookmarkEnd w:id="2"/>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环江毛南族自治县东兴镇中心小学</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年度一般公共预算财政拨款支出</w:t>
      </w:r>
      <w:r>
        <w:rPr>
          <w:rFonts w:hint="eastAsia" w:ascii="仿宋" w:hAnsi="仿宋" w:eastAsia="仿宋" w:cs="仿宋"/>
          <w:sz w:val="32"/>
          <w:szCs w:val="32"/>
          <w:highlight w:val="none"/>
          <w:lang w:val="en-US" w:eastAsia="zh-CN"/>
        </w:rPr>
        <w:t>2301.26</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val="en-US" w:eastAsia="zh-CN"/>
        </w:rPr>
        <w:t>增加</w:t>
      </w:r>
      <w:r>
        <w:rPr>
          <w:rFonts w:ascii="仿宋" w:hAnsi="仿宋" w:eastAsia="仿宋" w:cs="仿宋"/>
          <w:sz w:val="32"/>
          <w:u w:color="auto"/>
        </w:rPr>
        <w:t>26</w:t>
      </w:r>
      <w:r>
        <w:rPr>
          <w:rFonts w:hint="eastAsia" w:ascii="仿宋" w:hAnsi="仿宋" w:eastAsia="仿宋" w:cs="仿宋"/>
          <w:sz w:val="32"/>
          <w:u w:color="auto"/>
          <w:lang w:val="en-US" w:eastAsia="zh-CN"/>
        </w:rPr>
        <w:t>7.4</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增长</w:t>
      </w:r>
      <w:r>
        <w:rPr>
          <w:rFonts w:hint="eastAsia" w:ascii="仿宋" w:hAnsi="仿宋" w:eastAsia="仿宋" w:cs="仿宋"/>
          <w:sz w:val="32"/>
          <w:u w:color="auto"/>
          <w:lang w:val="en-US" w:eastAsia="zh-CN"/>
        </w:rPr>
        <w:t>13.15</w:t>
      </w:r>
      <w:r>
        <w:rPr>
          <w:rFonts w:ascii="仿宋" w:hAnsi="仿宋" w:eastAsia="仿宋" w:cs="仿宋"/>
          <w:sz w:val="32"/>
          <w:u w:color="auto"/>
        </w:rPr>
        <w:t>%</w:t>
      </w:r>
      <w:r>
        <w:rPr>
          <w:rFonts w:hint="eastAsia" w:ascii="仿宋" w:hAnsi="仿宋" w:eastAsia="仿宋" w:cs="仿宋"/>
          <w:sz w:val="32"/>
          <w:szCs w:val="32"/>
          <w:highlight w:val="none"/>
        </w:rPr>
        <w:t>。其中：基本支出</w:t>
      </w:r>
      <w:r>
        <w:rPr>
          <w:rFonts w:hint="eastAsia" w:ascii="仿宋" w:hAnsi="仿宋" w:eastAsia="仿宋" w:cs="仿宋"/>
          <w:sz w:val="32"/>
          <w:u w:color="auto"/>
        </w:rPr>
        <w:t>1971.46</w:t>
      </w:r>
      <w:r>
        <w:rPr>
          <w:rFonts w:hint="eastAsia" w:ascii="仿宋" w:hAnsi="仿宋" w:eastAsia="仿宋" w:cs="仿宋"/>
          <w:sz w:val="32"/>
          <w:szCs w:val="32"/>
          <w:highlight w:val="none"/>
        </w:rPr>
        <w:t>万元，项目支出</w:t>
      </w:r>
      <w:r>
        <w:rPr>
          <w:rFonts w:hint="eastAsia" w:ascii="仿宋" w:hAnsi="仿宋" w:eastAsia="仿宋" w:cs="仿宋"/>
          <w:sz w:val="32"/>
          <w:u w:color="auto"/>
        </w:rPr>
        <w:t>329.79</w:t>
      </w:r>
      <w:r>
        <w:rPr>
          <w:rFonts w:hint="eastAsia" w:ascii="仿宋" w:hAnsi="仿宋" w:eastAsia="仿宋" w:cs="仿宋"/>
          <w:sz w:val="32"/>
          <w:szCs w:val="32"/>
          <w:highlight w:val="none"/>
        </w:rPr>
        <w:t>万元。</w:t>
      </w:r>
    </w:p>
    <w:p>
      <w:pPr>
        <w:ind w:firstLine="640" w:firstLineChars="200"/>
        <w:jc w:val="left"/>
        <w:rPr>
          <w:rFonts w:ascii="仿宋" w:hAnsi="仿宋" w:eastAsia="仿宋"/>
          <w:sz w:val="32"/>
          <w:szCs w:val="32"/>
          <w:highlight w:val="none"/>
        </w:rPr>
      </w:pPr>
      <w:r>
        <w:rPr>
          <w:rFonts w:hint="eastAsia" w:ascii="仿宋" w:hAnsi="仿宋" w:eastAsia="仿宋" w:cs="仿宋"/>
          <w:sz w:val="32"/>
          <w:szCs w:val="32"/>
          <w:highlight w:val="none"/>
          <w:lang w:eastAsia="zh-CN"/>
        </w:rPr>
        <w:t>环江毛南族自治县东兴镇中心小学</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 xml:space="preserve"> 年度一般公共预算财政拨款支出年初预算为</w:t>
      </w:r>
      <w:r>
        <w:rPr>
          <w:rFonts w:hint="eastAsia" w:ascii="仿宋" w:hAnsi="仿宋" w:eastAsia="仿宋" w:cs="仿宋"/>
          <w:sz w:val="32"/>
          <w:szCs w:val="32"/>
          <w:highlight w:val="none"/>
          <w:lang w:val="en-US" w:eastAsia="zh-CN"/>
        </w:rPr>
        <w:t>1585.82</w:t>
      </w:r>
      <w:r>
        <w:rPr>
          <w:rFonts w:hint="eastAsia" w:ascii="仿宋" w:hAnsi="仿宋" w:eastAsia="仿宋" w:cs="仿宋"/>
          <w:sz w:val="32"/>
          <w:szCs w:val="32"/>
          <w:highlight w:val="none"/>
        </w:rPr>
        <w:t>万元，支出决算为</w:t>
      </w:r>
      <w:r>
        <w:rPr>
          <w:rFonts w:hint="eastAsia" w:ascii="仿宋" w:hAnsi="仿宋" w:eastAsia="仿宋" w:cs="仿宋"/>
          <w:sz w:val="32"/>
          <w:szCs w:val="32"/>
          <w:highlight w:val="none"/>
          <w:lang w:val="en-US" w:eastAsia="zh-CN"/>
        </w:rPr>
        <w:t>2301.26</w:t>
      </w:r>
      <w:r>
        <w:rPr>
          <w:rFonts w:hint="eastAsia" w:ascii="仿宋" w:hAnsi="仿宋" w:eastAsia="仿宋" w:cs="仿宋"/>
          <w:sz w:val="32"/>
          <w:szCs w:val="32"/>
          <w:highlight w:val="none"/>
        </w:rPr>
        <w:t>万元，完成年初预算的</w:t>
      </w:r>
      <w:r>
        <w:rPr>
          <w:rFonts w:ascii="仿宋" w:hAnsi="仿宋" w:eastAsia="仿宋" w:cs="仿宋"/>
          <w:sz w:val="32"/>
          <w:u w:color="auto"/>
        </w:rPr>
        <w:t>1</w:t>
      </w:r>
      <w:r>
        <w:rPr>
          <w:rFonts w:hint="eastAsia" w:ascii="仿宋" w:hAnsi="仿宋" w:eastAsia="仿宋" w:cs="仿宋"/>
          <w:sz w:val="32"/>
          <w:u w:color="auto"/>
          <w:lang w:val="en-US" w:eastAsia="zh-CN"/>
        </w:rPr>
        <w:t>45.11</w:t>
      </w:r>
      <w:r>
        <w:rPr>
          <w:rFonts w:ascii="仿宋" w:hAnsi="仿宋" w:eastAsia="仿宋" w:cs="仿宋"/>
          <w:sz w:val="32"/>
          <w:u w:color="auto"/>
        </w:rPr>
        <w:t>%</w:t>
      </w:r>
      <w:r>
        <w:rPr>
          <w:rFonts w:hint="eastAsia" w:ascii="仿宋" w:hAnsi="仿宋" w:eastAsia="仿宋" w:cs="仿宋"/>
          <w:sz w:val="32"/>
          <w:szCs w:val="32"/>
          <w:highlight w:val="none"/>
        </w:rPr>
        <w:t>。</w:t>
      </w:r>
      <w:bookmarkStart w:id="3" w:name="OLE_LINK2"/>
      <w:bookmarkEnd w:id="3"/>
    </w:p>
    <w:p>
      <w:pPr>
        <w:keepNext w:val="0"/>
        <w:keepLines w:val="0"/>
        <w:widowControl w:val="0"/>
        <w:numPr>
          <w:ilvl w:val="0"/>
          <w:numId w:val="2"/>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一般公共服务支出</w:t>
      </w:r>
      <w:r>
        <w:rPr>
          <w:rFonts w:ascii="仿宋" w:hAnsi="仿宋" w:eastAsia="仿宋"/>
          <w:sz w:val="32"/>
          <w:u w:color="auto"/>
        </w:rPr>
        <w:t>（201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22.73</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22.73</w:t>
      </w:r>
      <w:r>
        <w:rPr>
          <w:rFonts w:hint="eastAsia" w:ascii="仿宋" w:hAnsi="仿宋" w:eastAsia="仿宋"/>
          <w:sz w:val="32"/>
          <w:szCs w:val="32"/>
          <w:highlight w:val="none"/>
        </w:rPr>
        <w:t>万元，完成年初预算的</w:t>
      </w:r>
      <w:r>
        <w:rPr>
          <w:rFonts w:ascii="仿宋" w:hAnsi="仿宋" w:eastAsia="仿宋"/>
          <w:sz w:val="32"/>
          <w:szCs w:val="32"/>
          <w:highlight w:val="none"/>
        </w:rPr>
        <w:t>100.00%</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基本无差异。</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p>
      <w:pPr>
        <w:jc w:val="left"/>
        <w:rPr>
          <w:rFonts w:hint="eastAsia" w:ascii="仿宋" w:hAnsi="仿宋" w:eastAsia="仿宋"/>
          <w:sz w:val="32"/>
          <w:szCs w:val="32"/>
          <w:highlight w:val="none"/>
        </w:rPr>
      </w:pP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2012999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其他群众团体事务支出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22.73</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22.73</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学校工会活动经费支出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22.73</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22.73</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6"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widowControl w:val="0"/>
        <w:numPr>
          <w:ilvl w:val="0"/>
          <w:numId w:val="2"/>
        </w:numPr>
        <w:suppressLineNumbers w:val="0"/>
        <w:spacing w:before="0" w:beforeAutospacing="0" w:after="0" w:afterAutospacing="0"/>
        <w:ind w:left="0" w:leftChars="0" w:right="0" w:rightChars="0" w:firstLine="420" w:firstLineChars="0"/>
        <w:jc w:val="left"/>
        <w:rPr>
          <w:rFonts w:hint="eastAsia" w:ascii="仿宋" w:hAnsi="仿宋" w:eastAsia="仿宋"/>
          <w:color w:val="000000" w:themeColor="text1"/>
          <w:sz w:val="32"/>
          <w:szCs w:val="32"/>
          <w:highlight w:val="none"/>
          <w:lang w:val="en-US" w:eastAsia="zh-CN"/>
          <w14:textFill>
            <w14:solidFill>
              <w14:schemeClr w14:val="tx1"/>
            </w14:solidFill>
          </w14:textFill>
        </w:rPr>
      </w:pPr>
      <w:r>
        <w:rPr>
          <w:rFonts w:hint="eastAsia" w:ascii="仿宋" w:hAnsi="仿宋" w:eastAsia="仿宋"/>
          <w:sz w:val="32"/>
          <w:szCs w:val="32"/>
          <w:highlight w:val="none"/>
        </w:rPr>
        <w:t>教育支出</w:t>
      </w:r>
      <w:r>
        <w:rPr>
          <w:rFonts w:ascii="仿宋" w:hAnsi="仿宋" w:eastAsia="仿宋"/>
          <w:sz w:val="32"/>
          <w:u w:color="auto"/>
        </w:rPr>
        <w:t>（205</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1232.03</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1772.62</w:t>
      </w:r>
      <w:r>
        <w:rPr>
          <w:rFonts w:hint="eastAsia" w:ascii="仿宋" w:hAnsi="仿宋" w:eastAsia="仿宋"/>
          <w:sz w:val="32"/>
          <w:szCs w:val="32"/>
          <w:highlight w:val="none"/>
        </w:rPr>
        <w:t>万元，完成年初预算的</w:t>
      </w:r>
      <w:r>
        <w:rPr>
          <w:rFonts w:ascii="仿宋" w:hAnsi="仿宋" w:eastAsia="仿宋"/>
          <w:sz w:val="32"/>
          <w:szCs w:val="32"/>
          <w:highlight w:val="none"/>
        </w:rPr>
        <w:t>1</w:t>
      </w:r>
      <w:r>
        <w:rPr>
          <w:rFonts w:hint="eastAsia" w:ascii="仿宋" w:hAnsi="仿宋" w:eastAsia="仿宋"/>
          <w:sz w:val="32"/>
          <w:szCs w:val="32"/>
          <w:highlight w:val="none"/>
          <w:lang w:val="en-US" w:eastAsia="zh-CN"/>
        </w:rPr>
        <w:t>43.88</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原因是：学校的人员工资提高；部分项目经费由上级部门预算直接下达，本部门无需做该项预算。</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42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1"/>
        <w:gridCol w:w="1068"/>
        <w:gridCol w:w="912"/>
        <w:gridCol w:w="996"/>
        <w:gridCol w:w="876"/>
        <w:gridCol w:w="1898"/>
        <w:gridCol w:w="17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6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6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1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99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8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89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71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6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2050202</w:t>
            </w:r>
          </w:p>
        </w:tc>
        <w:tc>
          <w:tcPr>
            <w:tcW w:w="106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小学教育</w:t>
            </w:r>
          </w:p>
        </w:tc>
        <w:tc>
          <w:tcPr>
            <w:tcW w:w="91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1232.03</w:t>
            </w:r>
          </w:p>
        </w:tc>
        <w:tc>
          <w:tcPr>
            <w:tcW w:w="99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1754.6</w:t>
            </w:r>
          </w:p>
        </w:tc>
        <w:tc>
          <w:tcPr>
            <w:tcW w:w="8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142.42%</w:t>
            </w:r>
          </w:p>
        </w:tc>
        <w:tc>
          <w:tcPr>
            <w:tcW w:w="189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学校的人员经费、学校日常办公经费、学生营养改善计划经费、家庭经济困难学生生活补助支出等</w:t>
            </w:r>
          </w:p>
        </w:tc>
        <w:tc>
          <w:tcPr>
            <w:tcW w:w="171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firstLine="180" w:firstLineChars="100"/>
              <w:jc w:val="both"/>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学校的人员工资提高；部分项目经费由上级部门预算直接下达，本部门无需做该项预算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6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2050299</w:t>
            </w:r>
          </w:p>
        </w:tc>
        <w:tc>
          <w:tcPr>
            <w:tcW w:w="106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其他普通教育支出</w:t>
            </w:r>
          </w:p>
        </w:tc>
        <w:tc>
          <w:tcPr>
            <w:tcW w:w="91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99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15.52</w:t>
            </w:r>
          </w:p>
        </w:tc>
        <w:tc>
          <w:tcPr>
            <w:tcW w:w="8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89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校长奖励性绩效工资、部分学校办公经费支出等</w:t>
            </w:r>
          </w:p>
        </w:tc>
        <w:tc>
          <w:tcPr>
            <w:tcW w:w="171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该项经费由上级部门预算直接下达，本部门无需做该项预算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trPr>
        <w:tc>
          <w:tcPr>
            <w:tcW w:w="96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2050701</w:t>
            </w:r>
          </w:p>
        </w:tc>
        <w:tc>
          <w:tcPr>
            <w:tcW w:w="106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特殊学校教育</w:t>
            </w:r>
          </w:p>
        </w:tc>
        <w:tc>
          <w:tcPr>
            <w:tcW w:w="91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99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1.43</w:t>
            </w:r>
          </w:p>
        </w:tc>
        <w:tc>
          <w:tcPr>
            <w:tcW w:w="8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89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i w:val="0"/>
                <w:iCs w:val="0"/>
                <w:color w:val="auto"/>
                <w:sz w:val="18"/>
                <w:szCs w:val="18"/>
                <w:highlight w:val="none"/>
                <w:u w:val="none"/>
                <w:lang w:val="en-US" w:eastAsia="zh-CN"/>
              </w:rPr>
              <w:t>学校残疾学生送教生门等项支出</w:t>
            </w:r>
          </w:p>
        </w:tc>
        <w:tc>
          <w:tcPr>
            <w:tcW w:w="171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i w:val="0"/>
                <w:iCs w:val="0"/>
                <w:color w:val="auto"/>
                <w:sz w:val="18"/>
                <w:szCs w:val="18"/>
                <w:highlight w:val="none"/>
                <w:u w:val="none"/>
                <w:lang w:val="en-US" w:eastAsia="zh-CN"/>
              </w:rPr>
              <w:t>该项经费由上级部门预算直接下达，本部门无需做该项预算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6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2050999</w:t>
            </w:r>
          </w:p>
        </w:tc>
        <w:tc>
          <w:tcPr>
            <w:tcW w:w="106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其他教育费附加安排的支出</w:t>
            </w:r>
          </w:p>
        </w:tc>
        <w:tc>
          <w:tcPr>
            <w:tcW w:w="91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99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1.08</w:t>
            </w:r>
          </w:p>
        </w:tc>
        <w:tc>
          <w:tcPr>
            <w:tcW w:w="8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lang w:val="en-US" w:eastAsia="zh-CN"/>
              </w:rPr>
            </w:pPr>
          </w:p>
        </w:tc>
        <w:tc>
          <w:tcPr>
            <w:tcW w:w="189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i w:val="0"/>
                <w:iCs w:val="0"/>
                <w:color w:val="auto"/>
                <w:sz w:val="18"/>
                <w:szCs w:val="18"/>
                <w:highlight w:val="none"/>
                <w:u w:val="none"/>
                <w:lang w:val="en-US" w:eastAsia="zh-CN"/>
              </w:rPr>
              <w:t>学校协管员工资项目支出</w:t>
            </w:r>
          </w:p>
        </w:tc>
        <w:tc>
          <w:tcPr>
            <w:tcW w:w="171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i w:val="0"/>
                <w:iCs w:val="0"/>
                <w:color w:val="auto"/>
                <w:sz w:val="18"/>
                <w:szCs w:val="18"/>
                <w:highlight w:val="none"/>
                <w:u w:val="none"/>
                <w:lang w:val="en-US" w:eastAsia="zh-CN"/>
              </w:rPr>
              <w:t>该项经费由上级部门预算直接下达，本部门无需做该项预算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6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6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1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1232.03</w:t>
            </w:r>
          </w:p>
        </w:tc>
        <w:tc>
          <w:tcPr>
            <w:tcW w:w="99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1772.62</w:t>
            </w:r>
          </w:p>
        </w:tc>
        <w:tc>
          <w:tcPr>
            <w:tcW w:w="8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143.88%</w:t>
            </w:r>
          </w:p>
        </w:tc>
        <w:tc>
          <w:tcPr>
            <w:tcW w:w="189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71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8"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widowControl w:val="0"/>
        <w:numPr>
          <w:ilvl w:val="0"/>
          <w:numId w:val="2"/>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社会保障和就业支出</w:t>
      </w:r>
      <w:r>
        <w:rPr>
          <w:rFonts w:ascii="仿宋" w:hAnsi="仿宋" w:eastAsia="仿宋"/>
          <w:sz w:val="32"/>
          <w:u w:color="auto"/>
        </w:rPr>
        <w:t>（208</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189.18</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172.97</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91.43</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原因是：学校在职、聘用人员减少，单位基本养老保险缴费支出相应减少</w:t>
      </w:r>
      <w:r>
        <w:rPr>
          <w:rFonts w:hint="eastAsia" w:ascii="仿宋" w:hAnsi="仿宋" w:eastAsia="仿宋" w:cs="仿宋"/>
          <w:color w:val="auto"/>
          <w:kern w:val="2"/>
          <w:sz w:val="32"/>
          <w:szCs w:val="32"/>
          <w:highlight w:val="none"/>
          <w:lang w:val="en-US" w:eastAsia="zh-CN" w:bidi="ar"/>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189.18</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172.97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91.43%</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学校教职工基本养老保险缴费支出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学校在职、聘用人员减少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189.18</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172.97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91.43%</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0"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widowControl w:val="0"/>
        <w:numPr>
          <w:ilvl w:val="0"/>
          <w:numId w:val="2"/>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住房保障支出</w:t>
      </w:r>
      <w:r>
        <w:rPr>
          <w:rFonts w:ascii="仿宋" w:hAnsi="仿宋" w:eastAsia="仿宋"/>
          <w:sz w:val="32"/>
          <w:u w:color="auto"/>
        </w:rPr>
        <w:t>（221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141.88</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133.77</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94.28</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原因是：学校在职、聘用人员减少，单位住房公积金支出相应减少</w:t>
      </w:r>
      <w:r>
        <w:rPr>
          <w:rFonts w:hint="eastAsia" w:ascii="仿宋" w:hAnsi="仿宋" w:eastAsia="仿宋" w:cs="仿宋"/>
          <w:color w:val="auto"/>
          <w:kern w:val="2"/>
          <w:sz w:val="32"/>
          <w:szCs w:val="32"/>
          <w:highlight w:val="none"/>
          <w:lang w:val="en-US" w:eastAsia="zh-CN" w:bidi="ar"/>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2210201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住房公积金</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141.88</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133.77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94.28%</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学校教职工住房公积金缴费支出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学校在职、聘用人员减少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141.88</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133.77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94.28%</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2"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jc w:val="center"/>
        <w:rPr>
          <w:rFonts w:hint="eastAsia" w:ascii="仿宋" w:hAnsi="仿宋" w:eastAsia="仿宋" w:cs="仿宋"/>
          <w:sz w:val="32"/>
          <w:szCs w:val="32"/>
          <w:highlight w:val="none"/>
        </w:rPr>
      </w:pPr>
    </w:p>
    <w:p>
      <w:pPr>
        <w:keepNext w:val="0"/>
        <w:keepLines w:val="0"/>
        <w:widowControl w:val="0"/>
        <w:numPr>
          <w:ilvl w:val="0"/>
          <w:numId w:val="2"/>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其他支出</w:t>
      </w:r>
      <w:r>
        <w:rPr>
          <w:rFonts w:ascii="仿宋" w:hAnsi="仿宋" w:eastAsia="仿宋"/>
          <w:sz w:val="32"/>
          <w:u w:color="auto"/>
        </w:rPr>
        <w:t>（229</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万元，支出决算为199.16万元。</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原因是：2023年度内本部门根据上级文件要求发放的奖励性补贴</w:t>
      </w:r>
      <w:r>
        <w:rPr>
          <w:rFonts w:hint="eastAsia" w:ascii="仿宋" w:hAnsi="仿宋" w:eastAsia="仿宋" w:cs="仿宋"/>
          <w:color w:val="auto"/>
          <w:kern w:val="2"/>
          <w:sz w:val="32"/>
          <w:szCs w:val="32"/>
          <w:highlight w:val="none"/>
          <w:lang w:val="en-US" w:eastAsia="zh-CN" w:bidi="ar"/>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p>
      <w:pPr>
        <w:jc w:val="left"/>
        <w:rPr>
          <w:rFonts w:hint="eastAsia" w:ascii="仿宋" w:hAnsi="仿宋" w:eastAsia="仿宋"/>
          <w:sz w:val="32"/>
          <w:szCs w:val="32"/>
          <w:highlight w:val="none"/>
        </w:rPr>
      </w:pP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2299999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199.16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学校奖励性补贴支出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该资金由上级部门做预算直接下达，本部门无需做预算。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199.16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4"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三、202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年度一般公共预算财政拨款基本支出决算情况说明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环江毛南族自治县东兴镇中心小学</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年度一般公共预算财政拨款基本支出1971.46万元，</w:t>
      </w:r>
      <w:r>
        <w:rPr>
          <w:rFonts w:hint="default" w:ascii="仿宋_GB2312" w:hAnsi="微软雅黑" w:eastAsia="仿宋_GB2312" w:cs="仿宋_GB2312"/>
          <w:i w:val="0"/>
          <w:iCs w:val="0"/>
          <w:caps w:val="0"/>
          <w:color w:val="000000"/>
          <w:spacing w:val="0"/>
          <w:sz w:val="31"/>
          <w:szCs w:val="31"/>
          <w:highlight w:val="none"/>
          <w:shd w:val="clear" w:color="auto" w:fill="FFFFFF"/>
        </w:rPr>
        <w:t>其中：人员经费支出</w:t>
      </w:r>
      <w:r>
        <w:rPr>
          <w:rFonts w:hint="eastAsia" w:ascii="仿宋" w:hAnsi="仿宋" w:eastAsia="仿宋" w:cs="仿宋"/>
          <w:sz w:val="32"/>
          <w:szCs w:val="32"/>
          <w:highlight w:val="none"/>
        </w:rPr>
        <w:t>1948.73</w:t>
      </w:r>
      <w:r>
        <w:rPr>
          <w:rFonts w:hint="default" w:ascii="仿宋_GB2312" w:hAnsi="微软雅黑" w:eastAsia="仿宋_GB2312" w:cs="仿宋_GB2312"/>
          <w:i w:val="0"/>
          <w:iCs w:val="0"/>
          <w:caps w:val="0"/>
          <w:color w:val="000000"/>
          <w:spacing w:val="0"/>
          <w:sz w:val="31"/>
          <w:szCs w:val="31"/>
          <w:highlight w:val="none"/>
          <w:shd w:val="clear" w:color="auto" w:fill="FFFFFF"/>
        </w:rPr>
        <w:t>万元，公用经费支出</w:t>
      </w:r>
      <w:r>
        <w:rPr>
          <w:rFonts w:hint="eastAsia" w:ascii="仿宋" w:hAnsi="仿宋" w:eastAsia="仿宋" w:cs="仿宋"/>
          <w:sz w:val="32"/>
          <w:szCs w:val="32"/>
          <w:highlight w:val="none"/>
        </w:rPr>
        <w:t>22.73</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 w:hAnsi="仿宋" w:eastAsia="仿宋" w:cs="仿宋"/>
          <w:sz w:val="32"/>
          <w:szCs w:val="32"/>
          <w:highlight w:val="none"/>
        </w:rPr>
        <w:t>支出具体情况如下：</w:t>
      </w:r>
    </w:p>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ind w:left="0" w:leftChars="0" w:right="0" w:firstLine="640" w:firstLineChars="200"/>
        <w:jc w:val="left"/>
        <w:textAlignment w:val="auto"/>
        <w:rPr>
          <w:rFonts w:ascii="仿宋" w:hAnsi="仿宋" w:eastAsia="仿宋" w:cs="仿宋"/>
          <w:color w:val="FF0000"/>
          <w:sz w:val="32"/>
          <w:szCs w:val="32"/>
          <w:highlight w:val="none"/>
        </w:rPr>
      </w:pPr>
      <w:r>
        <w:rPr>
          <w:rFonts w:hint="eastAsia" w:ascii="仿宋" w:hAnsi="仿宋" w:eastAsia="仿宋" w:cs="仿宋"/>
          <w:sz w:val="32"/>
          <w:szCs w:val="32"/>
          <w:highlight w:val="none"/>
        </w:rPr>
        <w:t>工资福利支出1830.92</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123.46</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主要原因是：2023年人员工资提高，机关事业养老保险等缴费基数提高，住房公积金缴费基数提高等，工资福利支出有所增加</w:t>
      </w:r>
      <w:r>
        <w:rPr>
          <w:rFonts w:hint="eastAsia" w:ascii="仿宋" w:hAnsi="仿宋" w:eastAsia="仿宋" w:cs="仿宋"/>
          <w:color w:val="auto"/>
          <w:kern w:val="2"/>
          <w:sz w:val="32"/>
          <w:szCs w:val="32"/>
          <w:highlight w:val="none"/>
          <w:lang w:val="en-US" w:eastAsia="zh-CN" w:bidi="ar"/>
        </w:rPr>
        <w:t>。</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30101基本工资515.96万元，30102津贴补贴173.45万元，30103奖金509.78万元，30107绩效工资246.24万元，30108机关事业单位基本养老保险缴费172.97万元，30110职工基本医疗保险缴费70.07万元，30112其他社会保障缴费8.69万元，30113住房公积金133.77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jc w:val="both"/>
        <w:rPr>
          <w:rFonts w:hint="eastAsia" w:ascii="仿宋" w:hAnsi="仿宋" w:eastAsia="仿宋" w:cs="仿宋"/>
          <w:sz w:val="32"/>
          <w:szCs w:val="32"/>
          <w:highlight w:val="none"/>
        </w:rPr>
      </w:pPr>
    </w:p>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ind w:left="0" w:leftChars="0" w:right="0" w:firstLine="640" w:firstLineChars="200"/>
        <w:jc w:val="left"/>
        <w:textAlignment w:val="auto"/>
        <w:rPr>
          <w:rFonts w:ascii="仿宋" w:hAnsi="仿宋" w:eastAsia="仿宋" w:cs="仿宋"/>
          <w:color w:val="FF0000"/>
          <w:sz w:val="32"/>
          <w:szCs w:val="32"/>
          <w:highlight w:val="none"/>
        </w:rPr>
      </w:pPr>
      <w:r>
        <w:rPr>
          <w:rFonts w:hint="eastAsia" w:ascii="仿宋" w:hAnsi="仿宋" w:eastAsia="仿宋" w:cs="仿宋"/>
          <w:sz w:val="32"/>
          <w:szCs w:val="32"/>
          <w:highlight w:val="none"/>
        </w:rPr>
        <w:t>商品和服务支出</w:t>
      </w:r>
      <w:r>
        <w:rPr>
          <w:rFonts w:hint="eastAsia" w:ascii="仿宋" w:hAnsi="仿宋" w:eastAsia="仿宋" w:cs="仿宋"/>
          <w:sz w:val="32"/>
          <w:szCs w:val="32"/>
          <w:highlight w:val="none"/>
          <w:lang w:val="en-US" w:eastAsia="zh-CN"/>
        </w:rPr>
        <w:t>22.73</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100</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用于学校工会活动支出</w:t>
      </w:r>
      <w:r>
        <w:rPr>
          <w:rFonts w:hint="eastAsia" w:ascii="仿宋" w:hAnsi="仿宋" w:eastAsia="仿宋" w:cs="仿宋"/>
          <w:color w:val="auto"/>
          <w:kern w:val="2"/>
          <w:sz w:val="32"/>
          <w:szCs w:val="32"/>
          <w:highlight w:val="none"/>
          <w:lang w:val="en-US" w:eastAsia="zh-CN" w:bidi="ar"/>
        </w:rPr>
        <w:t>。</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30201办公费0.00万元，30205水费0.00万元，30206电费0.00万元，30207邮电费0.00万元，30209物业管理费0.00万元，30211差旅费0.00万元，30213维修（护）费0.00万元，30218专用材料费0.00万元，30226劳务费0.00万元，30228工会经费22.73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8"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jc w:val="both"/>
        <w:rPr>
          <w:rFonts w:hint="eastAsia" w:ascii="仿宋" w:hAnsi="仿宋" w:eastAsia="仿宋" w:cs="仿宋"/>
          <w:sz w:val="32"/>
          <w:szCs w:val="32"/>
          <w:highlight w:val="none"/>
        </w:rPr>
      </w:pPr>
    </w:p>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ind w:left="0" w:leftChars="0" w:right="0" w:firstLine="640" w:firstLineChars="200"/>
        <w:jc w:val="left"/>
        <w:textAlignment w:val="auto"/>
        <w:rPr>
          <w:rFonts w:ascii="仿宋" w:hAnsi="仿宋" w:eastAsia="仿宋" w:cs="仿宋"/>
          <w:color w:val="FF0000"/>
          <w:sz w:val="32"/>
          <w:szCs w:val="32"/>
          <w:highlight w:val="none"/>
        </w:rPr>
      </w:pPr>
      <w:r>
        <w:rPr>
          <w:rFonts w:hint="eastAsia" w:ascii="仿宋" w:hAnsi="仿宋" w:eastAsia="仿宋" w:cs="仿宋"/>
          <w:sz w:val="32"/>
          <w:szCs w:val="32"/>
          <w:highlight w:val="none"/>
        </w:rPr>
        <w:t>对个人和家庭的补助117.81</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151.12</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主要原因是：年退有新增退休人员。</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30305生活补助117.8万元，30308助学金0.00万元，30309奖励金0.01万元，30399其他对个人和家庭的补助0.00万元。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0"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jc w:val="both"/>
        <w:rPr>
          <w:rFonts w:hint="eastAsia" w:ascii="仿宋" w:hAnsi="仿宋" w:eastAsia="仿宋" w:cs="仿宋"/>
          <w:sz w:val="32"/>
          <w:szCs w:val="32"/>
          <w:highlight w:val="none"/>
        </w:rPr>
      </w:pPr>
    </w:p>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ind w:left="0" w:leftChars="0" w:right="0" w:firstLine="640" w:firstLineChars="200"/>
        <w:jc w:val="left"/>
        <w:textAlignment w:val="auto"/>
        <w:rPr>
          <w:rFonts w:ascii="仿宋" w:hAnsi="仿宋" w:eastAsia="仿宋" w:cs="仿宋"/>
          <w:color w:val="FF0000"/>
          <w:sz w:val="32"/>
          <w:szCs w:val="32"/>
          <w:highlight w:val="none"/>
        </w:rPr>
      </w:pPr>
      <w:r>
        <w:rPr>
          <w:rFonts w:hint="eastAsia" w:ascii="仿宋" w:hAnsi="仿宋" w:eastAsia="仿宋" w:cs="仿宋"/>
          <w:sz w:val="32"/>
          <w:szCs w:val="32"/>
          <w:highlight w:val="none"/>
        </w:rPr>
        <w:t>债务利息及费用支出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主要原因是：本单位部门2023年度无债务利息及费用支出</w:t>
      </w:r>
      <w:r>
        <w:rPr>
          <w:rFonts w:hint="eastAsia" w:ascii="仿宋" w:hAnsi="仿宋" w:eastAsia="仿宋" w:cs="仿宋"/>
          <w:color w:val="auto"/>
          <w:kern w:val="2"/>
          <w:sz w:val="32"/>
          <w:szCs w:val="32"/>
          <w:highlight w:val="none"/>
          <w:lang w:val="en-US" w:eastAsia="zh-CN" w:bidi="ar"/>
        </w:rPr>
        <w:t>。</w:t>
      </w:r>
    </w:p>
    <w:p>
      <w:pPr>
        <w:jc w:val="left"/>
        <w:rPr>
          <w:rFonts w:hint="default" w:ascii="仿宋" w:hAnsi="仿宋" w:eastAsia="仿宋" w:cs="仿宋"/>
          <w:sz w:val="32"/>
          <w:szCs w:val="32"/>
          <w:highlight w:val="none"/>
          <w:lang w:val="en-US" w:eastAsia="zh-CN"/>
        </w:rPr>
      </w:pP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2"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ind w:left="0" w:leftChars="0" w:right="0" w:firstLine="640" w:firstLineChars="200"/>
        <w:jc w:val="left"/>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t>资本性支出</w:t>
      </w:r>
      <w:r>
        <w:rPr>
          <w:rFonts w:hint="eastAsia" w:ascii="仿宋" w:hAnsi="仿宋" w:eastAsia="仿宋" w:cs="仿宋"/>
          <w:sz w:val="32"/>
          <w:szCs w:val="32"/>
          <w:highlight w:val="none"/>
          <w:lang w:val="en-US" w:eastAsia="zh-CN"/>
        </w:rPr>
        <w:t>0.00</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主要原因是：学校在2023年度无资本性支出</w:t>
      </w:r>
      <w:r>
        <w:rPr>
          <w:rFonts w:hint="eastAsia" w:ascii="仿宋" w:hAnsi="仿宋" w:eastAsia="仿宋" w:cs="仿宋"/>
          <w:color w:val="auto"/>
          <w:kern w:val="2"/>
          <w:sz w:val="32"/>
          <w:szCs w:val="32"/>
          <w:highlight w:val="none"/>
          <w:lang w:val="en-US" w:eastAsia="zh-CN" w:bidi="ar"/>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0795"/>
            <wp:docPr id="24"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其他支出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eastAsia" w:ascii="仿宋" w:hAnsi="仿宋" w:eastAsia="仿宋" w:cs="仿宋"/>
          <w:sz w:val="32"/>
          <w:szCs w:val="32"/>
          <w:highlight w:val="none"/>
          <w:lang w:eastAsia="zh-CN"/>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主要原因是：本单位部门2023年度无其他支出</w:t>
      </w:r>
      <w:r>
        <w:rPr>
          <w:rFonts w:hint="eastAsia" w:ascii="仿宋" w:hAnsi="仿宋" w:eastAsia="仿宋" w:cs="仿宋"/>
          <w:color w:val="auto"/>
          <w:kern w:val="2"/>
          <w:sz w:val="32"/>
          <w:szCs w:val="32"/>
          <w:highlight w:val="none"/>
          <w:lang w:val="en-US" w:eastAsia="zh-CN" w:bidi="ar"/>
        </w:rPr>
        <w:t>。</w:t>
      </w:r>
    </w:p>
    <w:p>
      <w:pPr>
        <w:jc w:val="left"/>
        <w:rPr>
          <w:rFonts w:hint="default" w:ascii="仿宋" w:hAnsi="仿宋" w:eastAsia="仿宋" w:cs="仿宋"/>
          <w:sz w:val="32"/>
          <w:szCs w:val="32"/>
          <w:highlight w:val="none"/>
          <w:lang w:val="en-US" w:eastAsia="zh-CN"/>
        </w:rPr>
      </w:pP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81195" cy="2826385"/>
            <wp:effectExtent l="4445" t="4445" r="10160" b="19050"/>
            <wp:docPr id="2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jc w:val="left"/>
        <w:rPr>
          <w:rFonts w:ascii="仿宋" w:hAnsi="仿宋" w:eastAsia="仿宋" w:cs="仿宋"/>
          <w:sz w:val="32"/>
          <w:szCs w:val="32"/>
          <w:highlight w:val="none"/>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四、202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年度政府性基金支出决算情况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环江毛南族自治县东兴镇中心小学</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年度政府性基金支出</w:t>
      </w:r>
      <w:r>
        <w:rPr>
          <w:rFonts w:hint="eastAsia" w:ascii="仿宋" w:hAnsi="仿宋" w:eastAsia="仿宋" w:cs="仿宋"/>
          <w:sz w:val="32"/>
          <w:szCs w:val="32"/>
          <w:highlight w:val="none"/>
          <w:lang w:val="en-US" w:eastAsia="zh-CN"/>
        </w:rPr>
        <w:t>3.04</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val="en-US" w:eastAsia="zh-CN"/>
        </w:rPr>
        <w:t>增加1.59</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增长109.66</w:t>
      </w:r>
      <w:r>
        <w:rPr>
          <w:rFonts w:ascii="仿宋" w:hAnsi="仿宋" w:eastAsia="仿宋" w:cs="仿宋"/>
          <w:sz w:val="32"/>
          <w:szCs w:val="32"/>
          <w:highlight w:val="none"/>
        </w:rPr>
        <w:t>%</w:t>
      </w:r>
      <w:r>
        <w:rPr>
          <w:rFonts w:hint="eastAsia" w:ascii="仿宋" w:hAnsi="仿宋" w:eastAsia="仿宋" w:cs="仿宋"/>
          <w:sz w:val="32"/>
          <w:szCs w:val="32"/>
          <w:highlight w:val="none"/>
        </w:rPr>
        <w:t>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hint="eastAsia" w:ascii="仿宋" w:hAnsi="仿宋" w:eastAsia="仿宋" w:cs="仿宋"/>
          <w:sz w:val="32"/>
          <w:szCs w:val="32"/>
          <w:highlight w:val="none"/>
          <w:lang w:val="en-US" w:eastAsia="zh-CN"/>
        </w:rPr>
        <w:t>3.04</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环江毛南族自治县东兴镇中心小学</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年度政府性基金支出年初预算为</w:t>
      </w:r>
      <w:r>
        <w:rPr>
          <w:rFonts w:hint="eastAsia" w:ascii="仿宋" w:hAnsi="仿宋" w:eastAsia="仿宋" w:cs="仿宋"/>
          <w:sz w:val="32"/>
          <w:szCs w:val="32"/>
          <w:highlight w:val="none"/>
          <w:lang w:val="en-US" w:eastAsia="zh-CN"/>
        </w:rPr>
        <w:t>1.52</w:t>
      </w:r>
      <w:r>
        <w:rPr>
          <w:rFonts w:hint="eastAsia" w:ascii="仿宋" w:hAnsi="仿宋" w:eastAsia="仿宋" w:cs="仿宋"/>
          <w:sz w:val="32"/>
          <w:szCs w:val="32"/>
          <w:highlight w:val="none"/>
        </w:rPr>
        <w:t>万元，支出决算为</w:t>
      </w:r>
      <w:r>
        <w:rPr>
          <w:rFonts w:hint="eastAsia" w:ascii="仿宋" w:hAnsi="仿宋" w:eastAsia="仿宋" w:cs="仿宋"/>
          <w:sz w:val="32"/>
          <w:szCs w:val="32"/>
          <w:highlight w:val="none"/>
          <w:lang w:val="en-US" w:eastAsia="zh-CN"/>
        </w:rPr>
        <w:t>3.04</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2</w:t>
      </w:r>
      <w:r>
        <w:rPr>
          <w:rFonts w:ascii="仿宋" w:hAnsi="仿宋" w:eastAsia="仿宋" w:cs="仿宋"/>
          <w:sz w:val="32"/>
          <w:szCs w:val="32"/>
          <w:highlight w:val="none"/>
        </w:rPr>
        <w:t>00%</w:t>
      </w:r>
      <w:r>
        <w:rPr>
          <w:rFonts w:hint="eastAsia" w:ascii="仿宋" w:hAnsi="仿宋" w:eastAsia="仿宋" w:cs="仿宋"/>
          <w:sz w:val="32"/>
          <w:szCs w:val="32"/>
          <w:highlight w:val="none"/>
        </w:rPr>
        <w:t>。</w:t>
      </w:r>
    </w:p>
    <w:p>
      <w:pPr>
        <w:keepNext w:val="0"/>
        <w:keepLines w:val="0"/>
        <w:widowControl w:val="0"/>
        <w:numPr>
          <w:ilvl w:val="0"/>
          <w:numId w:val="4"/>
        </w:numPr>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rPr>
      </w:pPr>
      <w:r>
        <w:rPr>
          <w:rFonts w:ascii="仿宋" w:hAnsi="仿宋" w:eastAsia="仿宋" w:cs="仿宋"/>
          <w:color w:val="000000"/>
          <w:sz w:val="32"/>
          <w:u w:color="auto"/>
        </w:rPr>
        <w:t>其他支出</w:t>
      </w:r>
      <w:r>
        <w:rPr>
          <w:rFonts w:hint="eastAsia" w:ascii="仿宋" w:hAnsi="仿宋" w:eastAsia="仿宋" w:cs="仿宋"/>
          <w:color w:val="000000"/>
          <w:sz w:val="32"/>
          <w:szCs w:val="32"/>
          <w:shd w:val="clear" w:color="auto" w:fill="FFFFFF"/>
        </w:rPr>
        <w:t>（类）</w:t>
      </w:r>
      <w:r>
        <w:rPr>
          <w:rFonts w:hint="eastAsia" w:ascii="仿宋" w:hAnsi="仿宋" w:eastAsia="仿宋" w:cs="仿宋"/>
          <w:color w:val="000000"/>
          <w:sz w:val="32"/>
          <w:szCs w:val="32"/>
          <w:shd w:val="clear" w:color="auto" w:fill="FFFFFF"/>
          <w:lang w:val="en-US" w:eastAsia="zh-CN"/>
        </w:rPr>
        <w:t>彩票公益金安排的支出</w:t>
      </w:r>
      <w:r>
        <w:rPr>
          <w:rFonts w:hint="eastAsia" w:ascii="仿宋" w:hAnsi="仿宋" w:eastAsia="仿宋" w:cs="仿宋"/>
          <w:color w:val="000000"/>
          <w:sz w:val="32"/>
          <w:szCs w:val="32"/>
          <w:shd w:val="clear" w:color="auto" w:fill="FFFFFF"/>
        </w:rPr>
        <w:t>（款</w:t>
      </w:r>
      <w:r>
        <w:rPr>
          <w:rFonts w:hint="eastAsia" w:ascii="仿宋_GB2312" w:hAnsi="仿宋_GB2312" w:eastAsia="仿宋_GB2312" w:cs="仿宋_GB2312"/>
          <w:color w:val="000000"/>
          <w:sz w:val="32"/>
          <w:szCs w:val="32"/>
          <w:shd w:val="clear" w:color="auto" w:fill="FFFFFF"/>
          <w:lang w:eastAsia="zh-CN"/>
        </w:rPr>
        <w:t>）</w:t>
      </w:r>
      <w:r>
        <w:rPr>
          <w:rFonts w:hint="eastAsia" w:ascii="仿宋" w:hAnsi="仿宋" w:eastAsia="仿宋" w:cs="仿宋"/>
          <w:color w:val="000000"/>
          <w:sz w:val="32"/>
          <w:szCs w:val="32"/>
          <w:shd w:val="clear" w:color="auto" w:fill="FFFFFF"/>
          <w:lang w:val="en-US" w:eastAsia="zh-CN"/>
        </w:rPr>
        <w:t xml:space="preserve">  用于教育事业的彩票公益金支出</w:t>
      </w:r>
      <w:r>
        <w:rPr>
          <w:rFonts w:hint="eastAsia" w:ascii="仿宋" w:hAnsi="仿宋" w:eastAsia="仿宋" w:cs="仿宋"/>
          <w:color w:val="000000"/>
          <w:sz w:val="32"/>
          <w:szCs w:val="32"/>
          <w:shd w:val="clear" w:color="auto" w:fill="FFFFFF"/>
        </w:rPr>
        <w:t>（项）年初预算为</w:t>
      </w:r>
      <w:r>
        <w:rPr>
          <w:rFonts w:hint="eastAsia" w:ascii="仿宋" w:hAnsi="仿宋" w:eastAsia="仿宋" w:cs="仿宋"/>
          <w:color w:val="000000"/>
          <w:sz w:val="32"/>
          <w:szCs w:val="32"/>
          <w:shd w:val="clear" w:color="auto" w:fill="FFFFFF"/>
          <w:lang w:val="en-US" w:eastAsia="zh-CN"/>
        </w:rPr>
        <w:t>1.52</w:t>
      </w:r>
      <w:r>
        <w:rPr>
          <w:rFonts w:hint="eastAsia" w:ascii="仿宋" w:hAnsi="仿宋" w:eastAsia="仿宋" w:cs="仿宋"/>
          <w:color w:val="000000"/>
          <w:sz w:val="32"/>
          <w:szCs w:val="32"/>
          <w:shd w:val="clear" w:color="auto" w:fill="FFFFFF"/>
        </w:rPr>
        <w:t>万元，支出决算为</w:t>
      </w:r>
      <w:r>
        <w:rPr>
          <w:rFonts w:hint="eastAsia" w:ascii="仿宋" w:hAnsi="仿宋" w:eastAsia="仿宋" w:cs="仿宋"/>
          <w:color w:val="000000"/>
          <w:sz w:val="32"/>
          <w:szCs w:val="32"/>
          <w:shd w:val="clear" w:color="auto" w:fill="FFFFFF"/>
          <w:lang w:val="en-US" w:eastAsia="zh-CN"/>
        </w:rPr>
        <w:t>3.04</w:t>
      </w:r>
      <w:r>
        <w:rPr>
          <w:rFonts w:hint="eastAsia" w:ascii="仿宋" w:hAnsi="仿宋" w:eastAsia="仿宋" w:cs="仿宋"/>
          <w:color w:val="000000"/>
          <w:sz w:val="32"/>
          <w:szCs w:val="32"/>
          <w:shd w:val="clear" w:color="auto" w:fill="FFFFFF"/>
        </w:rPr>
        <w:t>万元，完成年初预算的</w:t>
      </w:r>
      <w:r>
        <w:rPr>
          <w:rFonts w:hint="eastAsia" w:ascii="仿宋" w:hAnsi="仿宋" w:eastAsia="仿宋" w:cs="仿宋"/>
          <w:color w:val="000000"/>
          <w:sz w:val="32"/>
          <w:szCs w:val="32"/>
          <w:shd w:val="clear" w:color="auto" w:fill="FFFFFF"/>
          <w:lang w:val="en-US" w:eastAsia="zh-CN"/>
        </w:rPr>
        <w:t>2</w:t>
      </w:r>
      <w:r>
        <w:rPr>
          <w:rFonts w:ascii="仿宋" w:hAnsi="仿宋" w:eastAsia="仿宋" w:cs="仿宋"/>
          <w:color w:val="000000"/>
          <w:sz w:val="32"/>
          <w:u w:color="auto"/>
        </w:rPr>
        <w:t>00%</w:t>
      </w:r>
      <w:r>
        <w:rPr>
          <w:rFonts w:hint="eastAsia" w:ascii="仿宋" w:hAnsi="仿宋" w:eastAsia="仿宋" w:cs="仿宋"/>
          <w:color w:val="000000"/>
          <w:sz w:val="32"/>
          <w:szCs w:val="32"/>
          <w:shd w:val="clear" w:color="auto" w:fill="FFFFFF"/>
        </w:rPr>
        <w:t>。</w:t>
      </w:r>
      <w:r>
        <w:rPr>
          <w:rFonts w:hint="eastAsia" w:ascii="仿宋" w:hAnsi="仿宋" w:eastAsia="仿宋" w:cs="仿宋"/>
          <w:sz w:val="32"/>
          <w:szCs w:val="32"/>
          <w:highlight w:val="none"/>
          <w:lang w:val="en-US" w:eastAsia="zh-CN"/>
        </w:rPr>
        <w:t>该政府性基金为中央专项彩票公益金支持乡村学校少年宫项目经费，用于建设及开展学校少年宫活动支出</w:t>
      </w:r>
      <w:r>
        <w:rPr>
          <w:rFonts w:hint="eastAsia" w:ascii="仿宋" w:hAnsi="仿宋" w:eastAsia="仿宋" w:cs="仿宋"/>
          <w:sz w:val="32"/>
          <w:szCs w:val="32"/>
          <w:highlight w:val="none"/>
        </w:rPr>
        <w:t>。</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五、202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年度国有资本经营预算支出决算情况</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环江毛南族自治县东兴镇中心小学</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年度国有资本经营预算支出</w:t>
      </w:r>
      <w:r>
        <w:rPr>
          <w:rFonts w:ascii="仿宋" w:hAnsi="仿宋" w:eastAsia="仿宋" w:cs="仿宋"/>
          <w:sz w:val="32"/>
          <w:szCs w:val="32"/>
          <w:highlight w:val="none"/>
        </w:rPr>
        <w:t>0</w:t>
      </w:r>
      <w:r>
        <w:rPr>
          <w:rFonts w:hint="eastAsia" w:ascii="仿宋" w:hAnsi="仿宋" w:eastAsia="仿宋" w:cs="仿宋"/>
          <w:sz w:val="32"/>
          <w:szCs w:val="32"/>
          <w:highlight w:val="none"/>
          <w:lang w:val="en-US" w:eastAsia="zh-CN"/>
        </w:rPr>
        <w:t>.</w:t>
      </w:r>
      <w:r>
        <w:rPr>
          <w:rFonts w:ascii="仿宋" w:hAnsi="仿宋" w:eastAsia="仿宋" w:cs="仿宋"/>
          <w:sz w:val="32"/>
          <w:szCs w:val="32"/>
          <w:highlight w:val="none"/>
        </w:rPr>
        <w:t>00</w:t>
      </w:r>
      <w:r>
        <w:rPr>
          <w:rFonts w:hint="eastAsia" w:ascii="仿宋" w:hAnsi="仿宋" w:eastAsia="仿宋" w:cs="仿宋"/>
          <w:sz w:val="32"/>
          <w:szCs w:val="32"/>
          <w:highlight w:val="none"/>
        </w:rPr>
        <w:t>万元。其中：基本支出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bookmarkStart w:id="4" w:name="PO_part3A5B1C1DiffReason1"/>
      <w:r>
        <w:rPr>
          <w:rFonts w:hint="eastAsia" w:ascii="仿宋" w:hAnsi="仿宋" w:eastAsia="仿宋" w:cs="仿宋"/>
          <w:sz w:val="32"/>
          <w:szCs w:val="32"/>
          <w:highlight w:val="none"/>
          <w:lang w:val="en-US" w:eastAsia="zh-CN"/>
        </w:rPr>
        <w:t>环江毛南族自治县东兴镇中心小学2023年度没有国有资本经营预算收入，也没有国有资本经营预算安排的支出。</w:t>
      </w:r>
      <w:bookmarkEnd w:id="4"/>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ascii="仿宋" w:hAnsi="仿宋" w:eastAsia="仿宋" w:cs="仿宋"/>
          <w:sz w:val="32"/>
          <w:szCs w:val="32"/>
          <w:highlight w:val="none"/>
        </w:rPr>
      </w:pPr>
      <w:r>
        <w:rPr>
          <w:rFonts w:hint="eastAsia" w:ascii="黑体" w:hAnsi="黑体" w:eastAsia="黑体" w:cs="黑体"/>
          <w:sz w:val="32"/>
          <w:szCs w:val="32"/>
          <w:highlight w:val="none"/>
        </w:rPr>
        <w:t>六、财政拨款“三公”经费支出决算情况说明</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年度一般公共预算财政拨款安排的“三公”经费支出</w:t>
      </w:r>
      <w:r>
        <w:rPr>
          <w:rFonts w:hint="eastAsia" w:ascii="仿宋" w:hAnsi="仿宋" w:eastAsia="仿宋" w:cs="仿宋"/>
          <w:sz w:val="32"/>
          <w:szCs w:val="32"/>
          <w:highlight w:val="none"/>
          <w:lang w:val="en-US" w:eastAsia="zh-CN"/>
        </w:rPr>
        <w:t>0.00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主要原因是：本单位部门2023年度没有</w:t>
      </w:r>
      <w:r>
        <w:rPr>
          <w:rFonts w:hint="eastAsia" w:ascii="仿宋" w:hAnsi="仿宋" w:eastAsia="仿宋" w:cs="仿宋"/>
          <w:sz w:val="32"/>
          <w:szCs w:val="32"/>
          <w:highlight w:val="none"/>
        </w:rPr>
        <w:t>一般公共预算财政拨款安排的“三公”经费支出</w:t>
      </w:r>
      <w:r>
        <w:rPr>
          <w:rFonts w:hint="eastAsia" w:ascii="仿宋" w:hAnsi="仿宋" w:eastAsia="仿宋" w:cs="仿宋"/>
          <w:color w:val="auto"/>
          <w:kern w:val="2"/>
          <w:sz w:val="32"/>
          <w:szCs w:val="32"/>
          <w:highlight w:val="none"/>
          <w:lang w:val="en-US" w:eastAsia="zh-CN" w:bidi="ar"/>
        </w:rPr>
        <w:t>。</w:t>
      </w:r>
      <w:r>
        <w:rPr>
          <w:rFonts w:hint="eastAsia" w:ascii="仿宋" w:hAnsi="仿宋" w:eastAsia="仿宋" w:cs="仿宋"/>
          <w:color w:val="000000" w:themeColor="text1"/>
          <w:sz w:val="32"/>
          <w:szCs w:val="32"/>
          <w:highlight w:val="none"/>
          <w14:textFill>
            <w14:solidFill>
              <w14:schemeClr w14:val="tx1"/>
            </w14:solidFill>
          </w14:textFill>
        </w:rPr>
        <w:t>其中：因公出国（境）费支出决算</w:t>
      </w:r>
      <w:r>
        <w:rPr>
          <w:rFonts w:ascii="仿宋" w:hAnsi="仿宋" w:eastAsia="仿宋" w:cs="仿宋"/>
          <w:color w:val="000000" w:themeColor="text1"/>
          <w:sz w:val="32"/>
          <w:szCs w:val="32"/>
          <w:highlight w:val="none"/>
          <w14:textFill>
            <w14:solidFill>
              <w14:schemeClr w14:val="tx1"/>
            </w14:solidFill>
          </w14:textFill>
        </w:rPr>
        <w:t>0.00</w:t>
      </w:r>
      <w:r>
        <w:rPr>
          <w:rFonts w:hint="eastAsia" w:ascii="仿宋" w:hAnsi="仿宋" w:eastAsia="仿宋" w:cs="仿宋"/>
          <w:sz w:val="32"/>
          <w:szCs w:val="32"/>
          <w:highlight w:val="none"/>
        </w:rPr>
        <w:t>万元，公务用车购置及运行费支出决算</w:t>
      </w:r>
      <w:r>
        <w:rPr>
          <w:rFonts w:ascii="仿宋" w:hAnsi="仿宋" w:eastAsia="仿宋" w:cs="仿宋"/>
          <w:sz w:val="32"/>
          <w:szCs w:val="32"/>
          <w:highlight w:val="none"/>
        </w:rPr>
        <w:t>0.00</w:t>
      </w:r>
      <w:r>
        <w:rPr>
          <w:rFonts w:hint="eastAsia" w:ascii="仿宋" w:hAnsi="仿宋" w:eastAsia="仿宋" w:cs="仿宋"/>
          <w:sz w:val="32"/>
          <w:szCs w:val="32"/>
          <w:highlight w:val="none"/>
        </w:rPr>
        <w:t>万元，公务接待费支出决算</w:t>
      </w:r>
      <w:r>
        <w:rPr>
          <w:rFonts w:hint="eastAsia" w:ascii="仿宋" w:hAnsi="仿宋" w:eastAsia="仿宋" w:cs="仿宋"/>
          <w:sz w:val="32"/>
          <w:szCs w:val="32"/>
          <w:highlight w:val="none"/>
          <w:lang w:val="en-US" w:eastAsia="zh-CN"/>
        </w:rPr>
        <w:t>0.00</w:t>
      </w:r>
      <w:r>
        <w:rPr>
          <w:rFonts w:hint="eastAsia" w:ascii="仿宋" w:hAnsi="仿宋" w:eastAsia="仿宋" w:cs="仿宋"/>
          <w:sz w:val="32"/>
          <w:szCs w:val="32"/>
          <w:highlight w:val="none"/>
        </w:rPr>
        <w:t>万元。</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具体情况如下：</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（一）因公出国（境）费支出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，比上年</w:t>
      </w:r>
      <w:r>
        <w:rPr>
          <w:rFonts w:ascii="仿宋" w:hAnsi="仿宋" w:eastAsia="仿宋" w:cs="仿宋"/>
          <w:sz w:val="32"/>
          <w:szCs w:val="32"/>
          <w:highlight w:val="none"/>
        </w:rPr>
        <w:t>增加0.00</w:t>
      </w:r>
      <w:r>
        <w:rPr>
          <w:rFonts w:hint="eastAsia" w:ascii="仿宋" w:hAnsi="仿宋" w:eastAsia="仿宋" w:cs="仿宋"/>
          <w:sz w:val="32"/>
          <w:szCs w:val="32"/>
          <w:highlight w:val="none"/>
        </w:rPr>
        <w:t xml:space="preserve"> 万元。全年因公出国（境）团组共计</w:t>
      </w:r>
      <w:r>
        <w:rPr>
          <w:rFonts w:ascii="仿宋" w:hAnsi="仿宋" w:eastAsia="仿宋" w:cs="仿宋"/>
          <w:sz w:val="32"/>
          <w:szCs w:val="32"/>
          <w:highlight w:val="none"/>
        </w:rPr>
        <w:t>0</w:t>
      </w:r>
      <w:r>
        <w:rPr>
          <w:rFonts w:hint="eastAsia" w:ascii="仿宋" w:hAnsi="仿宋" w:eastAsia="仿宋" w:cs="仿宋"/>
          <w:sz w:val="32"/>
          <w:szCs w:val="32"/>
          <w:highlight w:val="none"/>
        </w:rPr>
        <w:t>个，累计</w:t>
      </w:r>
      <w:r>
        <w:rPr>
          <w:rFonts w:ascii="仿宋" w:hAnsi="仿宋" w:eastAsia="仿宋" w:cs="仿宋"/>
          <w:sz w:val="32"/>
          <w:szCs w:val="32"/>
          <w:highlight w:val="none"/>
        </w:rPr>
        <w:t>0</w:t>
      </w:r>
      <w:r>
        <w:rPr>
          <w:rFonts w:hint="eastAsia" w:ascii="仿宋" w:hAnsi="仿宋" w:eastAsia="仿宋" w:cs="仿宋"/>
          <w:sz w:val="32"/>
          <w:szCs w:val="32"/>
          <w:highlight w:val="none"/>
        </w:rPr>
        <w:t>人次。</w:t>
      </w:r>
      <w:r>
        <w:rPr>
          <w:rFonts w:hint="eastAsia" w:ascii="仿宋" w:hAnsi="仿宋" w:eastAsia="仿宋" w:cs="仿宋"/>
          <w:color w:val="000000" w:themeColor="text1"/>
          <w:sz w:val="32"/>
          <w:szCs w:val="32"/>
          <w:highlight w:val="none"/>
          <w14:textFill>
            <w14:solidFill>
              <w14:schemeClr w14:val="tx1"/>
            </w14:solidFill>
          </w14:textFill>
        </w:rPr>
        <w:t>主要原因是：</w:t>
      </w:r>
      <w:r>
        <w:rPr>
          <w:rFonts w:hint="eastAsia" w:ascii="仿宋" w:hAnsi="仿宋" w:eastAsia="仿宋" w:cs="仿宋"/>
          <w:color w:val="000000" w:themeColor="text1"/>
          <w:sz w:val="32"/>
          <w:szCs w:val="32"/>
          <w:highlight w:val="none"/>
          <w:lang w:val="en-US" w:eastAsia="zh-CN"/>
          <w14:textFill>
            <w14:solidFill>
              <w14:schemeClr w14:val="tx1"/>
            </w14:solidFill>
          </w14:textFill>
        </w:rPr>
        <w:t>本单位部门2023年度没有</w:t>
      </w:r>
      <w:r>
        <w:rPr>
          <w:rFonts w:hint="eastAsia" w:ascii="仿宋" w:hAnsi="仿宋" w:eastAsia="仿宋" w:cs="仿宋"/>
          <w:sz w:val="32"/>
          <w:szCs w:val="32"/>
          <w:highlight w:val="none"/>
        </w:rPr>
        <w:t>因公出国（境）费支出</w:t>
      </w:r>
      <w:r>
        <w:rPr>
          <w:rFonts w:hint="eastAsia" w:ascii="仿宋" w:hAnsi="仿宋" w:eastAsia="仿宋" w:cs="仿宋"/>
          <w:sz w:val="32"/>
          <w:szCs w:val="32"/>
          <w:highlight w:val="none"/>
          <w:lang w:eastAsia="zh-CN"/>
        </w:rPr>
        <w:t>。</w:t>
      </w:r>
    </w:p>
    <w:p>
      <w:pPr>
        <w:ind w:firstLine="640" w:firstLineChars="200"/>
        <w:jc w:val="left"/>
        <w:rPr>
          <w:rFonts w:hint="eastAsia" w:ascii="仿宋" w:hAnsi="仿宋" w:eastAsia="仿宋" w:cs="仿宋"/>
          <w:color w:val="FF0000"/>
          <w:sz w:val="32"/>
          <w:szCs w:val="32"/>
        </w:rPr>
      </w:pPr>
      <w:r>
        <w:rPr>
          <w:rFonts w:hint="eastAsia" w:ascii="仿宋" w:hAnsi="仿宋" w:eastAsia="仿宋" w:cs="仿宋"/>
          <w:sz w:val="32"/>
          <w:szCs w:val="32"/>
          <w:highlight w:val="none"/>
        </w:rPr>
        <w:t>（二）公务用车购置及运行维护费</w:t>
      </w:r>
      <w:r>
        <w:rPr>
          <w:rFonts w:ascii="仿宋" w:hAnsi="仿宋" w:eastAsia="仿宋" w:cs="仿宋"/>
          <w:sz w:val="32"/>
          <w:u w:color="auto"/>
        </w:rPr>
        <w:t>0.00</w:t>
      </w:r>
      <w:r>
        <w:rPr>
          <w:rFonts w:hint="eastAsia" w:ascii="仿宋" w:hAnsi="仿宋" w:eastAsia="仿宋" w:cs="仿宋"/>
          <w:sz w:val="32"/>
          <w:szCs w:val="32"/>
          <w:highlight w:val="none"/>
        </w:rPr>
        <w:t>万元。其中：公务用车购置支出</w:t>
      </w:r>
      <w:r>
        <w:rPr>
          <w:rFonts w:ascii="仿宋" w:hAnsi="仿宋" w:eastAsia="仿宋" w:cs="仿宋"/>
          <w:sz w:val="32"/>
          <w:u w:color="auto"/>
        </w:rPr>
        <w:t>0.00</w:t>
      </w:r>
      <w:r>
        <w:rPr>
          <w:rFonts w:hint="eastAsia" w:ascii="仿宋" w:hAnsi="仿宋" w:eastAsia="仿宋" w:cs="仿宋"/>
          <w:sz w:val="32"/>
          <w:szCs w:val="32"/>
          <w:highlight w:val="none"/>
        </w:rPr>
        <w:t>万元，完成年初预算的</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增加0.00</w:t>
      </w:r>
      <w:r>
        <w:rPr>
          <w:rFonts w:hint="eastAsia" w:ascii="仿宋" w:hAnsi="仿宋" w:eastAsia="仿宋" w:cs="仿宋"/>
          <w:sz w:val="32"/>
          <w:szCs w:val="32"/>
          <w:highlight w:val="none"/>
        </w:rPr>
        <w:t xml:space="preserve"> 万元。</w:t>
      </w:r>
      <w:r>
        <w:rPr>
          <w:rFonts w:hint="eastAsia" w:ascii="仿宋" w:hAnsi="仿宋" w:eastAsia="仿宋" w:cs="仿宋"/>
          <w:color w:val="000000" w:themeColor="text1"/>
          <w:sz w:val="32"/>
          <w:szCs w:val="32"/>
          <w:highlight w:val="none"/>
          <w14:textFill>
            <w14:solidFill>
              <w14:schemeClr w14:val="tx1"/>
            </w14:solidFill>
          </w14:textFill>
        </w:rPr>
        <w:t>主要原因是：</w:t>
      </w:r>
      <w:r>
        <w:rPr>
          <w:rFonts w:hint="eastAsia" w:ascii="仿宋" w:hAnsi="仿宋" w:eastAsia="仿宋" w:cs="仿宋"/>
          <w:color w:val="000000" w:themeColor="text1"/>
          <w:sz w:val="32"/>
          <w:szCs w:val="32"/>
          <w:highlight w:val="none"/>
          <w:lang w:val="en-US" w:eastAsia="zh-CN"/>
          <w14:textFill>
            <w14:solidFill>
              <w14:schemeClr w14:val="tx1"/>
            </w14:solidFill>
          </w14:textFill>
        </w:rPr>
        <w:t>本单位部门2023年度没有</w:t>
      </w:r>
      <w:r>
        <w:rPr>
          <w:rFonts w:hint="eastAsia" w:ascii="仿宋" w:hAnsi="仿宋" w:eastAsia="仿宋" w:cs="仿宋"/>
          <w:sz w:val="32"/>
          <w:szCs w:val="32"/>
          <w:highlight w:val="none"/>
        </w:rPr>
        <w:t>公务用车购置</w:t>
      </w:r>
      <w:r>
        <w:rPr>
          <w:rFonts w:hint="eastAsia" w:ascii="仿宋" w:hAnsi="仿宋" w:eastAsia="仿宋" w:cs="仿宋"/>
          <w:sz w:val="32"/>
          <w:szCs w:val="32"/>
          <w:highlight w:val="none"/>
          <w:lang w:val="en-US" w:eastAsia="zh-CN"/>
        </w:rPr>
        <w:t>支出</w:t>
      </w:r>
      <w:r>
        <w:rPr>
          <w:rFonts w:hint="eastAsia" w:ascii="仿宋" w:hAnsi="仿宋" w:eastAsia="仿宋" w:cs="仿宋"/>
          <w:sz w:val="32"/>
          <w:szCs w:val="32"/>
          <w:highlight w:val="none"/>
          <w:lang w:eastAsia="zh-CN"/>
        </w:rPr>
        <w:t>。</w:t>
      </w:r>
    </w:p>
    <w:p>
      <w:pPr>
        <w:ind w:firstLine="640" w:firstLineChars="20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公务用车运行维护支出</w:t>
      </w:r>
      <w:r>
        <w:rPr>
          <w:rFonts w:ascii="仿宋" w:hAnsi="仿宋" w:eastAsia="仿宋" w:cs="仿宋"/>
          <w:sz w:val="32"/>
          <w:u w:color="auto"/>
        </w:rPr>
        <w:t>0.00</w:t>
      </w:r>
      <w:r>
        <w:rPr>
          <w:rFonts w:hint="eastAsia" w:ascii="仿宋" w:hAnsi="仿宋" w:eastAsia="仿宋" w:cs="仿宋"/>
          <w:sz w:val="32"/>
          <w:szCs w:val="32"/>
          <w:highlight w:val="none"/>
        </w:rPr>
        <w:t>万元，完成年初预算的</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增加0.00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主要原因是：</w:t>
      </w:r>
      <w:r>
        <w:rPr>
          <w:rFonts w:hint="eastAsia" w:ascii="仿宋" w:hAnsi="仿宋" w:eastAsia="仿宋" w:cs="仿宋"/>
          <w:color w:val="000000" w:themeColor="text1"/>
          <w:sz w:val="32"/>
          <w:szCs w:val="32"/>
          <w:highlight w:val="none"/>
          <w:lang w:val="en-US" w:eastAsia="zh-CN"/>
          <w14:textFill>
            <w14:solidFill>
              <w14:schemeClr w14:val="tx1"/>
            </w14:solidFill>
          </w14:textFill>
        </w:rPr>
        <w:t>本单位部门2023年度没有</w:t>
      </w:r>
      <w:r>
        <w:rPr>
          <w:rFonts w:hint="eastAsia" w:ascii="仿宋" w:hAnsi="仿宋" w:eastAsia="仿宋" w:cs="仿宋"/>
          <w:sz w:val="32"/>
          <w:szCs w:val="32"/>
          <w:highlight w:val="none"/>
        </w:rPr>
        <w:t>公务用车运行维护费</w:t>
      </w:r>
      <w:r>
        <w:rPr>
          <w:rFonts w:hint="eastAsia" w:ascii="仿宋" w:hAnsi="仿宋" w:eastAsia="仿宋" w:cs="仿宋"/>
          <w:sz w:val="32"/>
          <w:szCs w:val="32"/>
          <w:highlight w:val="none"/>
          <w:lang w:val="en-US" w:eastAsia="zh-CN"/>
        </w:rPr>
        <w:t>支出</w:t>
      </w:r>
      <w:r>
        <w:rPr>
          <w:rFonts w:hint="eastAsia" w:ascii="仿宋" w:hAnsi="仿宋" w:eastAsia="仿宋" w:cs="仿宋"/>
          <w:sz w:val="32"/>
          <w:szCs w:val="32"/>
          <w:highlight w:val="none"/>
          <w:lang w:eastAsia="zh-CN"/>
        </w:rPr>
        <w:t>。</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（三）公务接待费支出</w:t>
      </w:r>
      <w:r>
        <w:rPr>
          <w:rFonts w:hint="eastAsia" w:ascii="仿宋" w:hAnsi="仿宋" w:eastAsia="仿宋" w:cs="仿宋"/>
          <w:sz w:val="32"/>
          <w:szCs w:val="32"/>
          <w:highlight w:val="none"/>
          <w:lang w:val="en-US" w:eastAsia="zh-CN"/>
        </w:rPr>
        <w:t>0.00</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0</w:t>
      </w:r>
      <w:r>
        <w:rPr>
          <w:rFonts w:ascii="仿宋" w:hAnsi="仿宋" w:eastAsia="仿宋" w:cs="仿宋"/>
          <w:sz w:val="32"/>
          <w:szCs w:val="32"/>
          <w:highlight w:val="none"/>
        </w:rPr>
        <w:t>%</w:t>
      </w:r>
      <w:r>
        <w:rPr>
          <w:rFonts w:hint="eastAsia" w:ascii="仿宋" w:hAnsi="仿宋" w:eastAsia="仿宋" w:cs="仿宋"/>
          <w:sz w:val="32"/>
          <w:szCs w:val="32"/>
          <w:highlight w:val="none"/>
        </w:rPr>
        <w:t>， 比上年</w:t>
      </w:r>
      <w:r>
        <w:rPr>
          <w:rFonts w:ascii="仿宋" w:hAnsi="仿宋" w:eastAsia="仿宋" w:cs="仿宋"/>
          <w:sz w:val="32"/>
          <w:szCs w:val="32"/>
          <w:highlight w:val="none"/>
        </w:rPr>
        <w:t>增加</w:t>
      </w:r>
      <w:r>
        <w:rPr>
          <w:rFonts w:hint="eastAsia" w:ascii="仿宋" w:hAnsi="仿宋" w:eastAsia="仿宋" w:cs="仿宋"/>
          <w:sz w:val="32"/>
          <w:szCs w:val="32"/>
          <w:highlight w:val="none"/>
          <w:lang w:val="en-US" w:eastAsia="zh-CN"/>
        </w:rPr>
        <w:t>0.00</w:t>
      </w:r>
      <w:r>
        <w:rPr>
          <w:rFonts w:hint="eastAsia" w:ascii="仿宋" w:hAnsi="仿宋" w:eastAsia="仿宋" w:cs="仿宋"/>
          <w:sz w:val="32"/>
          <w:szCs w:val="32"/>
          <w:highlight w:val="none"/>
        </w:rPr>
        <w:t>万元，</w:t>
      </w:r>
      <w:r>
        <w:rPr>
          <w:rFonts w:hint="eastAsia" w:ascii="仿宋" w:hAnsi="仿宋" w:eastAsia="仿宋" w:cs="仿宋"/>
          <w:color w:val="auto"/>
          <w:kern w:val="2"/>
          <w:sz w:val="32"/>
          <w:szCs w:val="32"/>
          <w:highlight w:val="none"/>
          <w:lang w:val="en-US" w:eastAsia="zh-CN" w:bidi="ar"/>
        </w:rPr>
        <w:t>主要原因是：</w:t>
      </w:r>
      <w:r>
        <w:rPr>
          <w:rFonts w:hint="eastAsia" w:ascii="仿宋" w:hAnsi="仿宋" w:eastAsia="仿宋" w:cs="仿宋"/>
          <w:color w:val="000000" w:themeColor="text1"/>
          <w:sz w:val="32"/>
          <w:szCs w:val="32"/>
          <w:highlight w:val="none"/>
          <w:lang w:val="en-US" w:eastAsia="zh-CN"/>
          <w14:textFill>
            <w14:solidFill>
              <w14:schemeClr w14:val="tx1"/>
            </w14:solidFill>
          </w14:textFill>
        </w:rPr>
        <w:t>本单位部门2023年度没有</w:t>
      </w:r>
      <w:r>
        <w:rPr>
          <w:rFonts w:hint="eastAsia" w:ascii="仿宋" w:hAnsi="仿宋" w:eastAsia="仿宋" w:cs="仿宋"/>
          <w:sz w:val="32"/>
          <w:szCs w:val="32"/>
          <w:highlight w:val="none"/>
        </w:rPr>
        <w:t>公务接待费支出</w:t>
      </w:r>
      <w:r>
        <w:rPr>
          <w:rFonts w:hint="eastAsia" w:ascii="仿宋" w:hAnsi="仿宋" w:eastAsia="仿宋" w:cs="仿宋"/>
          <w:sz w:val="32"/>
          <w:szCs w:val="32"/>
          <w:highlight w:val="none"/>
          <w:lang w:eastAsia="zh-CN"/>
        </w:rPr>
        <w:t>。</w:t>
      </w:r>
      <w:r>
        <w:rPr>
          <w:rFonts w:hint="eastAsia" w:ascii="仿宋" w:hAnsi="仿宋" w:eastAsia="仿宋" w:cs="仿宋"/>
          <w:color w:val="000000" w:themeColor="text1"/>
          <w:sz w:val="32"/>
          <w:szCs w:val="32"/>
          <w:highlight w:val="none"/>
          <w14:textFill>
            <w14:solidFill>
              <w14:schemeClr w14:val="tx1"/>
            </w14:solidFill>
          </w14:textFill>
        </w:rPr>
        <w:t>国内公务接待批次</w:t>
      </w:r>
      <w:r>
        <w:rPr>
          <w:rFonts w:hint="eastAsia" w:ascii="仿宋" w:hAnsi="仿宋" w:eastAsia="仿宋" w:cs="仿宋"/>
          <w:color w:val="000000" w:themeColor="text1"/>
          <w:sz w:val="32"/>
          <w:szCs w:val="32"/>
          <w:highlight w:val="none"/>
          <w:lang w:val="en-US" w:eastAsia="zh-CN"/>
          <w14:textFill>
            <w14:solidFill>
              <w14:schemeClr w14:val="tx1"/>
            </w14:solidFill>
          </w14:textFill>
        </w:rPr>
        <w:t>0</w:t>
      </w:r>
      <w:r>
        <w:rPr>
          <w:rFonts w:hint="eastAsia" w:ascii="仿宋" w:hAnsi="仿宋" w:eastAsia="仿宋" w:cs="仿宋"/>
          <w:sz w:val="32"/>
          <w:szCs w:val="32"/>
          <w:highlight w:val="none"/>
        </w:rPr>
        <w:t>次，人次</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次，国（境）外公务接待批次</w:t>
      </w:r>
      <w:r>
        <w:rPr>
          <w:rFonts w:ascii="仿宋" w:hAnsi="仿宋" w:eastAsia="仿宋" w:cs="仿宋"/>
          <w:sz w:val="32"/>
          <w:szCs w:val="32"/>
          <w:highlight w:val="none"/>
        </w:rPr>
        <w:t>0</w:t>
      </w:r>
      <w:r>
        <w:rPr>
          <w:rFonts w:hint="eastAsia" w:ascii="仿宋" w:hAnsi="仿宋" w:eastAsia="仿宋" w:cs="仿宋"/>
          <w:sz w:val="32"/>
          <w:szCs w:val="32"/>
          <w:highlight w:val="none"/>
        </w:rPr>
        <w:t>次，人次</w:t>
      </w:r>
      <w:r>
        <w:rPr>
          <w:rFonts w:ascii="仿宋" w:hAnsi="仿宋" w:eastAsia="仿宋" w:cs="仿宋"/>
          <w:sz w:val="32"/>
          <w:szCs w:val="32"/>
          <w:highlight w:val="none"/>
        </w:rPr>
        <w:t>0</w:t>
      </w:r>
      <w:r>
        <w:rPr>
          <w:rFonts w:hint="eastAsia" w:ascii="仿宋" w:hAnsi="仿宋" w:eastAsia="仿宋" w:cs="仿宋"/>
          <w:sz w:val="32"/>
          <w:szCs w:val="32"/>
          <w:highlight w:val="none"/>
        </w:rPr>
        <w:t>次。</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ascii="仿宋" w:hAnsi="仿宋" w:eastAsia="仿宋" w:cs="仿宋"/>
          <w:sz w:val="32"/>
          <w:szCs w:val="32"/>
          <w:highlight w:val="none"/>
        </w:rPr>
      </w:pPr>
      <w:r>
        <w:rPr>
          <w:rFonts w:hint="eastAsia" w:ascii="黑体" w:hAnsi="黑体" w:eastAsia="黑体" w:cs="黑体"/>
          <w:sz w:val="32"/>
          <w:szCs w:val="32"/>
          <w:highlight w:val="none"/>
        </w:rPr>
        <w:t>七、其他重要事项情况说明</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ascii="黑体" w:hAnsi="黑体" w:eastAsia="黑体" w:cs="黑体"/>
          <w:sz w:val="32"/>
          <w:szCs w:val="32"/>
          <w:highlight w:val="none"/>
        </w:rPr>
      </w:pPr>
      <w:r>
        <w:rPr>
          <w:rFonts w:hint="eastAsia" w:ascii="黑体" w:hAnsi="黑体" w:eastAsia="黑体" w:cs="黑体"/>
          <w:sz w:val="32"/>
          <w:szCs w:val="32"/>
          <w:highlight w:val="none"/>
        </w:rPr>
        <w:t xml:space="preserve">（一） </w:t>
      </w:r>
      <w:r>
        <w:rPr>
          <w:rFonts w:hint="eastAsia" w:ascii="楷体_GB2312" w:eastAsia="楷体_GB2312" w:cs="仿宋_GB2312"/>
          <w:kern w:val="0"/>
          <w:sz w:val="32"/>
          <w:szCs w:val="32"/>
        </w:rPr>
        <w:t>机关运行经费支出情况说明</w:t>
      </w:r>
    </w:p>
    <w:p>
      <w:pPr>
        <w:autoSpaceDE w:val="0"/>
        <w:autoSpaceDN w:val="0"/>
        <w:adjustRightInd w:val="0"/>
        <w:spacing w:line="560" w:lineRule="exact"/>
        <w:ind w:firstLine="640" w:firstLineChars="200"/>
        <w:jc w:val="both"/>
        <w:rPr>
          <w:rFonts w:hint="eastAsia" w:ascii="仿宋" w:hAnsi="仿宋" w:eastAsia="仿宋" w:cs="仿宋"/>
          <w:color w:val="FF0000"/>
          <w:sz w:val="32"/>
          <w:szCs w:val="32"/>
          <w:highlight w:val="none"/>
        </w:rPr>
      </w:pPr>
      <w:r>
        <w:rPr>
          <w:rFonts w:hint="eastAsia" w:ascii="仿宋" w:hAnsi="仿宋" w:eastAsia="仿宋" w:cs="仿宋"/>
          <w:color w:val="auto"/>
          <w:sz w:val="32"/>
          <w:szCs w:val="32"/>
          <w:highlight w:val="none"/>
          <w:lang w:val="en-US" w:eastAsia="zh-CN"/>
        </w:rPr>
        <w:t>2023年度本部门无机关运行经费支出。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ascii="黑体" w:hAnsi="黑体" w:eastAsia="黑体" w:cs="黑体"/>
          <w:sz w:val="32"/>
          <w:szCs w:val="32"/>
          <w:highlight w:val="none"/>
        </w:rPr>
      </w:pPr>
      <w:r>
        <w:rPr>
          <w:rFonts w:hint="eastAsia" w:ascii="黑体" w:hAnsi="黑体" w:eastAsia="黑体" w:cs="黑体"/>
          <w:sz w:val="32"/>
          <w:szCs w:val="32"/>
          <w:highlight w:val="none"/>
        </w:rPr>
        <w:t>（二）政府采购支出情况说明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本部门202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年度政府采购支出总额</w:t>
      </w:r>
      <w:r>
        <w:rPr>
          <w:rFonts w:hint="eastAsia" w:ascii="仿宋" w:hAnsi="仿宋" w:eastAsia="仿宋" w:cs="仿宋"/>
          <w:sz w:val="32"/>
          <w:szCs w:val="32"/>
          <w:highlight w:val="none"/>
          <w:lang w:val="en-US" w:eastAsia="zh-CN"/>
        </w:rPr>
        <w:t>4.33</w:t>
      </w:r>
      <w:r>
        <w:rPr>
          <w:rFonts w:hint="eastAsia" w:ascii="仿宋" w:hAnsi="仿宋" w:eastAsia="仿宋" w:cs="仿宋"/>
          <w:sz w:val="32"/>
          <w:szCs w:val="32"/>
          <w:highlight w:val="none"/>
        </w:rPr>
        <w:t>万元，其中：政府采购货物支出</w:t>
      </w:r>
      <w:r>
        <w:rPr>
          <w:rFonts w:hint="eastAsia" w:ascii="仿宋" w:hAnsi="仿宋" w:eastAsia="仿宋" w:cs="仿宋"/>
          <w:sz w:val="32"/>
          <w:szCs w:val="32"/>
          <w:highlight w:val="none"/>
          <w:lang w:val="en-US" w:eastAsia="zh-CN"/>
        </w:rPr>
        <w:t>4.33</w:t>
      </w:r>
      <w:r>
        <w:rPr>
          <w:rFonts w:hint="eastAsia" w:ascii="仿宋" w:hAnsi="仿宋" w:eastAsia="仿宋" w:cs="仿宋"/>
          <w:sz w:val="32"/>
          <w:szCs w:val="32"/>
          <w:highlight w:val="none"/>
        </w:rPr>
        <w:t>万元、政府采购工程支出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万元、政府采购服务支出</w:t>
      </w:r>
      <w:r>
        <w:rPr>
          <w:rFonts w:hint="eastAsia" w:ascii="仿宋" w:hAnsi="仿宋" w:eastAsia="仿宋" w:cs="仿宋"/>
          <w:sz w:val="32"/>
          <w:szCs w:val="32"/>
          <w:highlight w:val="none"/>
          <w:lang w:val="en-US" w:eastAsia="zh-CN"/>
        </w:rPr>
        <w:t>0.00</w:t>
      </w:r>
      <w:r>
        <w:rPr>
          <w:rFonts w:hint="eastAsia" w:ascii="仿宋" w:hAnsi="仿宋" w:eastAsia="仿宋" w:cs="仿宋"/>
          <w:sz w:val="32"/>
          <w:szCs w:val="32"/>
          <w:highlight w:val="none"/>
        </w:rPr>
        <w:t>万元。授予中小企业合同金额</w:t>
      </w:r>
      <w:r>
        <w:rPr>
          <w:rFonts w:hint="eastAsia" w:ascii="仿宋" w:hAnsi="仿宋" w:eastAsia="仿宋" w:cs="仿宋"/>
          <w:sz w:val="32"/>
          <w:szCs w:val="32"/>
          <w:highlight w:val="none"/>
          <w:lang w:val="en-US" w:eastAsia="zh-CN"/>
        </w:rPr>
        <w:t>4.33</w:t>
      </w:r>
      <w:r>
        <w:rPr>
          <w:rFonts w:hint="eastAsia" w:ascii="仿宋" w:hAnsi="仿宋" w:eastAsia="仿宋" w:cs="仿宋"/>
          <w:sz w:val="32"/>
          <w:szCs w:val="32"/>
          <w:highlight w:val="none"/>
        </w:rPr>
        <w:t>万元，占政府采购支出总额的</w:t>
      </w:r>
      <w:r>
        <w:rPr>
          <w:rFonts w:hint="eastAsia" w:ascii="仿宋" w:hAnsi="仿宋" w:eastAsia="仿宋" w:cs="仿宋"/>
          <w:sz w:val="32"/>
          <w:szCs w:val="32"/>
          <w:highlight w:val="none"/>
          <w:lang w:val="en-US" w:eastAsia="zh-CN"/>
        </w:rPr>
        <w:t>100</w:t>
      </w:r>
      <w:r>
        <w:rPr>
          <w:rFonts w:ascii="仿宋" w:hAnsi="仿宋" w:eastAsia="仿宋" w:cs="仿宋"/>
          <w:sz w:val="32"/>
          <w:szCs w:val="32"/>
          <w:highlight w:val="none"/>
        </w:rPr>
        <w:t>%</w:t>
      </w:r>
      <w:r>
        <w:rPr>
          <w:rFonts w:hint="eastAsia" w:ascii="仿宋" w:hAnsi="仿宋" w:eastAsia="仿宋" w:cs="仿宋"/>
          <w:sz w:val="32"/>
          <w:szCs w:val="32"/>
          <w:highlight w:val="none"/>
        </w:rPr>
        <w:t>，其中：授予小微企业合同金额</w:t>
      </w:r>
      <w:r>
        <w:rPr>
          <w:rFonts w:hint="eastAsia" w:ascii="仿宋" w:hAnsi="仿宋" w:eastAsia="仿宋" w:cs="仿宋"/>
          <w:sz w:val="32"/>
          <w:szCs w:val="32"/>
          <w:highlight w:val="none"/>
          <w:lang w:val="en-US" w:eastAsia="zh-CN"/>
        </w:rPr>
        <w:t>4.33</w:t>
      </w:r>
      <w:r>
        <w:rPr>
          <w:rFonts w:hint="eastAsia" w:ascii="仿宋" w:hAnsi="仿宋" w:eastAsia="仿宋" w:cs="仿宋"/>
          <w:sz w:val="32"/>
          <w:szCs w:val="32"/>
          <w:highlight w:val="none"/>
        </w:rPr>
        <w:t>万元，占授予中小企业合同金额的</w:t>
      </w:r>
      <w:r>
        <w:rPr>
          <w:rFonts w:hint="eastAsia" w:ascii="仿宋" w:hAnsi="仿宋" w:eastAsia="仿宋" w:cs="仿宋"/>
          <w:sz w:val="32"/>
          <w:szCs w:val="32"/>
          <w:highlight w:val="none"/>
          <w:lang w:val="en-US" w:eastAsia="zh-CN"/>
        </w:rPr>
        <w:t>100</w:t>
      </w:r>
      <w:r>
        <w:rPr>
          <w:rFonts w:ascii="仿宋" w:hAnsi="仿宋" w:eastAsia="仿宋" w:cs="仿宋"/>
          <w:sz w:val="32"/>
          <w:szCs w:val="32"/>
          <w:highlight w:val="none"/>
        </w:rPr>
        <w:t>%</w:t>
      </w:r>
      <w:r>
        <w:rPr>
          <w:rFonts w:hint="eastAsia" w:ascii="仿宋" w:hAnsi="仿宋" w:eastAsia="仿宋" w:cs="仿宋"/>
          <w:sz w:val="32"/>
          <w:szCs w:val="32"/>
          <w:highlight w:val="none"/>
        </w:rPr>
        <w:t>。</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ascii="仿宋" w:hAnsi="仿宋" w:eastAsia="仿宋" w:cs="仿宋"/>
          <w:sz w:val="32"/>
          <w:szCs w:val="32"/>
          <w:highlight w:val="none"/>
        </w:rPr>
      </w:pPr>
      <w:r>
        <w:rPr>
          <w:rFonts w:hint="eastAsia" w:ascii="黑体" w:hAnsi="黑体" w:eastAsia="黑体" w:cs="黑体"/>
          <w:sz w:val="32"/>
          <w:szCs w:val="32"/>
          <w:highlight w:val="none"/>
        </w:rPr>
        <w:t>（三）国有资产占用情况说明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截至202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年12月31日，本部门共有车辆</w:t>
      </w:r>
      <w:r>
        <w:rPr>
          <w:rFonts w:ascii="仿宋" w:hAnsi="仿宋" w:eastAsia="仿宋" w:cs="仿宋"/>
          <w:sz w:val="32"/>
          <w:szCs w:val="32"/>
          <w:highlight w:val="none"/>
        </w:rPr>
        <w:t>0</w:t>
      </w:r>
      <w:r>
        <w:rPr>
          <w:rFonts w:hint="eastAsia" w:ascii="仿宋" w:hAnsi="仿宋" w:eastAsia="仿宋" w:cs="仿宋"/>
          <w:sz w:val="32"/>
          <w:szCs w:val="32"/>
          <w:highlight w:val="none"/>
        </w:rPr>
        <w:t>辆，其中：副部（省）级领导干部用车</w:t>
      </w:r>
      <w:r>
        <w:rPr>
          <w:rFonts w:ascii="仿宋" w:hAnsi="仿宋" w:eastAsia="仿宋" w:cs="仿宋"/>
          <w:sz w:val="32"/>
          <w:szCs w:val="32"/>
          <w:highlight w:val="none"/>
        </w:rPr>
        <w:t>0</w:t>
      </w:r>
      <w:r>
        <w:rPr>
          <w:rFonts w:hint="eastAsia" w:ascii="仿宋" w:hAnsi="仿宋" w:eastAsia="仿宋" w:cs="仿宋"/>
          <w:sz w:val="32"/>
          <w:szCs w:val="32"/>
          <w:highlight w:val="none"/>
        </w:rPr>
        <w:t>辆、机要通信用车</w:t>
      </w:r>
      <w:r>
        <w:rPr>
          <w:rFonts w:ascii="仿宋" w:hAnsi="仿宋" w:eastAsia="仿宋" w:cs="仿宋"/>
          <w:sz w:val="32"/>
          <w:szCs w:val="32"/>
          <w:highlight w:val="none"/>
        </w:rPr>
        <w:t>0</w:t>
      </w:r>
      <w:r>
        <w:rPr>
          <w:rFonts w:hint="eastAsia" w:ascii="仿宋" w:hAnsi="仿宋" w:eastAsia="仿宋" w:cs="仿宋"/>
          <w:sz w:val="32"/>
          <w:szCs w:val="32"/>
          <w:highlight w:val="none"/>
        </w:rPr>
        <w:t>辆、应急保障用车</w:t>
      </w:r>
      <w:r>
        <w:rPr>
          <w:rFonts w:ascii="仿宋" w:hAnsi="仿宋" w:eastAsia="仿宋" w:cs="仿宋"/>
          <w:sz w:val="32"/>
          <w:szCs w:val="32"/>
          <w:highlight w:val="none"/>
        </w:rPr>
        <w:t>0</w:t>
      </w:r>
      <w:r>
        <w:rPr>
          <w:rFonts w:hint="eastAsia" w:ascii="仿宋" w:hAnsi="仿宋" w:eastAsia="仿宋" w:cs="仿宋"/>
          <w:sz w:val="32"/>
          <w:szCs w:val="32"/>
          <w:highlight w:val="none"/>
        </w:rPr>
        <w:t>辆、执法执勤用车</w:t>
      </w:r>
      <w:r>
        <w:rPr>
          <w:rFonts w:ascii="仿宋" w:hAnsi="仿宋" w:eastAsia="仿宋" w:cs="仿宋"/>
          <w:sz w:val="32"/>
          <w:szCs w:val="32"/>
          <w:highlight w:val="none"/>
        </w:rPr>
        <w:t>0</w:t>
      </w:r>
      <w:r>
        <w:rPr>
          <w:rFonts w:hint="eastAsia" w:ascii="仿宋" w:hAnsi="仿宋" w:eastAsia="仿宋" w:cs="仿宋"/>
          <w:sz w:val="32"/>
          <w:szCs w:val="32"/>
          <w:highlight w:val="none"/>
        </w:rPr>
        <w:t>辆、特种专业技术用车</w:t>
      </w:r>
      <w:r>
        <w:rPr>
          <w:rFonts w:ascii="仿宋" w:hAnsi="仿宋" w:eastAsia="仿宋" w:cs="仿宋"/>
          <w:sz w:val="32"/>
          <w:szCs w:val="32"/>
          <w:highlight w:val="none"/>
        </w:rPr>
        <w:t>0</w:t>
      </w:r>
      <w:r>
        <w:rPr>
          <w:rFonts w:hint="eastAsia" w:ascii="仿宋" w:hAnsi="仿宋" w:eastAsia="仿宋" w:cs="仿宋"/>
          <w:sz w:val="32"/>
          <w:szCs w:val="32"/>
          <w:highlight w:val="none"/>
        </w:rPr>
        <w:t>辆、其他用车</w:t>
      </w:r>
      <w:r>
        <w:rPr>
          <w:rFonts w:ascii="仿宋" w:hAnsi="仿宋" w:eastAsia="仿宋" w:cs="仿宋"/>
          <w:sz w:val="32"/>
          <w:szCs w:val="32"/>
          <w:highlight w:val="none"/>
        </w:rPr>
        <w:t>0</w:t>
      </w:r>
      <w:r>
        <w:rPr>
          <w:rFonts w:hint="eastAsia" w:ascii="仿宋" w:hAnsi="仿宋" w:eastAsia="仿宋" w:cs="仿宋"/>
          <w:sz w:val="32"/>
          <w:szCs w:val="32"/>
          <w:highlight w:val="none"/>
        </w:rPr>
        <w:t>辆；单位价值50万元以上通用设备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台（套）；单位价值</w:t>
      </w:r>
      <w:r>
        <w:rPr>
          <w:rFonts w:hint="eastAsia" w:ascii="仿宋" w:hAnsi="仿宋" w:eastAsia="仿宋" w:cs="仿宋"/>
          <w:sz w:val="32"/>
          <w:szCs w:val="32"/>
          <w:highlight w:val="none"/>
          <w:lang w:val="en-US" w:eastAsia="zh-CN"/>
        </w:rPr>
        <w:t>100万</w:t>
      </w:r>
      <w:r>
        <w:rPr>
          <w:rFonts w:hint="eastAsia" w:ascii="仿宋" w:hAnsi="仿宋" w:eastAsia="仿宋" w:cs="仿宋"/>
          <w:sz w:val="32"/>
          <w:szCs w:val="32"/>
          <w:highlight w:val="none"/>
        </w:rPr>
        <w:t>元以上专用设备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ascii="仿宋" w:hAnsi="仿宋" w:eastAsia="仿宋" w:cs="仿宋"/>
          <w:sz w:val="32"/>
          <w:szCs w:val="32"/>
          <w:highlight w:val="none"/>
        </w:rPr>
      </w:pPr>
      <w:r>
        <w:rPr>
          <w:rFonts w:hint="eastAsia" w:ascii="黑体" w:hAnsi="黑体" w:eastAsia="黑体" w:cs="黑体"/>
          <w:sz w:val="32"/>
          <w:szCs w:val="32"/>
          <w:highlight w:val="none"/>
        </w:rPr>
        <w:t>（四）</w:t>
      </w:r>
      <w:r>
        <w:rPr>
          <w:rFonts w:hint="eastAsia" w:ascii="黑体" w:hAnsi="黑体" w:eastAsia="黑体" w:cs="黑体"/>
          <w:kern w:val="0"/>
          <w:sz w:val="32"/>
          <w:szCs w:val="32"/>
        </w:rPr>
        <w:t>预算绩效管理工作开展情况</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auto"/>
          <w:kern w:val="0"/>
          <w:sz w:val="32"/>
          <w:szCs w:val="32"/>
          <w:vertAlign w:val="baseline"/>
          <w:lang w:bidi="ar"/>
        </w:rPr>
      </w:pPr>
      <w:r>
        <w:rPr>
          <w:rFonts w:hint="default" w:ascii="仿宋_GB2312" w:hAnsi="Times New Roman" w:eastAsia="仿宋_GB2312" w:cs="仿宋_GB2312"/>
          <w:b w:val="0"/>
          <w:bCs w:val="0"/>
          <w:caps w:val="0"/>
          <w:color w:val="auto"/>
          <w:kern w:val="0"/>
          <w:sz w:val="32"/>
          <w:szCs w:val="32"/>
          <w:vertAlign w:val="baseline"/>
          <w:lang w:val="en-US" w:eastAsia="zh-CN" w:bidi="ar"/>
        </w:rPr>
        <w:t>1.</w:t>
      </w:r>
      <w:r>
        <w:rPr>
          <w:rFonts w:hint="eastAsia" w:ascii="仿宋_GB2312" w:hAnsi="Times New Roman" w:eastAsia="仿宋_GB2312" w:cs="仿宋_GB2312"/>
          <w:b w:val="0"/>
          <w:bCs w:val="0"/>
          <w:caps w:val="0"/>
          <w:color w:val="auto"/>
          <w:kern w:val="0"/>
          <w:sz w:val="32"/>
          <w:szCs w:val="32"/>
          <w:vertAlign w:val="baseline"/>
          <w:lang w:val="en-US" w:eastAsia="zh-CN" w:bidi="ar"/>
        </w:rPr>
        <w:t>整体支出绩效自评结果。</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auto"/>
          <w:kern w:val="0"/>
          <w:sz w:val="32"/>
          <w:szCs w:val="32"/>
          <w:vertAlign w:val="baseline"/>
          <w:lang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我部门2023年度部门预算数700.38万元，执行数670.54万元，整体支出绩效自评结果为一等。从自评情况来看，本年度我部门项目支出总体完成情况较好，执行的项目基本达到了该项目的年度绩效目标。</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auto"/>
          <w:kern w:val="0"/>
          <w:sz w:val="32"/>
          <w:szCs w:val="32"/>
          <w:vertAlign w:val="baseline"/>
          <w:lang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2.项目支出绩效自评结果。</w:t>
      </w:r>
    </w:p>
    <w:p>
      <w:pPr>
        <w:keepNext w:val="0"/>
        <w:keepLines w:val="0"/>
        <w:pageBreakBefore w:val="0"/>
        <w:widowControl w:val="0"/>
        <w:numPr>
          <w:ilvl w:val="0"/>
          <w:numId w:val="0"/>
        </w:numPr>
        <w:suppressLineNumbers w:val="0"/>
        <w:tabs>
          <w:tab w:val="left" w:pos="0"/>
        </w:tabs>
        <w:suppressAutoHyphens w:val="0"/>
        <w:kinsoku/>
        <w:wordWrap/>
        <w:overflowPunct/>
        <w:topLinePunct w:val="0"/>
        <w:autoSpaceDE w:val="0"/>
        <w:autoSpaceDN w:val="0"/>
        <w:bidi w:val="0"/>
        <w:adjustRightInd w:val="0"/>
        <w:snapToGrid/>
        <w:spacing w:before="0" w:beforeAutospacing="0" w:after="0" w:afterAutospacing="0" w:line="560" w:lineRule="exact"/>
        <w:ind w:left="0" w:leftChars="0" w:right="0" w:firstLine="480" w:firstLineChars="150"/>
        <w:jc w:val="both"/>
        <w:outlineLvl w:val="9"/>
        <w:rPr>
          <w:rFonts w:hint="eastAsia" w:ascii="仿宋_GB2312" w:eastAsia="仿宋_GB2312" w:cs="仿宋_GB2312"/>
          <w:caps w:val="0"/>
          <w:color w:val="auto"/>
          <w:kern w:val="0"/>
          <w:sz w:val="32"/>
          <w:szCs w:val="32"/>
          <w:vertAlign w:val="baseline"/>
          <w:lang w:eastAsia="zh-CN" w:bidi="ar"/>
        </w:rPr>
      </w:pPr>
      <w:r>
        <w:rPr>
          <w:rFonts w:hint="default" w:ascii="仿宋_GB2312" w:hAnsi="Times New Roman" w:eastAsia="仿宋_GB2312" w:cs="仿宋_GB2312"/>
          <w:b w:val="0"/>
          <w:bCs w:val="0"/>
          <w:caps w:val="0"/>
          <w:color w:val="auto"/>
          <w:kern w:val="0"/>
          <w:sz w:val="32"/>
          <w:szCs w:val="32"/>
          <w:vertAlign w:val="baseline"/>
          <w:lang w:val="en" w:eastAsia="zh-CN" w:bidi="ar"/>
        </w:rPr>
        <w:t>(1)</w:t>
      </w:r>
      <w:r>
        <w:rPr>
          <w:rFonts w:hint="eastAsia" w:ascii="仿宋_GB2312" w:hAnsi="Times New Roman" w:eastAsia="仿宋_GB2312" w:cs="仿宋_GB2312"/>
          <w:b w:val="0"/>
          <w:bCs w:val="0"/>
          <w:caps w:val="0"/>
          <w:color w:val="auto"/>
          <w:kern w:val="0"/>
          <w:sz w:val="32"/>
          <w:szCs w:val="32"/>
          <w:vertAlign w:val="baseline"/>
          <w:lang w:val="en-US" w:eastAsia="zh-CN" w:bidi="ar"/>
        </w:rPr>
        <w:t>项目绩效自评总体情况：我部门2023年度项目23个，项目支出总额670.54万元。其中，本级项目23个，本级项目支出</w:t>
      </w:r>
      <w:r>
        <w:rPr>
          <w:rFonts w:hint="eastAsia" w:ascii="仿宋_GB2312" w:eastAsia="仿宋_GB2312" w:cs="仿宋_GB2312"/>
          <w:kern w:val="0"/>
          <w:sz w:val="32"/>
          <w:szCs w:val="32"/>
          <w:lang w:val="en-US" w:eastAsia="zh-CN"/>
        </w:rPr>
        <w:t>23</w:t>
      </w:r>
      <w:r>
        <w:rPr>
          <w:rFonts w:hint="eastAsia" w:ascii="仿宋_GB2312" w:hAnsi="Times New Roman" w:eastAsia="仿宋_GB2312" w:cs="仿宋_GB2312"/>
          <w:b w:val="0"/>
          <w:bCs w:val="0"/>
          <w:caps w:val="0"/>
          <w:color w:val="auto"/>
          <w:kern w:val="0"/>
          <w:sz w:val="32"/>
          <w:szCs w:val="32"/>
          <w:vertAlign w:val="baseline"/>
          <w:lang w:val="en-US" w:eastAsia="zh-CN" w:bidi="ar"/>
        </w:rPr>
        <w:t>万元。项目中，无敏感涉密项目。</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auto"/>
          <w:kern w:val="0"/>
          <w:sz w:val="32"/>
          <w:szCs w:val="32"/>
          <w:vertAlign w:val="baseline"/>
          <w:lang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所有项目均开展了绩效自评，其中非敏感涉密项目绩效自评结果为：23个项目评为一等，涉及资金670.54万元，占项目总数比例100%，占项目支出总额比例100%。自评发现的主要问题及原因：一是项目绩效指标设置未具体细化；二是项目执行过程的档案材料未能得到及时地妥善收集保管。下一步改进措施：一是加强有关工作人员的培训，重视项目绩效管理工作；二是安排人员及时跟踪项目执行情况，及时收集妥善保管项目材料。</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auto"/>
          <w:kern w:val="0"/>
          <w:sz w:val="32"/>
          <w:szCs w:val="32"/>
          <w:vertAlign w:val="baseline"/>
          <w:lang w:eastAsia="zh-CN"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2）部分重点项目绩效自评情况：根据年初设定的绩效目标，奖励性补贴项目项目自评得分为100分，一等，项目全年预算数为115.17万元，执行数为115.17万元，完成预算的100%。项目绩效目标完成情况：通过奖励性补贴，提高教职工的生活水平，提高教师职业幸福感，促进教育事业发展 ，基本达成该项目绩效目标。</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auto"/>
          <w:kern w:val="0"/>
          <w:sz w:val="32"/>
          <w:szCs w:val="32"/>
          <w:highlight w:val="lightGray"/>
          <w:vertAlign w:val="baseline"/>
          <w:lang w:eastAsia="zh-CN"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3.部门绩效评价结果。</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_GB2312" w:hAnsi="Times New Roman" w:eastAsia="仿宋_GB2312" w:cs="仿宋_GB2312"/>
          <w:b w:val="0"/>
          <w:bCs w:val="0"/>
          <w:caps w:val="0"/>
          <w:color w:val="auto"/>
          <w:kern w:val="0"/>
          <w:sz w:val="32"/>
          <w:szCs w:val="32"/>
          <w:vertAlign w:val="baseline"/>
          <w:lang w:val="en-US" w:eastAsia="zh-CN" w:bidi="ar"/>
        </w:rPr>
        <w:t>组织对“奖励性补贴”等23个重点项目进行了部门评价，评价结果均为一等，涉及资金670.54万元。从评价情况来看，本年度我部门较好地完成相关项目，所执行的项目基本都达成了该项目的年度绩效指标及目标。</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hAnsi="Times New Roman" w:eastAsia="仿宋_GB2312" w:cs="仿宋_GB2312"/>
          <w:b w:val="0"/>
          <w:bCs w:val="0"/>
          <w:caps w:val="0"/>
          <w:color w:val="auto"/>
          <w:kern w:val="0"/>
          <w:sz w:val="32"/>
          <w:szCs w:val="32"/>
          <w:vertAlign w:val="baseline"/>
          <w:lang w:val="en-US" w:eastAsia="zh-CN"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2023年度本部门公开《项目支出绩效自评表》附后。</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hAnsi="Times New Roman" w:eastAsia="仿宋_GB2312" w:cs="仿宋_GB2312"/>
          <w:b w:val="0"/>
          <w:bCs w:val="0"/>
          <w:caps w:val="0"/>
          <w:color w:val="auto"/>
          <w:kern w:val="0"/>
          <w:sz w:val="32"/>
          <w:szCs w:val="32"/>
          <w:vertAlign w:val="baseline"/>
          <w:lang w:val="en-US" w:eastAsia="zh-CN" w:bidi="ar"/>
        </w:rPr>
      </w:pPr>
    </w:p>
    <w:p>
      <w:pPr>
        <w:jc w:val="center"/>
        <w:rPr>
          <w:rFonts w:ascii="黑体" w:hAnsi="黑体" w:eastAsia="黑体" w:cs="黑体"/>
          <w:sz w:val="32"/>
          <w:szCs w:val="32"/>
          <w:highlight w:val="none"/>
        </w:rPr>
      </w:pPr>
      <w:r>
        <w:rPr>
          <w:rFonts w:hint="eastAsia" w:ascii="黑体" w:hAnsi="黑体" w:eastAsia="黑体" w:cs="黑体"/>
          <w:sz w:val="32"/>
          <w:szCs w:val="32"/>
          <w:highlight w:val="none"/>
        </w:rPr>
        <w:t>第四部分  名词解释</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一、财政拨款收入：指</w:t>
      </w:r>
      <w:r>
        <w:rPr>
          <w:rFonts w:ascii="仿宋" w:hAnsi="仿宋" w:eastAsia="仿宋" w:cs="仿宋"/>
          <w:sz w:val="32"/>
          <w:u w:color="auto"/>
        </w:rPr>
        <w:t>环江毛南族自治县财政部门当年拨付的资金。</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二、事业收入：指事业单位开展专业业务活动及辅助活动所取得的收入。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三、经营收入：指事业单位在专业业务活动及其辅助活动之外开展非独立核算经营活动取得的收入。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四、其他收入：指除上述“财政拨款收入”“事业收入”“经营收入”等以外的收入。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五、用事业基金弥补收支差额指事业单位在当年的“财政拨款收入”“事业收入”“经营收入”“其他收入”不足以安排当年支出的情况下，使用非财政拨款结余弥补本年度收支缺口的资金。 </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六、年初结转和结余：指以前年度尚未完成、结转到本年 按有关规定继续使用的资金</w:t>
      </w:r>
      <w:r>
        <w:rPr>
          <w:rFonts w:hint="eastAsia" w:ascii="仿宋" w:hAnsi="仿宋" w:eastAsia="仿宋" w:cs="仿宋"/>
          <w:sz w:val="32"/>
          <w:szCs w:val="32"/>
          <w:highlight w:val="none"/>
          <w:lang w:eastAsia="zh-CN"/>
        </w:rPr>
        <w:t>。</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七、结余分配：指事业单位按规定提取的职工福利基金、事业基金和缴纳的所得税，以及建设单位按规定应交回的基本建设竣工项目结余资金。 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八、年末结转和结余：指本年度或以前年度预算安排、因客观条件发生变化无法按原计划实施，需要延迟到以后年度按有关规定继续使用的资金。 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九、基本支出：指为保障机构正常运转、完成日常工作任务而发生的人员支出和公用支出。 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十、项目支出：指在基本支出之外为完成特定行政任务和事业发展目标所发生的支出。 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十一、经营支出：指事业单位在专业业务活动及其辅助活动之外开展非独立核算经营活动发生的支出。</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十二、“三公”经费：纳入</w:t>
      </w:r>
      <w:r>
        <w:rPr>
          <w:rFonts w:ascii="仿宋" w:hAnsi="仿宋" w:eastAsia="仿宋" w:cs="仿宋"/>
          <w:sz w:val="32"/>
          <w:u w:color="auto"/>
        </w:rPr>
        <w:t>环江毛南族自治县财政预决算管理的“三公”经费，是指环江毛南族自治县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jc w:val="left"/>
        <w:rPr>
          <w:rFonts w:hint="eastAsia" w:ascii="仿宋" w:hAnsi="仿宋" w:eastAsia="仿宋" w:cs="仿宋"/>
          <w:sz w:val="32"/>
          <w:szCs w:val="32"/>
          <w:highlight w:val="none"/>
        </w:rPr>
      </w:pPr>
    </w:p>
    <w:p>
      <w:pPr>
        <w:ind w:firstLine="640" w:firstLineChars="200"/>
        <w:jc w:val="left"/>
        <w:rPr>
          <w:rFonts w:hint="eastAsia" w:ascii="仿宋" w:hAnsi="仿宋" w:eastAsia="仿宋" w:cs="仿宋"/>
          <w:sz w:val="32"/>
          <w:szCs w:val="32"/>
          <w:highlight w:val="none"/>
        </w:rPr>
      </w:pPr>
    </w:p>
    <w:p>
      <w:pPr>
        <w:ind w:firstLine="640" w:firstLineChars="200"/>
        <w:jc w:val="center"/>
        <w:rPr>
          <w:rFonts w:hint="default" w:ascii="仿宋" w:hAnsi="仿宋" w:eastAsia="仿宋" w:cs="仿宋"/>
          <w:sz w:val="32"/>
          <w:szCs w:val="32"/>
          <w:highlight w:val="none"/>
          <w:lang w:val="en-US" w:eastAsia="zh-CN"/>
        </w:rPr>
      </w:pPr>
      <w:bookmarkStart w:id="5" w:name="_GoBack"/>
      <w:bookmarkEnd w:id="5"/>
    </w:p>
    <w:p>
      <w:pPr>
        <w:ind w:firstLine="640" w:firstLineChars="200"/>
        <w:jc w:val="left"/>
        <w:rPr>
          <w:rFonts w:hint="eastAsia" w:ascii="仿宋" w:hAnsi="仿宋" w:eastAsia="仿宋" w:cs="仿宋"/>
          <w:sz w:val="32"/>
          <w:szCs w:val="32"/>
          <w:highlight w:val="none"/>
        </w:rPr>
      </w:pPr>
    </w:p>
    <w:sectPr>
      <w:pgSz w:w="11906" w:h="16838"/>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ArialUnicodeMS">
    <w:altName w:val="方正小标宋简体"/>
    <w:panose1 w:val="00000000000000000000"/>
    <w:charset w:val="86"/>
    <w:family w:val="auto"/>
    <w:pitch w:val="default"/>
    <w:sig w:usb0="00000000" w:usb1="00000000" w:usb2="00000010" w:usb3="00000000" w:csb0="00040000" w:csb1="00000000"/>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DC55DB"/>
    <w:multiLevelType w:val="singleLevel"/>
    <w:tmpl w:val="95DC55DB"/>
    <w:lvl w:ilvl="0" w:tentative="0">
      <w:start w:val="1"/>
      <w:numFmt w:val="chineseCounting"/>
      <w:suff w:val="nothing"/>
      <w:lvlText w:val="（%1）"/>
      <w:lvlJc w:val="left"/>
      <w:pPr>
        <w:ind w:left="0" w:firstLine="420"/>
      </w:pPr>
      <w:rPr>
        <w:rFonts w:hint="eastAsia"/>
      </w:rPr>
    </w:lvl>
  </w:abstractNum>
  <w:abstractNum w:abstractNumId="1">
    <w:nsid w:val="9BF86D39"/>
    <w:multiLevelType w:val="singleLevel"/>
    <w:tmpl w:val="9BF86D39"/>
    <w:lvl w:ilvl="0" w:tentative="0">
      <w:start w:val="1"/>
      <w:numFmt w:val="chineseCounting"/>
      <w:suff w:val="nothing"/>
      <w:lvlText w:val="（%1）"/>
      <w:lvlJc w:val="left"/>
      <w:pPr>
        <w:ind w:left="0" w:firstLine="420"/>
      </w:pPr>
      <w:rPr>
        <w:rFonts w:hint="eastAsia"/>
        <w:color w:val="auto"/>
        <w:sz w:val="32"/>
        <w:szCs w:val="32"/>
      </w:rPr>
    </w:lvl>
  </w:abstractNum>
  <w:abstractNum w:abstractNumId="2">
    <w:nsid w:val="BB696AFE"/>
    <w:multiLevelType w:val="singleLevel"/>
    <w:tmpl w:val="BB696AFE"/>
    <w:lvl w:ilvl="0" w:tentative="0">
      <w:start w:val="1"/>
      <w:numFmt w:val="decimal"/>
      <w:lvlText w:val="(%1)"/>
      <w:lvlJc w:val="left"/>
      <w:pPr>
        <w:tabs>
          <w:tab w:val="left" w:pos="312"/>
        </w:tabs>
      </w:pPr>
    </w:lvl>
  </w:abstractNum>
  <w:abstractNum w:abstractNumId="3">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3Mzg0NzBlMzJiOTFiNTgxM2VjYjkwOWJhMGRkZTYifQ=="/>
  </w:docVars>
  <w:rsids>
    <w:rsidRoot w:val="637D7558"/>
    <w:rsid w:val="00002C84"/>
    <w:rsid w:val="00022149"/>
    <w:rsid w:val="00047F6C"/>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C4D73"/>
    <w:rsid w:val="004D7D0E"/>
    <w:rsid w:val="005234F5"/>
    <w:rsid w:val="00531745"/>
    <w:rsid w:val="00574196"/>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1749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21455"/>
    <w:rsid w:val="00F5354B"/>
    <w:rsid w:val="00F95135"/>
    <w:rsid w:val="00F9658C"/>
    <w:rsid w:val="00F978FD"/>
    <w:rsid w:val="00FA738E"/>
    <w:rsid w:val="00FC438B"/>
    <w:rsid w:val="01234E98"/>
    <w:rsid w:val="015F1951"/>
    <w:rsid w:val="01CD5158"/>
    <w:rsid w:val="020C171D"/>
    <w:rsid w:val="0216715F"/>
    <w:rsid w:val="02E0291A"/>
    <w:rsid w:val="03705158"/>
    <w:rsid w:val="047E413B"/>
    <w:rsid w:val="04BC738C"/>
    <w:rsid w:val="04E54546"/>
    <w:rsid w:val="04F84F51"/>
    <w:rsid w:val="052D6D27"/>
    <w:rsid w:val="05992762"/>
    <w:rsid w:val="06145943"/>
    <w:rsid w:val="06A02FCA"/>
    <w:rsid w:val="06A13304"/>
    <w:rsid w:val="07342561"/>
    <w:rsid w:val="073B6A3E"/>
    <w:rsid w:val="07B0770E"/>
    <w:rsid w:val="07CD7685"/>
    <w:rsid w:val="08385709"/>
    <w:rsid w:val="08C20CCF"/>
    <w:rsid w:val="0942143F"/>
    <w:rsid w:val="099A310A"/>
    <w:rsid w:val="0A267937"/>
    <w:rsid w:val="0C480CD6"/>
    <w:rsid w:val="0D100297"/>
    <w:rsid w:val="0D202B45"/>
    <w:rsid w:val="0D6C609B"/>
    <w:rsid w:val="0E0855FC"/>
    <w:rsid w:val="0F8D4C87"/>
    <w:rsid w:val="0FC7281C"/>
    <w:rsid w:val="0FD63FD1"/>
    <w:rsid w:val="10505FAA"/>
    <w:rsid w:val="105F7E7E"/>
    <w:rsid w:val="114657A9"/>
    <w:rsid w:val="11A369B6"/>
    <w:rsid w:val="11B86BB3"/>
    <w:rsid w:val="11E56B5B"/>
    <w:rsid w:val="11F86688"/>
    <w:rsid w:val="125C77AB"/>
    <w:rsid w:val="142E52DC"/>
    <w:rsid w:val="14A043AA"/>
    <w:rsid w:val="14CB726E"/>
    <w:rsid w:val="15094E25"/>
    <w:rsid w:val="15114005"/>
    <w:rsid w:val="158A5F9C"/>
    <w:rsid w:val="15F31BF6"/>
    <w:rsid w:val="164857F3"/>
    <w:rsid w:val="1692422D"/>
    <w:rsid w:val="175A688C"/>
    <w:rsid w:val="1799482C"/>
    <w:rsid w:val="17E92249"/>
    <w:rsid w:val="18D304F1"/>
    <w:rsid w:val="19AB643C"/>
    <w:rsid w:val="19F32577"/>
    <w:rsid w:val="19F45B80"/>
    <w:rsid w:val="1B0C078D"/>
    <w:rsid w:val="1B2B31E2"/>
    <w:rsid w:val="1B4C295A"/>
    <w:rsid w:val="1B592560"/>
    <w:rsid w:val="1B6D0497"/>
    <w:rsid w:val="1B973C63"/>
    <w:rsid w:val="1BA1001E"/>
    <w:rsid w:val="1C2265DC"/>
    <w:rsid w:val="1C4A39CA"/>
    <w:rsid w:val="1C4C74F2"/>
    <w:rsid w:val="1D317259"/>
    <w:rsid w:val="1E4E1FBE"/>
    <w:rsid w:val="1E664F5B"/>
    <w:rsid w:val="1EB34BE1"/>
    <w:rsid w:val="1FDF5B8F"/>
    <w:rsid w:val="21075E26"/>
    <w:rsid w:val="215E639F"/>
    <w:rsid w:val="21EC3183"/>
    <w:rsid w:val="225E72CD"/>
    <w:rsid w:val="2326058D"/>
    <w:rsid w:val="23AB30DC"/>
    <w:rsid w:val="23D96DD2"/>
    <w:rsid w:val="24123AD5"/>
    <w:rsid w:val="246E2F77"/>
    <w:rsid w:val="24FD1ECA"/>
    <w:rsid w:val="254B4E2B"/>
    <w:rsid w:val="27424A6E"/>
    <w:rsid w:val="275C4EF0"/>
    <w:rsid w:val="27820C6F"/>
    <w:rsid w:val="27962809"/>
    <w:rsid w:val="27CB70CF"/>
    <w:rsid w:val="283D7C94"/>
    <w:rsid w:val="284E293A"/>
    <w:rsid w:val="285E29AE"/>
    <w:rsid w:val="28D97A2C"/>
    <w:rsid w:val="29480E03"/>
    <w:rsid w:val="2983634D"/>
    <w:rsid w:val="29FA53BE"/>
    <w:rsid w:val="2A49700C"/>
    <w:rsid w:val="2A5B4F83"/>
    <w:rsid w:val="2BB02055"/>
    <w:rsid w:val="2C575A56"/>
    <w:rsid w:val="2C681281"/>
    <w:rsid w:val="2CFF066C"/>
    <w:rsid w:val="2D4D5DE4"/>
    <w:rsid w:val="2E34598A"/>
    <w:rsid w:val="2E866222"/>
    <w:rsid w:val="2F023F72"/>
    <w:rsid w:val="2F257714"/>
    <w:rsid w:val="2F3275E5"/>
    <w:rsid w:val="2FBE78D3"/>
    <w:rsid w:val="2FE70192"/>
    <w:rsid w:val="30706BEF"/>
    <w:rsid w:val="30AA08EF"/>
    <w:rsid w:val="30D23D1C"/>
    <w:rsid w:val="31221CF5"/>
    <w:rsid w:val="31400178"/>
    <w:rsid w:val="31993E7B"/>
    <w:rsid w:val="31EB4A43"/>
    <w:rsid w:val="321B2375"/>
    <w:rsid w:val="321E3342"/>
    <w:rsid w:val="327759C8"/>
    <w:rsid w:val="33060643"/>
    <w:rsid w:val="330F27A5"/>
    <w:rsid w:val="331663BC"/>
    <w:rsid w:val="33185FE3"/>
    <w:rsid w:val="34940B3F"/>
    <w:rsid w:val="34AB4C24"/>
    <w:rsid w:val="34EE2E36"/>
    <w:rsid w:val="358E5831"/>
    <w:rsid w:val="36777241"/>
    <w:rsid w:val="36913DD1"/>
    <w:rsid w:val="371E78D5"/>
    <w:rsid w:val="372F6DF0"/>
    <w:rsid w:val="376161AB"/>
    <w:rsid w:val="38241AB4"/>
    <w:rsid w:val="38A951DB"/>
    <w:rsid w:val="38B31605"/>
    <w:rsid w:val="38BF6852"/>
    <w:rsid w:val="38FA0BCF"/>
    <w:rsid w:val="39003F4F"/>
    <w:rsid w:val="3935206C"/>
    <w:rsid w:val="39376662"/>
    <w:rsid w:val="39EA35CB"/>
    <w:rsid w:val="3A763CAA"/>
    <w:rsid w:val="3A7C6B1B"/>
    <w:rsid w:val="3AA608A5"/>
    <w:rsid w:val="3AB07646"/>
    <w:rsid w:val="3B2E5F33"/>
    <w:rsid w:val="3B3779FE"/>
    <w:rsid w:val="3B695FB7"/>
    <w:rsid w:val="3B6B0F10"/>
    <w:rsid w:val="3BC3547D"/>
    <w:rsid w:val="3C07002B"/>
    <w:rsid w:val="3C183B80"/>
    <w:rsid w:val="3D0D152A"/>
    <w:rsid w:val="3DF62756"/>
    <w:rsid w:val="3ECD3236"/>
    <w:rsid w:val="3F1B7587"/>
    <w:rsid w:val="3F4975BA"/>
    <w:rsid w:val="40AF2AF7"/>
    <w:rsid w:val="40D847A6"/>
    <w:rsid w:val="4115599F"/>
    <w:rsid w:val="41E57B4F"/>
    <w:rsid w:val="41F932C8"/>
    <w:rsid w:val="421D53C4"/>
    <w:rsid w:val="424A738F"/>
    <w:rsid w:val="432F26F6"/>
    <w:rsid w:val="43813EC9"/>
    <w:rsid w:val="43880F63"/>
    <w:rsid w:val="43B955C3"/>
    <w:rsid w:val="441C5A6F"/>
    <w:rsid w:val="44C44FCC"/>
    <w:rsid w:val="44CC7369"/>
    <w:rsid w:val="44DF739B"/>
    <w:rsid w:val="45126C23"/>
    <w:rsid w:val="457F5108"/>
    <w:rsid w:val="46951B6B"/>
    <w:rsid w:val="46D86BAA"/>
    <w:rsid w:val="482076C5"/>
    <w:rsid w:val="483462D6"/>
    <w:rsid w:val="498D274E"/>
    <w:rsid w:val="49A34401"/>
    <w:rsid w:val="49D26815"/>
    <w:rsid w:val="49DD10A1"/>
    <w:rsid w:val="4A393D33"/>
    <w:rsid w:val="4A3E30AB"/>
    <w:rsid w:val="4A5E47CC"/>
    <w:rsid w:val="4AC14DAC"/>
    <w:rsid w:val="4AE67AB9"/>
    <w:rsid w:val="4AFF7E27"/>
    <w:rsid w:val="4B18454E"/>
    <w:rsid w:val="4B2F7480"/>
    <w:rsid w:val="4B4749F9"/>
    <w:rsid w:val="4CF270BF"/>
    <w:rsid w:val="4D154C85"/>
    <w:rsid w:val="4D345B3E"/>
    <w:rsid w:val="4D6924B5"/>
    <w:rsid w:val="4D9F39A9"/>
    <w:rsid w:val="4E7A264C"/>
    <w:rsid w:val="4EB35ECE"/>
    <w:rsid w:val="4F752402"/>
    <w:rsid w:val="4F8333B6"/>
    <w:rsid w:val="4FA42819"/>
    <w:rsid w:val="508F4E24"/>
    <w:rsid w:val="50EF617E"/>
    <w:rsid w:val="51160B6B"/>
    <w:rsid w:val="51461E90"/>
    <w:rsid w:val="51463753"/>
    <w:rsid w:val="51937E34"/>
    <w:rsid w:val="52553A93"/>
    <w:rsid w:val="53521F8B"/>
    <w:rsid w:val="53E22F47"/>
    <w:rsid w:val="54522FF8"/>
    <w:rsid w:val="550C36E4"/>
    <w:rsid w:val="55450629"/>
    <w:rsid w:val="5583356B"/>
    <w:rsid w:val="55B90631"/>
    <w:rsid w:val="56692963"/>
    <w:rsid w:val="568B0F48"/>
    <w:rsid w:val="56E50055"/>
    <w:rsid w:val="56F05ED5"/>
    <w:rsid w:val="5786217B"/>
    <w:rsid w:val="57883B27"/>
    <w:rsid w:val="583E2CEF"/>
    <w:rsid w:val="591F3C56"/>
    <w:rsid w:val="59337A15"/>
    <w:rsid w:val="59810274"/>
    <w:rsid w:val="5B0B0929"/>
    <w:rsid w:val="5B931CD9"/>
    <w:rsid w:val="5BFE4F6F"/>
    <w:rsid w:val="5C173B26"/>
    <w:rsid w:val="5C4B310C"/>
    <w:rsid w:val="5CA96A00"/>
    <w:rsid w:val="5CB861DA"/>
    <w:rsid w:val="5CF730BC"/>
    <w:rsid w:val="5D314A82"/>
    <w:rsid w:val="5D780793"/>
    <w:rsid w:val="5E091A5E"/>
    <w:rsid w:val="5E5F0DCE"/>
    <w:rsid w:val="5F4445FC"/>
    <w:rsid w:val="5FA40A7B"/>
    <w:rsid w:val="5FD56D29"/>
    <w:rsid w:val="5FEC7F3F"/>
    <w:rsid w:val="60E34DD9"/>
    <w:rsid w:val="60F74BC3"/>
    <w:rsid w:val="617D3BF8"/>
    <w:rsid w:val="61841F6A"/>
    <w:rsid w:val="61E735F4"/>
    <w:rsid w:val="61EF3C1A"/>
    <w:rsid w:val="621456D4"/>
    <w:rsid w:val="623007A9"/>
    <w:rsid w:val="62C11794"/>
    <w:rsid w:val="637D7558"/>
    <w:rsid w:val="638D0016"/>
    <w:rsid w:val="63D0463C"/>
    <w:rsid w:val="644F19AC"/>
    <w:rsid w:val="65736F64"/>
    <w:rsid w:val="65823A4B"/>
    <w:rsid w:val="65AA4920"/>
    <w:rsid w:val="65E31D0B"/>
    <w:rsid w:val="66C60DE4"/>
    <w:rsid w:val="66CD2692"/>
    <w:rsid w:val="66D3679F"/>
    <w:rsid w:val="66D843D0"/>
    <w:rsid w:val="67694F1E"/>
    <w:rsid w:val="679F3188"/>
    <w:rsid w:val="67DB2E53"/>
    <w:rsid w:val="67FB439B"/>
    <w:rsid w:val="68756489"/>
    <w:rsid w:val="68F312FB"/>
    <w:rsid w:val="69597934"/>
    <w:rsid w:val="69B639DD"/>
    <w:rsid w:val="6A1F2805"/>
    <w:rsid w:val="6A26607E"/>
    <w:rsid w:val="6A3E6EBC"/>
    <w:rsid w:val="6A4578FD"/>
    <w:rsid w:val="6A591481"/>
    <w:rsid w:val="6A596AB2"/>
    <w:rsid w:val="6B3057ED"/>
    <w:rsid w:val="6B321A64"/>
    <w:rsid w:val="6B873BC5"/>
    <w:rsid w:val="6B964DDC"/>
    <w:rsid w:val="6C783074"/>
    <w:rsid w:val="6D2A303F"/>
    <w:rsid w:val="6D7A376E"/>
    <w:rsid w:val="6D9E65C6"/>
    <w:rsid w:val="6DA81947"/>
    <w:rsid w:val="6DB23F9A"/>
    <w:rsid w:val="6E9141D5"/>
    <w:rsid w:val="6EB66DE2"/>
    <w:rsid w:val="6ED3075F"/>
    <w:rsid w:val="6EFA021B"/>
    <w:rsid w:val="6F2A2D4B"/>
    <w:rsid w:val="6F8A0C1E"/>
    <w:rsid w:val="703F45D4"/>
    <w:rsid w:val="709851BE"/>
    <w:rsid w:val="715D6546"/>
    <w:rsid w:val="71BE069E"/>
    <w:rsid w:val="724B0E14"/>
    <w:rsid w:val="73953409"/>
    <w:rsid w:val="73E069A3"/>
    <w:rsid w:val="75171CE6"/>
    <w:rsid w:val="75AD0232"/>
    <w:rsid w:val="76644FAA"/>
    <w:rsid w:val="768A408A"/>
    <w:rsid w:val="78104AA8"/>
    <w:rsid w:val="788B2BAE"/>
    <w:rsid w:val="78B70D2B"/>
    <w:rsid w:val="78CE60D3"/>
    <w:rsid w:val="78E257C5"/>
    <w:rsid w:val="794B35BE"/>
    <w:rsid w:val="7A930ACE"/>
    <w:rsid w:val="7B0A3A31"/>
    <w:rsid w:val="7B3360ED"/>
    <w:rsid w:val="7B687661"/>
    <w:rsid w:val="7BDF037E"/>
    <w:rsid w:val="7BF50948"/>
    <w:rsid w:val="7C3719D4"/>
    <w:rsid w:val="7C3C4D9E"/>
    <w:rsid w:val="7CE66A78"/>
    <w:rsid w:val="7D111591"/>
    <w:rsid w:val="7D23564C"/>
    <w:rsid w:val="7D3F443B"/>
    <w:rsid w:val="7D5E062D"/>
    <w:rsid w:val="7D6E5432"/>
    <w:rsid w:val="7DA243F4"/>
    <w:rsid w:val="7DDF046B"/>
    <w:rsid w:val="7DF54C23"/>
    <w:rsid w:val="7DF76CD8"/>
    <w:rsid w:val="7E516E43"/>
    <w:rsid w:val="7F695C26"/>
    <w:rsid w:val="7FCF62D3"/>
    <w:rsid w:val="7FEE5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Emphasis"/>
    <w:basedOn w:val="7"/>
    <w:qFormat/>
    <w:uiPriority w:val="0"/>
    <w:rPr>
      <w:i/>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hart" Target="charts/chart13.xml"/><Relationship Id="rId17" Type="http://schemas.openxmlformats.org/officeDocument/2006/relationships/chart" Target="charts/chart12.xml"/><Relationship Id="rId16" Type="http://schemas.openxmlformats.org/officeDocument/2006/relationships/chart" Target="charts/chart11.xml"/><Relationship Id="rId15" Type="http://schemas.openxmlformats.org/officeDocument/2006/relationships/chart" Target="charts/chart10.xml"/><Relationship Id="rId14" Type="http://schemas.openxmlformats.org/officeDocument/2006/relationships/chart" Target="charts/chart9.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2.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Workbook13.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1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9.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10.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1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决算收入支出图表</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一般公共预算财政拨款收入</c:v>
                </c:pt>
                <c:pt idx="1">
                  <c:v>政府性基金预算财政拨款收入</c:v>
                </c:pt>
              </c:strCache>
            </c:strRef>
          </c:cat>
          <c:val>
            <c:numRef>
              <c:f>Sheet1!$B$2:$B$3</c:f>
              <c:numCache>
                <c:formatCode>General</c:formatCode>
                <c:ptCount val="2"/>
                <c:pt idx="0">
                  <c:v>2301.26</c:v>
                </c:pt>
                <c:pt idx="1">
                  <c:v>3.04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对个人和家庭的补助</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Sheet1!$A$2:$A$13</c:f>
              <c:numCache>
                <c:formatCode>General</c:formatCode>
                <c:ptCount val="12"/>
                <c:pt idx="0">
                  <c:v>30301</c:v>
                </c:pt>
                <c:pt idx="1">
                  <c:v>30302</c:v>
                </c:pt>
                <c:pt idx="2">
                  <c:v>30303</c:v>
                </c:pt>
                <c:pt idx="3">
                  <c:v>30304</c:v>
                </c:pt>
                <c:pt idx="4">
                  <c:v>30305</c:v>
                </c:pt>
                <c:pt idx="5">
                  <c:v>30306</c:v>
                </c:pt>
                <c:pt idx="6">
                  <c:v>30307</c:v>
                </c:pt>
                <c:pt idx="7">
                  <c:v>30308</c:v>
                </c:pt>
                <c:pt idx="8">
                  <c:v>30309</c:v>
                </c:pt>
                <c:pt idx="9">
                  <c:v>30310</c:v>
                </c:pt>
                <c:pt idx="10">
                  <c:v>30311</c:v>
                </c:pt>
                <c:pt idx="11">
                  <c:v>30399</c:v>
                </c:pt>
              </c:numCache>
            </c:numRef>
          </c:cat>
          <c:val>
            <c:numRef>
              <c:f>Sheet1!$B$2:$B$13</c:f>
              <c:numCache>
                <c:formatCode>General</c:formatCode>
                <c:ptCount val="12"/>
                <c:pt idx="0">
                  <c:v>0</c:v>
                </c:pt>
                <c:pt idx="1">
                  <c:v>0</c:v>
                </c:pt>
                <c:pt idx="2">
                  <c:v>0</c:v>
                </c:pt>
                <c:pt idx="3">
                  <c:v>0</c:v>
                </c:pt>
                <c:pt idx="4">
                  <c:v>117.8</c:v>
                </c:pt>
                <c:pt idx="5">
                  <c:v>0</c:v>
                </c:pt>
                <c:pt idx="6">
                  <c:v>0</c:v>
                </c:pt>
                <c:pt idx="7">
                  <c:v>0</c:v>
                </c:pt>
                <c:pt idx="8">
                  <c:v>0.01</c:v>
                </c:pt>
                <c:pt idx="9">
                  <c:v>0</c:v>
                </c:pt>
                <c:pt idx="10">
                  <c:v>0</c:v>
                </c:pt>
                <c:pt idx="1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债务利息及费用支出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30701</c:v>
                </c:pt>
                <c:pt idx="1">
                  <c:v>30702</c:v>
                </c:pt>
              </c:strCache>
            </c:strRef>
          </c:cat>
          <c:val>
            <c:numRef>
              <c:f>Sheet1!$B$2:$B$3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资本性支出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Sheet1!$A$2:$A$17</c:f>
              <c:numCache>
                <c:formatCode>General</c:formatCode>
                <c:ptCount val="16"/>
                <c:pt idx="0">
                  <c:v>31001</c:v>
                </c:pt>
                <c:pt idx="1">
                  <c:v>31002</c:v>
                </c:pt>
                <c:pt idx="2">
                  <c:v>31003</c:v>
                </c:pt>
                <c:pt idx="3">
                  <c:v>31005</c:v>
                </c:pt>
                <c:pt idx="4">
                  <c:v>31006</c:v>
                </c:pt>
                <c:pt idx="5">
                  <c:v>31007</c:v>
                </c:pt>
                <c:pt idx="6">
                  <c:v>31008</c:v>
                </c:pt>
                <c:pt idx="7">
                  <c:v>31009</c:v>
                </c:pt>
                <c:pt idx="8">
                  <c:v>31010</c:v>
                </c:pt>
                <c:pt idx="9">
                  <c:v>31011</c:v>
                </c:pt>
                <c:pt idx="10">
                  <c:v>31012</c:v>
                </c:pt>
                <c:pt idx="11">
                  <c:v>31013</c:v>
                </c:pt>
                <c:pt idx="12">
                  <c:v>31019</c:v>
                </c:pt>
                <c:pt idx="13">
                  <c:v>31021</c:v>
                </c:pt>
                <c:pt idx="14">
                  <c:v>31022</c:v>
                </c:pt>
                <c:pt idx="15">
                  <c:v>31099</c:v>
                </c:pt>
              </c:numCache>
            </c:numRef>
          </c:cat>
          <c:val>
            <c:numRef>
              <c:f>Sheet1!$B$2:$B$17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Sheet1!$A$2:$A$6</c:f>
              <c:strCache>
                <c:ptCount val="5"/>
                <c:pt idx="0">
                  <c:v>39907</c:v>
                </c:pt>
                <c:pt idx="1">
                  <c:v>39908</c:v>
                </c:pt>
                <c:pt idx="2">
                  <c:v>39909</c:v>
                </c:pt>
                <c:pt idx="3">
                  <c:v>39910</c:v>
                </c:pt>
                <c:pt idx="4">
                  <c:v>39999</c:v>
                </c:pt>
              </c:strCache>
            </c:strRef>
          </c:cat>
          <c:val>
            <c:numRef>
              <c:f>Sheet1!$B$2:$B$6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支出决算图表</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elete val="1"/>
          </c:dLbls>
          <c:cat>
            <c:strRef>
              <c:f>Sheet1!$A$2:$A$6</c:f>
              <c:strCache>
                <c:ptCount val="5"/>
                <c:pt idx="0">
                  <c:v>一般公共服务支出</c:v>
                </c:pt>
                <c:pt idx="1">
                  <c:v>教育支出</c:v>
                </c:pt>
                <c:pt idx="2">
                  <c:v>社会保障和就业支出</c:v>
                </c:pt>
                <c:pt idx="3">
                  <c:v>住房保障支出</c:v>
                </c:pt>
                <c:pt idx="4">
                  <c:v>其他支出</c:v>
                </c:pt>
              </c:strCache>
            </c:strRef>
          </c:cat>
          <c:val>
            <c:numRef>
              <c:f>Sheet1!$B$2:$B$6</c:f>
              <c:numCache>
                <c:formatCode>General</c:formatCode>
                <c:ptCount val="5"/>
                <c:pt idx="0">
                  <c:v>21.68</c:v>
                </c:pt>
                <c:pt idx="1">
                  <c:v>1488.63</c:v>
                </c:pt>
                <c:pt idx="2">
                  <c:v>132.69</c:v>
                </c:pt>
                <c:pt idx="3">
                  <c:v>111.52</c:v>
                </c:pt>
                <c:pt idx="4">
                  <c:v>280.79</c:v>
                </c:pt>
              </c:numCache>
            </c:numRef>
          </c:val>
        </c:ser>
        <c:ser>
          <c:idx val="1"/>
          <c:order val="1"/>
          <c:tx>
            <c:strRef>
              <c:f>Sheet1!$C$1</c:f>
              <c:strCache>
                <c:ptCount val="1"/>
                <c:pt idx="0">
                  <c:v>2023年</c:v>
                </c:pt>
              </c:strCache>
            </c:strRef>
          </c:tx>
          <c:spPr>
            <a:solidFill>
              <a:schemeClr val="accent2"/>
            </a:solidFill>
            <a:ln>
              <a:noFill/>
            </a:ln>
            <a:effectLst/>
          </c:spPr>
          <c:invertIfNegative val="0"/>
          <c:dLbls>
            <c:delete val="1"/>
          </c:dLbls>
          <c:cat>
            <c:strRef>
              <c:f>Sheet1!$A$2:$A$6</c:f>
              <c:strCache>
                <c:ptCount val="5"/>
                <c:pt idx="0">
                  <c:v>一般公共服务支出</c:v>
                </c:pt>
                <c:pt idx="1">
                  <c:v>教育支出</c:v>
                </c:pt>
                <c:pt idx="2">
                  <c:v>社会保障和就业支出</c:v>
                </c:pt>
                <c:pt idx="3">
                  <c:v>住房保障支出</c:v>
                </c:pt>
                <c:pt idx="4">
                  <c:v>其他支出</c:v>
                </c:pt>
              </c:strCache>
            </c:strRef>
          </c:cat>
          <c:val>
            <c:numRef>
              <c:f>Sheet1!$C$2:$C$6</c:f>
              <c:numCache>
                <c:formatCode>General</c:formatCode>
                <c:ptCount val="5"/>
                <c:pt idx="0">
                  <c:v>22.73</c:v>
                </c:pt>
                <c:pt idx="1">
                  <c:v>1772.62</c:v>
                </c:pt>
                <c:pt idx="2">
                  <c:v>172.97</c:v>
                </c:pt>
                <c:pt idx="3">
                  <c:v>133.77</c:v>
                </c:pt>
                <c:pt idx="4">
                  <c:v>202.2</c:v>
                </c:pt>
              </c:numCache>
            </c:numRef>
          </c:val>
        </c:ser>
        <c:dLbls>
          <c:showLegendKey val="0"/>
          <c:showVal val="0"/>
          <c:showCatName val="0"/>
          <c:showSerName val="0"/>
          <c:showPercent val="0"/>
          <c:showBubbleSize val="0"/>
        </c:dLbls>
        <c:gapWidth val="219"/>
        <c:overlap val="-27"/>
        <c:axId val="-172443552"/>
        <c:axId val="-172442464"/>
      </c:barChart>
      <c:catAx>
        <c:axId val="-1724435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2464"/>
        <c:crosses val="autoZero"/>
        <c:auto val="1"/>
        <c:lblAlgn val="ctr"/>
        <c:lblOffset val="100"/>
        <c:noMultiLvlLbl val="0"/>
      </c:catAx>
      <c:valAx>
        <c:axId val="-172442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5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2012999</c:v>
                </c:pt>
                <c:pt idx="1">
                  <c:v>201x</c:v>
                </c:pt>
              </c:strCache>
            </c:strRef>
          </c:cat>
          <c:val>
            <c:numRef>
              <c:f>Sheet1!$B$2:$B$3</c:f>
              <c:numCache>
                <c:formatCode>General</c:formatCode>
                <c:ptCount val="2"/>
                <c:pt idx="0">
                  <c:v>22.73</c:v>
                </c:pt>
                <c:pt idx="1">
                  <c:v>22.73</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教育支出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Sheet1!$A$2:$A$6</c:f>
              <c:strCache>
                <c:ptCount val="5"/>
                <c:pt idx="0">
                  <c:v>2050202</c:v>
                </c:pt>
                <c:pt idx="1">
                  <c:v>2050299</c:v>
                </c:pt>
                <c:pt idx="2">
                  <c:v>2050701</c:v>
                </c:pt>
                <c:pt idx="3">
                  <c:v>2050999</c:v>
                </c:pt>
                <c:pt idx="4">
                  <c:v>205x</c:v>
                </c:pt>
              </c:strCache>
            </c:strRef>
          </c:cat>
          <c:val>
            <c:numRef>
              <c:f>Sheet1!$B$2:$B$6</c:f>
              <c:numCache>
                <c:formatCode>General</c:formatCode>
                <c:ptCount val="5"/>
                <c:pt idx="0">
                  <c:v>1754.6</c:v>
                </c:pt>
                <c:pt idx="1">
                  <c:v>15.52</c:v>
                </c:pt>
                <c:pt idx="2">
                  <c:v>1.43</c:v>
                </c:pt>
                <c:pt idx="3">
                  <c:v>1.08</c:v>
                </c:pt>
                <c:pt idx="4">
                  <c:v>1772.62</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社会保障和就业支出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2080505</c:v>
                </c:pt>
                <c:pt idx="1">
                  <c:v>208x</c:v>
                </c:pt>
              </c:strCache>
            </c:strRef>
          </c:cat>
          <c:val>
            <c:numRef>
              <c:f>Sheet1!$B$2:$B$3</c:f>
              <c:numCache>
                <c:formatCode>General</c:formatCode>
                <c:ptCount val="2"/>
                <c:pt idx="0">
                  <c:v>172.97</c:v>
                </c:pt>
                <c:pt idx="1">
                  <c:v>172.97</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住房保障支出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2210201</c:v>
                </c:pt>
                <c:pt idx="1">
                  <c:v>221x</c:v>
                </c:pt>
              </c:strCache>
            </c:strRef>
          </c:cat>
          <c:val>
            <c:numRef>
              <c:f>Sheet1!$B$2:$B$3</c:f>
              <c:numCache>
                <c:formatCode>General</c:formatCode>
                <c:ptCount val="2"/>
                <c:pt idx="0">
                  <c:v>133.77</c:v>
                </c:pt>
                <c:pt idx="1">
                  <c:v>133.77</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2299999</c:v>
                </c:pt>
                <c:pt idx="1">
                  <c:v>229x</c:v>
                </c:pt>
              </c:strCache>
            </c:strRef>
          </c:cat>
          <c:val>
            <c:numRef>
              <c:f>Sheet1!$B$2:$B$3</c:f>
              <c:numCache>
                <c:formatCode>General</c:formatCode>
                <c:ptCount val="2"/>
                <c:pt idx="0">
                  <c:v>199.16</c:v>
                </c:pt>
                <c:pt idx="1">
                  <c:v>199.16</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工资福利支出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Sheet1!$A$2:$A$14</c:f>
              <c:numCache>
                <c:formatCode>General</c:formatCode>
                <c:ptCount val="13"/>
                <c:pt idx="0">
                  <c:v>30101</c:v>
                </c:pt>
                <c:pt idx="1">
                  <c:v>30102</c:v>
                </c:pt>
                <c:pt idx="2">
                  <c:v>30103</c:v>
                </c:pt>
                <c:pt idx="3">
                  <c:v>30106</c:v>
                </c:pt>
                <c:pt idx="4">
                  <c:v>30107</c:v>
                </c:pt>
                <c:pt idx="5">
                  <c:v>30108</c:v>
                </c:pt>
                <c:pt idx="6">
                  <c:v>30109</c:v>
                </c:pt>
                <c:pt idx="7">
                  <c:v>30110</c:v>
                </c:pt>
                <c:pt idx="8">
                  <c:v>30111</c:v>
                </c:pt>
                <c:pt idx="9">
                  <c:v>30112</c:v>
                </c:pt>
                <c:pt idx="10">
                  <c:v>30113</c:v>
                </c:pt>
                <c:pt idx="11">
                  <c:v>30114</c:v>
                </c:pt>
                <c:pt idx="12">
                  <c:v>30199</c:v>
                </c:pt>
              </c:numCache>
            </c:numRef>
          </c:cat>
          <c:val>
            <c:numRef>
              <c:f>Sheet1!$B$2:$B$14</c:f>
              <c:numCache>
                <c:formatCode>General</c:formatCode>
                <c:ptCount val="13"/>
                <c:pt idx="0">
                  <c:v>515.96</c:v>
                </c:pt>
                <c:pt idx="1">
                  <c:v>173.45</c:v>
                </c:pt>
                <c:pt idx="2">
                  <c:v>509.78</c:v>
                </c:pt>
                <c:pt idx="3">
                  <c:v>0</c:v>
                </c:pt>
                <c:pt idx="4">
                  <c:v>246.24</c:v>
                </c:pt>
                <c:pt idx="5">
                  <c:v>172.97</c:v>
                </c:pt>
                <c:pt idx="6">
                  <c:v>0</c:v>
                </c:pt>
                <c:pt idx="7">
                  <c:v>70.07</c:v>
                </c:pt>
                <c:pt idx="8">
                  <c:v>0</c:v>
                </c:pt>
                <c:pt idx="9">
                  <c:v>8.69</c:v>
                </c:pt>
                <c:pt idx="10">
                  <c:v>133.77</c:v>
                </c:pt>
                <c:pt idx="1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商品和服务支出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Sheet1!$A$2:$A$28</c:f>
              <c:numCache>
                <c:formatCode>General</c:formatCode>
                <c:ptCount val="27"/>
                <c:pt idx="0">
                  <c:v>30201</c:v>
                </c:pt>
                <c:pt idx="1">
                  <c:v>30202</c:v>
                </c:pt>
                <c:pt idx="2">
                  <c:v>30203</c:v>
                </c:pt>
                <c:pt idx="3">
                  <c:v>30204</c:v>
                </c:pt>
                <c:pt idx="4">
                  <c:v>30205</c:v>
                </c:pt>
                <c:pt idx="5">
                  <c:v>30206</c:v>
                </c:pt>
                <c:pt idx="6">
                  <c:v>30207</c:v>
                </c:pt>
                <c:pt idx="7">
                  <c:v>30208</c:v>
                </c:pt>
                <c:pt idx="8">
                  <c:v>30209</c:v>
                </c:pt>
                <c:pt idx="9">
                  <c:v>30211</c:v>
                </c:pt>
                <c:pt idx="10">
                  <c:v>30212</c:v>
                </c:pt>
                <c:pt idx="11">
                  <c:v>30213</c:v>
                </c:pt>
                <c:pt idx="12">
                  <c:v>30214</c:v>
                </c:pt>
                <c:pt idx="13">
                  <c:v>30215</c:v>
                </c:pt>
                <c:pt idx="14">
                  <c:v>30216</c:v>
                </c:pt>
                <c:pt idx="15">
                  <c:v>30217</c:v>
                </c:pt>
                <c:pt idx="16">
                  <c:v>30218</c:v>
                </c:pt>
                <c:pt idx="17">
                  <c:v>30224</c:v>
                </c:pt>
                <c:pt idx="18">
                  <c:v>30225</c:v>
                </c:pt>
                <c:pt idx="19">
                  <c:v>30226</c:v>
                </c:pt>
                <c:pt idx="20">
                  <c:v>30227</c:v>
                </c:pt>
                <c:pt idx="21">
                  <c:v>30228</c:v>
                </c:pt>
                <c:pt idx="22">
                  <c:v>30229</c:v>
                </c:pt>
                <c:pt idx="23">
                  <c:v>30231</c:v>
                </c:pt>
                <c:pt idx="24">
                  <c:v>30239</c:v>
                </c:pt>
                <c:pt idx="25">
                  <c:v>30240</c:v>
                </c:pt>
                <c:pt idx="26">
                  <c:v>30299</c:v>
                </c:pt>
              </c:numCache>
            </c:numRef>
          </c:cat>
          <c:val>
            <c:numRef>
              <c:f>Sheet1!$B$2:$B$28</c:f>
              <c:numCache>
                <c:formatCode>General</c:formatCode>
                <c:ptCount val="2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22.73</c:v>
                </c:pt>
                <c:pt idx="22">
                  <c:v>0</c:v>
                </c:pt>
                <c:pt idx="23">
                  <c:v>0</c:v>
                </c:pt>
                <c:pt idx="24">
                  <c:v>0</c:v>
                </c:pt>
                <c:pt idx="25">
                  <c:v>0</c:v>
                </c:pt>
                <c:pt idx="26">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0CACF-E88F-4774-9588-59B2C8C8876C}">
  <ds:schemaRefs/>
</ds:datastoreItem>
</file>

<file path=docProps/app.xml><?xml version="1.0" encoding="utf-8"?>
<Properties xmlns="http://schemas.openxmlformats.org/officeDocument/2006/extended-properties" xmlns:vt="http://schemas.openxmlformats.org/officeDocument/2006/docPropsVTypes">
  <Template>Normal.dotm</Template>
  <Pages>43</Pages>
  <Words>3397</Words>
  <Characters>5324</Characters>
  <Lines>90</Lines>
  <Paragraphs>25</Paragraphs>
  <TotalTime>13</TotalTime>
  <ScaleCrop>false</ScaleCrop>
  <LinksUpToDate>false</LinksUpToDate>
  <CharactersWithSpaces>5380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hjxjyj</cp:lastModifiedBy>
  <cp:lastPrinted>2023-11-20T10:31:00Z</cp:lastPrinted>
  <dcterms:modified xsi:type="dcterms:W3CDTF">2025-01-04T07:59:27Z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BCEB6B2CBAC944FF91BFFAB3594BBA63_13</vt:lpwstr>
  </property>
  <property fmtid="{D5CDD505-2E9C-101B-9397-08002B2CF9AE}" pid="4" name="KSOTemplateDocerSaveRecord">
    <vt:lpwstr>eyJoZGlkIjoiZTA3Mzg0NzBlMzJiOTFiNTgxM2VjYjkwOWJhMGRkZTYiLCJ1c2VySWQiOiI0ODk2Njg5ODMifQ==</vt:lpwstr>
  </property>
</Properties>
</file>