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eastAsia="zh-CN"/>
        </w:rPr>
        <w:t>环江毛南族自治县东兴镇初级中学</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spacing w:line="560" w:lineRule="exact"/>
        <w:ind w:firstLine="2200" w:firstLineChars="500"/>
        <w:rPr>
          <w:rFonts w:hint="default" w:ascii="仿宋" w:hAnsi="仿宋" w:eastAsia="方正小标宋简体" w:cs="仿宋"/>
          <w:sz w:val="32"/>
          <w:szCs w:val="32"/>
          <w:highlight w:val="none"/>
          <w:lang w:val="en-US" w:eastAsia="zh-CN"/>
        </w:rPr>
      </w:pPr>
      <w:r>
        <w:rPr>
          <w:rFonts w:hint="eastAsia" w:ascii="Times New Roman" w:hAnsi="Times New Roman" w:eastAsia="方正小标宋简体" w:cs="Times New Roman"/>
          <w:kern w:val="0"/>
          <w:sz w:val="44"/>
          <w:szCs w:val="44"/>
        </w:rPr>
        <w:t>单位负责人：</w:t>
      </w:r>
      <w:r>
        <w:rPr>
          <w:rFonts w:hint="eastAsia" w:ascii="Times New Roman" w:hAnsi="Times New Roman" w:eastAsia="方正小标宋简体" w:cs="Times New Roman"/>
          <w:kern w:val="0"/>
          <w:sz w:val="44"/>
          <w:szCs w:val="44"/>
          <w:lang w:val="en-US" w:eastAsia="zh-CN"/>
        </w:rPr>
        <w:t>韦有福</w:t>
      </w: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3日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eastAsia="zh-CN"/>
        </w:rPr>
        <w:t>环江毛南族自治县东兴镇初级中学</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环江毛南族自治县东兴镇初级中学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表九：财政拨款“三公”经费支出决算表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环江毛南族自治县东兴镇初级中学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六、财政拨款“三公”经费支出决算情况说明。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hint="eastAsia" w:ascii="仿宋_GB2312" w:eastAsia="仿宋_GB2312" w:cs="仿宋_GB2312"/>
          <w:kern w:val="0"/>
          <w:sz w:val="32"/>
          <w:szCs w:val="32"/>
          <w:highlight w:val="none"/>
          <w:lang w:eastAsia="zh-CN"/>
        </w:rPr>
      </w:pPr>
      <w:r>
        <w:rPr>
          <w:rFonts w:hint="default" w:ascii="仿宋_GB2312" w:eastAsia="仿宋_GB2312" w:cs="仿宋_GB2312"/>
          <w:kern w:val="0"/>
          <w:sz w:val="32"/>
          <w:szCs w:val="32"/>
          <w:highlight w:val="none"/>
        </w:rPr>
        <w:t>八、预算绩效管理工作开展情况</w:t>
      </w:r>
      <w:r>
        <w:rPr>
          <w:rFonts w:hint="eastAsia" w:ascii="仿宋_GB2312" w:eastAsia="仿宋_GB2312" w:cs="仿宋_GB2312"/>
          <w:kern w:val="0"/>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环江毛南族自治县东兴镇初级中学</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（一）宣传贯彻执行党和国家的教育方针、教育政策、教育法律和法规，贯彻执行上级教育行政部门门的各项规章制度。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（二）在政府和上级教育主管部门的领导下，争取资金改善办学条件，为师生的学习和工作提供优美和谐的环境。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）积极办好初中教育，扶持民办教育，加强职业技术教育，促进各类教育协调发展。</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）按照干部和教师的职数、编制和管理权限，负责对本学校的干部和教师进行管理，制定切实可行的学校工作规章制度，以提高教育教学质量为目的，对干部职工的工作开展客观、公正的评价和考核 。</w:t>
      </w:r>
    </w:p>
    <w:p>
      <w:pPr>
        <w:ind w:firstLine="640" w:firstLineChars="200"/>
        <w:jc w:val="left"/>
        <w:rPr>
          <w:rFonts w:ascii="仿宋" w:hAnsi="仿宋" w:eastAsia="仿宋" w:cs="仿宋"/>
          <w:sz w:val="32"/>
          <w:szCs w:val="32"/>
        </w:rPr>
      </w:pPr>
      <w:bookmarkStart w:id="0" w:name="_Hlk129624021"/>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w:t>
      </w:r>
      <w:bookmarkEnd w:id="0"/>
      <w:r>
        <w:rPr>
          <w:rFonts w:hint="eastAsia" w:ascii="仿宋" w:hAnsi="仿宋" w:eastAsia="仿宋" w:cs="仿宋"/>
          <w:sz w:val="32"/>
          <w:szCs w:val="32"/>
        </w:rPr>
        <w:t>按照上级有关部门的规定，负责对学校的财务和项目建设进行管理，负责核算和发放教职工工资。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六</w:t>
      </w:r>
      <w:r>
        <w:rPr>
          <w:rFonts w:hint="eastAsia" w:ascii="仿宋" w:hAnsi="仿宋" w:eastAsia="仿宋" w:cs="仿宋"/>
          <w:sz w:val="32"/>
          <w:szCs w:val="32"/>
        </w:rPr>
        <w:t>）按照九年义务教育课程计划，开齐课程，开足课时，认真实施中学的教育教学管理，全面推进素质教育，全面提高教育教学质量。</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七</w:t>
      </w:r>
      <w:bookmarkStart w:id="10" w:name="_GoBack"/>
      <w:bookmarkEnd w:id="10"/>
      <w:r>
        <w:rPr>
          <w:rFonts w:hint="eastAsia" w:ascii="仿宋" w:hAnsi="仿宋" w:eastAsia="仿宋" w:cs="仿宋"/>
          <w:sz w:val="32"/>
          <w:szCs w:val="32"/>
        </w:rPr>
        <w:t>）组织开展学习的教育教学科研和教育教学改革，以科学的发展观和以人为本的管理理念注重学生全面发展。</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（一）部门内设机构（处室）的数量、名称、职能等；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我校设有</w:t>
      </w:r>
      <w:r>
        <w:rPr>
          <w:rFonts w:hint="eastAsia" w:ascii="仿宋" w:hAnsi="仿宋" w:eastAsia="仿宋" w:cs="仿宋"/>
          <w:sz w:val="32"/>
          <w:szCs w:val="32"/>
          <w:lang w:val="en-US" w:eastAsia="zh-CN"/>
        </w:rPr>
        <w:t>13</w:t>
      </w:r>
      <w:r>
        <w:rPr>
          <w:rFonts w:hint="eastAsia" w:ascii="仿宋" w:hAnsi="仿宋" w:eastAsia="仿宋" w:cs="仿宋"/>
          <w:sz w:val="32"/>
          <w:szCs w:val="32"/>
        </w:rPr>
        <w:t>个处室，分别为：</w:t>
      </w:r>
      <w:r>
        <w:rPr>
          <w:rFonts w:hint="eastAsia" w:ascii="仿宋" w:hAnsi="仿宋" w:eastAsia="仿宋" w:cs="仿宋"/>
          <w:sz w:val="32"/>
          <w:szCs w:val="32"/>
          <w:lang w:val="en-US" w:eastAsia="zh-CN"/>
        </w:rPr>
        <w:t>义务教育均衡发展办公室、</w:t>
      </w:r>
      <w:r>
        <w:rPr>
          <w:rFonts w:hint="eastAsia" w:ascii="仿宋" w:hAnsi="仿宋" w:eastAsia="仿宋" w:cs="仿宋"/>
          <w:sz w:val="32"/>
          <w:szCs w:val="32"/>
        </w:rPr>
        <w:t>党支部、</w:t>
      </w:r>
      <w:r>
        <w:rPr>
          <w:rFonts w:hint="eastAsia" w:ascii="仿宋" w:hAnsi="仿宋" w:eastAsia="仿宋" w:cs="仿宋"/>
          <w:sz w:val="32"/>
          <w:szCs w:val="32"/>
          <w:lang w:val="en-US" w:eastAsia="zh-CN"/>
        </w:rPr>
        <w:t>校长室、督学办公室、</w:t>
      </w:r>
      <w:r>
        <w:rPr>
          <w:rFonts w:hint="eastAsia" w:ascii="仿宋" w:hAnsi="仿宋" w:eastAsia="仿宋" w:cs="仿宋"/>
          <w:sz w:val="32"/>
          <w:szCs w:val="32"/>
        </w:rPr>
        <w:t>行政办公室、语言文字办公室、</w:t>
      </w:r>
      <w:r>
        <w:rPr>
          <w:rFonts w:hint="eastAsia" w:ascii="仿宋" w:hAnsi="仿宋" w:eastAsia="仿宋" w:cs="仿宋"/>
          <w:sz w:val="32"/>
          <w:szCs w:val="32"/>
          <w:lang w:val="en-US" w:eastAsia="zh-CN"/>
        </w:rPr>
        <w:t>副校长办公室、</w:t>
      </w:r>
      <w:r>
        <w:rPr>
          <w:rFonts w:hint="eastAsia" w:ascii="仿宋" w:hAnsi="仿宋" w:eastAsia="仿宋" w:cs="仿宋"/>
          <w:sz w:val="32"/>
          <w:szCs w:val="32"/>
        </w:rPr>
        <w:t>财务室、教务处、工会办公室、总务处</w:t>
      </w:r>
      <w:r>
        <w:rPr>
          <w:rFonts w:hint="eastAsia" w:ascii="仿宋" w:hAnsi="仿宋" w:eastAsia="仿宋" w:cs="仿宋"/>
          <w:sz w:val="32"/>
          <w:szCs w:val="32"/>
          <w:lang w:eastAsia="zh-CN"/>
        </w:rPr>
        <w:t>、</w:t>
      </w:r>
      <w:r>
        <w:rPr>
          <w:rFonts w:hint="eastAsia" w:ascii="仿宋" w:hAnsi="仿宋" w:eastAsia="仿宋" w:cs="仿宋"/>
          <w:sz w:val="32"/>
          <w:szCs w:val="32"/>
        </w:rPr>
        <w:t>政教处。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（二）部门所属单位的数量、名称、单位性质、单位职能等。</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bookmarkStart w:id="1" w:name="_Hlk129682095"/>
      <w:r>
        <w:rPr>
          <w:rFonts w:hint="eastAsia" w:ascii="仿宋" w:hAnsi="仿宋" w:eastAsia="仿宋" w:cs="仿宋"/>
          <w:sz w:val="32"/>
          <w:szCs w:val="32"/>
        </w:rPr>
        <w:t>我校有</w:t>
      </w:r>
      <w:bookmarkEnd w:id="1"/>
      <w:r>
        <w:rPr>
          <w:rFonts w:hint="eastAsia" w:ascii="仿宋" w:hAnsi="仿宋" w:eastAsia="仿宋" w:cs="仿宋"/>
          <w:sz w:val="32"/>
          <w:szCs w:val="32"/>
        </w:rPr>
        <w:t>6个教研组，</w:t>
      </w:r>
      <w:bookmarkStart w:id="2" w:name="_Hlk129682113"/>
      <w:r>
        <w:rPr>
          <w:rFonts w:hint="eastAsia" w:ascii="仿宋" w:hAnsi="仿宋" w:eastAsia="仿宋" w:cs="仿宋"/>
          <w:sz w:val="32"/>
          <w:szCs w:val="32"/>
        </w:rPr>
        <w:t>分别为：</w:t>
      </w:r>
      <w:bookmarkEnd w:id="2"/>
      <w:r>
        <w:rPr>
          <w:rFonts w:hint="eastAsia" w:ascii="仿宋" w:hAnsi="仿宋" w:eastAsia="仿宋" w:cs="仿宋"/>
          <w:sz w:val="32"/>
          <w:szCs w:val="32"/>
        </w:rPr>
        <w:t>语文教研组、数学教研组、英语教研组、综合教研组、理化教研组、图音体教研组。</w:t>
      </w: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eastAsia="zh-CN"/>
        </w:rPr>
        <w:t>环江毛南族自治县东兴镇初级中学</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1274.00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13.81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eastAsia="zh-CN" w:bidi="ar"/>
              </w:rPr>
            </w:pPr>
            <w:r>
              <w:rPr>
                <w:rFonts w:hint="default" w:ascii="宋体" w:hAnsi="宋体" w:eastAsia="宋体" w:cs="宋体"/>
                <w:color w:val="000000"/>
                <w:kern w:val="0"/>
                <w:sz w:val="22"/>
                <w:szCs w:val="22"/>
                <w:highlight w:val="none"/>
                <w:lang w:bidi="ar"/>
              </w:rPr>
              <w:t>100</w:t>
            </w:r>
            <w:r>
              <w:rPr>
                <w:rFonts w:hint="eastAsia" w:ascii="宋体" w:hAnsi="宋体" w:eastAsia="宋体" w:cs="宋体"/>
                <w:color w:val="000000"/>
                <w:kern w:val="0"/>
                <w:sz w:val="22"/>
                <w:szCs w:val="22"/>
                <w:highlight w:val="none"/>
                <w:lang w:val="en-US" w:eastAsia="zh-CN" w:bidi="ar"/>
              </w:rPr>
              <w:t>1</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89</w:t>
            </w:r>
            <w:r>
              <w:rPr>
                <w:rFonts w:hint="default" w:ascii="宋体" w:hAnsi="宋体" w:eastAsia="宋体" w:cs="宋体"/>
                <w:color w:val="000000"/>
                <w:kern w:val="0"/>
                <w:sz w:val="22"/>
                <w:szCs w:val="22"/>
                <w:highlight w:val="none"/>
                <w:lang w:bidi="ar"/>
              </w:rPr>
              <w:t>.</w:t>
            </w:r>
            <w:r>
              <w:rPr>
                <w:rFonts w:hint="eastAsia" w:ascii="宋体" w:hAnsi="宋体" w:eastAsia="宋体" w:cs="宋体"/>
                <w:color w:val="000000"/>
                <w:kern w:val="0"/>
                <w:sz w:val="22"/>
                <w:szCs w:val="22"/>
                <w:highlight w:val="none"/>
                <w:lang w:val="en-US" w:eastAsia="zh-CN" w:bidi="ar"/>
              </w:rPr>
              <w:t>27</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67.31</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0</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34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1274.00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1274.00</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color w:val="000000"/>
                <w:kern w:val="0"/>
                <w:sz w:val="22"/>
                <w:szCs w:val="22"/>
                <w:highlight w:val="none"/>
                <w:lang w:val="en-US" w:eastAsia="zh-CN" w:bidi="ar"/>
              </w:rPr>
              <w:t>1274.00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color w:val="000000"/>
                <w:kern w:val="0"/>
                <w:sz w:val="22"/>
                <w:szCs w:val="22"/>
                <w:highlight w:val="none"/>
                <w:lang w:val="en-US" w:eastAsia="zh-CN" w:bidi="ar"/>
              </w:rPr>
              <w:t>1274.00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13.81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13.81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2050203</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初中教育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987.69</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987.69</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11.25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11.25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89.27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89.27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67.31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67.31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u w:val="none"/>
                <w:lang w:val="en-US" w:eastAsia="zh-CN" w:bidi="ar"/>
              </w:rPr>
              <w:t>102.34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102.34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632"/>
        <w:gridCol w:w="121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3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1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43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2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69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43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431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color w:val="000000"/>
                <w:sz w:val="22"/>
                <w:szCs w:val="22"/>
                <w:highlight w:val="none"/>
                <w:lang w:eastAsia="zh-CN"/>
              </w:rPr>
            </w:pPr>
            <w:r>
              <w:rPr>
                <w:rFonts w:hint="eastAsia" w:ascii="宋体" w:hAnsi="宋体" w:eastAsia="宋体" w:cs="宋体"/>
                <w:b/>
                <w:bCs/>
                <w:color w:val="000000"/>
                <w:sz w:val="22"/>
                <w:szCs w:val="22"/>
                <w:highlight w:val="none"/>
                <w:lang w:val="en-US" w:eastAsia="zh-CN"/>
              </w:rPr>
              <w:t>1274</w:t>
            </w:r>
            <w:r>
              <w:rPr>
                <w:rFonts w:hint="default" w:ascii="宋体" w:hAnsi="宋体" w:eastAsia="宋体" w:cs="宋体"/>
                <w:b/>
                <w:bCs/>
                <w:color w:val="000000"/>
                <w:sz w:val="22"/>
                <w:szCs w:val="22"/>
                <w:highlight w:val="none"/>
              </w:rPr>
              <w:t>.0</w:t>
            </w:r>
            <w:r>
              <w:rPr>
                <w:rFonts w:hint="eastAsia" w:ascii="宋体" w:hAnsi="宋体" w:eastAsia="宋体" w:cs="宋体"/>
                <w:b/>
                <w:bCs/>
                <w:color w:val="000000"/>
                <w:sz w:val="22"/>
                <w:szCs w:val="22"/>
                <w:highlight w:val="none"/>
                <w:lang w:val="en-US" w:eastAsia="zh-CN"/>
              </w:rPr>
              <w:t>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1045.00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228.99</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13.81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13.81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2050203</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初中教育</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987.69</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771.65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216.04</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2050299</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其他普通教育支出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11.25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0.63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10.62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2050701</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特殊学校教育</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89.27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89.27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67.31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67.31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2299999</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其他支出</w:t>
            </w:r>
          </w:p>
        </w:tc>
        <w:tc>
          <w:tcPr>
            <w:tcW w:w="12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102.34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i w:val="0"/>
                <w:iCs w:val="0"/>
                <w:color w:val="000000"/>
                <w:kern w:val="0"/>
                <w:sz w:val="22"/>
                <w:szCs w:val="22"/>
                <w:u w:val="none"/>
                <w:lang w:val="en-US" w:eastAsia="zh-CN" w:bidi="ar"/>
              </w:rPr>
              <w:t>102.34</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5" w:type="pct"/>
        <w:tblInd w:w="0" w:type="dxa"/>
        <w:tblLayout w:type="fixed"/>
        <w:tblCellMar>
          <w:top w:w="0" w:type="dxa"/>
          <w:left w:w="108" w:type="dxa"/>
          <w:bottom w:w="0" w:type="dxa"/>
          <w:right w:w="108" w:type="dxa"/>
        </w:tblCellMar>
      </w:tblPr>
      <w:tblGrid>
        <w:gridCol w:w="2214"/>
        <w:gridCol w:w="785"/>
        <w:gridCol w:w="1307"/>
        <w:gridCol w:w="2542"/>
        <w:gridCol w:w="671"/>
        <w:gridCol w:w="1088"/>
        <w:gridCol w:w="1773"/>
        <w:gridCol w:w="1803"/>
        <w:gridCol w:w="1894"/>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7"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9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9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1274.00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13.81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13.81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100</w:t>
            </w:r>
            <w:r>
              <w:rPr>
                <w:rFonts w:hint="eastAsia" w:ascii="宋体" w:hAnsi="宋体" w:eastAsia="宋体" w:cs="宋体"/>
                <w:color w:val="000000"/>
                <w:kern w:val="0"/>
                <w:sz w:val="22"/>
                <w:szCs w:val="22"/>
                <w:highlight w:val="none"/>
                <w:lang w:val="en-US" w:eastAsia="zh-CN" w:bidi="ar"/>
              </w:rPr>
              <w:t>1</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100</w:t>
            </w:r>
            <w:r>
              <w:rPr>
                <w:rFonts w:hint="eastAsia" w:ascii="宋体" w:hAnsi="宋体" w:eastAsia="宋体" w:cs="宋体"/>
                <w:color w:val="000000"/>
                <w:kern w:val="0"/>
                <w:sz w:val="22"/>
                <w:szCs w:val="22"/>
                <w:highlight w:val="none"/>
                <w:lang w:val="en-US" w:eastAsia="zh-CN" w:bidi="ar"/>
              </w:rPr>
              <w:t>1</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89.27</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89.27</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67.31</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67.31</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0</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34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1</w:t>
            </w:r>
            <w:r>
              <w:rPr>
                <w:rFonts w:hint="eastAsia" w:ascii="宋体" w:hAnsi="宋体" w:eastAsia="宋体" w:cs="宋体"/>
                <w:color w:val="000000"/>
                <w:kern w:val="0"/>
                <w:sz w:val="22"/>
                <w:szCs w:val="22"/>
                <w:highlight w:val="none"/>
                <w:lang w:val="en-US" w:eastAsia="zh-CN" w:bidi="ar"/>
              </w:rPr>
              <w:t>0</w:t>
            </w:r>
            <w:r>
              <w:rPr>
                <w:rFonts w:hint="default" w:ascii="宋体" w:hAnsi="宋体" w:eastAsia="宋体" w:cs="宋体"/>
                <w:color w:val="000000"/>
                <w:kern w:val="0"/>
                <w:sz w:val="22"/>
                <w:szCs w:val="22"/>
                <w:highlight w:val="none"/>
                <w:lang w:bidi="ar"/>
              </w:rPr>
              <w:t>2.</w:t>
            </w:r>
            <w:r>
              <w:rPr>
                <w:rFonts w:hint="eastAsia" w:ascii="宋体" w:hAnsi="宋体" w:eastAsia="宋体" w:cs="宋体"/>
                <w:color w:val="000000"/>
                <w:kern w:val="0"/>
                <w:sz w:val="22"/>
                <w:szCs w:val="22"/>
                <w:highlight w:val="none"/>
                <w:lang w:val="en-US" w:eastAsia="zh-CN" w:bidi="ar"/>
              </w:rPr>
              <w:t>34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1274</w:t>
            </w: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w:t>
            </w: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w:t>
            </w: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w:t>
            </w: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p>
        </w:tc>
        <w:tc>
          <w:tcPr>
            <w:tcW w:w="9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2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w:t>
            </w: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1274</w:t>
            </w: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1274.00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1045.01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228.99</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13.81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13.81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2050203</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初中教育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987.69</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771.65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216.04</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2050299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11.25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0.63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10.62</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2050701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特殊学校教育</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89.27</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89.27</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67.31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67.31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102.34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102.34</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3" w:name="OLE_LINK4"/>
            <w:bookmarkStart w:id="4"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980.97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13.81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295.21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87.77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260.25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141.55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89.27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35.76</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67.31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50.23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46.31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color w:val="000000"/>
                <w:sz w:val="22"/>
                <w:szCs w:val="22"/>
                <w:highlight w:val="none"/>
                <w:lang w:eastAsia="zh-CN"/>
              </w:rPr>
            </w:pPr>
            <w:r>
              <w:rPr>
                <w:rFonts w:hint="default" w:ascii="宋体" w:hAnsi="宋体" w:eastAsia="宋体" w:cs="宋体"/>
                <w:color w:val="000000"/>
                <w:kern w:val="0"/>
                <w:sz w:val="22"/>
                <w:szCs w:val="22"/>
                <w:highlight w:val="none"/>
                <w:lang w:bidi="ar"/>
              </w:rPr>
              <w:t>0.0</w:t>
            </w:r>
            <w:r>
              <w:rPr>
                <w:rFonts w:hint="eastAsia" w:ascii="宋体" w:hAnsi="宋体" w:eastAsia="宋体" w:cs="宋体"/>
                <w:color w:val="000000"/>
                <w:kern w:val="0"/>
                <w:sz w:val="22"/>
                <w:szCs w:val="22"/>
                <w:highlight w:val="none"/>
                <w:lang w:val="en-US" w:eastAsia="zh-CN" w:bidi="ar"/>
              </w:rPr>
              <w:t>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3.91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13.81</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w:t>
            </w:r>
            <w:r>
              <w:rPr>
                <w:rFonts w:hint="eastAsia" w:ascii="宋体" w:hAnsi="宋体" w:eastAsia="宋体" w:cs="宋体"/>
                <w:color w:val="000000"/>
                <w:kern w:val="0"/>
                <w:sz w:val="22"/>
                <w:szCs w:val="22"/>
                <w:highlight w:val="none"/>
                <w:lang w:val="en-US" w:eastAsia="zh-CN" w:bidi="ar"/>
              </w:rPr>
              <w:t>0</w:t>
            </w:r>
            <w:r>
              <w:rPr>
                <w:rFonts w:hint="default" w:ascii="宋体" w:hAnsi="宋体" w:eastAsia="宋体" w:cs="宋体"/>
                <w:color w:val="000000"/>
                <w:kern w:val="0"/>
                <w:sz w:val="22"/>
                <w:szCs w:val="22"/>
                <w:highlight w:val="none"/>
                <w:lang w:bidi="ar"/>
              </w:rPr>
              <w:t>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p>
          <w:bookmarkEnd w:id="3"/>
          <w:bookmarkEnd w:id="4"/>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1031.20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13.81</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本部门2022年度没有政府性基金预算财政拨款收入，也没有政府性基金预算财政拨款安排的支出，故本表无数据。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themeColor="text1"/>
          <w:kern w:val="0"/>
          <w:sz w:val="22"/>
          <w:szCs w:val="22"/>
          <w:highlight w:val="none"/>
          <w:lang w:bidi="ar"/>
          <w14:textFill>
            <w14:solidFill>
              <w14:schemeClr w14:val="tx1"/>
            </w14:solidFill>
          </w14:textFill>
        </w:rPr>
      </w:pP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bl>
      <w:tblPr>
        <w:tblStyle w:val="6"/>
        <w:tblW w:w="13940" w:type="dxa"/>
        <w:tblInd w:w="96" w:type="dxa"/>
        <w:tblLayout w:type="fixed"/>
        <w:tblCellMar>
          <w:top w:w="0" w:type="dxa"/>
          <w:left w:w="108" w:type="dxa"/>
          <w:bottom w:w="0" w:type="dxa"/>
          <w:right w:w="108" w:type="dxa"/>
        </w:tblCellMar>
      </w:tblPr>
      <w:tblGrid>
        <w:gridCol w:w="941"/>
        <w:gridCol w:w="2145"/>
        <w:gridCol w:w="893"/>
        <w:gridCol w:w="202"/>
        <w:gridCol w:w="493"/>
        <w:gridCol w:w="231"/>
        <w:gridCol w:w="906"/>
        <w:gridCol w:w="303"/>
        <w:gridCol w:w="1011"/>
        <w:gridCol w:w="151"/>
        <w:gridCol w:w="810"/>
        <w:gridCol w:w="603"/>
        <w:gridCol w:w="159"/>
        <w:gridCol w:w="866"/>
        <w:gridCol w:w="416"/>
        <w:gridCol w:w="439"/>
        <w:gridCol w:w="164"/>
        <w:gridCol w:w="783"/>
        <w:gridCol w:w="201"/>
        <w:gridCol w:w="695"/>
        <w:gridCol w:w="274"/>
        <w:gridCol w:w="1237"/>
        <w:gridCol w:w="17"/>
      </w:tblGrid>
      <w:tr>
        <w:tblPrEx>
          <w:tblCellMar>
            <w:top w:w="0" w:type="dxa"/>
            <w:left w:w="108" w:type="dxa"/>
            <w:bottom w:w="0" w:type="dxa"/>
            <w:right w:w="108" w:type="dxa"/>
          </w:tblCellMar>
        </w:tblPrEx>
        <w:trPr>
          <w:trHeight w:val="1350" w:hRule="atLeast"/>
        </w:trPr>
        <w:tc>
          <w:tcPr>
            <w:tcW w:w="13940" w:type="dxa"/>
            <w:gridSpan w:val="2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宋体" w:hAnsi="宋体" w:eastAsia="宋体" w:cs="宋体"/>
                <w:color w:val="000000"/>
                <w:kern w:val="0"/>
                <w:sz w:val="30"/>
                <w:szCs w:val="30"/>
                <w:highlight w:val="none"/>
                <w:lang w:bidi="ar"/>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财政拨款“三公”经费支出决算表</w:t>
            </w: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32"/>
                <w:szCs w:val="32"/>
                <w:highlight w:val="none"/>
                <w:lang w:bidi="ar"/>
              </w:rPr>
              <w:t>财政拨款“三公”经费支出决算表</w:t>
            </w:r>
          </w:p>
        </w:tc>
      </w:tr>
      <w:tr>
        <w:tblPrEx>
          <w:tblCellMar>
            <w:top w:w="0" w:type="dxa"/>
            <w:left w:w="108" w:type="dxa"/>
            <w:bottom w:w="0" w:type="dxa"/>
            <w:right w:w="108" w:type="dxa"/>
          </w:tblCellMar>
        </w:tblPrEx>
        <w:trPr>
          <w:gridAfter w:val="1"/>
          <w:wAfter w:w="17" w:type="dxa"/>
          <w:trHeight w:val="632" w:hRule="atLeast"/>
        </w:trPr>
        <w:tc>
          <w:tcPr>
            <w:tcW w:w="13923" w:type="dxa"/>
            <w:gridSpan w:val="2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宋体" w:hAnsi="宋体" w:eastAsia="宋体" w:cs="宋体"/>
                <w:color w:val="000000"/>
                <w:sz w:val="30"/>
                <w:szCs w:val="30"/>
                <w:highlight w:val="none"/>
              </w:rPr>
            </w:pPr>
          </w:p>
        </w:tc>
      </w:tr>
      <w:tr>
        <w:tblPrEx>
          <w:tblCellMar>
            <w:top w:w="0" w:type="dxa"/>
            <w:left w:w="108" w:type="dxa"/>
            <w:bottom w:w="0" w:type="dxa"/>
            <w:right w:w="108" w:type="dxa"/>
          </w:tblCellMar>
        </w:tblPrEx>
        <w:trPr>
          <w:gridAfter w:val="1"/>
          <w:wAfter w:w="17" w:type="dxa"/>
          <w:trHeight w:val="316" w:hRule="atLeast"/>
        </w:trPr>
        <w:tc>
          <w:tcPr>
            <w:tcW w:w="3086"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p>
        </w:tc>
        <w:tc>
          <w:tcPr>
            <w:tcW w:w="109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2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0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7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96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3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8086" w:type="dxa"/>
            <w:gridSpan w:val="11"/>
            <w:tcBorders>
              <w:top w:val="nil"/>
              <w:left w:val="nil"/>
              <w:bottom w:val="single" w:color="auto" w:sz="4" w:space="0"/>
              <w:right w:val="nil"/>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Arial" w:hAnsi="Arial" w:cs="Arial"/>
                <w:color w:val="000000"/>
                <w:sz w:val="20"/>
                <w:szCs w:val="20"/>
                <w:highlight w:val="none"/>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eastAsia="zh-CN"/>
              </w:rPr>
              <w:t>环江毛南族自治县东兴镇初级中学</w:t>
            </w:r>
          </w:p>
        </w:tc>
        <w:tc>
          <w:tcPr>
            <w:tcW w:w="7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55"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3"/>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8086"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预算数</w:t>
            </w:r>
          </w:p>
        </w:tc>
        <w:tc>
          <w:tcPr>
            <w:tcW w:w="5837" w:type="dxa"/>
            <w:gridSpan w:val="11"/>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gridAfter w:val="1"/>
          <w:wAfter w:w="17" w:type="dxa"/>
          <w:trHeight w:val="326" w:hRule="atLeast"/>
        </w:trPr>
        <w:tc>
          <w:tcPr>
            <w:tcW w:w="941"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3038" w:type="dxa"/>
            <w:gridSpan w:val="2"/>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46"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961" w:type="dxa"/>
            <w:gridSpan w:val="2"/>
            <w:vMerge w:val="restart"/>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c>
          <w:tcPr>
            <w:tcW w:w="60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441" w:type="dxa"/>
            <w:gridSpan w:val="3"/>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282" w:type="dxa"/>
            <w:gridSpan w:val="5"/>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511" w:type="dxa"/>
            <w:gridSpan w:val="2"/>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gridAfter w:val="1"/>
          <w:wAfter w:w="17" w:type="dxa"/>
          <w:trHeight w:val="642" w:hRule="atLeast"/>
        </w:trPr>
        <w:tc>
          <w:tcPr>
            <w:tcW w:w="94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2"/>
                <w:szCs w:val="22"/>
                <w:highlight w:val="none"/>
              </w:rPr>
            </w:pPr>
          </w:p>
        </w:tc>
        <w:tc>
          <w:tcPr>
            <w:tcW w:w="3038" w:type="dxa"/>
            <w:gridSpan w:val="2"/>
            <w:vMerge w:val="continue"/>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2"/>
                <w:szCs w:val="22"/>
                <w:highlight w:val="none"/>
              </w:rPr>
            </w:pPr>
          </w:p>
        </w:tc>
        <w:tc>
          <w:tcPr>
            <w:tcW w:w="695"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1137"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314" w:type="dxa"/>
            <w:gridSpan w:val="2"/>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961" w:type="dxa"/>
            <w:gridSpan w:val="2"/>
            <w:vMerge w:val="continue"/>
            <w:tcBorders>
              <w:top w:val="single" w:color="auto"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2"/>
                <w:szCs w:val="22"/>
                <w:highlight w:val="none"/>
              </w:rPr>
            </w:pPr>
          </w:p>
        </w:tc>
        <w:tc>
          <w:tcPr>
            <w:tcW w:w="60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2"/>
                <w:szCs w:val="22"/>
                <w:highlight w:val="none"/>
              </w:rPr>
            </w:pPr>
          </w:p>
        </w:tc>
        <w:tc>
          <w:tcPr>
            <w:tcW w:w="1441" w:type="dxa"/>
            <w:gridSpan w:val="3"/>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2"/>
                <w:szCs w:val="22"/>
                <w:highlight w:val="none"/>
              </w:rPr>
            </w:pPr>
          </w:p>
        </w:tc>
        <w:tc>
          <w:tcPr>
            <w:tcW w:w="60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小计</w:t>
            </w:r>
          </w:p>
        </w:tc>
        <w:tc>
          <w:tcPr>
            <w:tcW w:w="7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511" w:type="dxa"/>
            <w:gridSpan w:val="2"/>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577" w:hRule="atLeast"/>
        </w:trPr>
        <w:tc>
          <w:tcPr>
            <w:tcW w:w="9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3038" w:type="dxa"/>
            <w:gridSpan w:val="2"/>
            <w:tcBorders>
              <w:top w:val="nil"/>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695"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1137"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1314"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96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6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1441"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603"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78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896"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1511" w:type="dxa"/>
            <w:gridSpan w:val="2"/>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gridAfter w:val="1"/>
          <w:wAfter w:w="17" w:type="dxa"/>
          <w:trHeight w:val="642" w:hRule="atLeast"/>
        </w:trPr>
        <w:tc>
          <w:tcPr>
            <w:tcW w:w="9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highlight w:val="none"/>
                <w:lang w:bidi="ar"/>
              </w:rPr>
            </w:pPr>
          </w:p>
        </w:tc>
        <w:tc>
          <w:tcPr>
            <w:tcW w:w="3038" w:type="dxa"/>
            <w:gridSpan w:val="2"/>
            <w:tcBorders>
              <w:top w:val="nil"/>
              <w:left w:val="single" w:color="auto"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695"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1137"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1314"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9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highlight w:val="none"/>
                <w:lang w:bidi="ar"/>
              </w:rPr>
            </w:pPr>
          </w:p>
        </w:tc>
        <w:tc>
          <w:tcPr>
            <w:tcW w:w="60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kern w:val="0"/>
                <w:sz w:val="22"/>
                <w:szCs w:val="22"/>
                <w:highlight w:val="none"/>
                <w:lang w:bidi="ar"/>
              </w:rPr>
            </w:pPr>
          </w:p>
        </w:tc>
        <w:tc>
          <w:tcPr>
            <w:tcW w:w="1441" w:type="dxa"/>
            <w:gridSpan w:val="3"/>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603"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78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p>
        </w:tc>
        <w:tc>
          <w:tcPr>
            <w:tcW w:w="896"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highlight w:val="none"/>
              </w:rPr>
            </w:pPr>
          </w:p>
        </w:tc>
        <w:tc>
          <w:tcPr>
            <w:tcW w:w="151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highlight w:val="none"/>
              </w:rPr>
            </w:pPr>
          </w:p>
        </w:tc>
      </w:tr>
      <w:tr>
        <w:tblPrEx>
          <w:tblCellMar>
            <w:top w:w="0" w:type="dxa"/>
            <w:left w:w="108" w:type="dxa"/>
            <w:bottom w:w="0" w:type="dxa"/>
            <w:right w:w="108" w:type="dxa"/>
          </w:tblCellMar>
        </w:tblPrEx>
        <w:trPr>
          <w:gridAfter w:val="1"/>
          <w:wAfter w:w="17" w:type="dxa"/>
          <w:trHeight w:val="642" w:hRule="atLeast"/>
        </w:trPr>
        <w:tc>
          <w:tcPr>
            <w:tcW w:w="13923" w:type="dxa"/>
            <w:gridSpan w:val="2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000000" w:themeColor="text1"/>
                <w:kern w:val="2"/>
                <w:sz w:val="21"/>
                <w:szCs w:val="21"/>
                <w:lang w:val="en-US" w:eastAsia="zh-CN" w:bidi="ar"/>
                <w14:textFill>
                  <w14:solidFill>
                    <w14:schemeClr w14:val="tx1"/>
                  </w14:solidFill>
                </w14:textFill>
              </w:rPr>
              <w:t>本部门</w:t>
            </w:r>
            <w:r>
              <w:rPr>
                <w:rFonts w:hint="default" w:ascii="Times New Roman" w:hAnsi="Times New Roman" w:eastAsia="宋体" w:cs="Times New Roman"/>
                <w:color w:val="000000" w:themeColor="text1"/>
                <w:kern w:val="2"/>
                <w:sz w:val="21"/>
                <w:szCs w:val="21"/>
                <w:lang w:val="en-US" w:eastAsia="zh-CN" w:bidi="ar"/>
                <w14:textFill>
                  <w14:solidFill>
                    <w14:schemeClr w14:val="tx1"/>
                  </w14:solidFill>
                </w14:textFill>
              </w:rPr>
              <w:t>2022</w:t>
            </w:r>
            <w:r>
              <w:rPr>
                <w:rFonts w:hint="eastAsia" w:ascii="宋体" w:hAnsi="宋体" w:eastAsia="宋体" w:cs="宋体"/>
                <w:color w:val="000000" w:themeColor="text1"/>
                <w:kern w:val="2"/>
                <w:sz w:val="21"/>
                <w:szCs w:val="21"/>
                <w:lang w:val="en-US" w:eastAsia="zh-CN" w:bidi="ar"/>
                <w14:textFill>
                  <w14:solidFill>
                    <w14:schemeClr w14:val="tx1"/>
                  </w14:solidFill>
                </w14:textFill>
              </w:rPr>
              <w:t>年度没有财政拨款“三公”经费收入，也没有财政拨款“三公”经费安排的支出，故本表无数据。</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u w:color="auto"/>
          <w:lang w:eastAsia="zh-CN"/>
        </w:rPr>
        <w:t>环江毛南族自治县东兴镇初级中学</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1274.00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38.09</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2.90</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1274.00</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1274.00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减少38.09</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2.90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000000" w:themeColor="text1"/>
          <w:sz w:val="32"/>
          <w:szCs w:val="32"/>
          <w:lang w:bidi="ar"/>
          <w14:textFill>
            <w14:solidFill>
              <w14:schemeClr w14:val="tx1"/>
            </w14:solidFill>
          </w14:textFill>
        </w:rPr>
        <w:t>2</w:t>
      </w:r>
      <w:r>
        <w:rPr>
          <w:rFonts w:ascii="仿宋" w:hAnsi="仿宋" w:eastAsia="仿宋" w:cs="仿宋"/>
          <w:color w:val="000000" w:themeColor="text1"/>
          <w:sz w:val="32"/>
          <w:szCs w:val="32"/>
          <w:lang w:bidi="ar"/>
          <w14:textFill>
            <w14:solidFill>
              <w14:schemeClr w14:val="tx1"/>
            </w14:solidFill>
          </w14:textFill>
        </w:rPr>
        <w:t>02</w:t>
      </w:r>
      <w:r>
        <w:rPr>
          <w:rFonts w:hint="eastAsia" w:ascii="仿宋" w:hAnsi="仿宋" w:eastAsia="仿宋" w:cs="仿宋"/>
          <w:color w:val="000000" w:themeColor="text1"/>
          <w:sz w:val="32"/>
          <w:szCs w:val="32"/>
          <w:lang w:val="en-US" w:eastAsia="zh-CN" w:bidi="ar"/>
          <w14:textFill>
            <w14:solidFill>
              <w14:schemeClr w14:val="tx1"/>
            </w14:solidFill>
          </w14:textFill>
        </w:rPr>
        <w:t>3</w:t>
      </w:r>
      <w:r>
        <w:rPr>
          <w:rFonts w:hint="eastAsia" w:ascii="仿宋" w:hAnsi="仿宋" w:eastAsia="仿宋" w:cs="仿宋"/>
          <w:color w:val="000000" w:themeColor="text1"/>
          <w:sz w:val="32"/>
          <w:szCs w:val="32"/>
          <w:lang w:bidi="ar"/>
          <w14:textFill>
            <w14:solidFill>
              <w14:schemeClr w14:val="tx1"/>
            </w14:solidFill>
          </w14:textFill>
        </w:rPr>
        <w:t>年</w:t>
      </w:r>
      <w:r>
        <w:rPr>
          <w:rFonts w:hint="eastAsia" w:ascii="仿宋" w:hAnsi="仿宋" w:eastAsia="仿宋" w:cs="仿宋"/>
          <w:sz w:val="32"/>
          <w:szCs w:val="32"/>
          <w:lang w:val="en-US" w:eastAsia="zh-CN" w:bidi="ar"/>
        </w:rPr>
        <w:t>调出教师10人</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000000" w:themeColor="text1"/>
          <w:sz w:val="32"/>
          <w:szCs w:val="32"/>
          <w:lang w:bidi="ar"/>
          <w14:textFill>
            <w14:solidFill>
              <w14:schemeClr w14:val="tx1"/>
            </w14:solidFill>
          </w14:textFill>
        </w:rPr>
        <w:t>本单位没有政府性基金预算财政拨款收入。</w:t>
      </w:r>
      <w:r>
        <w:rPr>
          <w:rFonts w:ascii="仿宋" w:hAnsi="仿宋" w:eastAsia="仿宋" w:cs="Times New Roman"/>
          <w:color w:val="000000" w:themeColor="text1"/>
          <w:sz w:val="32"/>
          <w:szCs w:val="32"/>
          <w14:textFill>
            <w14:solidFill>
              <w14:schemeClr w14:val="tx1"/>
            </w14:solidFill>
          </w14:textFill>
        </w:rPr>
        <w:t xml:space="preserve"> </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rPr>
        <w:t>环江毛南族自治县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本单位没有国有资本经营预算财政拨款收入。</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kern w:val="2"/>
          <w:sz w:val="32"/>
          <w:szCs w:val="32"/>
          <w:highlight w:val="none"/>
          <w:lang w:val="en-US" w:eastAsia="zh-CN" w:bidi="ar"/>
        </w:rPr>
        <w:t>4.上级补助收入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szCs w:val="32"/>
          <w:lang w:bidi="ar"/>
        </w:rPr>
        <w:t>6.</w:t>
      </w:r>
      <w:r>
        <w:rPr>
          <w:rFonts w:hint="eastAsia" w:ascii="仿宋" w:hAnsi="仿宋" w:eastAsia="仿宋" w:cs="仿宋"/>
          <w:sz w:val="36"/>
          <w:szCs w:val="36"/>
          <w:lang w:bidi="ar"/>
        </w:rPr>
        <w:t>经营收入</w:t>
      </w:r>
      <w:r>
        <w:rPr>
          <w:rFonts w:hint="eastAsia" w:ascii="仿宋" w:hAnsi="仿宋" w:eastAsia="仿宋" w:cs="仿宋"/>
          <w:sz w:val="32"/>
          <w:szCs w:val="32"/>
          <w:lang w:bidi="ar"/>
        </w:rPr>
        <w:t>0.00万,为事业单位在业务活动之外开展非独立核算经营活动取得的收入。较202</w:t>
      </w:r>
      <w:r>
        <w:rPr>
          <w:rFonts w:hint="eastAsia" w:ascii="仿宋" w:hAnsi="仿宋" w:eastAsia="仿宋" w:cs="仿宋"/>
          <w:sz w:val="32"/>
          <w:szCs w:val="32"/>
          <w:lang w:val="en-US" w:eastAsia="zh-CN" w:bidi="ar"/>
        </w:rPr>
        <w:t>2</w:t>
      </w:r>
      <w:r>
        <w:rPr>
          <w:rFonts w:hint="eastAsia" w:ascii="仿宋" w:hAnsi="仿宋" w:eastAsia="仿宋" w:cs="仿宋"/>
          <w:sz w:val="32"/>
          <w:szCs w:val="32"/>
          <w:lang w:bidi="ar"/>
        </w:rPr>
        <w:t>年度决算数</w:t>
      </w:r>
      <w:r>
        <w:rPr>
          <w:rFonts w:ascii="仿宋" w:hAnsi="仿宋" w:eastAsia="仿宋" w:cs="仿宋"/>
          <w:sz w:val="32"/>
        </w:rPr>
        <w:t>增加0.00</w:t>
      </w:r>
      <w:r>
        <w:rPr>
          <w:rFonts w:hint="eastAsia" w:ascii="仿宋" w:hAnsi="仿宋" w:eastAsia="仿宋" w:cs="仿宋"/>
          <w:sz w:val="32"/>
          <w:szCs w:val="32"/>
          <w:lang w:bidi="ar"/>
        </w:rPr>
        <w:t>万元，</w:t>
      </w:r>
      <w:r>
        <w:rPr>
          <w:rFonts w:ascii="仿宋" w:hAnsi="仿宋" w:eastAsia="仿宋" w:cs="仿宋"/>
          <w:sz w:val="32"/>
        </w:rPr>
        <w:t>增长0%</w:t>
      </w:r>
      <w:r>
        <w:rPr>
          <w:rFonts w:hint="eastAsia" w:ascii="仿宋" w:hAnsi="仿宋" w:eastAsia="仿宋" w:cs="仿宋"/>
          <w:sz w:val="32"/>
          <w:szCs w:val="32"/>
          <w:lang w:bidi="ar"/>
        </w:rPr>
        <w:t>，</w:t>
      </w:r>
      <w:r>
        <w:rPr>
          <w:rFonts w:hint="eastAsia" w:ascii="仿宋" w:hAnsi="仿宋" w:eastAsia="仿宋" w:cs="仿宋"/>
          <w:color w:val="000000" w:themeColor="text1"/>
          <w:sz w:val="32"/>
          <w:szCs w:val="32"/>
          <w:lang w:bidi="ar"/>
          <w14:textFill>
            <w14:solidFill>
              <w14:schemeClr w14:val="tx1"/>
            </w14:solidFill>
          </w14:textFill>
        </w:rPr>
        <w:t>主要原因是：本单位没有经营性收。</w:t>
      </w:r>
    </w:p>
    <w:p>
      <w:pPr>
        <w:ind w:firstLine="640" w:firstLineChars="200"/>
        <w:jc w:val="left"/>
        <w:rPr>
          <w:rFonts w:ascii="仿宋" w:hAnsi="仿宋" w:eastAsia="仿宋" w:cs="仿宋"/>
          <w:color w:val="FF0000"/>
          <w:sz w:val="32"/>
          <w:szCs w:val="32"/>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本单位无附属单位上缴收入。</w:t>
      </w:r>
    </w:p>
    <w:p>
      <w:pPr>
        <w:ind w:firstLine="640" w:firstLineChars="200"/>
        <w:jc w:val="left"/>
        <w:rPr>
          <w:rFonts w:ascii="仿宋" w:hAnsi="仿宋" w:eastAsia="仿宋" w:cs="仿宋"/>
          <w:color w:val="FF0000"/>
          <w:sz w:val="32"/>
          <w:szCs w:val="32"/>
        </w:rPr>
      </w:pPr>
      <w:r>
        <w:rPr>
          <w:rFonts w:hint="eastAsia" w:ascii="仿宋" w:hAnsi="仿宋" w:eastAsia="仿宋" w:cs="仿宋"/>
          <w:kern w:val="2"/>
          <w:sz w:val="32"/>
          <w:szCs w:val="32"/>
          <w:highlight w:val="none"/>
          <w:lang w:val="en-US" w:eastAsia="zh-CN" w:bidi="ar"/>
        </w:rPr>
        <w:t>8.其他收入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本单位没有其他收入。</w:t>
      </w:r>
    </w:p>
    <w:p>
      <w:pPr>
        <w:ind w:firstLine="640" w:firstLineChars="200"/>
        <w:jc w:val="left"/>
        <w:rPr>
          <w:rFonts w:ascii="仿宋" w:hAnsi="仿宋" w:eastAsia="仿宋" w:cs="仿宋"/>
          <w:color w:val="FF0000"/>
          <w:sz w:val="32"/>
          <w:szCs w:val="32"/>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主要原因：本单位没有</w:t>
      </w:r>
      <w:r>
        <w:rPr>
          <w:rFonts w:hint="eastAsia" w:ascii="仿宋" w:hAnsi="仿宋" w:eastAsia="仿宋" w:cs="仿宋"/>
          <w:color w:val="auto"/>
          <w:kern w:val="2"/>
          <w:sz w:val="32"/>
          <w:szCs w:val="32"/>
          <w:highlight w:val="none"/>
          <w:lang w:val="en-US" w:eastAsia="zh-CN" w:bidi="ar"/>
        </w:rPr>
        <w:t>结转和结余。</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1274.00</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1274.00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38.09</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2.90</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ind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w:t>
      </w:r>
      <w:r>
        <w:rPr>
          <w:rFonts w:hint="eastAsia" w:ascii="仿宋" w:hAnsi="仿宋" w:eastAsia="仿宋" w:cs="仿宋"/>
          <w:sz w:val="32"/>
          <w:szCs w:val="32"/>
          <w:highlight w:val="none"/>
          <w:lang w:val="en-US" w:eastAsia="zh-CN" w:bidi="ar"/>
        </w:rPr>
        <w:t>3.81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auto"/>
          <w:sz w:val="32"/>
          <w:szCs w:val="32"/>
          <w:highlight w:val="none"/>
          <w:lang w:val="en-US" w:eastAsia="zh-CN"/>
        </w:rPr>
        <w:t>教职工工会活动</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减少3.46</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20.03</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2023年工会会员减少。</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教育支出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205</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bidi="ar"/>
        </w:rPr>
        <w:t>100</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lang w:bidi="ar"/>
        </w:rPr>
        <w:t>.2</w:t>
      </w:r>
      <w:r>
        <w:rPr>
          <w:rFonts w:hint="eastAsia" w:ascii="仿宋" w:hAnsi="仿宋" w:eastAsia="仿宋" w:cs="仿宋"/>
          <w:sz w:val="32"/>
          <w:szCs w:val="32"/>
          <w:highlight w:val="none"/>
          <w:lang w:val="en-US" w:eastAsia="zh-CN" w:bidi="ar"/>
        </w:rPr>
        <w:t>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人员基本工资，商品服务支出。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减少0.94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09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10位</w:t>
      </w:r>
      <w:r>
        <w:rPr>
          <w:rFonts w:hint="eastAsia" w:ascii="仿宋" w:hAnsi="仿宋" w:eastAsia="仿宋" w:cs="仿宋"/>
          <w:color w:val="000000" w:themeColor="text1"/>
          <w:sz w:val="32"/>
          <w:szCs w:val="32"/>
          <w:lang w:bidi="ar"/>
          <w14:textFill>
            <w14:solidFill>
              <w14:schemeClr w14:val="tx1"/>
            </w14:solidFill>
          </w14:textFill>
        </w:rPr>
        <w:t>教师调到县城学校</w:t>
      </w:r>
      <w:r>
        <w:rPr>
          <w:rFonts w:hint="eastAsia" w:ascii="仿宋" w:hAnsi="仿宋" w:eastAsia="仿宋" w:cs="仿宋"/>
          <w:color w:val="000000" w:themeColor="text1"/>
          <w:sz w:val="32"/>
          <w:szCs w:val="32"/>
          <w:lang w:val="en-US" w:eastAsia="zh-CN" w:bidi="ar"/>
          <w14:textFill>
            <w14:solidFill>
              <w14:schemeClr w14:val="tx1"/>
            </w14:solidFill>
          </w14:textFill>
        </w:rPr>
        <w:t>及取得七级岗位教师增加</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3</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89.27</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单位基本养老缴费和社保费。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7.92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8.15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bookmarkStart w:id="5" w:name="_Hlk151050303"/>
      <w:r>
        <w:rPr>
          <w:rFonts w:hint="eastAsia" w:ascii="仿宋" w:hAnsi="仿宋" w:eastAsia="仿宋" w:cs="仿宋"/>
          <w:color w:val="000000" w:themeColor="text1"/>
          <w:sz w:val="32"/>
          <w:szCs w:val="32"/>
          <w:lang w:val="en-US" w:eastAsia="zh-CN" w:bidi="ar"/>
          <w14:textFill>
            <w14:solidFill>
              <w14:schemeClr w14:val="tx1"/>
            </w14:solidFill>
          </w14:textFill>
        </w:rPr>
        <w:t>2023年</w:t>
      </w:r>
      <w:r>
        <w:rPr>
          <w:rFonts w:hint="eastAsia" w:ascii="仿宋" w:hAnsi="仿宋" w:eastAsia="仿宋" w:cs="仿宋"/>
          <w:color w:val="000000" w:themeColor="text1"/>
          <w:sz w:val="32"/>
          <w:szCs w:val="32"/>
          <w:lang w:val="en-US" w:eastAsia="zh-CN"/>
          <w14:textFill>
            <w14:solidFill>
              <w14:schemeClr w14:val="tx1"/>
            </w14:solidFill>
          </w14:textFill>
        </w:rPr>
        <w:t>进行</w:t>
      </w:r>
      <w:r>
        <w:rPr>
          <w:rFonts w:hint="eastAsia" w:ascii="仿宋" w:hAnsi="仿宋" w:eastAsia="仿宋" w:cs="仿宋"/>
          <w:color w:val="000000" w:themeColor="text1"/>
          <w:sz w:val="32"/>
          <w:szCs w:val="32"/>
          <w14:textFill>
            <w14:solidFill>
              <w14:schemeClr w14:val="tx1"/>
            </w14:solidFill>
          </w14:textFill>
        </w:rPr>
        <w:t>基本养老缴和社保</w:t>
      </w:r>
      <w:r>
        <w:rPr>
          <w:rFonts w:hint="eastAsia" w:ascii="仿宋" w:hAnsi="仿宋" w:eastAsia="仿宋" w:cs="仿宋"/>
          <w:color w:val="000000" w:themeColor="text1"/>
          <w:sz w:val="32"/>
          <w:szCs w:val="32"/>
          <w:lang w:val="en-US" w:eastAsia="zh-CN"/>
          <w14:textFill>
            <w14:solidFill>
              <w14:schemeClr w14:val="tx1"/>
            </w14:solidFill>
          </w14:textFill>
        </w:rPr>
        <w:t>保险基数调整，基数有所提高，人员有所减少</w:t>
      </w:r>
      <w:r>
        <w:rPr>
          <w:rFonts w:hint="eastAsia" w:ascii="仿宋" w:hAnsi="仿宋" w:eastAsia="仿宋" w:cs="仿宋"/>
          <w:color w:val="000000" w:themeColor="text1"/>
          <w:sz w:val="32"/>
          <w:szCs w:val="32"/>
          <w:lang w:bidi="ar"/>
          <w14:textFill>
            <w14:solidFill>
              <w14:schemeClr w14:val="tx1"/>
            </w14:solidFill>
          </w14:textFill>
        </w:rPr>
        <w:t>。</w:t>
      </w:r>
      <w:bookmarkEnd w:id="5"/>
    </w:p>
    <w:p>
      <w:pPr>
        <w:ind w:firstLine="640" w:firstLineChars="200"/>
        <w:jc w:val="left"/>
        <w:rPr>
          <w:rFonts w:ascii="仿宋" w:hAnsi="仿宋" w:eastAsia="仿宋" w:cs="仿宋"/>
          <w:color w:val="000000" w:themeColor="text1"/>
          <w:sz w:val="32"/>
          <w:szCs w:val="32"/>
          <w:lang w:bidi="ar"/>
          <w14:textFill>
            <w14:solidFill>
              <w14:schemeClr w14:val="tx1"/>
            </w14:solidFill>
          </w14:textFill>
        </w:rPr>
      </w:pPr>
      <w:r>
        <w:rPr>
          <w:rFonts w:hint="eastAsia" w:ascii="仿宋" w:hAnsi="仿宋" w:eastAsia="仿宋" w:cs="仿宋"/>
          <w:sz w:val="32"/>
          <w:szCs w:val="32"/>
          <w:highlight w:val="none"/>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67.31</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住房公积金缴费。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lang w:val="en-US" w:eastAsia="zh-CN" w:bidi="ar"/>
        </w:rPr>
        <w:t>5</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下降7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lang w:val="en-US" w:eastAsia="zh-CN" w:bidi="ar"/>
        </w:rPr>
        <w:t>73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2023年</w:t>
      </w:r>
      <w:r>
        <w:rPr>
          <w:rFonts w:hint="eastAsia" w:ascii="仿宋" w:hAnsi="仿宋" w:eastAsia="仿宋" w:cs="仿宋"/>
          <w:color w:val="000000" w:themeColor="text1"/>
          <w:sz w:val="32"/>
          <w:szCs w:val="32"/>
          <w:lang w:val="en-US" w:eastAsia="zh-CN"/>
          <w14:textFill>
            <w14:solidFill>
              <w14:schemeClr w14:val="tx1"/>
            </w14:solidFill>
          </w14:textFill>
        </w:rPr>
        <w:t>进行住房公积金调整，基数有所提高,人员有所减少</w:t>
      </w:r>
      <w:r>
        <w:rPr>
          <w:rFonts w:hint="eastAsia" w:ascii="仿宋" w:hAnsi="仿宋" w:eastAsia="仿宋" w:cs="仿宋"/>
          <w:color w:val="000000" w:themeColor="text1"/>
          <w:sz w:val="32"/>
          <w:szCs w:val="32"/>
          <w:lang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5</w:t>
      </w:r>
      <w:r>
        <w:rPr>
          <w:rFonts w:ascii="仿宋" w:hAnsi="仿宋" w:eastAsia="仿宋" w:cs="仿宋"/>
          <w:sz w:val="32"/>
          <w:u w:color="auto"/>
        </w:rPr>
        <w:t>.</w:t>
      </w:r>
      <w:r>
        <w:rPr>
          <w:rFonts w:hint="eastAsia" w:ascii="仿宋" w:hAnsi="仿宋" w:eastAsia="仿宋" w:cs="仿宋"/>
          <w:sz w:val="32"/>
          <w:szCs w:val="32"/>
          <w:highlight w:val="none"/>
          <w:lang w:bidi="ar"/>
        </w:rPr>
        <w:t>其他支出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229</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102.34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主要用于人员</w:t>
      </w:r>
      <w:r>
        <w:rPr>
          <w:rFonts w:hint="eastAsia" w:ascii="仿宋" w:hAnsi="仿宋" w:eastAsia="仿宋" w:cs="仿宋"/>
          <w:color w:val="000000" w:themeColor="text1"/>
          <w:sz w:val="32"/>
          <w:szCs w:val="32"/>
          <w:lang w:val="en-US" w:eastAsia="zh-CN" w:bidi="ar"/>
          <w14:textFill>
            <w14:solidFill>
              <w14:schemeClr w14:val="tx1"/>
            </w14:solidFill>
          </w14:textFill>
        </w:rPr>
        <w:t>奖励性补贴</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20.13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16.44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主要原因是：10位</w:t>
      </w:r>
      <w:r>
        <w:rPr>
          <w:rFonts w:hint="eastAsia" w:ascii="仿宋" w:hAnsi="仿宋" w:eastAsia="仿宋" w:cs="仿宋"/>
          <w:color w:val="000000" w:themeColor="text1"/>
          <w:sz w:val="32"/>
          <w:szCs w:val="32"/>
          <w:lang w:bidi="ar"/>
          <w14:textFill>
            <w14:solidFill>
              <w14:schemeClr w14:val="tx1"/>
            </w14:solidFill>
          </w14:textFill>
        </w:rPr>
        <w:t>教师调出到县城学校</w:t>
      </w:r>
      <w:r>
        <w:rPr>
          <w:rFonts w:hint="eastAsia" w:ascii="仿宋" w:hAnsi="仿宋" w:eastAsia="仿宋" w:cs="仿宋"/>
          <w:color w:val="000000" w:themeColor="text1"/>
          <w:sz w:val="32"/>
          <w:szCs w:val="32"/>
          <w:lang w:eastAsia="zh-CN" w:bidi="ar"/>
          <w14:textFill>
            <w14:solidFill>
              <w14:schemeClr w14:val="tx1"/>
            </w14:solidFill>
          </w14:textFill>
        </w:rPr>
        <w:t>，</w:t>
      </w:r>
      <w:r>
        <w:rPr>
          <w:rFonts w:hint="eastAsia" w:ascii="仿宋" w:hAnsi="仿宋" w:eastAsia="仿宋" w:cs="仿宋"/>
          <w:color w:val="000000" w:themeColor="text1"/>
          <w:sz w:val="32"/>
          <w:szCs w:val="32"/>
          <w:lang w:val="en-US" w:eastAsia="zh-CN" w:bidi="ar"/>
          <w14:textFill>
            <w14:solidFill>
              <w14:schemeClr w14:val="tx1"/>
            </w14:solidFill>
          </w14:textFill>
        </w:rPr>
        <w:t>3位教师退休</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s="仿宋"/>
          <w:color w:val="000000" w:themeColor="text1"/>
          <w:sz w:val="32"/>
          <w:szCs w:val="32"/>
          <w:lang w:val="en-US" w:eastAsia="zh-CN" w:bidi="ar"/>
          <w14:textFill>
            <w14:solidFill>
              <w14:schemeClr w14:val="tx1"/>
            </w14:solidFill>
          </w14:textFill>
        </w:rPr>
        <w:t>支出有所减少</w:t>
      </w:r>
      <w:r>
        <w:rPr>
          <w:rFonts w:hint="eastAsia" w:ascii="仿宋" w:hAnsi="仿宋" w:eastAsia="仿宋" w:cs="仿宋"/>
          <w:color w:val="000000" w:themeColor="text1"/>
          <w:sz w:val="32"/>
          <w:szCs w:val="32"/>
          <w:lang w:bidi="ar"/>
          <w14:textFill>
            <w14:solidFill>
              <w14:schemeClr w14:val="tx1"/>
            </w14:solidFill>
          </w14:textFill>
        </w:rPr>
        <w:t>。</w:t>
      </w:r>
    </w:p>
    <w:p>
      <w:pPr>
        <w:ind w:firstLine="620" w:firstLineChars="200"/>
        <w:jc w:val="left"/>
        <w:rPr>
          <w:rFonts w:ascii="仿宋" w:hAnsi="仿宋" w:eastAsia="仿宋_GB2312" w:cs="仿宋"/>
          <w:sz w:val="32"/>
          <w:szCs w:val="32"/>
          <w:lang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default" w:ascii="仿宋_GB2312" w:hAnsi="微软雅黑" w:eastAsia="仿宋_GB2312" w:cs="仿宋_GB2312"/>
          <w:i w:val="0"/>
          <w:iCs w:val="0"/>
          <w:caps w:val="0"/>
          <w:color w:val="000000" w:themeColor="text1"/>
          <w:spacing w:val="0"/>
          <w:sz w:val="31"/>
          <w:szCs w:val="31"/>
          <w:highlight w:val="none"/>
          <w:shd w:val="clear" w:color="auto" w:fill="FFFFFF"/>
          <w14:textFill>
            <w14:solidFill>
              <w14:schemeClr w14:val="tx1"/>
            </w14:solidFill>
          </w14:textFill>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r>
        <w:rPr>
          <w:rFonts w:hint="eastAsia" w:ascii="仿宋" w:hAnsi="仿宋" w:eastAsia="仿宋" w:cs="仿宋"/>
          <w:color w:val="000000" w:themeColor="text1"/>
          <w:sz w:val="32"/>
          <w:szCs w:val="32"/>
          <w:lang w:bidi="ar"/>
          <w14:textFill>
            <w14:solidFill>
              <w14:schemeClr w14:val="tx1"/>
            </w14:solidFill>
          </w14:textFill>
        </w:rPr>
        <w:t>部分项目</w:t>
      </w:r>
      <w:bookmarkStart w:id="6" w:name="_Hlk151050670"/>
      <w:r>
        <w:rPr>
          <w:rFonts w:hint="eastAsia" w:ascii="仿宋" w:hAnsi="仿宋" w:eastAsia="仿宋" w:cs="仿宋"/>
          <w:color w:val="000000" w:themeColor="text1"/>
          <w:sz w:val="32"/>
          <w:szCs w:val="32"/>
          <w:lang w:bidi="ar"/>
          <w14:textFill>
            <w14:solidFill>
              <w14:schemeClr w14:val="tx1"/>
            </w14:solidFill>
          </w14:textFill>
        </w:rPr>
        <w:t>已在本年执行完毕，不需要结转至下年继续执行。</w:t>
      </w:r>
      <w:bookmarkEnd w:id="6"/>
    </w:p>
    <w:p>
      <w:pPr>
        <w:ind w:firstLine="640" w:firstLineChars="200"/>
        <w:jc w:val="left"/>
        <w:rPr>
          <w:rFonts w:ascii="仿宋" w:hAnsi="仿宋" w:eastAsia="仿宋" w:cs="仿宋"/>
          <w:sz w:val="32"/>
          <w:szCs w:val="32"/>
        </w:rPr>
      </w:pPr>
      <w:r>
        <w:rPr>
          <w:rFonts w:hint="eastAsia" w:ascii="仿宋" w:hAnsi="仿宋" w:eastAsia="仿宋" w:cs="仿宋"/>
          <w:sz w:val="32"/>
          <w:szCs w:val="32"/>
          <w:highlight w:val="none"/>
        </w:rPr>
        <w:t>年末结转和结余</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ascii="仿宋" w:hAnsi="仿宋" w:eastAsia="仿宋" w:cs="仿宋"/>
          <w:sz w:val="32"/>
          <w:u w:color="auto"/>
        </w:rPr>
        <w:t>增长0%</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已在本年执行完毕，不需要结转至下年继续执行。</w:t>
      </w:r>
    </w:p>
    <w:p>
      <w:pPr>
        <w:keepNext w:val="0"/>
        <w:keepLines w:val="0"/>
        <w:widowControl w:val="0"/>
        <w:suppressLineNumbers w:val="0"/>
        <w:spacing w:before="0" w:beforeAutospacing="0" w:after="0" w:afterAutospacing="0"/>
        <w:ind w:right="0" w:firstLine="640" w:firstLineChars="200"/>
        <w:jc w:val="left"/>
        <w:rPr>
          <w:rFonts w:ascii="仿宋" w:hAnsi="仿宋" w:eastAsia="仿宋" w:cs="仿宋"/>
          <w:sz w:val="32"/>
          <w:szCs w:val="32"/>
          <w:highlight w:val="none"/>
        </w:rPr>
      </w:pP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927600" cy="2327910"/>
            <wp:effectExtent l="5080" t="4445" r="20320" b="1079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7" w:name="OLE_LINK1"/>
      <w:r>
        <w:rPr>
          <w:rFonts w:hint="eastAsia" w:ascii="黑体" w:hAnsi="黑体" w:eastAsia="黑体" w:cs="黑体"/>
          <w:sz w:val="32"/>
          <w:szCs w:val="32"/>
          <w:highlight w:val="none"/>
        </w:rPr>
        <w:t>一般公共预算财政拨款支出决算情况</w:t>
      </w:r>
      <w:bookmarkEnd w:id="7"/>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1274.00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38.09</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2.90</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1045.01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228.99</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963.72</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1274.00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132.20</w:t>
      </w:r>
      <w:r>
        <w:rPr>
          <w:rFonts w:ascii="仿宋" w:hAnsi="仿宋" w:eastAsia="仿宋" w:cs="仿宋"/>
          <w:sz w:val="32"/>
          <w:u w:color="auto"/>
        </w:rPr>
        <w:t>%</w:t>
      </w:r>
      <w:r>
        <w:rPr>
          <w:rFonts w:hint="eastAsia" w:ascii="仿宋" w:hAnsi="仿宋" w:eastAsia="仿宋" w:cs="仿宋"/>
          <w:sz w:val="32"/>
          <w:szCs w:val="32"/>
          <w:highlight w:val="none"/>
        </w:rPr>
        <w:t>。</w:t>
      </w:r>
      <w:bookmarkStart w:id="8" w:name="OLE_LINK2"/>
      <w:bookmarkEnd w:id="8"/>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一般公共服务支出</w:t>
      </w:r>
      <w:r>
        <w:rPr>
          <w:rFonts w:ascii="仿宋" w:hAnsi="仿宋" w:eastAsia="仿宋"/>
          <w:sz w:val="32"/>
          <w:u w:color="auto"/>
        </w:rPr>
        <w:t>（201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13.81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13.81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无。</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5"/>
                <w:szCs w:val="15"/>
                <w:highlight w:val="none"/>
                <w:u w:val="none"/>
                <w:lang w:val="en-US" w:eastAsia="zh-CN"/>
              </w:rPr>
            </w:pPr>
            <w:r>
              <w:rPr>
                <w:rFonts w:hint="eastAsia" w:ascii="仿宋" w:hAnsi="仿宋" w:eastAsia="仿宋" w:cs="仿宋"/>
                <w:color w:val="auto"/>
                <w:sz w:val="24"/>
                <w:szCs w:val="24"/>
                <w:highlight w:val="none"/>
                <w:lang w:val="en-US" w:eastAsia="zh-CN"/>
              </w:rPr>
              <w:t>教职工工会活动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13.81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4"/>
                <w:szCs w:val="24"/>
                <w:highlight w:val="none"/>
                <w:lang w:val="en-US" w:eastAsia="zh-CN"/>
              </w:rPr>
              <w:t>教职工工会活动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kern w:val="2"/>
                <w:sz w:val="24"/>
                <w:szCs w:val="24"/>
                <w:highlight w:val="none"/>
                <w:lang w:val="en-US" w:eastAsia="zh-CN" w:bidi="ar"/>
              </w:rPr>
              <w:t>无</w:t>
            </w:r>
          </w:p>
        </w:tc>
      </w:tr>
    </w:tbl>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教育支出</w:t>
      </w:r>
      <w:r>
        <w:rPr>
          <w:rFonts w:ascii="仿宋" w:hAnsi="仿宋" w:eastAsia="仿宋"/>
          <w:color w:val="auto"/>
          <w:sz w:val="32"/>
          <w:u w:color="auto"/>
        </w:rPr>
        <w:t>（205</w:t>
      </w:r>
      <w:r>
        <w:rPr>
          <w:rFonts w:hint="eastAsia" w:ascii="仿宋" w:hAnsi="仿宋" w:eastAsia="仿宋"/>
          <w:color w:val="auto"/>
          <w:sz w:val="32"/>
          <w:szCs w:val="32"/>
          <w:highlight w:val="none"/>
        </w:rPr>
        <w:t>类）年初预算为</w:t>
      </w:r>
      <w:r>
        <w:rPr>
          <w:rFonts w:hint="eastAsia" w:ascii="仿宋" w:hAnsi="仿宋" w:eastAsia="仿宋"/>
          <w:color w:val="auto"/>
          <w:sz w:val="32"/>
          <w:szCs w:val="32"/>
          <w:highlight w:val="none"/>
          <w:lang w:val="en-US" w:eastAsia="zh-CN"/>
        </w:rPr>
        <w:t>748.49</w:t>
      </w:r>
      <w:r>
        <w:rPr>
          <w:rFonts w:hint="eastAsia" w:ascii="仿宋" w:hAnsi="仿宋" w:eastAsia="仿宋"/>
          <w:color w:val="auto"/>
          <w:sz w:val="32"/>
          <w:szCs w:val="32"/>
          <w:highlight w:val="none"/>
        </w:rPr>
        <w:t>万元，支出决算为</w:t>
      </w:r>
      <w:r>
        <w:rPr>
          <w:rFonts w:hint="eastAsia" w:ascii="仿宋" w:hAnsi="仿宋" w:eastAsia="仿宋"/>
          <w:color w:val="auto"/>
          <w:sz w:val="32"/>
          <w:szCs w:val="32"/>
          <w:highlight w:val="none"/>
          <w:lang w:val="en-US" w:eastAsia="zh-CN"/>
        </w:rPr>
        <w:t>987.69</w:t>
      </w:r>
      <w:r>
        <w:rPr>
          <w:rFonts w:hint="eastAsia" w:ascii="仿宋" w:hAnsi="仿宋" w:eastAsia="仿宋"/>
          <w:color w:val="auto"/>
          <w:sz w:val="32"/>
          <w:szCs w:val="32"/>
          <w:highlight w:val="none"/>
        </w:rPr>
        <w:t>万元，完成年初预算的</w:t>
      </w:r>
      <w:r>
        <w:rPr>
          <w:rFonts w:hint="eastAsia" w:ascii="仿宋" w:hAnsi="仿宋" w:eastAsia="仿宋"/>
          <w:color w:val="auto"/>
          <w:sz w:val="32"/>
          <w:szCs w:val="32"/>
          <w:highlight w:val="none"/>
          <w:lang w:val="en-US" w:eastAsia="zh-CN"/>
        </w:rPr>
        <w:t>131.96</w:t>
      </w:r>
      <w:r>
        <w:rPr>
          <w:rFonts w:ascii="仿宋" w:hAnsi="仿宋" w:eastAsia="仿宋"/>
          <w:color w:val="auto"/>
          <w:sz w:val="32"/>
          <w:szCs w:val="32"/>
          <w:highlight w:val="none"/>
        </w:rPr>
        <w:t>%</w:t>
      </w:r>
      <w:r>
        <w:rPr>
          <w:rFonts w:hint="eastAsia" w:ascii="仿宋" w:hAnsi="仿宋" w:eastAsia="仿宋"/>
          <w:color w:val="auto"/>
          <w:sz w:val="32"/>
          <w:szCs w:val="32"/>
          <w:highlight w:val="none"/>
        </w:rPr>
        <w:t>。预决算</w:t>
      </w:r>
      <w:r>
        <w:rPr>
          <w:rFonts w:hint="eastAsia" w:ascii="仿宋" w:hAnsi="仿宋" w:eastAsia="仿宋"/>
          <w:color w:val="auto"/>
          <w:sz w:val="32"/>
          <w:szCs w:val="32"/>
          <w:highlight w:val="none"/>
          <w:lang w:val="en-US" w:eastAsia="zh-CN"/>
        </w:rPr>
        <w:t>存有</w:t>
      </w:r>
      <w:r>
        <w:rPr>
          <w:rFonts w:hint="eastAsia" w:ascii="仿宋" w:hAnsi="仿宋" w:eastAsia="仿宋"/>
          <w:color w:val="auto"/>
          <w:sz w:val="32"/>
          <w:szCs w:val="32"/>
          <w:highlight w:val="none"/>
        </w:rPr>
        <w:t>差异</w:t>
      </w:r>
      <w:r>
        <w:rPr>
          <w:rFonts w:hint="eastAsia" w:ascii="仿宋" w:hAnsi="仿宋" w:eastAsia="仿宋"/>
          <w:color w:val="auto"/>
          <w:sz w:val="32"/>
          <w:szCs w:val="32"/>
          <w:highlight w:val="none"/>
          <w:lang w:val="en-US" w:eastAsia="zh-CN"/>
        </w:rPr>
        <w:t>原因是：</w:t>
      </w:r>
      <w:r>
        <w:rPr>
          <w:rFonts w:hint="eastAsia" w:ascii="仿宋" w:hAnsi="仿宋" w:eastAsia="仿宋"/>
          <w:color w:val="000000" w:themeColor="text1"/>
          <w:sz w:val="32"/>
          <w:szCs w:val="32"/>
          <w:highlight w:val="none"/>
          <w:lang w:val="en-US" w:eastAsia="zh-CN"/>
          <w14:textFill>
            <w14:solidFill>
              <w14:schemeClr w14:val="tx1"/>
            </w14:solidFill>
          </w14:textFill>
        </w:rPr>
        <w:t>一是该类支出部分资金上级部门每年都有预算，直接下达，本部门无需做预算，</w:t>
      </w:r>
      <w:r>
        <w:rPr>
          <w:rFonts w:hint="eastAsia" w:ascii="仿宋" w:hAnsi="仿宋" w:eastAsia="仿宋" w:cs="仿宋"/>
          <w:color w:val="000000" w:themeColor="text1"/>
          <w:sz w:val="32"/>
          <w:szCs w:val="32"/>
          <w:lang w:eastAsia="zh-CN" w:bidi="ar"/>
          <w14:textFill>
            <w14:solidFill>
              <w14:schemeClr w14:val="tx1"/>
            </w14:solidFill>
          </w14:textFill>
        </w:rPr>
        <w:t>2023年</w:t>
      </w:r>
      <w:r>
        <w:rPr>
          <w:rFonts w:hint="eastAsia" w:ascii="仿宋" w:hAnsi="仿宋" w:eastAsia="仿宋" w:cs="仿宋"/>
          <w:color w:val="000000" w:themeColor="text1"/>
          <w:sz w:val="32"/>
          <w:szCs w:val="32"/>
          <w:lang w:val="en-US" w:eastAsia="zh-CN" w:bidi="ar"/>
          <w14:textFill>
            <w14:solidFill>
              <w14:schemeClr w14:val="tx1"/>
            </w14:solidFill>
          </w14:textFill>
        </w:rPr>
        <w:t>教师岗位、薪级晋升，工资提高</w:t>
      </w:r>
      <w:r>
        <w:rPr>
          <w:rFonts w:hint="eastAsia" w:ascii="仿宋" w:hAnsi="仿宋" w:eastAsia="仿宋" w:cs="仿宋"/>
          <w:color w:val="000000" w:themeColor="text1"/>
          <w:sz w:val="32"/>
          <w:szCs w:val="32"/>
          <w:lang w:bidi="ar"/>
          <w14:textFill>
            <w14:solidFill>
              <w14:schemeClr w14:val="tx1"/>
            </w14:solidFill>
          </w14:textFill>
        </w:rPr>
        <w:t>。</w:t>
      </w:r>
      <w:r>
        <w:rPr>
          <w:rFonts w:hint="eastAsia" w:ascii="仿宋" w:hAnsi="仿宋" w:eastAsia="仿宋"/>
          <w:color w:val="auto"/>
          <w:sz w:val="32"/>
          <w:szCs w:val="32"/>
          <w:highlight w:val="none"/>
          <w:lang w:val="en-US" w:eastAsia="zh-CN"/>
        </w:rPr>
        <w:t>支出具体情况如下</w:t>
      </w:r>
      <w:r>
        <w:rPr>
          <w:rFonts w:hint="eastAsia" w:ascii="仿宋" w:hAnsi="仿宋" w:eastAsia="仿宋"/>
          <w:color w:val="auto"/>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2050203</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初中教育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748.49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987.69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131.96%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仿宋"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工资等发放</w:t>
            </w:r>
            <w:r>
              <w:rPr>
                <w:rFonts w:hint="eastAsia" w:ascii="仿宋" w:hAnsi="仿宋" w:eastAsia="仿宋" w:cs="仿宋"/>
                <w:color w:val="000000" w:themeColor="text1"/>
                <w:szCs w:val="21"/>
                <w:lang w:val="en-US" w:eastAsia="zh-CN"/>
                <w14:textFill>
                  <w14:solidFill>
                    <w14:schemeClr w14:val="tx1"/>
                  </w14:solidFill>
                </w14:textFill>
              </w:rPr>
              <w:t>及</w:t>
            </w:r>
            <w:r>
              <w:rPr>
                <w:rFonts w:hint="eastAsia" w:ascii="仿宋" w:hAnsi="仿宋" w:eastAsia="仿宋" w:cs="仿宋"/>
                <w:color w:val="000000" w:themeColor="text1"/>
                <w:szCs w:val="21"/>
                <w14:textFill>
                  <w14:solidFill>
                    <w14:schemeClr w14:val="tx1"/>
                  </w14:solidFill>
                </w14:textFill>
              </w:rPr>
              <w:t>用于学校公用支出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仿宋" w:cs="宋体"/>
                <w:i w:val="0"/>
                <w:iCs w:val="0"/>
                <w:color w:val="auto"/>
                <w:sz w:val="21"/>
                <w:szCs w:val="21"/>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一是该类支出部分资金上级部门每年都有预算，直接下达，本部门无需做预算，</w:t>
            </w:r>
            <w:r>
              <w:rPr>
                <w:rFonts w:hint="eastAsia" w:ascii="仿宋" w:hAnsi="仿宋" w:eastAsia="仿宋" w:cs="仿宋"/>
                <w:color w:val="000000" w:themeColor="text1"/>
                <w:sz w:val="21"/>
                <w:szCs w:val="21"/>
                <w:lang w:eastAsia="zh-CN" w:bidi="ar"/>
                <w14:textFill>
                  <w14:solidFill>
                    <w14:schemeClr w14:val="tx1"/>
                  </w14:solidFill>
                </w14:textFill>
              </w:rPr>
              <w:t>2023年</w:t>
            </w:r>
            <w:r>
              <w:rPr>
                <w:rFonts w:hint="eastAsia" w:ascii="仿宋" w:hAnsi="仿宋" w:eastAsia="仿宋" w:cs="仿宋"/>
                <w:color w:val="000000" w:themeColor="text1"/>
                <w:sz w:val="21"/>
                <w:szCs w:val="21"/>
                <w:lang w:val="en-US" w:eastAsia="zh-CN" w:bidi="ar"/>
                <w14:textFill>
                  <w14:solidFill>
                    <w14:schemeClr w14:val="tx1"/>
                  </w14:solidFill>
                </w14:textFill>
              </w:rPr>
              <w:t>教师岗位、薪级晋升，工资提高</w:t>
            </w:r>
            <w:r>
              <w:rPr>
                <w:rFonts w:hint="eastAsia" w:ascii="仿宋" w:hAnsi="仿宋" w:eastAsia="仿宋" w:cs="仿宋"/>
                <w:color w:val="000000" w:themeColor="text1"/>
                <w:sz w:val="21"/>
                <w:szCs w:val="21"/>
                <w:lang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2050701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特殊学校教育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教师送教上门差旅支出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000000" w:themeColor="text1"/>
                <w:sz w:val="18"/>
                <w:szCs w:val="18"/>
                <w:lang w:val="en-US" w:eastAsia="zh-CN"/>
                <w14:textFill>
                  <w14:solidFill>
                    <w14:schemeClr w14:val="tx1"/>
                  </w14:solidFill>
                </w14:textFill>
              </w:rPr>
            </w:pPr>
            <w:r>
              <w:rPr>
                <w:rFonts w:hint="eastAsia" w:ascii="仿宋" w:hAnsi="仿宋" w:eastAsia="仿宋" w:cs="仿宋"/>
                <w:color w:val="000000" w:themeColor="text1"/>
                <w:sz w:val="18"/>
                <w:szCs w:val="18"/>
                <w:lang w:val="en-US" w:eastAsia="zh-CN"/>
                <w14:textFill>
                  <w14:solidFill>
                    <w14:schemeClr w14:val="tx1"/>
                  </w14:solidFill>
                </w14:textFill>
              </w:rPr>
              <w:t>上由级部门预算直接下达，本部门无需预算。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2050299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其他普通教育支出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11.25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Cs w:val="21"/>
                <w14:textFill>
                  <w14:solidFill>
                    <w14:schemeClr w14:val="tx1"/>
                  </w14:solidFill>
                </w14:textFill>
              </w:rPr>
              <w:t>用于学校公用支出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14:textFill>
                  <w14:solidFill>
                    <w14:schemeClr w14:val="tx1"/>
                  </w14:solidFill>
                </w14:textFill>
              </w:rPr>
              <w:t>年中</w:t>
            </w:r>
            <w:r>
              <w:rPr>
                <w:rFonts w:hint="eastAsia" w:ascii="仿宋" w:hAnsi="仿宋" w:eastAsia="仿宋" w:cs="仿宋"/>
                <w:color w:val="000000" w:themeColor="text1"/>
                <w:sz w:val="18"/>
                <w:szCs w:val="18"/>
                <w:lang w:val="en-US" w:eastAsia="zh-CN"/>
                <w14:textFill>
                  <w14:solidFill>
                    <w14:schemeClr w14:val="tx1"/>
                  </w14:solidFill>
                </w14:textFill>
              </w:rPr>
              <w:t>预算</w:t>
            </w:r>
            <w:r>
              <w:rPr>
                <w:rFonts w:hint="eastAsia" w:ascii="仿宋" w:hAnsi="仿宋" w:eastAsia="仿宋" w:cs="仿宋"/>
                <w:color w:val="000000" w:themeColor="text1"/>
                <w:sz w:val="18"/>
                <w:szCs w:val="18"/>
                <w14:textFill>
                  <w14:solidFill>
                    <w14:schemeClr w14:val="tx1"/>
                  </w14:solidFill>
                </w14:textFill>
              </w:rPr>
              <w:t>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762.29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998.94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drawing>
          <wp:inline distT="0" distB="0" distL="114300" distR="114300">
            <wp:extent cx="4581525" cy="3028950"/>
            <wp:effectExtent l="4445" t="4445" r="5080" b="14605"/>
            <wp:docPr id="103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1"/>
        </w:numPr>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115.10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89.27</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77.56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sz w:val="32"/>
          <w:szCs w:val="32"/>
          <w:lang w:val="en-US" w:eastAsia="zh-CN" w:bidi="ar"/>
          <w14:textFill>
            <w14:solidFill>
              <w14:schemeClr w14:val="tx1"/>
            </w14:solidFill>
          </w14:textFill>
        </w:rPr>
        <w:t>三月有10位</w:t>
      </w:r>
      <w:r>
        <w:rPr>
          <w:rFonts w:hint="eastAsia" w:ascii="仿宋" w:hAnsi="仿宋" w:eastAsia="仿宋" w:cs="仿宋"/>
          <w:color w:val="000000" w:themeColor="text1"/>
          <w:sz w:val="32"/>
          <w:szCs w:val="32"/>
          <w:lang w:bidi="ar"/>
          <w14:textFill>
            <w14:solidFill>
              <w14:schemeClr w14:val="tx1"/>
            </w14:solidFill>
          </w14:textFill>
        </w:rPr>
        <w:t>教师调出到县城。</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115.10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89.27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77.56%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教职工养老保险</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s="仿宋"/>
                <w:color w:val="000000" w:themeColor="text1"/>
                <w:sz w:val="21"/>
                <w:szCs w:val="21"/>
                <w:lang w:val="en-US" w:eastAsia="zh-CN" w:bidi="ar"/>
                <w14:textFill>
                  <w14:solidFill>
                    <w14:schemeClr w14:val="tx1"/>
                  </w14:solidFill>
                </w14:textFill>
              </w:rPr>
              <w:t>3月有10位</w:t>
            </w:r>
            <w:r>
              <w:rPr>
                <w:rFonts w:hint="eastAsia" w:ascii="仿宋" w:hAnsi="仿宋" w:eastAsia="仿宋" w:cs="仿宋"/>
                <w:color w:val="000000" w:themeColor="text1"/>
                <w:sz w:val="21"/>
                <w:szCs w:val="21"/>
                <w:lang w:bidi="ar"/>
                <w14:textFill>
                  <w14:solidFill>
                    <w14:schemeClr w14:val="tx1"/>
                  </w14:solidFill>
                </w14:textFill>
              </w:rPr>
              <w:t>教师调出到县城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115.10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89.27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both"/>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0"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1"/>
        </w:numPr>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86.34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67.31</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77.96</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原因是：10位</w:t>
      </w:r>
      <w:r>
        <w:rPr>
          <w:rFonts w:hint="eastAsia" w:ascii="仿宋" w:hAnsi="仿宋" w:eastAsia="仿宋" w:cs="仿宋"/>
          <w:color w:val="000000" w:themeColor="text1"/>
          <w:sz w:val="32"/>
          <w:szCs w:val="32"/>
          <w:lang w:bidi="ar"/>
          <w14:textFill>
            <w14:solidFill>
              <w14:schemeClr w14:val="tx1"/>
            </w14:solidFill>
          </w14:textFill>
        </w:rPr>
        <w:t>教师调出。</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86.34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67.31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77.96%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缴纳教职工住房公积金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仿宋" w:hAnsi="仿宋" w:eastAsia="仿宋"/>
                <w:color w:val="000000" w:themeColor="text1"/>
                <w:sz w:val="21"/>
                <w:szCs w:val="21"/>
                <w:highlight w:val="none"/>
                <w:lang w:val="en-US" w:eastAsia="zh-CN"/>
                <w14:textFill>
                  <w14:solidFill>
                    <w14:schemeClr w14:val="tx1"/>
                  </w14:solidFill>
                </w14:textFill>
              </w:rPr>
              <w:t>10位</w:t>
            </w:r>
            <w:r>
              <w:rPr>
                <w:rFonts w:hint="eastAsia" w:ascii="仿宋" w:hAnsi="仿宋" w:eastAsia="仿宋" w:cs="仿宋"/>
                <w:color w:val="000000" w:themeColor="text1"/>
                <w:sz w:val="21"/>
                <w:szCs w:val="21"/>
                <w:lang w:bidi="ar"/>
                <w14:textFill>
                  <w14:solidFill>
                    <w14:schemeClr w14:val="tx1"/>
                  </w14:solidFill>
                </w14:textFill>
              </w:rPr>
              <w:t>教师调出。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86.34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67.31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auto"/>
                <w:sz w:val="21"/>
                <w:szCs w:val="21"/>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auto"/>
                <w:sz w:val="13"/>
                <w:szCs w:val="13"/>
                <w:highlight w:val="none"/>
                <w:u w:val="none"/>
                <w:lang w:val="en-US" w:eastAsia="zh-CN"/>
              </w:rPr>
            </w:pPr>
          </w:p>
        </w:tc>
      </w:tr>
    </w:tbl>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其他支出</w:t>
      </w:r>
      <w:r>
        <w:rPr>
          <w:rFonts w:ascii="仿宋" w:hAnsi="仿宋" w:eastAsia="仿宋"/>
          <w:sz w:val="32"/>
          <w:u w:color="auto"/>
        </w:rPr>
        <w:t>（229</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102.34</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i w:val="0"/>
          <w:iCs w:val="0"/>
          <w:color w:val="auto"/>
          <w:sz w:val="32"/>
          <w:szCs w:val="32"/>
          <w:highlight w:val="none"/>
          <w:u w:val="none"/>
          <w:lang w:val="en-US" w:eastAsia="zh-CN"/>
        </w:rPr>
        <w:t>由上级部门预算直接下达，本部门无需做预算。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102.34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发放教职工奖励性补贴</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由上级部门预算直接下达，本部门无需做预算。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102.34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1045.01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1031.20</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13.81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980.97</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108.69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岗位提升，和新招聘</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295.21万元，30102津贴补贴87.77万元，30103奖金260.25万元，30107绩效工资141.55万元，30108机关事业单位基本养老保险缴费89.27万元，30110职工基本医疗保险缴费35.76万元，30112其他社会保障缴费3.85万元，30113住房公积金67.31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13.81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工会经费</w:t>
      </w:r>
      <w:r>
        <w:rPr>
          <w:rFonts w:hint="eastAsia" w:ascii="仿宋" w:hAnsi="仿宋" w:eastAsia="仿宋" w:cs="仿宋"/>
          <w:color w:val="000000" w:themeColor="text1"/>
          <w:sz w:val="32"/>
          <w:szCs w:val="32"/>
          <w:lang w:bidi="ar"/>
          <w14:textFill>
            <w14:solidFill>
              <w14:schemeClr w14:val="tx1"/>
            </w14:solidFill>
          </w14:textFill>
        </w:rPr>
        <w:t>。</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30228工会经费13.81万元。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2"/>
        </w:numPr>
        <w:jc w:val="left"/>
        <w:rPr>
          <w:rFonts w:ascii="仿宋" w:hAnsi="仿宋" w:eastAsia="仿宋" w:cs="仿宋"/>
          <w:color w:val="FF0000"/>
          <w:sz w:val="32"/>
          <w:szCs w:val="32"/>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50.23</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170.97</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val="en-US" w:eastAsia="zh-CN" w:bidi="ar"/>
          <w14:textFill>
            <w14:solidFill>
              <w14:schemeClr w14:val="tx1"/>
            </w14:solidFill>
          </w14:textFill>
        </w:rPr>
        <w:t>学生助学金生活补助等没有预算，退休人员增加。</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30305生活补助46.31万元，30308助学金3.91万元，30307医疗补助0.01万元。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本单位无债务利息及费用支出。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numPr>
          <w:ilvl w:val="0"/>
          <w:numId w:val="2"/>
        </w:numPr>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w:t>
      </w:r>
      <w:r>
        <w:rPr>
          <w:rFonts w:hint="eastAsia" w:ascii="仿宋" w:hAnsi="仿宋" w:eastAsia="仿宋" w:cs="仿宋"/>
          <w:color w:val="000000" w:themeColor="text1"/>
          <w:sz w:val="32"/>
          <w:szCs w:val="32"/>
          <w:lang w:val="en-US" w:eastAsia="zh-CN" w:bidi="ar"/>
          <w14:textFill>
            <w14:solidFill>
              <w14:schemeClr w14:val="tx1"/>
            </w14:solidFill>
          </w14:textFill>
        </w:rPr>
        <w:t>年初无预算</w:t>
      </w:r>
      <w:r>
        <w:rPr>
          <w:rFonts w:hint="eastAsia" w:ascii="仿宋" w:hAnsi="仿宋" w:eastAsia="仿宋" w:cs="仿宋"/>
          <w:color w:val="000000" w:themeColor="text1"/>
          <w:sz w:val="32"/>
          <w:szCs w:val="32"/>
          <w:lang w:bidi="ar"/>
          <w14:textFill>
            <w14:solidFill>
              <w14:schemeClr w14:val="tx1"/>
            </w14:solidFill>
          </w14:textFill>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31002办公设备购置0万元。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（简要说明预决算差异）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本单位无其他支出。</w:t>
      </w:r>
    </w:p>
    <w:p>
      <w:pPr>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lang w:eastAsia="zh-CN"/>
        </w:rPr>
        <w:t>环江毛南族自治县东兴镇初级中学</w:t>
      </w:r>
      <w:r>
        <w:rPr>
          <w:rFonts w:ascii="仿宋_GB2312" w:hAnsi="仿宋_GB2312" w:eastAsia="仿宋_GB2312" w:cs="仿宋_GB2312"/>
          <w:color w:val="auto"/>
          <w:sz w:val="32"/>
          <w:u w:color="auto"/>
        </w:rPr>
        <w:t>没有政府性基金收入，也没有政府性基金收入安排的支出</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故本段落无表述。</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环江毛南族自治县东兴镇初级中学</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bookmarkStart w:id="9" w:name="PO_part3A5B1C1DiffReason1"/>
      <w:r>
        <w:rPr>
          <w:rFonts w:hint="eastAsia" w:ascii="仿宋_GB2312" w:hAnsi="Times New Roman" w:eastAsia="仿宋_GB2312" w:cs="Times New Roman"/>
          <w:color w:val="auto"/>
          <w:sz w:val="32"/>
          <w:szCs w:val="32"/>
          <w:lang w:eastAsia="zh-CN"/>
        </w:rPr>
        <w:t>环江毛南族自治县东兴镇初级中学</w:t>
      </w:r>
      <w:r>
        <w:rPr>
          <w:rFonts w:ascii="仿宋_GB2312" w:hAnsi="仿宋_GB2312" w:eastAsia="仿宋_GB2312" w:cs="仿宋_GB2312"/>
          <w:color w:val="auto"/>
          <w:sz w:val="32"/>
          <w:u w:color="auto"/>
        </w:rPr>
        <w:t>没有国有资本经营预算收入，也没有国有资本经营预算收入</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rPr>
        <w:t>安排的支出，故本段落无表述。</w:t>
      </w:r>
      <w:bookmarkEnd w:id="9"/>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六、财政拨款“三公”经费支出决算情况说明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年预算财政拨款安排的“三公”经费支出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sz w:val="32"/>
          <w:szCs w:val="32"/>
          <w:lang w:bidi="ar"/>
          <w14:textFill>
            <w14:solidFill>
              <w14:schemeClr w14:val="tx1"/>
            </w14:solidFill>
          </w14:textFill>
        </w:rPr>
        <w:t>本单位无“三公”经费支出</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hint="eastAsia" w:ascii="仿宋" w:hAnsi="仿宋" w:eastAsia="仿宋_GB2312" w:cs="仿宋"/>
          <w:sz w:val="32"/>
          <w:szCs w:val="32"/>
          <w:highlight w:val="none"/>
          <w:lang w:val="en-US" w:eastAsia="zh-CN"/>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w:t>
      </w:r>
      <w:r>
        <w:rPr>
          <w:rFonts w:hint="eastAsia" w:ascii="仿宋_GB2312" w:hAnsi="Times New Roman" w:eastAsia="仿宋_GB2312" w:cs="Times New Roman"/>
          <w:color w:val="000000" w:themeColor="text1"/>
          <w:sz w:val="32"/>
          <w:szCs w:val="32"/>
          <w14:textFill>
            <w14:solidFill>
              <w14:schemeClr w14:val="tx1"/>
            </w14:solidFill>
          </w14:textFill>
        </w:rPr>
        <w:t>本单位无出国（境）费支出</w:t>
      </w:r>
      <w:r>
        <w:rPr>
          <w:rFonts w:hint="eastAsia" w:ascii="仿宋" w:hAnsi="仿宋" w:eastAsia="仿宋" w:cs="仿宋"/>
          <w:sz w:val="32"/>
          <w:szCs w:val="32"/>
        </w:rPr>
        <w:t>。</w:t>
      </w:r>
      <w:r>
        <w:rPr>
          <w:rFonts w:hint="eastAsia" w:ascii="仿宋" w:hAnsi="仿宋" w:eastAsia="仿宋" w:cs="仿宋"/>
          <w:sz w:val="32"/>
          <w:szCs w:val="32"/>
          <w:highlight w:val="none"/>
        </w:rPr>
        <w:t>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r>
        <w:rPr>
          <w:rFonts w:hint="eastAsia" w:ascii="仿宋_GB2312" w:hAnsi="Times New Roman" w:eastAsia="仿宋_GB2312" w:cs="Times New Roman"/>
          <w:color w:val="000000" w:themeColor="text1"/>
          <w:sz w:val="32"/>
          <w:szCs w:val="32"/>
          <w14:textFill>
            <w14:solidFill>
              <w14:schemeClr w14:val="tx1"/>
            </w14:solidFill>
          </w14:textFill>
        </w:rPr>
        <w:t>开支内容包括：</w:t>
      </w:r>
      <w:r>
        <w:rPr>
          <w:rFonts w:hint="eastAsia" w:ascii="仿宋_GB2312" w:hAnsi="Times New Roman" w:eastAsia="仿宋_GB2312" w:cs="Times New Roman"/>
          <w:color w:val="000000" w:themeColor="text1"/>
          <w:sz w:val="32"/>
          <w:szCs w:val="32"/>
          <w:lang w:val="en-US" w:eastAsia="zh-CN"/>
          <w14:textFill>
            <w14:solidFill>
              <w14:schemeClr w14:val="tx1"/>
            </w14:solidFill>
          </w14:textFill>
        </w:rPr>
        <w:t>无。</w:t>
      </w:r>
    </w:p>
    <w:p>
      <w:pPr>
        <w:numPr>
          <w:ilvl w:val="0"/>
          <w:numId w:val="3"/>
        </w:num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14:textFill>
            <w14:solidFill>
              <w14:schemeClr w14:val="tx1"/>
            </w14:solidFill>
          </w14:textFill>
        </w:rPr>
        <w:t>本单位无公务用车购置及运行维护费。</w:t>
      </w:r>
    </w:p>
    <w:p>
      <w:pPr>
        <w:ind w:firstLine="640" w:firstLineChars="200"/>
        <w:jc w:val="left"/>
        <w:rPr>
          <w:rFonts w:ascii="仿宋" w:hAnsi="仿宋" w:eastAsia="仿宋" w:cs="仿宋"/>
          <w:sz w:val="32"/>
          <w:szCs w:val="32"/>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14:textFill>
            <w14:solidFill>
              <w14:schemeClr w14:val="tx1"/>
            </w14:solidFill>
          </w14:textFill>
        </w:rPr>
        <w:t>本单位无公务车运行维护支出。</w:t>
      </w:r>
    </w:p>
    <w:p>
      <w:pPr>
        <w:numPr>
          <w:ilvl w:val="0"/>
          <w:numId w:val="0"/>
        </w:numPr>
        <w:ind w:firstLine="640" w:firstLineChars="20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u w:color="auto"/>
          <w:lang w:eastAsia="zh-CN"/>
        </w:rPr>
        <w:t>环江毛南族自治县东兴镇初级中学</w:t>
      </w:r>
      <w:r>
        <w:rPr>
          <w:rFonts w:hint="eastAsia" w:ascii="仿宋" w:hAnsi="仿宋" w:eastAsia="仿宋" w:cs="仿宋"/>
          <w:sz w:val="32"/>
          <w:szCs w:val="32"/>
          <w:highlight w:val="none"/>
        </w:rPr>
        <w:t>及</w:t>
      </w:r>
      <w:r>
        <w:rPr>
          <w:rFonts w:hint="eastAsia" w:ascii="仿宋" w:hAnsi="仿宋" w:eastAsia="仿宋" w:cs="仿宋"/>
          <w:color w:val="auto"/>
          <w:sz w:val="32"/>
          <w:szCs w:val="32"/>
          <w:highlight w:val="none"/>
          <w:u w:val="none"/>
          <w:lang w:val="en-US" w:eastAsia="zh-CN"/>
        </w:rPr>
        <w:t xml:space="preserve"> 0个</w:t>
      </w:r>
      <w:r>
        <w:rPr>
          <w:rFonts w:hint="eastAsia" w:ascii="仿宋" w:hAnsi="仿宋" w:eastAsia="仿宋" w:cs="仿宋"/>
          <w:sz w:val="32"/>
          <w:szCs w:val="32"/>
          <w:highlight w:val="none"/>
        </w:rPr>
        <w:t>所属单位开支财政拨款的公务用车保有量为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平均每辆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 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sz w:val="32"/>
          <w:szCs w:val="32"/>
          <w:lang w:bidi="ar"/>
          <w14:textFill>
            <w14:solidFill>
              <w14:schemeClr w14:val="tx1"/>
            </w14:solidFill>
          </w14:textFill>
        </w:rPr>
        <w:t>本单位无公务接待费支出。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ascii="仿宋" w:hAnsi="仿宋" w:eastAsia="仿宋" w:cs="仿宋"/>
          <w:color w:val="000000" w:themeColor="text1"/>
          <w:sz w:val="32"/>
          <w:szCs w:val="32"/>
          <w:highlight w:val="none"/>
          <w14:textFill>
            <w14:solidFill>
              <w14:schemeClr w14:val="tx1"/>
            </w14:solidFill>
          </w14:textFill>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原因是：</w:t>
      </w:r>
      <w:r>
        <w:rPr>
          <w:rFonts w:hint="eastAsia" w:ascii="仿宋" w:hAnsi="仿宋" w:eastAsia="仿宋" w:cs="仿宋"/>
          <w:color w:val="000000" w:themeColor="text1"/>
          <w:sz w:val="32"/>
          <w:szCs w:val="32"/>
          <w14:textFill>
            <w14:solidFill>
              <w14:schemeClr w14:val="tx1"/>
            </w14:solidFill>
          </w14:textFill>
        </w:rPr>
        <w:t>本单位无机关运行经费支出。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ascii="仿宋" w:hAnsi="仿宋" w:eastAsia="仿宋" w:cs="仿宋"/>
          <w:sz w:val="32"/>
          <w:szCs w:val="32"/>
          <w:highlight w:val="none"/>
        </w:rPr>
        <w:t>0.00</w:t>
      </w:r>
      <w:r>
        <w:rPr>
          <w:rFonts w:hint="eastAsia" w:ascii="仿宋" w:hAnsi="仿宋" w:eastAsia="仿宋" w:cs="仿宋"/>
          <w:sz w:val="32"/>
          <w:szCs w:val="32"/>
          <w:highlight w:val="none"/>
        </w:rPr>
        <w:t>万元，其中：政府采购货物支出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21</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358.05</w:t>
      </w:r>
      <w:r>
        <w:rPr>
          <w:rFonts w:hint="eastAsia" w:ascii="仿宋" w:hAnsi="仿宋" w:eastAsia="仿宋" w:cs="仿宋"/>
          <w:color w:val="000000" w:themeColor="text1"/>
          <w:sz w:val="32"/>
          <w:szCs w:val="32"/>
          <w14:textFill>
            <w14:solidFill>
              <w14:schemeClr w14:val="tx1"/>
            </w14:solidFill>
          </w14:textFill>
        </w:rPr>
        <w:t>万元。组织对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组织对“自治区公用经费”等</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57.74</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万元。从评价情况来看，一般公共预算支出基本达到了绩效目标要求，只有自治区公用经费出现执行率偏低，但前提用中央公用经费支出。本单位无政府性基金预算支出和国有资本经营预算支出。</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万元。从评价情况来看，本单位为二级单位，只有本级没有下级单位预算。</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必填</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rPr>
        <w:t>我部门根据年初设定的绩效目标，东兴镇初级中学2022年年初预算经费(门面租金)项目自评得分为</w:t>
      </w:r>
      <w:r>
        <w:rPr>
          <w:rFonts w:hint="eastAsia" w:ascii="仿宋" w:hAnsi="仿宋" w:eastAsia="仿宋" w:cs="仿宋"/>
          <w:color w:val="auto"/>
          <w:sz w:val="32"/>
          <w:szCs w:val="32"/>
          <w:lang w:val="en-US" w:eastAsia="zh-CN"/>
        </w:rPr>
        <w:t>98.44</w:t>
      </w:r>
      <w:r>
        <w:rPr>
          <w:rFonts w:hint="eastAsia" w:ascii="仿宋" w:hAnsi="仿宋" w:eastAsia="仿宋" w:cs="仿宋"/>
          <w:color w:val="auto"/>
          <w:sz w:val="32"/>
          <w:szCs w:val="32"/>
        </w:rPr>
        <w:t>分。发现的主要问题及原因：一是没有完成年初预算。</w:t>
      </w:r>
      <w:r>
        <w:rPr>
          <w:rFonts w:hint="eastAsia" w:ascii="仿宋" w:hAnsi="仿宋" w:eastAsia="仿宋" w:cs="仿宋"/>
          <w:color w:val="auto"/>
          <w:sz w:val="32"/>
          <w:szCs w:val="32"/>
          <w:lang w:val="en-US" w:eastAsia="zh-CN"/>
        </w:rPr>
        <w:t>二是</w:t>
      </w:r>
      <w:r>
        <w:rPr>
          <w:rFonts w:hint="eastAsia" w:ascii="仿宋" w:hAnsi="仿宋" w:eastAsia="仿宋" w:cs="仿宋"/>
          <w:color w:val="auto"/>
          <w:sz w:val="32"/>
          <w:szCs w:val="32"/>
        </w:rPr>
        <w:t>执行率</w:t>
      </w:r>
      <w:r>
        <w:rPr>
          <w:rFonts w:hint="eastAsia" w:ascii="仿宋" w:hAnsi="仿宋" w:eastAsia="仿宋" w:cs="仿宋"/>
          <w:color w:val="auto"/>
          <w:sz w:val="32"/>
          <w:szCs w:val="32"/>
          <w:lang w:val="en-US" w:eastAsia="zh-CN"/>
        </w:rPr>
        <w:t>较</w:t>
      </w:r>
      <w:r>
        <w:rPr>
          <w:rFonts w:hint="eastAsia" w:ascii="仿宋" w:hAnsi="仿宋" w:eastAsia="仿宋" w:cs="仿宋"/>
          <w:color w:val="auto"/>
          <w:sz w:val="32"/>
          <w:szCs w:val="32"/>
        </w:rPr>
        <w:t>低。下一步改进措施：</w:t>
      </w:r>
      <w:r>
        <w:rPr>
          <w:rFonts w:hint="eastAsia" w:ascii="仿宋" w:hAnsi="仿宋" w:eastAsia="仿宋" w:cs="仿宋"/>
          <w:color w:val="auto"/>
          <w:sz w:val="32"/>
          <w:szCs w:val="32"/>
          <w:lang w:val="en-US" w:eastAsia="zh-CN"/>
        </w:rPr>
        <w:t>一是提高执行率；二是做好年初预算。顶岗</w:t>
      </w:r>
      <w:r>
        <w:rPr>
          <w:rFonts w:hint="eastAsia" w:ascii="仿宋" w:hAnsi="仿宋" w:eastAsia="仿宋" w:cs="仿宋"/>
          <w:color w:val="auto"/>
          <w:sz w:val="32"/>
          <w:szCs w:val="32"/>
        </w:rPr>
        <w:t>教师工资项目自评得分为</w:t>
      </w:r>
      <w:r>
        <w:rPr>
          <w:rFonts w:ascii="仿宋" w:hAnsi="仿宋" w:eastAsia="仿宋" w:cs="仿宋"/>
          <w:color w:val="auto"/>
          <w:sz w:val="32"/>
          <w:szCs w:val="32"/>
        </w:rPr>
        <w:t>100</w:t>
      </w:r>
      <w:r>
        <w:rPr>
          <w:rFonts w:hint="eastAsia" w:ascii="仿宋" w:hAnsi="仿宋" w:eastAsia="仿宋" w:cs="仿宋"/>
          <w:color w:val="auto"/>
          <w:sz w:val="32"/>
          <w:szCs w:val="32"/>
        </w:rPr>
        <w:t>分。发现的主要问题及原因：师资队伍不稳定。下一步改进措施：</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。义务教育阶段家庭经济困难学生生活</w:t>
      </w:r>
      <w:r>
        <w:rPr>
          <w:rFonts w:hint="eastAsia" w:ascii="仿宋" w:hAnsi="仿宋" w:eastAsia="仿宋" w:cs="仿宋"/>
          <w:color w:val="auto"/>
          <w:sz w:val="32"/>
          <w:szCs w:val="32"/>
          <w:lang w:val="en-US" w:eastAsia="zh-CN"/>
        </w:rPr>
        <w:t>县级</w:t>
      </w:r>
      <w:r>
        <w:rPr>
          <w:rFonts w:hint="eastAsia" w:ascii="仿宋" w:hAnsi="仿宋" w:eastAsia="仿宋" w:cs="仿宋"/>
          <w:color w:val="auto"/>
          <w:sz w:val="32"/>
          <w:szCs w:val="32"/>
        </w:rPr>
        <w:t>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教师节经费</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。义务教育中央公用经费项目自评得分为</w:t>
      </w:r>
      <w:r>
        <w:rPr>
          <w:rFonts w:hint="eastAsia" w:ascii="仿宋" w:hAnsi="仿宋" w:eastAsia="仿宋" w:cs="仿宋"/>
          <w:color w:val="auto"/>
          <w:sz w:val="32"/>
          <w:szCs w:val="32"/>
          <w:lang w:val="en-US" w:eastAsia="zh-CN"/>
        </w:rPr>
        <w:t>98.35</w:t>
      </w:r>
      <w:r>
        <w:rPr>
          <w:rFonts w:hint="eastAsia" w:ascii="仿宋" w:hAnsi="仿宋" w:eastAsia="仿宋" w:cs="仿宋"/>
          <w:color w:val="auto"/>
          <w:sz w:val="32"/>
          <w:szCs w:val="32"/>
        </w:rPr>
        <w:t>分。发现的主要问题及原因：材料整理不及时，材料不符合规定需整改过多。造就支付无法及时有效进行从而造成预算执行率低。下一步改进措施：及时送材料，及时报账，严格把关材料。营养改善计划膳食补助资金项目自评得分为</w:t>
      </w:r>
      <w:r>
        <w:rPr>
          <w:rFonts w:hint="eastAsia" w:ascii="仿宋" w:hAnsi="仿宋" w:eastAsia="仿宋" w:cs="仿宋"/>
          <w:color w:val="auto"/>
          <w:sz w:val="32"/>
          <w:szCs w:val="32"/>
          <w:lang w:val="en-US" w:eastAsia="zh-CN"/>
        </w:rPr>
        <w:t>98.23</w:t>
      </w:r>
      <w:r>
        <w:rPr>
          <w:rFonts w:hint="eastAsia" w:ascii="仿宋" w:hAnsi="仿宋" w:eastAsia="仿宋" w:cs="仿宋"/>
          <w:color w:val="auto"/>
          <w:sz w:val="32"/>
          <w:szCs w:val="32"/>
        </w:rPr>
        <w:t>分。发现的主要问题及原因：学生人数的减少，由2022年秋季学期的627人到2023年春减少到587人。下一步改进措施：一是做好年中调整；二是把握学生人数。义务教育阶段家庭经济困难学生</w:t>
      </w:r>
      <w:r>
        <w:rPr>
          <w:rFonts w:hint="eastAsia" w:ascii="仿宋" w:hAnsi="仿宋" w:eastAsia="仿宋" w:cs="仿宋"/>
          <w:color w:val="auto"/>
          <w:sz w:val="32"/>
          <w:szCs w:val="32"/>
          <w:lang w:val="en-US" w:eastAsia="zh-CN"/>
        </w:rPr>
        <w:t>中央</w:t>
      </w:r>
      <w:r>
        <w:rPr>
          <w:rFonts w:hint="eastAsia" w:ascii="仿宋" w:hAnsi="仿宋" w:eastAsia="仿宋" w:cs="仿宋"/>
          <w:color w:val="auto"/>
          <w:sz w:val="32"/>
          <w:szCs w:val="32"/>
        </w:rPr>
        <w:t>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特岗</w:t>
      </w:r>
      <w:r>
        <w:rPr>
          <w:rFonts w:hint="eastAsia" w:ascii="仿宋" w:hAnsi="仿宋" w:eastAsia="仿宋" w:cs="仿宋"/>
          <w:color w:val="auto"/>
          <w:sz w:val="32"/>
          <w:szCs w:val="32"/>
        </w:rPr>
        <w:t>教师工资项目自评得分为</w:t>
      </w:r>
      <w:r>
        <w:rPr>
          <w:rFonts w:ascii="仿宋" w:hAnsi="仿宋" w:eastAsia="仿宋" w:cs="仿宋"/>
          <w:color w:val="auto"/>
          <w:sz w:val="32"/>
          <w:szCs w:val="32"/>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自治区公用经费项目自评得分为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无</w:t>
      </w:r>
      <w:r>
        <w:rPr>
          <w:rFonts w:hint="eastAsia" w:ascii="仿宋" w:hAnsi="仿宋" w:eastAsia="仿宋" w:cs="仿宋"/>
          <w:color w:val="auto"/>
          <w:sz w:val="32"/>
          <w:szCs w:val="32"/>
        </w:rPr>
        <w:t>。下一步改进措施：一是做好年初预算；二是充分实施项目，提高执行率和效率。</w:t>
      </w:r>
      <w:r>
        <w:rPr>
          <w:rFonts w:hint="eastAsia" w:ascii="仿宋" w:hAnsi="仿宋" w:eastAsia="仿宋" w:cs="仿宋"/>
          <w:color w:val="auto"/>
          <w:sz w:val="32"/>
          <w:szCs w:val="32"/>
          <w:lang w:val="en-US" w:eastAsia="zh-CN"/>
        </w:rPr>
        <w:t>东兴镇初级中学年初预算经费</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86.4</w:t>
      </w:r>
      <w:r>
        <w:rPr>
          <w:rFonts w:hint="eastAsia" w:ascii="仿宋" w:hAnsi="仿宋" w:eastAsia="仿宋" w:cs="仿宋"/>
          <w:color w:val="auto"/>
          <w:sz w:val="32"/>
          <w:szCs w:val="32"/>
        </w:rPr>
        <w:t>分。发现的主要问题及原因：对于政策理解不够透彻，处理问题不及时，材料整理不完整，不符合规定。下一步改进措施：深度学习政策，及时完成材料，及时报账。乡村教师生活补助县级补助资金项目自评得分为</w:t>
      </w:r>
      <w:r>
        <w:rPr>
          <w:rFonts w:hint="eastAsia" w:ascii="仿宋" w:hAnsi="仿宋" w:eastAsia="仿宋" w:cs="仿宋"/>
          <w:color w:val="auto"/>
          <w:sz w:val="32"/>
          <w:szCs w:val="32"/>
          <w:lang w:val="en-US" w:eastAsia="zh-CN"/>
        </w:rPr>
        <w:t>97.6</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材料的规整不及时，报账不及时，教职工人数的减少，由年初的64人减少到51人</w:t>
      </w:r>
      <w:r>
        <w:rPr>
          <w:rFonts w:hint="eastAsia" w:ascii="仿宋" w:hAnsi="仿宋" w:eastAsia="仿宋" w:cs="仿宋"/>
          <w:color w:val="auto"/>
          <w:sz w:val="32"/>
          <w:szCs w:val="32"/>
        </w:rPr>
        <w:t>。下一步改进措施：及时规整材料及报账。奖励性补贴(非三保)项目自评得分为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。党建设工作经费项目自评得分为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未做党建方面的建设</w:t>
      </w:r>
      <w:r>
        <w:rPr>
          <w:rFonts w:hint="eastAsia" w:ascii="仿宋" w:hAnsi="仿宋" w:eastAsia="仿宋" w:cs="仿宋"/>
          <w:color w:val="auto"/>
          <w:sz w:val="32"/>
          <w:szCs w:val="32"/>
        </w:rPr>
        <w:t>。下一步改进措施：加强党建方面建设。全县校园安全保卫经费项目自评得分为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分，发现的主要问题及原因：未做该方面的工作，材料未整理报账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下一步改进措施：及时完成该方面工作</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及时付款</w:t>
      </w:r>
      <w:r>
        <w:rPr>
          <w:rFonts w:hint="eastAsia" w:ascii="仿宋" w:hAnsi="仿宋" w:eastAsia="仿宋" w:cs="仿宋"/>
          <w:color w:val="auto"/>
          <w:sz w:val="32"/>
          <w:szCs w:val="32"/>
        </w:rPr>
        <w:t>。义务教育阶段家庭经济困难学生生活自治区补助资金项目自评得分为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。自治区</w:t>
      </w:r>
      <w:r>
        <w:rPr>
          <w:rFonts w:hint="eastAsia" w:ascii="仿宋" w:hAnsi="仿宋" w:eastAsia="仿宋" w:cs="仿宋"/>
          <w:color w:val="auto"/>
          <w:sz w:val="32"/>
          <w:szCs w:val="32"/>
          <w:lang w:val="en-US" w:eastAsia="zh-CN"/>
        </w:rPr>
        <w:t>级</w:t>
      </w:r>
      <w:r>
        <w:rPr>
          <w:rFonts w:hint="eastAsia" w:ascii="仿宋" w:hAnsi="仿宋" w:eastAsia="仿宋" w:cs="仿宋"/>
          <w:color w:val="auto"/>
          <w:sz w:val="32"/>
          <w:szCs w:val="32"/>
        </w:rPr>
        <w:t>乡村教师生活补助项目自评得分为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基础性绩效工资增量项目自评得分为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没有问题</w:t>
      </w:r>
      <w:r>
        <w:rPr>
          <w:rFonts w:hint="eastAsia" w:ascii="仿宋" w:hAnsi="仿宋" w:eastAsia="仿宋" w:cs="仿宋"/>
          <w:color w:val="auto"/>
          <w:sz w:val="32"/>
          <w:szCs w:val="32"/>
        </w:rPr>
        <w:t>。公用经费（特教）自治区补助项目自评得分为</w:t>
      </w:r>
      <w:r>
        <w:rPr>
          <w:rFonts w:hint="eastAsia" w:ascii="仿宋" w:hAnsi="仿宋" w:eastAsia="仿宋" w:cs="仿宋"/>
          <w:color w:val="auto"/>
          <w:sz w:val="32"/>
          <w:szCs w:val="32"/>
          <w:lang w:val="en-US" w:eastAsia="zh-CN"/>
        </w:rPr>
        <w:t>99.1</w:t>
      </w:r>
      <w:r>
        <w:rPr>
          <w:rFonts w:hint="eastAsia" w:ascii="仿宋" w:hAnsi="仿宋" w:eastAsia="仿宋" w:cs="仿宋"/>
          <w:color w:val="auto"/>
          <w:sz w:val="32"/>
          <w:szCs w:val="32"/>
        </w:rPr>
        <w:t>分。发现的主要问题及原因：一是执行率偏低；材料的整理不及时。对于政策理解不透彻。下一步改进措施：一是利用好项目资金规划；二是发展需要的办公活动。基础性绩效工资增量事业项目自评得分为</w:t>
      </w:r>
      <w:r>
        <w:rPr>
          <w:rFonts w:ascii="仿宋" w:hAnsi="仿宋" w:eastAsia="仿宋" w:cs="仿宋"/>
          <w:color w:val="auto"/>
          <w:sz w:val="32"/>
          <w:szCs w:val="32"/>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发现的主要问题及原因：没有问题。奖励性补贴项目自评得分为</w:t>
      </w:r>
      <w:r>
        <w:rPr>
          <w:rFonts w:ascii="仿宋" w:hAnsi="仿宋" w:eastAsia="仿宋" w:cs="仿宋"/>
          <w:color w:val="auto"/>
          <w:sz w:val="32"/>
          <w:szCs w:val="32"/>
        </w:rPr>
        <w:t>100</w:t>
      </w:r>
      <w:r>
        <w:rPr>
          <w:rFonts w:hint="eastAsia" w:ascii="仿宋" w:hAnsi="仿宋" w:eastAsia="仿宋" w:cs="仿宋"/>
          <w:color w:val="auto"/>
          <w:sz w:val="32"/>
          <w:szCs w:val="32"/>
        </w:rPr>
        <w:t>分，无问题。全县校长绩效工资项目自评得分为</w:t>
      </w:r>
      <w:r>
        <w:rPr>
          <w:rFonts w:ascii="仿宋" w:hAnsi="仿宋" w:eastAsia="仿宋" w:cs="仿宋"/>
          <w:color w:val="auto"/>
          <w:sz w:val="32"/>
          <w:szCs w:val="32"/>
        </w:rPr>
        <w:t>100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无问题。班主任津贴</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99.92</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发现的主要问题及原因：执行率低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报账不及时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下一步改进措施：做好预算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及时报账</w:t>
      </w:r>
      <w:r>
        <w:rPr>
          <w:rFonts w:hint="eastAsia" w:ascii="仿宋" w:hAnsi="仿宋" w:eastAsia="仿宋" w:cs="仿宋"/>
          <w:color w:val="auto"/>
          <w:sz w:val="32"/>
          <w:szCs w:val="32"/>
        </w:rPr>
        <w:t>。</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环江毛南族自治县财政部门当年拨付的资金。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 w:hAnsi="仿宋" w:eastAsia="仿宋" w:cs="仿宋"/>
          <w:sz w:val="32"/>
          <w:szCs w:val="32"/>
          <w:highlight w:val="none"/>
        </w:rPr>
      </w:pPr>
      <w:r>
        <w:rPr>
          <w:rFonts w:ascii="仿宋" w:hAnsi="仿宋" w:eastAsia="仿宋" w:cs="仿宋"/>
          <w:sz w:val="32"/>
          <w:szCs w:val="32"/>
        </w:rPr>
        <w:t>附：环江毛南族自治县</w:t>
      </w:r>
      <w:r>
        <w:rPr>
          <w:rFonts w:hint="eastAsia" w:ascii="仿宋" w:hAnsi="仿宋" w:eastAsia="仿宋" w:cs="仿宋"/>
          <w:sz w:val="32"/>
          <w:szCs w:val="32"/>
          <w:lang w:val="en-US" w:eastAsia="zh-CN"/>
        </w:rPr>
        <w:t>东兴镇</w:t>
      </w:r>
      <w:r>
        <w:rPr>
          <w:rFonts w:hint="eastAsia" w:ascii="仿宋" w:hAnsi="仿宋" w:eastAsia="仿宋" w:cs="仿宋"/>
          <w:sz w:val="32"/>
          <w:szCs w:val="32"/>
        </w:rPr>
        <w:t>初级中学</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ascii="仿宋" w:hAnsi="仿宋" w:eastAsia="仿宋" w:cs="仿宋"/>
          <w:sz w:val="32"/>
          <w:szCs w:val="32"/>
        </w:rPr>
        <w:t>年部门</w:t>
      </w:r>
      <w:r>
        <w:rPr>
          <w:rFonts w:hint="eastAsia" w:ascii="仿宋" w:hAnsi="仿宋" w:eastAsia="仿宋" w:cs="仿宋"/>
          <w:sz w:val="32"/>
          <w:szCs w:val="32"/>
        </w:rPr>
        <w:t>预算项目绩效自评表</w:t>
      </w:r>
    </w:p>
    <w:p>
      <w:pPr>
        <w:ind w:firstLine="640" w:firstLineChars="200"/>
        <w:jc w:val="left"/>
        <w:rPr>
          <w:rFonts w:hint="eastAsia" w:ascii="仿宋" w:hAnsi="仿宋" w:eastAsia="仿宋" w:cs="仿宋"/>
          <w:sz w:val="32"/>
          <w:szCs w:val="32"/>
          <w:highlight w:val="none"/>
        </w:rPr>
      </w:pPr>
    </w:p>
    <w:p>
      <w:pPr>
        <w:ind w:firstLine="640" w:firstLineChars="200"/>
        <w:jc w:val="left"/>
        <w:rPr>
          <w:rFonts w:hint="eastAsia" w:ascii="仿宋" w:hAnsi="仿宋" w:eastAsia="仿宋" w:cs="仿宋"/>
          <w:sz w:val="32"/>
          <w:szCs w:val="32"/>
          <w:highlight w:val="none"/>
        </w:rPr>
      </w:pPr>
    </w:p>
    <w:p>
      <w:pPr>
        <w:ind w:firstLine="2240" w:firstLineChars="700"/>
        <w:jc w:val="left"/>
        <w:rPr>
          <w:rFonts w:ascii="仿宋" w:hAnsi="仿宋" w:eastAsia="仿宋" w:cs="仿宋"/>
          <w:sz w:val="32"/>
          <w:szCs w:val="32"/>
        </w:rPr>
      </w:pPr>
      <w:r>
        <w:rPr>
          <w:rFonts w:hint="eastAsia" w:ascii="仿宋" w:hAnsi="仿宋" w:eastAsia="仿宋" w:cs="仿宋"/>
          <w:sz w:val="32"/>
          <w:szCs w:val="32"/>
        </w:rPr>
        <w:t>环江毛南族自治县</w:t>
      </w:r>
      <w:r>
        <w:rPr>
          <w:rFonts w:hint="eastAsia" w:ascii="仿宋" w:hAnsi="仿宋" w:eastAsia="仿宋" w:cs="仿宋"/>
          <w:sz w:val="32"/>
          <w:szCs w:val="32"/>
          <w:lang w:val="en-US" w:eastAsia="zh-CN"/>
        </w:rPr>
        <w:t>东兴镇</w:t>
      </w:r>
      <w:r>
        <w:rPr>
          <w:rFonts w:hint="eastAsia" w:ascii="仿宋" w:hAnsi="仿宋" w:eastAsia="仿宋" w:cs="仿宋"/>
          <w:sz w:val="32"/>
          <w:szCs w:val="32"/>
        </w:rPr>
        <w:t>初级中学</w:t>
      </w:r>
    </w:p>
    <w:p>
      <w:pPr>
        <w:ind w:firstLine="4160" w:firstLineChars="1300"/>
        <w:jc w:val="left"/>
        <w:rPr>
          <w:rFonts w:hint="eastAsia" w:ascii="仿宋" w:hAnsi="仿宋" w:eastAsia="仿宋" w:cs="仿宋"/>
          <w:sz w:val="32"/>
          <w:szCs w:val="32"/>
          <w:highlight w:val="none"/>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16F9ABF0"/>
    <w:multiLevelType w:val="singleLevel"/>
    <w:tmpl w:val="16F9ABF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2MTIyOGVlNTZjNTYxYzhhNDBkNGM4NjgyMzJkMjkifQ=="/>
  </w:docVars>
  <w:rsids>
    <w:rsidRoot w:val="637D7558"/>
    <w:rsid w:val="00002C84"/>
    <w:rsid w:val="0001647D"/>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011D28"/>
    <w:rsid w:val="05992762"/>
    <w:rsid w:val="07B0770E"/>
    <w:rsid w:val="0942143F"/>
    <w:rsid w:val="09A11113"/>
    <w:rsid w:val="0ABA0258"/>
    <w:rsid w:val="0D100297"/>
    <w:rsid w:val="0D202B45"/>
    <w:rsid w:val="0E062B76"/>
    <w:rsid w:val="0F8D4C87"/>
    <w:rsid w:val="10505FAA"/>
    <w:rsid w:val="105F7E7E"/>
    <w:rsid w:val="11E56B5B"/>
    <w:rsid w:val="125C77AB"/>
    <w:rsid w:val="14717E92"/>
    <w:rsid w:val="14CB726E"/>
    <w:rsid w:val="17E92249"/>
    <w:rsid w:val="18D304F1"/>
    <w:rsid w:val="19F32577"/>
    <w:rsid w:val="19F45B80"/>
    <w:rsid w:val="1B0C078D"/>
    <w:rsid w:val="1B2B31E2"/>
    <w:rsid w:val="1B4C295A"/>
    <w:rsid w:val="1B973C63"/>
    <w:rsid w:val="1BA1001E"/>
    <w:rsid w:val="1CB55A98"/>
    <w:rsid w:val="1D317259"/>
    <w:rsid w:val="1E664F5B"/>
    <w:rsid w:val="1EB34BE1"/>
    <w:rsid w:val="212633DE"/>
    <w:rsid w:val="215E639F"/>
    <w:rsid w:val="21EC3183"/>
    <w:rsid w:val="225E72CD"/>
    <w:rsid w:val="22A66625"/>
    <w:rsid w:val="23907C43"/>
    <w:rsid w:val="246E2F77"/>
    <w:rsid w:val="254B4E2B"/>
    <w:rsid w:val="28242080"/>
    <w:rsid w:val="283D7C94"/>
    <w:rsid w:val="29480E03"/>
    <w:rsid w:val="2983634D"/>
    <w:rsid w:val="2BB02055"/>
    <w:rsid w:val="2C575A56"/>
    <w:rsid w:val="2EA756F3"/>
    <w:rsid w:val="2F257714"/>
    <w:rsid w:val="2F3275E5"/>
    <w:rsid w:val="30AA08EF"/>
    <w:rsid w:val="30D23D1C"/>
    <w:rsid w:val="31221CF5"/>
    <w:rsid w:val="31400178"/>
    <w:rsid w:val="321E3342"/>
    <w:rsid w:val="327759C8"/>
    <w:rsid w:val="33185FE3"/>
    <w:rsid w:val="34EE2E36"/>
    <w:rsid w:val="36777241"/>
    <w:rsid w:val="371E78D5"/>
    <w:rsid w:val="38A951DB"/>
    <w:rsid w:val="38B31605"/>
    <w:rsid w:val="39003F4F"/>
    <w:rsid w:val="3C07002B"/>
    <w:rsid w:val="3D0D152A"/>
    <w:rsid w:val="3DF62756"/>
    <w:rsid w:val="3F1B7587"/>
    <w:rsid w:val="41E57B4F"/>
    <w:rsid w:val="432F26F6"/>
    <w:rsid w:val="43880F63"/>
    <w:rsid w:val="441C5A6F"/>
    <w:rsid w:val="44C44FCC"/>
    <w:rsid w:val="44CC7369"/>
    <w:rsid w:val="457F5108"/>
    <w:rsid w:val="46951B6B"/>
    <w:rsid w:val="475E3305"/>
    <w:rsid w:val="49A34401"/>
    <w:rsid w:val="4A3E30AB"/>
    <w:rsid w:val="4AC14DAC"/>
    <w:rsid w:val="4B9235B5"/>
    <w:rsid w:val="4D154C85"/>
    <w:rsid w:val="4EB35ECE"/>
    <w:rsid w:val="508F4E24"/>
    <w:rsid w:val="51461E90"/>
    <w:rsid w:val="51463753"/>
    <w:rsid w:val="52553A93"/>
    <w:rsid w:val="53521F8B"/>
    <w:rsid w:val="53E22F47"/>
    <w:rsid w:val="54522FF8"/>
    <w:rsid w:val="55450629"/>
    <w:rsid w:val="564126FA"/>
    <w:rsid w:val="56692963"/>
    <w:rsid w:val="568B0F48"/>
    <w:rsid w:val="5786217B"/>
    <w:rsid w:val="589D3412"/>
    <w:rsid w:val="59337A15"/>
    <w:rsid w:val="59810274"/>
    <w:rsid w:val="5CA0606B"/>
    <w:rsid w:val="5CA96A00"/>
    <w:rsid w:val="5CF730BC"/>
    <w:rsid w:val="5E5F0DCE"/>
    <w:rsid w:val="5FA40A7B"/>
    <w:rsid w:val="5FD56D29"/>
    <w:rsid w:val="5FEC7F3F"/>
    <w:rsid w:val="605B738C"/>
    <w:rsid w:val="60F74BC3"/>
    <w:rsid w:val="617D3BF8"/>
    <w:rsid w:val="61841F6A"/>
    <w:rsid w:val="623007A9"/>
    <w:rsid w:val="63260125"/>
    <w:rsid w:val="637150C3"/>
    <w:rsid w:val="637D7558"/>
    <w:rsid w:val="644F19AC"/>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4970C5B"/>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1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hjxjyj\Desktop\&#36130;&#21153;&#20154;&#21592;&#32852;&#31995;&#20449;&#24687;2023-10-11%20-%20&#21103;&#26412;.xls"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一般公共预算财政拨款收入</c:v>
                </c:pt>
              </c:strCache>
            </c:strRef>
          </c:cat>
          <c:val>
            <c:numRef>
              <c:f>Sheet1!$B$2</c:f>
              <c:numCache>
                <c:formatCode>General</c:formatCode>
                <c:ptCount val="1"/>
                <c:pt idx="0">
                  <c:v>1274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46.31</c:v>
                </c:pt>
                <c:pt idx="5">
                  <c:v>0</c:v>
                </c:pt>
                <c:pt idx="6">
                  <c:v>0.01</c:v>
                </c:pt>
                <c:pt idx="7">
                  <c:v>3.91</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17.27</c:v>
                </c:pt>
                <c:pt idx="1">
                  <c:v>1002.21</c:v>
                </c:pt>
                <c:pt idx="2">
                  <c:v>97.19</c:v>
                </c:pt>
                <c:pt idx="3">
                  <c:v>72.95</c:v>
                </c:pt>
                <c:pt idx="4">
                  <c:v>122.47</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13.81</c:v>
                </c:pt>
                <c:pt idx="1">
                  <c:v>1001.27</c:v>
                </c:pt>
                <c:pt idx="2">
                  <c:v>89.27</c:v>
                </c:pt>
                <c:pt idx="3">
                  <c:v>67.31</c:v>
                </c:pt>
                <c:pt idx="4">
                  <c:v>102.34</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2012999</c:v>
                </c:pt>
                <c:pt idx="1">
                  <c:v>201x</c:v>
                </c:pt>
              </c:strCache>
            </c:strRef>
          </c:cat>
          <c:val>
            <c:numRef>
              <c:f>Sheet1!$B$2:$B$3</c:f>
              <c:numCache>
                <c:formatCode>General</c:formatCode>
                <c:ptCount val="2"/>
                <c:pt idx="0">
                  <c:v>13.81</c:v>
                </c:pt>
                <c:pt idx="1">
                  <c:v>13.81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教育支出</a:t>
            </a: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sz="2400" b="1"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8572418572419"/>
          <c:y val="0.00628930817610063"/>
        </c:manualLayout>
      </c:layout>
      <c:overlay val="0"/>
      <c:spPr>
        <a:noFill/>
        <a:ln>
          <a:noFill/>
        </a:ln>
        <a:effectLst/>
      </c:spPr>
    </c:title>
    <c:autoTitleDeleted val="0"/>
    <c:plotArea>
      <c:layout>
        <c:manualLayout>
          <c:layoutTarget val="inner"/>
          <c:xMode val="edge"/>
          <c:yMode val="edge"/>
          <c:x val="0.0898266190719021"/>
          <c:y val="0.162095582197405"/>
          <c:w val="0.891687914329424"/>
          <c:h val="0.681622598127771"/>
        </c:manualLayout>
      </c:layout>
      <c:barChart>
        <c:barDir val="col"/>
        <c:grouping val="clustered"/>
        <c:varyColors val="0"/>
        <c:ser>
          <c:idx val="0"/>
          <c:order val="0"/>
          <c:tx>
            <c:strRef>
              <c:f>'[财务人员联系信息2023-10-11 - 副本.xls]Sheet1'!$D$10</c:f>
              <c:strCache>
                <c:ptCount val="1"/>
                <c:pt idx="0">
                  <c:v>科目代码</c:v>
                </c:pt>
              </c:strCache>
            </c:strRef>
          </c:tx>
          <c:spPr>
            <a:solidFill>
              <a:schemeClr val="accent1"/>
            </a:solidFill>
            <a:ln>
              <a:noFill/>
            </a:ln>
            <a:effectLst/>
          </c:spPr>
          <c:invertIfNegative val="0"/>
          <c:dLbls>
            <c:delete val="1"/>
          </c:dLbls>
          <c:cat>
            <c:strRef>
              <c:f>'[财务人员联系信息2023-10-11 - 副本.xls]Sheet1'!$C$11:$C$14</c:f>
              <c:strCache>
                <c:ptCount val="4"/>
                <c:pt idx="0">
                  <c:v>2050203</c:v>
                </c:pt>
                <c:pt idx="1">
                  <c:v>2050299</c:v>
                </c:pt>
                <c:pt idx="2">
                  <c:v>2050701</c:v>
                </c:pt>
                <c:pt idx="3">
                  <c:v>205x</c:v>
                </c:pt>
              </c:strCache>
            </c:strRef>
          </c:cat>
          <c:val>
            <c:numRef>
              <c:f>'[财务人员联系信息2023-10-11 - 副本.xls]Sheet1'!$D$11:$D$14</c:f>
              <c:numCache>
                <c:formatCode>General</c:formatCode>
                <c:ptCount val="4"/>
                <c:pt idx="0">
                  <c:v>987.69</c:v>
                </c:pt>
                <c:pt idx="1">
                  <c:v>11.25</c:v>
                </c:pt>
                <c:pt idx="2">
                  <c:v>2.33</c:v>
                </c:pt>
                <c:pt idx="3">
                  <c:v>1001.27</c:v>
                </c:pt>
              </c:numCache>
            </c:numRef>
          </c:val>
        </c:ser>
        <c:dLbls>
          <c:showLegendKey val="0"/>
          <c:showVal val="0"/>
          <c:showCatName val="0"/>
          <c:showSerName val="0"/>
          <c:showPercent val="0"/>
          <c:showBubbleSize val="0"/>
        </c:dLbls>
        <c:gapWidth val="219"/>
        <c:overlap val="-27"/>
        <c:axId val="69050402"/>
        <c:axId val="314511980"/>
      </c:barChart>
      <c:catAx>
        <c:axId val="6905040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4511980"/>
        <c:crosses val="autoZero"/>
        <c:auto val="1"/>
        <c:lblAlgn val="ctr"/>
        <c:lblOffset val="100"/>
        <c:noMultiLvlLbl val="0"/>
      </c:catAx>
      <c:valAx>
        <c:axId val="3145119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504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2080505</c:v>
                </c:pt>
                <c:pt idx="1">
                  <c:v>208x</c:v>
                </c:pt>
              </c:strCache>
            </c:strRef>
          </c:cat>
          <c:val>
            <c:numRef>
              <c:f>Sheet1!$B$2:$B$3</c:f>
              <c:numCache>
                <c:formatCode>General</c:formatCode>
                <c:ptCount val="2"/>
                <c:pt idx="0">
                  <c:v>89.27</c:v>
                </c:pt>
                <c:pt idx="1">
                  <c:v>89.27</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67.31</c:v>
                </c:pt>
                <c:pt idx="1">
                  <c:v>67.31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2299999</c:v>
                </c:pt>
                <c:pt idx="1">
                  <c:v>229x</c:v>
                </c:pt>
              </c:strCache>
            </c:strRef>
          </c:cat>
          <c:val>
            <c:numRef>
              <c:f>Sheet1!$B$2:$B$3</c:f>
              <c:numCache>
                <c:formatCode>General</c:formatCode>
                <c:ptCount val="2"/>
                <c:pt idx="0">
                  <c:v>102.34</c:v>
                </c:pt>
                <c:pt idx="1">
                  <c:v>102.34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295.21</c:v>
                </c:pt>
                <c:pt idx="1">
                  <c:v>87.77</c:v>
                </c:pt>
                <c:pt idx="2">
                  <c:v>260.25</c:v>
                </c:pt>
                <c:pt idx="3">
                  <c:v>0</c:v>
                </c:pt>
                <c:pt idx="4">
                  <c:v>141.55</c:v>
                </c:pt>
                <c:pt idx="5">
                  <c:v>89.27</c:v>
                </c:pt>
                <c:pt idx="6">
                  <c:v>0</c:v>
                </c:pt>
                <c:pt idx="7">
                  <c:v>35.76</c:v>
                </c:pt>
                <c:pt idx="8">
                  <c:v>0</c:v>
                </c:pt>
                <c:pt idx="9">
                  <c:v>3.85</c:v>
                </c:pt>
                <c:pt idx="10">
                  <c:v>67.31</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商品和服务支出</a:t>
            </a:r>
            <a:endParaRPr lang="en-US" sz="1100"/>
          </a:p>
        </c:rich>
      </c:tx>
      <c:layout/>
      <c:overlay val="0"/>
      <c:spPr>
        <a:noFill/>
        <a:ln>
          <a:noFill/>
        </a:ln>
        <a:effectLst/>
      </c:spPr>
    </c:title>
    <c:autoTitleDeleted val="0"/>
    <c:plotArea>
      <c:layout>
        <c:manualLayout>
          <c:layoutTarget val="inner"/>
          <c:xMode val="edge"/>
          <c:yMode val="edge"/>
          <c:x val="0.0620973463885341"/>
          <c:y val="0.169431279620853"/>
          <c:w val="0.874198307321997"/>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30228</c:v>
                </c:pt>
              </c:numCache>
            </c:numRef>
          </c:cat>
          <c:val>
            <c:numRef>
              <c:f>Sheet1!$B$2</c:f>
              <c:numCache>
                <c:formatCode>General</c:formatCode>
                <c:ptCount val="1"/>
                <c:pt idx="0">
                  <c:v>13.81</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2668</Words>
  <Characters>3705</Characters>
  <Lines>90</Lines>
  <Paragraphs>25</Paragraphs>
  <TotalTime>4</TotalTime>
  <ScaleCrop>false</ScaleCrop>
  <LinksUpToDate>false</LinksUpToDate>
  <CharactersWithSpaces>3720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2024-12-31T08:19:13Z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