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hint="eastAsia" w:ascii="黑体" w:hAnsi="黑体" w:eastAsia="黑体" w:cs="黑体"/>
          <w:b/>
          <w:bCs/>
          <w:sz w:val="52"/>
          <w:szCs w:val="52"/>
        </w:rPr>
      </w:pPr>
      <w:r>
        <w:rPr>
          <w:rFonts w:hint="eastAsia" w:ascii="黑体" w:hAnsi="黑体" w:eastAsia="黑体" w:cs="黑体"/>
          <w:b/>
          <w:bCs/>
          <w:sz w:val="52"/>
          <w:szCs w:val="52"/>
        </w:rPr>
        <w:t>环江毛南族自治县第一幼儿园</w:t>
      </w:r>
    </w:p>
    <w:p>
      <w:pPr>
        <w:jc w:val="center"/>
        <w:rPr>
          <w:rFonts w:ascii="黑体" w:hAnsi="黑体" w:eastAsia="黑体" w:cs="黑体"/>
          <w:b/>
          <w:bCs/>
          <w:sz w:val="52"/>
          <w:szCs w:val="52"/>
        </w:rPr>
      </w:pPr>
      <w:r>
        <w:rPr>
          <w:rFonts w:hint="eastAsia" w:ascii="黑体" w:hAnsi="黑体" w:eastAsia="黑体" w:cs="黑体"/>
          <w:b/>
          <w:bCs/>
          <w:sz w:val="52"/>
          <w:szCs w:val="52"/>
        </w:rPr>
        <w:t>2023年度部门决算</w:t>
      </w:r>
    </w:p>
    <w:p>
      <w:pPr>
        <w:jc w:val="center"/>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ind w:firstLine="2200" w:firstLineChars="500"/>
        <w:rPr>
          <w:rFonts w:hint="eastAsia" w:ascii="黑体" w:hAnsi="黑体" w:eastAsia="黑体" w:cs="仿宋"/>
          <w:sz w:val="44"/>
          <w:szCs w:val="44"/>
        </w:rPr>
      </w:pPr>
    </w:p>
    <w:p>
      <w:pPr>
        <w:ind w:firstLine="2200" w:firstLineChars="500"/>
        <w:rPr>
          <w:rFonts w:hint="eastAsia" w:ascii="黑体" w:hAnsi="黑体" w:eastAsia="黑体" w:cs="仿宋"/>
          <w:sz w:val="44"/>
          <w:szCs w:val="44"/>
        </w:rPr>
      </w:pPr>
    </w:p>
    <w:p>
      <w:pPr>
        <w:ind w:firstLine="2200" w:firstLineChars="500"/>
        <w:rPr>
          <w:rFonts w:hint="eastAsia" w:ascii="黑体" w:hAnsi="黑体" w:eastAsia="黑体" w:cs="仿宋"/>
          <w:sz w:val="44"/>
          <w:szCs w:val="44"/>
        </w:rPr>
      </w:pPr>
    </w:p>
    <w:p>
      <w:pPr>
        <w:ind w:firstLine="2200" w:firstLineChars="500"/>
        <w:rPr>
          <w:rFonts w:hint="eastAsia" w:ascii="黑体" w:hAnsi="黑体" w:eastAsia="黑体" w:cs="仿宋"/>
          <w:sz w:val="44"/>
          <w:szCs w:val="44"/>
        </w:rPr>
      </w:pPr>
    </w:p>
    <w:p>
      <w:pPr>
        <w:ind w:firstLine="2200" w:firstLineChars="500"/>
        <w:rPr>
          <w:rFonts w:hint="eastAsia" w:ascii="黑体" w:hAnsi="黑体" w:eastAsia="黑体" w:cs="仿宋"/>
          <w:sz w:val="44"/>
          <w:szCs w:val="44"/>
        </w:rPr>
      </w:pPr>
    </w:p>
    <w:p>
      <w:pPr>
        <w:ind w:firstLine="2200" w:firstLineChars="500"/>
        <w:rPr>
          <w:rFonts w:ascii="黑体" w:hAnsi="黑体" w:eastAsia="黑体" w:cs="仿宋"/>
          <w:sz w:val="44"/>
          <w:szCs w:val="44"/>
        </w:rPr>
      </w:pPr>
      <w:r>
        <w:rPr>
          <w:rFonts w:hint="eastAsia" w:ascii="黑体" w:hAnsi="黑体" w:eastAsia="黑体" w:cs="仿宋"/>
          <w:sz w:val="44"/>
          <w:szCs w:val="44"/>
        </w:rPr>
        <w:t>单位负责人：　何鸿</w:t>
      </w:r>
    </w:p>
    <w:p>
      <w:pPr>
        <w:rPr>
          <w:rFonts w:hint="eastAsia" w:ascii="黑体" w:hAnsi="黑体" w:eastAsia="黑体" w:cs="黑体"/>
          <w:b/>
          <w:bCs/>
          <w:sz w:val="44"/>
          <w:szCs w:val="44"/>
        </w:rPr>
      </w:pPr>
    </w:p>
    <w:p>
      <w:pPr>
        <w:ind w:firstLine="2650" w:firstLineChars="600"/>
        <w:rPr>
          <w:rFonts w:hint="eastAsia" w:ascii="黑体" w:hAnsi="黑体" w:eastAsia="黑体" w:cs="黑体"/>
          <w:b/>
          <w:bCs/>
          <w:sz w:val="44"/>
          <w:szCs w:val="44"/>
          <w:lang w:val="en-US" w:eastAsia="zh-CN"/>
        </w:rPr>
      </w:pPr>
      <w:r>
        <w:rPr>
          <w:rFonts w:hint="eastAsia" w:ascii="黑体" w:hAnsi="黑体" w:eastAsia="黑体" w:cs="黑体"/>
          <w:b/>
          <w:bCs/>
          <w:sz w:val="44"/>
          <w:szCs w:val="44"/>
        </w:rPr>
        <w:t>2024年12月</w:t>
      </w:r>
      <w:r>
        <w:rPr>
          <w:rFonts w:hint="eastAsia" w:ascii="黑体" w:hAnsi="黑体" w:eastAsia="黑体" w:cs="黑体"/>
          <w:b/>
          <w:bCs/>
          <w:sz w:val="44"/>
          <w:szCs w:val="44"/>
          <w:lang w:val="en-US" w:eastAsia="zh-CN"/>
        </w:rPr>
        <w:t>3日</w:t>
      </w:r>
    </w:p>
    <w:p>
      <w:pPr>
        <w:rPr>
          <w:rFonts w:ascii="仿宋" w:hAnsi="仿宋" w:eastAsia="仿宋" w:cs="仿宋"/>
          <w:sz w:val="32"/>
          <w:szCs w:val="32"/>
        </w:rPr>
      </w:pPr>
      <w:r>
        <w:rPr>
          <w:rFonts w:ascii="仿宋" w:hAnsi="仿宋" w:eastAsia="仿宋" w:cs="仿宋"/>
          <w:sz w:val="32"/>
          <w:szCs w:val="32"/>
        </w:rPr>
        <w:br w:type="page"/>
      </w:r>
    </w:p>
    <w:p>
      <w:pPr>
        <w:jc w:val="center"/>
        <w:rPr>
          <w:rFonts w:ascii="黑体" w:hAnsi="黑体" w:eastAsia="黑体" w:cs="黑体"/>
          <w:b/>
          <w:bCs/>
          <w:sz w:val="36"/>
          <w:szCs w:val="36"/>
        </w:rPr>
      </w:pPr>
      <w:r>
        <w:rPr>
          <w:rFonts w:hint="eastAsia" w:ascii="黑体" w:hAnsi="黑体" w:eastAsia="黑体" w:cs="黑体"/>
          <w:b/>
          <w:bCs/>
          <w:sz w:val="36"/>
          <w:szCs w:val="36"/>
        </w:rPr>
        <w:t>目   录</w:t>
      </w:r>
    </w:p>
    <w:p>
      <w:pPr>
        <w:jc w:val="left"/>
        <w:rPr>
          <w:rFonts w:ascii="黑体" w:hAnsi="黑体" w:eastAsia="黑体" w:cs="黑体"/>
          <w:b/>
          <w:bCs/>
          <w:sz w:val="36"/>
          <w:szCs w:val="36"/>
        </w:rPr>
      </w:pPr>
    </w:p>
    <w:p>
      <w:pPr>
        <w:jc w:val="left"/>
        <w:rPr>
          <w:rFonts w:ascii="仿宋" w:hAnsi="仿宋" w:eastAsia="仿宋" w:cs="仿宋"/>
          <w:sz w:val="32"/>
          <w:szCs w:val="32"/>
        </w:rPr>
      </w:pPr>
      <w:r>
        <w:rPr>
          <w:rFonts w:hint="eastAsia" w:ascii="黑体" w:hAnsi="黑体" w:eastAsia="黑体" w:cs="黑体"/>
          <w:sz w:val="32"/>
          <w:szCs w:val="32"/>
        </w:rPr>
        <w:t>第一部分：</w:t>
      </w:r>
      <w:r>
        <w:rPr>
          <w:rFonts w:ascii="黑体" w:hAnsi="黑体" w:eastAsia="黑体" w:cs="黑体"/>
          <w:sz w:val="32"/>
        </w:rPr>
        <w:t>环江毛南族自治县第一幼儿园</w:t>
      </w:r>
      <w:r>
        <w:rPr>
          <w:rFonts w:hint="eastAsia" w:ascii="黑体" w:hAnsi="黑体" w:eastAsia="黑体" w:cs="黑体"/>
          <w:sz w:val="32"/>
          <w:szCs w:val="32"/>
        </w:rPr>
        <w:t>概况</w:t>
      </w:r>
    </w:p>
    <w:p>
      <w:pPr>
        <w:jc w:val="left"/>
        <w:rPr>
          <w:rFonts w:ascii="仿宋" w:hAnsi="仿宋" w:eastAsia="仿宋" w:cs="仿宋"/>
          <w:sz w:val="32"/>
          <w:szCs w:val="32"/>
        </w:rPr>
      </w:pPr>
      <w:r>
        <w:rPr>
          <w:rFonts w:hint="eastAsia" w:ascii="仿宋" w:hAnsi="仿宋" w:eastAsia="仿宋" w:cs="仿宋"/>
          <w:sz w:val="32"/>
          <w:szCs w:val="32"/>
        </w:rPr>
        <w:t>一、本部门职责</w:t>
      </w:r>
    </w:p>
    <w:p>
      <w:pPr>
        <w:jc w:val="left"/>
        <w:rPr>
          <w:rFonts w:ascii="仿宋" w:hAnsi="仿宋" w:eastAsia="仿宋" w:cs="仿宋"/>
          <w:sz w:val="32"/>
          <w:szCs w:val="32"/>
        </w:rPr>
      </w:pPr>
      <w:r>
        <w:rPr>
          <w:rFonts w:hint="eastAsia" w:ascii="仿宋" w:hAnsi="仿宋" w:eastAsia="仿宋" w:cs="仿宋"/>
          <w:sz w:val="32"/>
          <w:szCs w:val="32"/>
        </w:rPr>
        <w:t>二、机构设置情况</w:t>
      </w:r>
    </w:p>
    <w:p>
      <w:pPr>
        <w:jc w:val="left"/>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环江毛南族自治县第一幼儿园</w:t>
      </w:r>
      <w:r>
        <w:rPr>
          <w:rFonts w:hint="eastAsia" w:ascii="黑体" w:hAnsi="黑体" w:eastAsia="黑体" w:cs="黑体"/>
          <w:sz w:val="32"/>
          <w:szCs w:val="32"/>
        </w:rPr>
        <w:t>2023年度部门决算报表</w:t>
      </w:r>
    </w:p>
    <w:p>
      <w:pPr>
        <w:rPr>
          <w:rFonts w:ascii="仿宋_GB2312" w:eastAsia="仿宋_GB2312"/>
          <w:sz w:val="32"/>
          <w:szCs w:val="32"/>
        </w:rPr>
      </w:pPr>
      <w:r>
        <w:rPr>
          <w:rFonts w:hint="eastAsia" w:ascii="仿宋_GB2312" w:eastAsia="仿宋_GB2312"/>
          <w:sz w:val="32"/>
          <w:szCs w:val="32"/>
        </w:rPr>
        <w:t>表一：收入支出决算总表</w:t>
      </w:r>
    </w:p>
    <w:p>
      <w:pPr>
        <w:rPr>
          <w:rFonts w:ascii="仿宋_GB2312" w:eastAsia="仿宋_GB2312"/>
          <w:sz w:val="32"/>
          <w:szCs w:val="32"/>
        </w:rPr>
      </w:pPr>
      <w:r>
        <w:rPr>
          <w:rFonts w:hint="eastAsia" w:ascii="仿宋_GB2312" w:eastAsia="仿宋_GB2312"/>
          <w:sz w:val="32"/>
          <w:szCs w:val="32"/>
        </w:rPr>
        <w:t>表二：收入决算表</w:t>
      </w:r>
    </w:p>
    <w:p>
      <w:pPr>
        <w:rPr>
          <w:rFonts w:ascii="仿宋_GB2312" w:eastAsia="仿宋_GB2312"/>
          <w:sz w:val="32"/>
          <w:szCs w:val="32"/>
        </w:rPr>
      </w:pPr>
      <w:r>
        <w:rPr>
          <w:rFonts w:hint="eastAsia" w:ascii="仿宋_GB2312" w:eastAsia="仿宋_GB2312"/>
          <w:sz w:val="32"/>
          <w:szCs w:val="32"/>
        </w:rPr>
        <w:t>表三：支出决算表</w:t>
      </w:r>
    </w:p>
    <w:p>
      <w:pPr>
        <w:rPr>
          <w:rFonts w:ascii="仿宋_GB2312" w:eastAsia="仿宋_GB2312"/>
          <w:sz w:val="32"/>
          <w:szCs w:val="32"/>
        </w:rPr>
      </w:pPr>
      <w:r>
        <w:rPr>
          <w:rFonts w:hint="eastAsia" w:ascii="仿宋_GB2312" w:eastAsia="仿宋_GB2312"/>
          <w:sz w:val="32"/>
          <w:szCs w:val="32"/>
        </w:rPr>
        <w:t>表四：财政拨款收入支出决算总表</w:t>
      </w:r>
    </w:p>
    <w:p>
      <w:pPr>
        <w:rPr>
          <w:rFonts w:ascii="仿宋_GB2312" w:eastAsia="仿宋_GB2312"/>
          <w:sz w:val="32"/>
          <w:szCs w:val="32"/>
        </w:rPr>
      </w:pPr>
      <w:r>
        <w:rPr>
          <w:rFonts w:hint="eastAsia" w:ascii="仿宋_GB2312" w:eastAsia="仿宋_GB2312"/>
          <w:sz w:val="32"/>
          <w:szCs w:val="32"/>
        </w:rPr>
        <w:t>表五：一般公共预算财政拨款支出决算表</w:t>
      </w:r>
    </w:p>
    <w:p>
      <w:pPr>
        <w:rPr>
          <w:rFonts w:ascii="仿宋_GB2312" w:eastAsia="仿宋_GB2312"/>
          <w:sz w:val="32"/>
          <w:szCs w:val="32"/>
        </w:rPr>
      </w:pPr>
      <w:r>
        <w:rPr>
          <w:rFonts w:hint="eastAsia" w:ascii="仿宋_GB2312" w:eastAsia="仿宋_GB2312"/>
          <w:sz w:val="32"/>
          <w:szCs w:val="32"/>
        </w:rPr>
        <w:t>表六：一般公共预算财政拨款基本支出决算明细表</w:t>
      </w:r>
    </w:p>
    <w:p>
      <w:pPr>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rPr>
          <w:rFonts w:ascii="仿宋_GB2312" w:eastAsia="仿宋_GB2312"/>
          <w:sz w:val="32"/>
          <w:szCs w:val="32"/>
        </w:rPr>
      </w:pPr>
      <w:r>
        <w:rPr>
          <w:rFonts w:hint="eastAsia" w:ascii="仿宋_GB2312" w:eastAsia="仿宋_GB2312"/>
          <w:sz w:val="32"/>
          <w:szCs w:val="32"/>
        </w:rPr>
        <w:t>表九：财政拨款“三公”经费支出决算表</w:t>
      </w:r>
    </w:p>
    <w:p>
      <w:pPr>
        <w:jc w:val="left"/>
        <w:rPr>
          <w:rFonts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环江毛南族自治县第一幼儿园</w:t>
      </w:r>
      <w:r>
        <w:rPr>
          <w:rFonts w:hint="eastAsia" w:ascii="黑体" w:hAnsi="黑体" w:eastAsia="黑体" w:cs="黑体"/>
          <w:sz w:val="32"/>
          <w:szCs w:val="32"/>
        </w:rPr>
        <w:t>2023年度部门决算情况说明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2023</w:t>
      </w:r>
      <w:r>
        <w:rPr>
          <w:rFonts w:hint="eastAsia" w:ascii="仿宋_GB2312" w:eastAsia="仿宋_GB2312" w:cs="仿宋_GB2312"/>
          <w:kern w:val="0"/>
          <w:sz w:val="32"/>
          <w:szCs w:val="32"/>
        </w:rPr>
        <w:t>年度收入支出决算总体情况。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三、2023年度一般公共预算财政拨款基本支出决算情况说明。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2023</w:t>
      </w:r>
      <w:r>
        <w:rPr>
          <w:rFonts w:hint="eastAsia" w:ascii="仿宋_GB2312" w:eastAsia="仿宋_GB2312" w:cs="仿宋_GB2312"/>
          <w:kern w:val="0"/>
          <w:sz w:val="32"/>
          <w:szCs w:val="32"/>
        </w:rPr>
        <w:t>年度政府性基金支出决算情况。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五、2023年度国有资本经营预算支出决算情况。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六、财政拨款“三公”经费支出决算情况说明。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jc w:val="left"/>
        <w:rPr>
          <w:rFonts w:ascii="仿宋_GB2312" w:eastAsia="仿宋_GB2312" w:cs="仿宋_GB2312"/>
          <w:kern w:val="0"/>
          <w:sz w:val="32"/>
          <w:szCs w:val="32"/>
        </w:rPr>
      </w:pPr>
      <w:r>
        <w:rPr>
          <w:rFonts w:ascii="仿宋_GB2312" w:eastAsia="仿宋_GB2312" w:cs="仿宋_GB2312"/>
          <w:kern w:val="0"/>
          <w:sz w:val="32"/>
          <w:szCs w:val="32"/>
        </w:rPr>
        <w:t>八、预算绩效管理工作开展情况</w:t>
      </w:r>
      <w:r>
        <w:rPr>
          <w:rFonts w:hint="eastAsia" w:ascii="仿宋_GB2312" w:eastAsia="仿宋_GB2312" w:cs="仿宋_GB2312"/>
          <w:kern w:val="0"/>
          <w:sz w:val="32"/>
          <w:szCs w:val="32"/>
        </w:rPr>
        <w:t>。</w:t>
      </w:r>
    </w:p>
    <w:p>
      <w:pPr>
        <w:jc w:val="left"/>
        <w:rPr>
          <w:rFonts w:ascii="黑体" w:hAnsi="黑体" w:eastAsia="黑体" w:cs="黑体"/>
          <w:sz w:val="32"/>
          <w:szCs w:val="32"/>
        </w:rPr>
      </w:pPr>
      <w:r>
        <w:rPr>
          <w:rFonts w:hint="eastAsia" w:ascii="黑体" w:hAnsi="黑体" w:eastAsia="黑体" w:cs="黑体"/>
          <w:sz w:val="32"/>
          <w:szCs w:val="32"/>
        </w:rPr>
        <w:t>第四部分：名词解释</w:t>
      </w:r>
    </w:p>
    <w:p>
      <w:pPr>
        <w:jc w:val="left"/>
        <w:rPr>
          <w:rFonts w:ascii="黑体" w:hAnsi="黑体" w:eastAsia="黑体" w:cs="黑体"/>
          <w:sz w:val="32"/>
          <w:szCs w:val="32"/>
        </w:rPr>
      </w:pPr>
      <w:r>
        <w:rPr>
          <w:rFonts w:hint="eastAsia" w:ascii="黑体" w:hAnsi="黑体" w:eastAsia="黑体" w:cs="黑体"/>
          <w:sz w:val="32"/>
          <w:szCs w:val="32"/>
        </w:rPr>
        <w:br w:type="page"/>
      </w:r>
    </w:p>
    <w:p>
      <w:pPr>
        <w:jc w:val="center"/>
        <w:rPr>
          <w:rFonts w:ascii="仿宋" w:hAnsi="仿宋" w:eastAsia="仿宋" w:cs="仿宋"/>
          <w:sz w:val="32"/>
          <w:szCs w:val="32"/>
        </w:rPr>
      </w:pPr>
      <w:r>
        <w:rPr>
          <w:rFonts w:hint="eastAsia" w:ascii="黑体" w:hAnsi="黑体" w:eastAsia="黑体" w:cs="黑体"/>
          <w:b/>
          <w:bCs/>
          <w:sz w:val="32"/>
          <w:szCs w:val="32"/>
        </w:rPr>
        <w:t>第一部分：</w:t>
      </w:r>
      <w:r>
        <w:rPr>
          <w:rFonts w:ascii="黑体" w:hAnsi="黑体" w:eastAsia="黑体" w:cs="黑体"/>
          <w:b/>
          <w:sz w:val="32"/>
        </w:rPr>
        <w:t>环江毛南族自治县第一幼儿园</w:t>
      </w:r>
      <w:r>
        <w:rPr>
          <w:rFonts w:hint="eastAsia" w:ascii="黑体" w:hAnsi="黑体" w:eastAsia="黑体" w:cs="黑体"/>
          <w:b/>
          <w:bCs/>
          <w:sz w:val="32"/>
          <w:szCs w:val="32"/>
        </w:rPr>
        <w:t>概况</w:t>
      </w:r>
      <w:bookmarkStart w:id="6" w:name="_GoBack"/>
      <w:bookmarkEnd w:id="6"/>
    </w:p>
    <w:p>
      <w:pPr>
        <w:jc w:val="left"/>
        <w:rPr>
          <w:rFonts w:ascii="仿宋" w:hAnsi="仿宋" w:eastAsia="仿宋" w:cs="仿宋"/>
          <w:sz w:val="32"/>
          <w:szCs w:val="32"/>
        </w:rPr>
      </w:pPr>
      <w:r>
        <w:rPr>
          <w:rFonts w:hint="eastAsia" w:ascii="黑体" w:hAnsi="黑体" w:eastAsia="黑体" w:cs="黑体"/>
          <w:sz w:val="32"/>
          <w:szCs w:val="32"/>
        </w:rPr>
        <w:t>一、本部门职责</w:t>
      </w:r>
    </w:p>
    <w:p>
      <w:pPr>
        <w:autoSpaceDE w:val="0"/>
        <w:autoSpaceDN w:val="0"/>
        <w:adjustRightInd w:val="0"/>
        <w:spacing w:line="5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（一）贯彻执行党和国家的教育方针、政策和法律法规；拟订学校教育改革与发展规划并组织实施。</w:t>
      </w:r>
    </w:p>
    <w:p>
      <w:pPr>
        <w:autoSpaceDE w:val="0"/>
        <w:autoSpaceDN w:val="0"/>
        <w:adjustRightInd w:val="0"/>
        <w:spacing w:line="5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（二）编制本</w:t>
      </w:r>
      <w:r>
        <w:rPr>
          <w:rFonts w:hint="eastAsia" w:ascii="仿宋_GB2312" w:hAnsi="Calibri" w:eastAsia="仿宋_GB2312" w:cs="仿宋_GB2312"/>
          <w:kern w:val="0"/>
          <w:sz w:val="32"/>
          <w:szCs w:val="32"/>
          <w:lang w:val="en-US" w:eastAsia="zh-CN"/>
        </w:rPr>
        <w:t>园</w:t>
      </w:r>
      <w:r>
        <w:rPr>
          <w:rFonts w:hint="eastAsia" w:ascii="仿宋_GB2312" w:hAnsi="Calibri" w:eastAsia="仿宋_GB2312" w:cs="仿宋_GB2312"/>
          <w:kern w:val="0"/>
          <w:sz w:val="32"/>
          <w:szCs w:val="32"/>
        </w:rPr>
        <w:t>幼儿教育发展规划并检查实施情况，向上级教育局作出报告。</w:t>
      </w:r>
    </w:p>
    <w:p>
      <w:pPr>
        <w:autoSpaceDE w:val="0"/>
        <w:autoSpaceDN w:val="0"/>
        <w:adjustRightInd w:val="0"/>
        <w:spacing w:line="5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（三）督促检查本园贯彻执行教育方针、政策、法令、法规和上级的各项规定；评估指导全园教育教学工作。</w:t>
      </w:r>
    </w:p>
    <w:p>
      <w:pPr>
        <w:autoSpaceDE w:val="0"/>
        <w:autoSpaceDN w:val="0"/>
        <w:adjustRightInd w:val="0"/>
        <w:spacing w:line="5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（四）负责推进幼儿教育持续、稳定、健康发展。指导全园教育事业的发展。</w:t>
      </w:r>
    </w:p>
    <w:p>
      <w:pPr>
        <w:autoSpaceDE w:val="0"/>
        <w:autoSpaceDN w:val="0"/>
        <w:adjustRightInd w:val="0"/>
        <w:spacing w:line="5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（五）负责全园幼儿教师队伍建设，岗位培训、教师培训。</w:t>
      </w:r>
    </w:p>
    <w:p>
      <w:pPr>
        <w:autoSpaceDE w:val="0"/>
        <w:autoSpaceDN w:val="0"/>
        <w:adjustRightInd w:val="0"/>
        <w:spacing w:line="5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（六）负责组织本园做好幼儿园学籍管理工作。</w:t>
      </w:r>
    </w:p>
    <w:p>
      <w:pPr>
        <w:autoSpaceDE w:val="0"/>
        <w:autoSpaceDN w:val="0"/>
        <w:adjustRightInd w:val="0"/>
        <w:spacing w:line="5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（七）负责指导全园学生资助管理工作。</w:t>
      </w:r>
    </w:p>
    <w:p>
      <w:pPr>
        <w:autoSpaceDE w:val="0"/>
        <w:autoSpaceDN w:val="0"/>
        <w:adjustRightInd w:val="0"/>
        <w:spacing w:line="5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（八）负责指导推进语言文字和指导推广普通话工作。</w:t>
      </w:r>
    </w:p>
    <w:p>
      <w:pPr>
        <w:autoSpaceDE w:val="0"/>
        <w:autoSpaceDN w:val="0"/>
        <w:adjustRightInd w:val="0"/>
        <w:spacing w:line="5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（九）完成自治县教育局交办的其他工作。</w:t>
      </w:r>
    </w:p>
    <w:p>
      <w:pPr>
        <w:jc w:val="left"/>
        <w:rPr>
          <w:rFonts w:ascii="仿宋" w:hAnsi="仿宋" w:eastAsia="仿宋" w:cs="仿宋"/>
          <w:sz w:val="32"/>
          <w:szCs w:val="32"/>
        </w:rPr>
      </w:pPr>
      <w:r>
        <w:rPr>
          <w:rFonts w:hint="eastAsia" w:ascii="黑体" w:hAnsi="黑体" w:eastAsia="黑体" w:cs="黑体"/>
          <w:sz w:val="32"/>
          <w:szCs w:val="32"/>
        </w:rPr>
        <w:t>二、机构设置情况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本部门决算编制为环江毛南族自治县第一幼儿园本级决算，无内设科室。</w:t>
      </w:r>
    </w:p>
    <w:tbl>
      <w:tblPr>
        <w:tblStyle w:val="7"/>
        <w:tblW w:w="9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left"/>
              <w:rPr>
                <w:rFonts w:ascii="仿宋" w:hAnsi="仿宋" w:eastAsia="仿宋" w:cs="仿宋"/>
                <w:b/>
                <w:kern w:val="0"/>
                <w:sz w:val="32"/>
                <w:szCs w:val="32"/>
              </w:rPr>
            </w:pPr>
            <w:bookmarkStart w:id="0" w:name="_Hlk109379180"/>
            <w:r>
              <w:rPr>
                <w:rFonts w:hint="eastAsia" w:ascii="仿宋" w:hAnsi="仿宋" w:eastAsia="仿宋" w:cs="仿宋"/>
                <w:b/>
                <w:kern w:val="0"/>
                <w:sz w:val="32"/>
                <w:szCs w:val="32"/>
              </w:rPr>
              <w:t>单位名称</w:t>
            </w:r>
          </w:p>
        </w:tc>
        <w:tc>
          <w:tcPr>
            <w:tcW w:w="3734"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left"/>
              <w:rPr>
                <w:rFonts w:ascii="仿宋" w:hAnsi="仿宋" w:eastAsia="仿宋" w:cs="仿宋"/>
                <w:b/>
                <w:kern w:val="0"/>
                <w:sz w:val="32"/>
                <w:szCs w:val="32"/>
              </w:rPr>
            </w:pPr>
            <w:r>
              <w:rPr>
                <w:rFonts w:hint="eastAsia" w:ascii="仿宋" w:hAnsi="仿宋" w:eastAsia="仿宋" w:cs="仿宋"/>
                <w:b/>
                <w:kern w:val="0"/>
                <w:sz w:val="32"/>
                <w:szCs w:val="3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8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32"/>
                <w:szCs w:val="32"/>
              </w:rPr>
            </w:pPr>
            <w:r>
              <w:rPr>
                <w:rFonts w:hint="eastAsia" w:ascii="仿宋_GB2312" w:hAnsi="Calibri" w:eastAsia="仿宋_GB2312" w:cs="仿宋_GB2312"/>
                <w:kern w:val="0"/>
                <w:sz w:val="32"/>
                <w:szCs w:val="32"/>
              </w:rPr>
              <w:t>环江毛南族自治县第一幼儿园</w:t>
            </w:r>
          </w:p>
        </w:tc>
        <w:tc>
          <w:tcPr>
            <w:tcW w:w="373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32"/>
                <w:szCs w:val="32"/>
              </w:rPr>
            </w:pPr>
            <w:r>
              <w:rPr>
                <w:rFonts w:hint="eastAsia" w:ascii="仿宋" w:hAnsi="仿宋" w:eastAsia="仿宋" w:cs="仿宋"/>
                <w:sz w:val="32"/>
                <w:szCs w:val="32"/>
              </w:rPr>
              <w:t>财政全额拨款</w:t>
            </w:r>
          </w:p>
        </w:tc>
      </w:tr>
      <w:bookmarkEnd w:id="0"/>
    </w:tbl>
    <w:p>
      <w:pPr>
        <w:ind w:firstLine="320" w:firstLineChars="100"/>
        <w:jc w:val="left"/>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2023年全校总编制数27人，其中在职事业编制数25人，教师控制数2人。实际在职在编人员25人；教师控制数2人；自聘人员28人；学校专职保安人员2人。</w:t>
      </w:r>
    </w:p>
    <w:p>
      <w:pPr>
        <w:jc w:val="center"/>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环江毛南族自治县第一幼儿园</w:t>
      </w:r>
      <w:r>
        <w:rPr>
          <w:rFonts w:hint="eastAsia" w:ascii="黑体" w:hAnsi="黑体" w:eastAsia="黑体" w:cs="黑体"/>
          <w:sz w:val="32"/>
          <w:szCs w:val="32"/>
        </w:rPr>
        <w:t>2023年度部门决算报表</w:t>
      </w:r>
    </w:p>
    <w:tbl>
      <w:tblPr>
        <w:tblStyle w:val="7"/>
        <w:tblW w:w="13960" w:type="dxa"/>
        <w:tblInd w:w="96" w:type="dxa"/>
        <w:tblLayout w:type="autofit"/>
        <w:tblCellMar>
          <w:top w:w="0" w:type="dxa"/>
          <w:left w:w="108" w:type="dxa"/>
          <w:bottom w:w="0" w:type="dxa"/>
          <w:right w:w="108" w:type="dxa"/>
        </w:tblCellMar>
      </w:tblPr>
      <w:tblGrid>
        <w:gridCol w:w="14078"/>
      </w:tblGrid>
      <w:tr>
        <w:tblPrEx>
          <w:tblCellMar>
            <w:top w:w="0" w:type="dxa"/>
            <w:left w:w="108" w:type="dxa"/>
            <w:bottom w:w="0" w:type="dxa"/>
            <w:right w:w="108" w:type="dxa"/>
          </w:tblCellMar>
        </w:tblPrEx>
        <w:trPr>
          <w:trHeight w:val="951" w:hRule="atLeast"/>
        </w:trPr>
        <w:tc>
          <w:tcPr>
            <w:tcW w:w="13960" w:type="dxa"/>
            <w:tcBorders>
              <w:top w:val="nil"/>
              <w:left w:val="nil"/>
              <w:bottom w:val="nil"/>
              <w:right w:val="nil"/>
            </w:tcBorders>
            <w:shd w:val="clear" w:color="auto" w:fill="auto"/>
            <w:noWrap/>
            <w:vAlign w:val="bottom"/>
          </w:tcPr>
          <w:p>
            <w:pPr>
              <w:widowControl/>
              <w:jc w:val="center"/>
              <w:textAlignment w:val="bottom"/>
              <w:rPr>
                <w:rFonts w:ascii="宋体" w:hAnsi="宋体" w:eastAsia="宋体" w:cs="宋体"/>
                <w:kern w:val="0"/>
                <w:sz w:val="32"/>
                <w:szCs w:val="32"/>
              </w:rPr>
            </w:pPr>
            <w:r>
              <w:rPr>
                <w:rFonts w:hint="eastAsia" w:ascii="宋体" w:hAnsi="宋体" w:eastAsia="宋体" w:cs="宋体"/>
                <w:kern w:val="0"/>
                <w:sz w:val="32"/>
                <w:szCs w:val="32"/>
              </w:rPr>
              <w:t>表一：收入支出决算总表</w:t>
            </w:r>
          </w:p>
          <w:p>
            <w:pPr>
              <w:ind w:firstLine="12800" w:firstLineChars="6400"/>
              <w:jc w:val="left"/>
              <w:rPr>
                <w:rFonts w:ascii="仿宋" w:hAnsi="仿宋" w:eastAsia="仿宋" w:cs="仿宋"/>
                <w:sz w:val="24"/>
              </w:rPr>
            </w:pPr>
            <w:r>
              <w:rPr>
                <w:rFonts w:hint="eastAsia" w:ascii="宋体" w:hAnsi="宋体" w:eastAsia="宋体" w:cs="宋体"/>
                <w:kern w:val="0"/>
                <w:sz w:val="20"/>
                <w:szCs w:val="20"/>
              </w:rPr>
              <w:t>公开01表</w:t>
            </w:r>
          </w:p>
          <w:p>
            <w:pPr>
              <w:rPr>
                <w:rFonts w:ascii="宋体" w:hAnsi="宋体" w:eastAsia="宋体" w:cs="宋体"/>
                <w:kern w:val="0"/>
                <w:sz w:val="30"/>
                <w:szCs w:val="30"/>
              </w:rPr>
            </w:pPr>
            <w:r>
              <w:rPr>
                <w:rFonts w:hint="eastAsia" w:ascii="宋体" w:hAnsi="宋体" w:eastAsia="宋体" w:cs="宋体"/>
                <w:kern w:val="0"/>
                <w:sz w:val="20"/>
                <w:szCs w:val="20"/>
              </w:rPr>
              <w:t>部门：</w:t>
            </w:r>
            <w:r>
              <w:rPr>
                <w:rFonts w:ascii="宋体" w:hAnsi="宋体" w:eastAsia="宋体" w:cs="宋体"/>
                <w:sz w:val="20"/>
              </w:rPr>
              <w:t>环江毛南族自治县第一幼儿园</w:t>
            </w:r>
            <w:r>
              <w:rPr>
                <w:rFonts w:hint="eastAsia" w:ascii="宋体" w:hAnsi="宋体" w:eastAsia="宋体" w:cs="宋体"/>
                <w:sz w:val="20"/>
              </w:rPr>
              <w:t>　　　　　　　　　　　　　　　　　　　　　　　　　　　　　　　　　　　　　　　　　　　　　　</w:t>
            </w:r>
            <w:r>
              <w:rPr>
                <w:rFonts w:hint="eastAsia" w:ascii="宋体" w:hAnsi="宋体" w:eastAsia="宋体" w:cs="宋体"/>
                <w:kern w:val="0"/>
                <w:sz w:val="20"/>
                <w:szCs w:val="20"/>
              </w:rPr>
              <w:t>金额单位：万元</w:t>
            </w:r>
          </w:p>
          <w:tbl>
            <w:tblPr>
              <w:tblStyle w:val="7"/>
              <w:tblW w:w="14120" w:type="dxa"/>
              <w:tblInd w:w="0" w:type="dxa"/>
              <w:tblLayout w:type="autofit"/>
              <w:tblCellMar>
                <w:top w:w="0" w:type="dxa"/>
                <w:left w:w="108" w:type="dxa"/>
                <w:bottom w:w="0" w:type="dxa"/>
                <w:right w:w="108" w:type="dxa"/>
              </w:tblCellMar>
            </w:tblPr>
            <w:tblGrid>
              <w:gridCol w:w="5216"/>
              <w:gridCol w:w="695"/>
              <w:gridCol w:w="1017"/>
              <w:gridCol w:w="5133"/>
              <w:gridCol w:w="728"/>
              <w:gridCol w:w="1068"/>
            </w:tblGrid>
            <w:tr>
              <w:tblPrEx>
                <w:tblCellMar>
                  <w:top w:w="0" w:type="dxa"/>
                  <w:left w:w="108" w:type="dxa"/>
                  <w:bottom w:w="0" w:type="dxa"/>
                  <w:right w:w="108" w:type="dxa"/>
                </w:tblCellMar>
              </w:tblPrEx>
              <w:trPr>
                <w:trHeight w:val="300" w:hRule="atLeast"/>
              </w:trPr>
              <w:tc>
                <w:tcPr>
                  <w:tcW w:w="7060" w:type="dxa"/>
                  <w:gridSpan w:val="3"/>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收入</w:t>
                  </w:r>
                </w:p>
              </w:tc>
              <w:tc>
                <w:tcPr>
                  <w:tcW w:w="7060" w:type="dxa"/>
                  <w:gridSpan w:val="3"/>
                  <w:tcBorders>
                    <w:top w:val="single" w:color="000000" w:sz="4" w:space="0"/>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支出</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行次</w:t>
                  </w:r>
                </w:p>
              </w:tc>
              <w:tc>
                <w:tcPr>
                  <w:tcW w:w="1034"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金额</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行次</w:t>
                  </w:r>
                </w:p>
              </w:tc>
              <w:tc>
                <w:tcPr>
                  <w:tcW w:w="108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金额</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栏次</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34"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栏次</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一、一般公共预算财政拨款收入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一、一般公共服务支出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32</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二、政府性基金预算财政拨款收入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二、外交支出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33</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三、国有资本经营预算财政拨款收入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三、国防支出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34</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四、上级补助收入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四、公共安全支出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35</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五、事业收入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五、教育支出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36</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430.27</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六、经营收入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六、科学技术支出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37</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七、附属单位上缴收入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七、文化旅游体育与传媒支出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38</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八、其他收入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八、社会保障和就业支出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39</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35.69</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九、卫生健康支出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十、节能环保支出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41</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十一、城乡社区支出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42</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十二、农林水支出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43</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十三、交通运输支出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44</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十四、资源勘探工业信息等支出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45</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十五、商业服务业等支出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46</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十六、金融支出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47</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十七、援助其他地区支出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48</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十八、自然资源海洋气象等支出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49</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十九、住房保障支出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26.52</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二十、粮油物资储备支出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51</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二十一、国有资本经营预算支出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52</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二十二、灾害防治及应急管理支出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53</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二十三、其他支出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54</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44.10</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二十四、债务还本支出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55</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二十五、债务付息支出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56</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二十六、抗疫特别国债安排的支出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57</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本年收入合计</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本年支出合计</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58</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使用非财政拨款结余（含专用结余）</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结余分配</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59</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年初结转和结余</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年末结转和结余</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61</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321" w:type="dxa"/>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总计</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c>
                <w:tcPr>
                  <w:tcW w:w="5236"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总计</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62</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r>
            <w:tr>
              <w:tblPrEx>
                <w:tblCellMar>
                  <w:top w:w="0" w:type="dxa"/>
                  <w:left w:w="108" w:type="dxa"/>
                  <w:bottom w:w="0" w:type="dxa"/>
                  <w:right w:w="108" w:type="dxa"/>
                </w:tblCellMar>
              </w:tblPrEx>
              <w:trPr>
                <w:trHeight w:val="300" w:hRule="atLeast"/>
              </w:trPr>
              <w:tc>
                <w:tcPr>
                  <w:tcW w:w="14120" w:type="dxa"/>
                  <w:gridSpan w:val="6"/>
                  <w:tcBorders>
                    <w:top w:val="single" w:color="000000" w:sz="4" w:space="0"/>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注：1.本表反映部门本年度的总收支和年末结转结余情况。</w:t>
                  </w:r>
                </w:p>
              </w:tc>
            </w:tr>
          </w:tbl>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widowControl/>
              <w:jc w:val="center"/>
              <w:textAlignment w:val="bottom"/>
              <w:rPr>
                <w:rFonts w:ascii="宋体" w:hAnsi="宋体" w:eastAsia="宋体" w:cs="宋体"/>
                <w:kern w:val="0"/>
                <w:sz w:val="32"/>
                <w:szCs w:val="32"/>
              </w:rPr>
            </w:pPr>
            <w:r>
              <w:rPr>
                <w:rFonts w:hint="eastAsia" w:ascii="宋体" w:hAnsi="宋体" w:eastAsia="宋体" w:cs="宋体"/>
                <w:kern w:val="0"/>
                <w:sz w:val="32"/>
                <w:szCs w:val="32"/>
              </w:rPr>
              <w:t>表二：收入决算表</w:t>
            </w:r>
          </w:p>
          <w:p>
            <w:pPr>
              <w:ind w:firstLine="12800" w:firstLineChars="6400"/>
              <w:jc w:val="left"/>
              <w:rPr>
                <w:rFonts w:ascii="仿宋" w:hAnsi="仿宋" w:eastAsia="仿宋" w:cs="仿宋"/>
                <w:sz w:val="24"/>
              </w:rPr>
            </w:pPr>
            <w:r>
              <w:rPr>
                <w:rFonts w:hint="eastAsia" w:ascii="宋体" w:hAnsi="宋体" w:eastAsia="宋体" w:cs="宋体"/>
                <w:kern w:val="0"/>
                <w:sz w:val="20"/>
                <w:szCs w:val="20"/>
              </w:rPr>
              <w:t>公开02表</w:t>
            </w:r>
          </w:p>
          <w:p>
            <w:pPr>
              <w:rPr>
                <w:rFonts w:ascii="宋体" w:hAnsi="宋体" w:eastAsia="宋体" w:cs="宋体"/>
                <w:kern w:val="0"/>
                <w:sz w:val="30"/>
                <w:szCs w:val="30"/>
              </w:rPr>
            </w:pPr>
            <w:r>
              <w:rPr>
                <w:rFonts w:hint="eastAsia" w:ascii="宋体" w:hAnsi="宋体" w:eastAsia="宋体" w:cs="宋体"/>
                <w:kern w:val="0"/>
                <w:sz w:val="20"/>
                <w:szCs w:val="20"/>
              </w:rPr>
              <w:t>部门：</w:t>
            </w:r>
            <w:r>
              <w:rPr>
                <w:rFonts w:ascii="宋体" w:hAnsi="宋体" w:eastAsia="宋体" w:cs="宋体"/>
                <w:sz w:val="20"/>
              </w:rPr>
              <w:t>环江毛南族自治县第一幼儿园</w:t>
            </w:r>
            <w:r>
              <w:rPr>
                <w:rFonts w:hint="eastAsia" w:ascii="宋体" w:hAnsi="宋体" w:eastAsia="宋体" w:cs="宋体"/>
                <w:sz w:val="20"/>
              </w:rPr>
              <w:t>　　　　　　　　　　　　　　　　　　　　　　　　　　　　　　　　　　　　　　　　　　　　　　</w:t>
            </w:r>
            <w:r>
              <w:rPr>
                <w:rFonts w:hint="eastAsia" w:ascii="宋体" w:hAnsi="宋体" w:eastAsia="宋体" w:cs="宋体"/>
                <w:kern w:val="0"/>
                <w:sz w:val="20"/>
                <w:szCs w:val="20"/>
              </w:rPr>
              <w:t>金额单位：万元</w:t>
            </w:r>
          </w:p>
          <w:tbl>
            <w:tblPr>
              <w:tblStyle w:val="7"/>
              <w:tblW w:w="17560" w:type="dxa"/>
              <w:tblInd w:w="0" w:type="dxa"/>
              <w:tblLayout w:type="autofit"/>
              <w:tblCellMar>
                <w:top w:w="0" w:type="dxa"/>
                <w:left w:w="108" w:type="dxa"/>
                <w:bottom w:w="0" w:type="dxa"/>
                <w:right w:w="108" w:type="dxa"/>
              </w:tblCellMar>
            </w:tblPr>
            <w:tblGrid>
              <w:gridCol w:w="829"/>
              <w:gridCol w:w="3057"/>
              <w:gridCol w:w="1424"/>
              <w:gridCol w:w="1424"/>
              <w:gridCol w:w="1424"/>
              <w:gridCol w:w="1424"/>
              <w:gridCol w:w="1425"/>
              <w:gridCol w:w="1425"/>
              <w:gridCol w:w="1425"/>
            </w:tblGrid>
            <w:tr>
              <w:tblPrEx>
                <w:tblCellMar>
                  <w:top w:w="0" w:type="dxa"/>
                  <w:left w:w="108" w:type="dxa"/>
                  <w:bottom w:w="0" w:type="dxa"/>
                  <w:right w:w="108" w:type="dxa"/>
                </w:tblCellMar>
              </w:tblPrEx>
              <w:trPr>
                <w:trHeight w:val="300" w:hRule="atLeast"/>
              </w:trPr>
              <w:tc>
                <w:tcPr>
                  <w:tcW w:w="4960" w:type="dxa"/>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本年收入合计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财政拨款收入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上级补助收入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事业收入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经营收入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附属单位上缴收入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其他收入</w:t>
                  </w:r>
                </w:p>
              </w:tc>
            </w:tr>
            <w:tr>
              <w:tblPrEx>
                <w:tblCellMar>
                  <w:top w:w="0" w:type="dxa"/>
                  <w:left w:w="108" w:type="dxa"/>
                  <w:bottom w:w="0" w:type="dxa"/>
                  <w:right w:w="108" w:type="dxa"/>
                </w:tblCellMar>
              </w:tblPrEx>
              <w:trPr>
                <w:trHeight w:val="312"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科目代码</w:t>
                  </w:r>
                </w:p>
              </w:tc>
              <w:tc>
                <w:tcPr>
                  <w:tcW w:w="3940" w:type="dxa"/>
                  <w:vMerge w:val="restar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3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12" w:hRule="atLeast"/>
              </w:trPr>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3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405" w:hRule="atLeast"/>
              </w:trPr>
              <w:tc>
                <w:tcPr>
                  <w:tcW w:w="4960" w:type="dxa"/>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栏次</w:t>
                  </w:r>
                </w:p>
              </w:tc>
              <w:tc>
                <w:tcPr>
                  <w:tcW w:w="1800" w:type="dxa"/>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800" w:type="dxa"/>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800" w:type="dxa"/>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800" w:type="dxa"/>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800" w:type="dxa"/>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800" w:type="dxa"/>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800" w:type="dxa"/>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r>
            <w:tr>
              <w:tblPrEx>
                <w:tblCellMar>
                  <w:top w:w="0" w:type="dxa"/>
                  <w:left w:w="108" w:type="dxa"/>
                  <w:bottom w:w="0" w:type="dxa"/>
                  <w:right w:w="108" w:type="dxa"/>
                </w:tblCellMar>
              </w:tblPrEx>
              <w:trPr>
                <w:trHeight w:val="405" w:hRule="atLeast"/>
              </w:trPr>
              <w:tc>
                <w:tcPr>
                  <w:tcW w:w="4960" w:type="dxa"/>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541.21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541.21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300" w:hRule="atLeast"/>
              </w:trPr>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2012999</w:t>
                  </w:r>
                </w:p>
              </w:tc>
              <w:tc>
                <w:tcPr>
                  <w:tcW w:w="39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其他群众团体事务支出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2050201</w:t>
                  </w:r>
                </w:p>
              </w:tc>
              <w:tc>
                <w:tcPr>
                  <w:tcW w:w="39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学前教育</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429.71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429.71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2050299</w:t>
                  </w:r>
                </w:p>
              </w:tc>
              <w:tc>
                <w:tcPr>
                  <w:tcW w:w="39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其他普通教育支出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0.56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0.56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2080505</w:t>
                  </w:r>
                </w:p>
              </w:tc>
              <w:tc>
                <w:tcPr>
                  <w:tcW w:w="39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机关事业单位基本养老保险缴费支出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35.69</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35.69</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2210201</w:t>
                  </w:r>
                </w:p>
              </w:tc>
              <w:tc>
                <w:tcPr>
                  <w:tcW w:w="39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住房公积金</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26.52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26.52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2299999</w:t>
                  </w:r>
                </w:p>
              </w:tc>
              <w:tc>
                <w:tcPr>
                  <w:tcW w:w="39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44.10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44.10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7560" w:type="dxa"/>
                  <w:gridSpan w:val="9"/>
                  <w:tcBorders>
                    <w:top w:val="single" w:color="000000" w:sz="4" w:space="0"/>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注：本表反映部门本年度取得的各项收入情况。</w:t>
                  </w:r>
                </w:p>
              </w:tc>
            </w:tr>
          </w:tbl>
          <w:p>
            <w:pPr>
              <w:widowControl/>
              <w:jc w:val="center"/>
              <w:textAlignment w:val="bottom"/>
              <w:rPr>
                <w:rFonts w:ascii="宋体" w:hAnsi="宋体" w:eastAsia="宋体" w:cs="宋体"/>
                <w:sz w:val="30"/>
                <w:szCs w:val="30"/>
              </w:rPr>
            </w:pPr>
          </w:p>
        </w:tc>
      </w:tr>
    </w:tbl>
    <w:p>
      <w:pPr>
        <w:jc w:val="left"/>
        <w:rPr>
          <w:rFonts w:ascii="仿宋" w:hAnsi="仿宋" w:eastAsia="仿宋" w:cs="仿宋"/>
          <w:sz w:val="24"/>
        </w:rPr>
      </w:pPr>
    </w:p>
    <w:tbl>
      <w:tblPr>
        <w:tblStyle w:val="7"/>
        <w:tblW w:w="13980" w:type="dxa"/>
        <w:tblInd w:w="96" w:type="dxa"/>
        <w:tblLayout w:type="fixed"/>
        <w:tblCellMar>
          <w:top w:w="0" w:type="dxa"/>
          <w:left w:w="108" w:type="dxa"/>
          <w:bottom w:w="0" w:type="dxa"/>
          <w:right w:w="108" w:type="dxa"/>
        </w:tblCellMar>
      </w:tblPr>
      <w:tblGrid>
        <w:gridCol w:w="13980"/>
      </w:tblGrid>
      <w:tr>
        <w:tblPrEx>
          <w:tblCellMar>
            <w:top w:w="0" w:type="dxa"/>
            <w:left w:w="108" w:type="dxa"/>
            <w:bottom w:w="0" w:type="dxa"/>
            <w:right w:w="108" w:type="dxa"/>
          </w:tblCellMar>
        </w:tblPrEx>
        <w:trPr>
          <w:trHeight w:val="623" w:hRule="atLeast"/>
        </w:trPr>
        <w:tc>
          <w:tcPr>
            <w:tcW w:w="13980" w:type="dxa"/>
            <w:tcBorders>
              <w:top w:val="nil"/>
              <w:left w:val="nil"/>
              <w:bottom w:val="nil"/>
              <w:right w:val="nil"/>
            </w:tcBorders>
            <w:shd w:val="clear" w:color="auto" w:fill="auto"/>
            <w:noWrap/>
            <w:vAlign w:val="center"/>
          </w:tcPr>
          <w:p>
            <w:pPr>
              <w:widowControl/>
              <w:textAlignment w:val="center"/>
              <w:rPr>
                <w:rFonts w:ascii="宋体" w:hAnsi="宋体" w:eastAsia="宋体" w:cs="宋体"/>
                <w:kern w:val="0"/>
                <w:sz w:val="32"/>
                <w:szCs w:val="32"/>
              </w:rPr>
            </w:pPr>
          </w:p>
          <w:p>
            <w:pPr>
              <w:widowControl/>
              <w:jc w:val="center"/>
              <w:textAlignment w:val="center"/>
              <w:rPr>
                <w:rFonts w:ascii="宋体" w:hAnsi="宋体" w:eastAsia="宋体" w:cs="宋体"/>
                <w:sz w:val="30"/>
                <w:szCs w:val="30"/>
              </w:rPr>
            </w:pPr>
            <w:r>
              <w:rPr>
                <w:rFonts w:hint="eastAsia" w:ascii="宋体" w:hAnsi="宋体" w:eastAsia="宋体" w:cs="宋体"/>
                <w:kern w:val="0"/>
                <w:sz w:val="32"/>
                <w:szCs w:val="32"/>
              </w:rPr>
              <w:t>表三：支出决算表</w:t>
            </w:r>
          </w:p>
        </w:tc>
      </w:tr>
    </w:tbl>
    <w:p>
      <w:pPr>
        <w:ind w:firstLine="12800" w:firstLineChars="6400"/>
        <w:jc w:val="left"/>
        <w:rPr>
          <w:rFonts w:ascii="仿宋" w:hAnsi="仿宋" w:eastAsia="仿宋" w:cs="仿宋"/>
          <w:sz w:val="24"/>
        </w:rPr>
      </w:pPr>
      <w:r>
        <w:rPr>
          <w:rFonts w:hint="eastAsia" w:ascii="宋体" w:hAnsi="宋体" w:eastAsia="宋体" w:cs="宋体"/>
          <w:kern w:val="0"/>
          <w:sz w:val="20"/>
          <w:szCs w:val="20"/>
        </w:rPr>
        <w:t>公开03表</w:t>
      </w:r>
    </w:p>
    <w:p>
      <w:pPr>
        <w:rPr>
          <w:rFonts w:ascii="宋体" w:hAnsi="宋体" w:eastAsia="宋体" w:cs="宋体"/>
          <w:kern w:val="0"/>
          <w:sz w:val="30"/>
          <w:szCs w:val="30"/>
        </w:rPr>
      </w:pPr>
      <w:r>
        <w:rPr>
          <w:rFonts w:hint="eastAsia" w:ascii="宋体" w:hAnsi="宋体" w:eastAsia="宋体" w:cs="宋体"/>
          <w:kern w:val="0"/>
          <w:sz w:val="20"/>
          <w:szCs w:val="20"/>
        </w:rPr>
        <w:t>部门：</w:t>
      </w:r>
      <w:r>
        <w:rPr>
          <w:rFonts w:ascii="宋体" w:hAnsi="宋体" w:eastAsia="宋体" w:cs="宋体"/>
          <w:sz w:val="20"/>
        </w:rPr>
        <w:t>环江毛南族自治县第一幼儿园</w:t>
      </w:r>
      <w:r>
        <w:rPr>
          <w:rFonts w:hint="eastAsia" w:ascii="宋体" w:hAnsi="宋体" w:eastAsia="宋体" w:cs="宋体"/>
          <w:sz w:val="20"/>
        </w:rPr>
        <w:t>　　　　　　　　　　　　　　　　　　　　　　　　　　　　　　　　　　　　　　　　　　　　　　</w:t>
      </w:r>
      <w:r>
        <w:rPr>
          <w:rFonts w:hint="eastAsia" w:ascii="宋体" w:hAnsi="宋体" w:eastAsia="宋体" w:cs="宋体"/>
          <w:kern w:val="0"/>
          <w:sz w:val="20"/>
          <w:szCs w:val="20"/>
        </w:rPr>
        <w:t>金额单位：万元</w:t>
      </w:r>
    </w:p>
    <w:tbl>
      <w:tblPr>
        <w:tblStyle w:val="7"/>
        <w:tblW w:w="0" w:type="auto"/>
        <w:tblInd w:w="93" w:type="dxa"/>
        <w:tblLayout w:type="autofit"/>
        <w:tblCellMar>
          <w:top w:w="0" w:type="dxa"/>
          <w:left w:w="108" w:type="dxa"/>
          <w:bottom w:w="0" w:type="dxa"/>
          <w:right w:w="108" w:type="dxa"/>
        </w:tblCellMar>
      </w:tblPr>
      <w:tblGrid>
        <w:gridCol w:w="1096"/>
        <w:gridCol w:w="3736"/>
        <w:gridCol w:w="1536"/>
        <w:gridCol w:w="1096"/>
        <w:gridCol w:w="1096"/>
        <w:gridCol w:w="1536"/>
        <w:gridCol w:w="1096"/>
        <w:gridCol w:w="2196"/>
      </w:tblGrid>
      <w:tr>
        <w:tblPrEx>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对附属单位补助支出</w:t>
            </w:r>
          </w:p>
        </w:tc>
      </w:tr>
      <w:tr>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科目代码</w:t>
            </w:r>
          </w:p>
        </w:tc>
        <w:tc>
          <w:tcPr>
            <w:tcW w:w="0" w:type="auto"/>
            <w:vMerge w:val="restar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栏次</w:t>
            </w:r>
          </w:p>
        </w:tc>
        <w:tc>
          <w:tcPr>
            <w:tcW w:w="0" w:type="auto"/>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0" w:type="auto"/>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0" w:type="auto"/>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0" w:type="auto"/>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0" w:type="auto"/>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0" w:type="auto"/>
            <w:tcBorders>
              <w:top w:val="nil"/>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r>
      <w:tr>
        <w:tblPrEx>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541.21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380.86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160.35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2012999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其他群众团体事务支出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2050201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学前教育</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429.71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269.39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160.32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2050299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其他普通教育支出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0.56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0.53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2080505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机关事业单位基本养老保险缴费支出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35.69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35.69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2210201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住房公积金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26.52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26.52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2299999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44.10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44.10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注：本表反映部门本年度各项支出情况。</w:t>
            </w:r>
          </w:p>
        </w:tc>
      </w:tr>
    </w:tbl>
    <w:p>
      <w:pPr>
        <w:jc w:val="left"/>
        <w:rPr>
          <w:rFonts w:ascii="仿宋" w:hAnsi="仿宋" w:eastAsia="仿宋" w:cs="仿宋"/>
          <w:sz w:val="24"/>
        </w:rPr>
      </w:pPr>
    </w:p>
    <w:tbl>
      <w:tblPr>
        <w:tblStyle w:val="7"/>
        <w:tblW w:w="4971" w:type="pct"/>
        <w:tblInd w:w="0" w:type="dxa"/>
        <w:tblLayout w:type="fixed"/>
        <w:tblCellMar>
          <w:top w:w="0" w:type="dxa"/>
          <w:left w:w="108" w:type="dxa"/>
          <w:bottom w:w="0" w:type="dxa"/>
          <w:right w:w="108" w:type="dxa"/>
        </w:tblCellMar>
      </w:tblPr>
      <w:tblGrid>
        <w:gridCol w:w="14092"/>
      </w:tblGrid>
      <w:tr>
        <w:trPr>
          <w:trHeight w:val="520" w:hRule="atLeast"/>
        </w:trPr>
        <w:tc>
          <w:tcPr>
            <w:tcW w:w="5000" w:type="pct"/>
            <w:tcBorders>
              <w:top w:val="nil"/>
              <w:left w:val="nil"/>
              <w:bottom w:val="nil"/>
              <w:right w:val="nil"/>
            </w:tcBorders>
            <w:shd w:val="clear" w:color="auto" w:fill="auto"/>
            <w:noWrap/>
            <w:vAlign w:val="bottom"/>
          </w:tcPr>
          <w:p>
            <w:pPr>
              <w:widowControl/>
              <w:textAlignment w:val="bottom"/>
              <w:rPr>
                <w:rFonts w:ascii="宋体" w:hAnsi="宋体" w:eastAsia="宋体" w:cs="宋体"/>
                <w:kern w:val="0"/>
                <w:sz w:val="32"/>
                <w:szCs w:val="32"/>
              </w:rPr>
            </w:pPr>
          </w:p>
          <w:p>
            <w:pPr>
              <w:widowControl/>
              <w:textAlignment w:val="bottom"/>
              <w:rPr>
                <w:rFonts w:ascii="宋体" w:hAnsi="宋体" w:eastAsia="宋体" w:cs="宋体"/>
                <w:kern w:val="0"/>
                <w:sz w:val="32"/>
                <w:szCs w:val="32"/>
              </w:rPr>
            </w:pPr>
          </w:p>
          <w:p>
            <w:pPr>
              <w:widowControl/>
              <w:textAlignment w:val="bottom"/>
              <w:rPr>
                <w:rFonts w:ascii="宋体" w:hAnsi="宋体" w:eastAsia="宋体" w:cs="宋体"/>
                <w:kern w:val="0"/>
                <w:sz w:val="32"/>
                <w:szCs w:val="32"/>
              </w:rPr>
            </w:pPr>
          </w:p>
          <w:p>
            <w:pPr>
              <w:widowControl/>
              <w:jc w:val="center"/>
              <w:textAlignment w:val="bottom"/>
              <w:rPr>
                <w:rFonts w:ascii="宋体" w:hAnsi="宋体" w:eastAsia="宋体" w:cs="宋体"/>
                <w:kern w:val="0"/>
                <w:sz w:val="32"/>
                <w:szCs w:val="32"/>
              </w:rPr>
            </w:pPr>
            <w:r>
              <w:rPr>
                <w:rFonts w:hint="eastAsia" w:ascii="宋体" w:hAnsi="宋体" w:eastAsia="宋体" w:cs="宋体"/>
                <w:kern w:val="0"/>
                <w:sz w:val="32"/>
                <w:szCs w:val="32"/>
              </w:rPr>
              <w:t>表四：财政拨款收入支出决算总表</w:t>
            </w:r>
          </w:p>
          <w:p>
            <w:pPr>
              <w:ind w:firstLine="12800" w:firstLineChars="6400"/>
              <w:jc w:val="left"/>
              <w:rPr>
                <w:rFonts w:ascii="仿宋" w:hAnsi="仿宋" w:eastAsia="仿宋" w:cs="仿宋"/>
                <w:sz w:val="24"/>
              </w:rPr>
            </w:pPr>
            <w:r>
              <w:rPr>
                <w:rFonts w:hint="eastAsia" w:ascii="宋体" w:hAnsi="宋体" w:eastAsia="宋体" w:cs="宋体"/>
                <w:kern w:val="0"/>
                <w:sz w:val="20"/>
                <w:szCs w:val="20"/>
              </w:rPr>
              <w:t>公开04表</w:t>
            </w:r>
          </w:p>
          <w:p>
            <w:pPr>
              <w:rPr>
                <w:rFonts w:ascii="宋体" w:hAnsi="宋体" w:eastAsia="宋体" w:cs="宋体"/>
                <w:kern w:val="0"/>
                <w:sz w:val="30"/>
                <w:szCs w:val="30"/>
              </w:rPr>
            </w:pPr>
            <w:r>
              <w:rPr>
                <w:rFonts w:hint="eastAsia" w:ascii="宋体" w:hAnsi="宋体" w:eastAsia="宋体" w:cs="宋体"/>
                <w:kern w:val="0"/>
                <w:sz w:val="20"/>
                <w:szCs w:val="20"/>
              </w:rPr>
              <w:t>部门：</w:t>
            </w:r>
            <w:r>
              <w:rPr>
                <w:rFonts w:ascii="宋体" w:hAnsi="宋体" w:eastAsia="宋体" w:cs="宋体"/>
                <w:sz w:val="20"/>
              </w:rPr>
              <w:t>环江毛南族自治县第一幼儿园</w:t>
            </w:r>
            <w:r>
              <w:rPr>
                <w:rFonts w:hint="eastAsia" w:ascii="宋体" w:hAnsi="宋体" w:eastAsia="宋体" w:cs="宋体"/>
                <w:sz w:val="20"/>
              </w:rPr>
              <w:t>　　　　　　　　　　　　　　　　　　　　　　　　　　　　　　　　　　　　　　　　　　　　　　</w:t>
            </w:r>
            <w:r>
              <w:rPr>
                <w:rFonts w:hint="eastAsia" w:ascii="宋体" w:hAnsi="宋体" w:eastAsia="宋体" w:cs="宋体"/>
                <w:kern w:val="0"/>
                <w:sz w:val="20"/>
                <w:szCs w:val="20"/>
              </w:rPr>
              <w:t>金额单位：万元</w:t>
            </w:r>
          </w:p>
          <w:tbl>
            <w:tblPr>
              <w:tblStyle w:val="7"/>
              <w:tblW w:w="13953" w:type="dxa"/>
              <w:tblInd w:w="0" w:type="dxa"/>
              <w:tblLayout w:type="fixed"/>
              <w:tblCellMar>
                <w:top w:w="0" w:type="dxa"/>
                <w:left w:w="108" w:type="dxa"/>
                <w:bottom w:w="0" w:type="dxa"/>
                <w:right w:w="108" w:type="dxa"/>
              </w:tblCellMar>
            </w:tblPr>
            <w:tblGrid>
              <w:gridCol w:w="3212"/>
              <w:gridCol w:w="530"/>
              <w:gridCol w:w="1454"/>
              <w:gridCol w:w="4215"/>
              <w:gridCol w:w="539"/>
              <w:gridCol w:w="902"/>
              <w:gridCol w:w="1460"/>
              <w:gridCol w:w="1211"/>
              <w:gridCol w:w="430"/>
            </w:tblGrid>
            <w:tr>
              <w:tblPrEx>
                <w:tblCellMar>
                  <w:top w:w="0" w:type="dxa"/>
                  <w:left w:w="108" w:type="dxa"/>
                  <w:bottom w:w="0" w:type="dxa"/>
                  <w:right w:w="108" w:type="dxa"/>
                </w:tblCellMar>
              </w:tblPrEx>
              <w:trPr>
                <w:trHeight w:val="300" w:hRule="atLeast"/>
              </w:trPr>
              <w:tc>
                <w:tcPr>
                  <w:tcW w:w="1862" w:type="pct"/>
                  <w:gridSpan w:val="3"/>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收     入</w:t>
                  </w:r>
                </w:p>
              </w:tc>
              <w:tc>
                <w:tcPr>
                  <w:tcW w:w="3137" w:type="pct"/>
                  <w:gridSpan w:val="6"/>
                  <w:tcBorders>
                    <w:top w:val="single" w:color="000000" w:sz="4" w:space="0"/>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支     出</w:t>
                  </w:r>
                </w:p>
              </w:tc>
            </w:tr>
            <w:tr>
              <w:tblPrEx>
                <w:tblCellMar>
                  <w:top w:w="0" w:type="dxa"/>
                  <w:left w:w="108" w:type="dxa"/>
                  <w:bottom w:w="0" w:type="dxa"/>
                  <w:right w:w="108" w:type="dxa"/>
                </w:tblCellMar>
              </w:tblPrEx>
              <w:trPr>
                <w:trHeight w:val="555" w:hRule="atLeast"/>
              </w:trPr>
              <w:tc>
                <w:tcPr>
                  <w:tcW w:w="1151"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w:t>
                  </w:r>
                </w:p>
              </w:tc>
              <w:tc>
                <w:tcPr>
                  <w:tcW w:w="190"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行次</w:t>
                  </w:r>
                </w:p>
              </w:tc>
              <w:tc>
                <w:tcPr>
                  <w:tcW w:w="520"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金额</w:t>
                  </w:r>
                </w:p>
              </w:tc>
              <w:tc>
                <w:tcPr>
                  <w:tcW w:w="1510"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w:t>
                  </w:r>
                </w:p>
              </w:tc>
              <w:tc>
                <w:tcPr>
                  <w:tcW w:w="193"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行次</w:t>
                  </w:r>
                </w:p>
              </w:tc>
              <w:tc>
                <w:tcPr>
                  <w:tcW w:w="323" w:type="pct"/>
                  <w:vMerge w:val="restar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523"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一般公共预算</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财政拨款</w:t>
                  </w:r>
                </w:p>
              </w:tc>
              <w:tc>
                <w:tcPr>
                  <w:tcW w:w="431"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政府性基金预</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算财政拨款</w:t>
                  </w:r>
                </w:p>
              </w:tc>
              <w:tc>
                <w:tcPr>
                  <w:tcW w:w="154"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国有资本经营</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预算财政拨款</w:t>
                  </w:r>
                </w:p>
              </w:tc>
            </w:tr>
            <w:tr>
              <w:tblPrEx>
                <w:tblCellMar>
                  <w:top w:w="0" w:type="dxa"/>
                  <w:left w:w="108" w:type="dxa"/>
                  <w:bottom w:w="0" w:type="dxa"/>
                  <w:right w:w="108" w:type="dxa"/>
                </w:tblCellMar>
              </w:tblPrEx>
              <w:trPr>
                <w:trHeight w:val="555" w:hRule="atLeast"/>
              </w:trPr>
              <w:tc>
                <w:tcPr>
                  <w:tcW w:w="115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9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2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51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9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32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2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43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5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栏次</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52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栏次</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32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52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431"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54"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一、一般公共预算财政拨款</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一、一般公共服务支出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33</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二、政府性基金预算财政拨款</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二、外交支出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34</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三、国有资本经营预算财政拨款</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三、国防支出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35</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四、公共安全支出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36</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五、教育支出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37</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430.27</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430.27</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六、科学技术支出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38</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七、文化旅游体育与传媒支出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39</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八、社会保障和就业支出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40</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35.69</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35.69</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九、卫生健康支出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41</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十、节能环保支出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42</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十一、城乡社区支出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43</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十二、农林水支出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44</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13</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十三、交通运输支出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45</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十四、资源勘探工业信息等支出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46</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十五、商业服务业等支出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47</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16</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十六、金融支出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48</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17</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十七、援助其他地区支出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49</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18</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十八、自然资源海洋气象等支出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十九、住房保障支出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51</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26.52</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26.52</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二十、粮油物资储备支出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52</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二十一、国有资本经营预算支出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53</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二十二、灾害防治及应急管理支出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54</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23</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二十三、其他支出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55</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44.10</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44.10</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24</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二十四、债务还本支出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56</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25</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二十五、债务付息支出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57</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26</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二十六、抗疫特别国债安排的支出</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58</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本年收入合计</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27</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本年支出合计</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59</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年初财政拨款结转和结余</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28</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年末财政拨款结转和结余</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60</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一般公共预算财政拨款</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29</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61</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政府性基金预算财政拨款</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62</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151"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总计</w:t>
                  </w:r>
                </w:p>
              </w:tc>
              <w:tc>
                <w:tcPr>
                  <w:tcW w:w="19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31</w:t>
                  </w:r>
                </w:p>
              </w:tc>
              <w:tc>
                <w:tcPr>
                  <w:tcW w:w="52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c>
                <w:tcPr>
                  <w:tcW w:w="1510"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总计</w:t>
                  </w:r>
                </w:p>
              </w:tc>
              <w:tc>
                <w:tcPr>
                  <w:tcW w:w="19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63</w:t>
                  </w:r>
                </w:p>
              </w:tc>
              <w:tc>
                <w:tcPr>
                  <w:tcW w:w="3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c>
                <w:tcPr>
                  <w:tcW w:w="52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541.21</w:t>
                  </w:r>
                </w:p>
              </w:tc>
              <w:tc>
                <w:tcPr>
                  <w:tcW w:w="43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4845" w:type="pct"/>
                  <w:gridSpan w:val="8"/>
                  <w:tcBorders>
                    <w:top w:val="single" w:color="000000" w:sz="4" w:space="0"/>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注：本表反映部门本年度一般公共预算财政拨款、政府性基金预算财政拨款和国有资本经营预算财政拨款的总收支和年末结转结余情况。</w:t>
                  </w:r>
                </w:p>
              </w:tc>
              <w:tc>
                <w:tcPr>
                  <w:tcW w:w="154" w:type="pct"/>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bl>
          <w:p>
            <w:pPr>
              <w:widowControl/>
              <w:textAlignment w:val="bottom"/>
              <w:rPr>
                <w:rFonts w:ascii="宋体" w:hAnsi="宋体" w:eastAsia="宋体" w:cs="宋体"/>
                <w:sz w:val="30"/>
                <w:szCs w:val="30"/>
              </w:rPr>
            </w:pPr>
          </w:p>
        </w:tc>
      </w:tr>
    </w:tbl>
    <w:p>
      <w:pPr>
        <w:widowControl/>
        <w:jc w:val="center"/>
        <w:textAlignment w:val="bottom"/>
        <w:rPr>
          <w:rFonts w:hint="eastAsia" w:ascii="宋体" w:hAnsi="宋体" w:eastAsia="宋体" w:cs="宋体"/>
          <w:kern w:val="0"/>
          <w:sz w:val="32"/>
          <w:szCs w:val="32"/>
        </w:rPr>
      </w:pPr>
    </w:p>
    <w:p>
      <w:pPr>
        <w:widowControl/>
        <w:jc w:val="center"/>
        <w:textAlignment w:val="bottom"/>
        <w:rPr>
          <w:rFonts w:ascii="宋体" w:hAnsi="宋体" w:eastAsia="宋体" w:cs="宋体"/>
          <w:kern w:val="0"/>
          <w:sz w:val="32"/>
          <w:szCs w:val="32"/>
        </w:rPr>
      </w:pPr>
      <w:r>
        <w:rPr>
          <w:rFonts w:hint="eastAsia" w:ascii="宋体" w:hAnsi="宋体" w:eastAsia="宋体" w:cs="宋体"/>
          <w:kern w:val="0"/>
          <w:sz w:val="32"/>
          <w:szCs w:val="32"/>
        </w:rPr>
        <w:t>表五：一般公共预算财政拨款支出决算表</w:t>
      </w:r>
    </w:p>
    <w:p>
      <w:pPr>
        <w:ind w:firstLine="12800" w:firstLineChars="6400"/>
        <w:jc w:val="left"/>
        <w:rPr>
          <w:rFonts w:ascii="仿宋" w:hAnsi="仿宋" w:eastAsia="仿宋" w:cs="仿宋"/>
          <w:sz w:val="24"/>
        </w:rPr>
      </w:pPr>
      <w:r>
        <w:rPr>
          <w:rFonts w:hint="eastAsia" w:ascii="宋体" w:hAnsi="宋体" w:eastAsia="宋体" w:cs="宋体"/>
          <w:kern w:val="0"/>
          <w:sz w:val="20"/>
          <w:szCs w:val="20"/>
        </w:rPr>
        <w:t>公开05表</w:t>
      </w:r>
    </w:p>
    <w:p>
      <w:pPr>
        <w:rPr>
          <w:rFonts w:ascii="宋体" w:hAnsi="宋体" w:eastAsia="宋体" w:cs="宋体"/>
          <w:kern w:val="0"/>
          <w:sz w:val="30"/>
          <w:szCs w:val="30"/>
        </w:rPr>
      </w:pPr>
      <w:r>
        <w:rPr>
          <w:rFonts w:hint="eastAsia" w:ascii="宋体" w:hAnsi="宋体" w:eastAsia="宋体" w:cs="宋体"/>
          <w:kern w:val="0"/>
          <w:sz w:val="20"/>
          <w:szCs w:val="20"/>
        </w:rPr>
        <w:t>部门：</w:t>
      </w:r>
      <w:r>
        <w:rPr>
          <w:rFonts w:ascii="宋体" w:hAnsi="宋体" w:eastAsia="宋体" w:cs="宋体"/>
          <w:sz w:val="20"/>
        </w:rPr>
        <w:t>环江毛南族自治县第一幼儿园</w:t>
      </w:r>
      <w:r>
        <w:rPr>
          <w:rFonts w:hint="eastAsia" w:ascii="宋体" w:hAnsi="宋体" w:eastAsia="宋体" w:cs="宋体"/>
          <w:sz w:val="20"/>
        </w:rPr>
        <w:t>　　　　　　　　　　　　　　　　　　　　　　　　　　　　　　　　　　　　　　　　　　　　　　</w:t>
      </w:r>
      <w:r>
        <w:rPr>
          <w:rFonts w:hint="eastAsia" w:ascii="宋体" w:hAnsi="宋体" w:eastAsia="宋体" w:cs="宋体"/>
          <w:kern w:val="0"/>
          <w:sz w:val="20"/>
          <w:szCs w:val="20"/>
        </w:rPr>
        <w:t>金额单位：万元</w:t>
      </w:r>
    </w:p>
    <w:tbl>
      <w:tblPr>
        <w:tblStyle w:val="7"/>
        <w:tblW w:w="5000" w:type="pct"/>
        <w:tblInd w:w="0" w:type="dxa"/>
        <w:tblLayout w:type="autofit"/>
        <w:tblCellMar>
          <w:top w:w="0" w:type="dxa"/>
          <w:left w:w="108" w:type="dxa"/>
          <w:bottom w:w="0" w:type="dxa"/>
          <w:right w:w="108" w:type="dxa"/>
        </w:tblCellMar>
      </w:tblPr>
      <w:tblGrid>
        <w:gridCol w:w="986"/>
        <w:gridCol w:w="3771"/>
        <w:gridCol w:w="2872"/>
        <w:gridCol w:w="2756"/>
        <w:gridCol w:w="3789"/>
      </w:tblGrid>
      <w:tr>
        <w:trPr>
          <w:trHeight w:val="300"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w:t>
            </w:r>
          </w:p>
        </w:tc>
        <w:tc>
          <w:tcPr>
            <w:tcW w:w="3324" w:type="pct"/>
            <w:gridSpan w:val="3"/>
            <w:tcBorders>
              <w:top w:val="single" w:color="000000" w:sz="4" w:space="0"/>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本年支出</w:t>
            </w:r>
          </w:p>
        </w:tc>
      </w:tr>
      <w:tr>
        <w:trPr>
          <w:trHeight w:val="312"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科目代码</w:t>
            </w:r>
          </w:p>
        </w:tc>
        <w:tc>
          <w:tcPr>
            <w:tcW w:w="1331" w:type="pct"/>
            <w:vMerge w:val="restar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1014"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小计</w:t>
            </w:r>
          </w:p>
        </w:tc>
        <w:tc>
          <w:tcPr>
            <w:tcW w:w="973"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基本支出</w:t>
            </w:r>
          </w:p>
        </w:tc>
        <w:tc>
          <w:tcPr>
            <w:tcW w:w="1338"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项目支出</w:t>
            </w:r>
          </w:p>
        </w:tc>
      </w:tr>
      <w:tr>
        <w:tblPrEx>
          <w:tblCellMar>
            <w:top w:w="0" w:type="dxa"/>
            <w:left w:w="108" w:type="dxa"/>
            <w:bottom w:w="0" w:type="dxa"/>
            <w:right w:w="108" w:type="dxa"/>
          </w:tblCellMar>
        </w:tblPrEx>
        <w:trPr>
          <w:trHeight w:val="312" w:hRule="atLeast"/>
        </w:trPr>
        <w:tc>
          <w:tcPr>
            <w:tcW w:w="34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33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01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97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33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12" w:hRule="atLeast"/>
        </w:trPr>
        <w:tc>
          <w:tcPr>
            <w:tcW w:w="34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33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01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97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33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420"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栏次</w:t>
            </w:r>
          </w:p>
        </w:tc>
        <w:tc>
          <w:tcPr>
            <w:tcW w:w="1014"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973"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338"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r>
      <w:tr>
        <w:trPr>
          <w:trHeight w:val="405"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101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541.21</w:t>
            </w:r>
          </w:p>
        </w:tc>
        <w:tc>
          <w:tcPr>
            <w:tcW w:w="97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380.86</w:t>
            </w:r>
          </w:p>
        </w:tc>
        <w:tc>
          <w:tcPr>
            <w:tcW w:w="1338"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160.35</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2012999</w:t>
            </w:r>
          </w:p>
        </w:tc>
        <w:tc>
          <w:tcPr>
            <w:tcW w:w="133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其他群众团体事务支出</w:t>
            </w:r>
          </w:p>
        </w:tc>
        <w:tc>
          <w:tcPr>
            <w:tcW w:w="1014"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c>
          <w:tcPr>
            <w:tcW w:w="973"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c>
          <w:tcPr>
            <w:tcW w:w="1338"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2050201</w:t>
            </w:r>
          </w:p>
        </w:tc>
        <w:tc>
          <w:tcPr>
            <w:tcW w:w="133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学前教育</w:t>
            </w:r>
          </w:p>
        </w:tc>
        <w:tc>
          <w:tcPr>
            <w:tcW w:w="101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429.71</w:t>
            </w:r>
          </w:p>
        </w:tc>
        <w:tc>
          <w:tcPr>
            <w:tcW w:w="97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269.39</w:t>
            </w:r>
          </w:p>
        </w:tc>
        <w:tc>
          <w:tcPr>
            <w:tcW w:w="1338"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160.32</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2050299</w:t>
            </w:r>
          </w:p>
        </w:tc>
        <w:tc>
          <w:tcPr>
            <w:tcW w:w="133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其他普通教育支出</w:t>
            </w:r>
          </w:p>
        </w:tc>
        <w:tc>
          <w:tcPr>
            <w:tcW w:w="101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0.56</w:t>
            </w:r>
          </w:p>
        </w:tc>
        <w:tc>
          <w:tcPr>
            <w:tcW w:w="97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0.53</w:t>
            </w:r>
          </w:p>
        </w:tc>
        <w:tc>
          <w:tcPr>
            <w:tcW w:w="1338"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0.03</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2080505</w:t>
            </w:r>
          </w:p>
        </w:tc>
        <w:tc>
          <w:tcPr>
            <w:tcW w:w="133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机关事业单位基本养老保险缴费支出</w:t>
            </w:r>
          </w:p>
        </w:tc>
        <w:tc>
          <w:tcPr>
            <w:tcW w:w="101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35.69</w:t>
            </w:r>
          </w:p>
        </w:tc>
        <w:tc>
          <w:tcPr>
            <w:tcW w:w="97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35.69</w:t>
            </w:r>
          </w:p>
        </w:tc>
        <w:tc>
          <w:tcPr>
            <w:tcW w:w="1338"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2210201</w:t>
            </w:r>
          </w:p>
        </w:tc>
        <w:tc>
          <w:tcPr>
            <w:tcW w:w="133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住房公积金</w:t>
            </w:r>
          </w:p>
        </w:tc>
        <w:tc>
          <w:tcPr>
            <w:tcW w:w="101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26.52</w:t>
            </w:r>
          </w:p>
        </w:tc>
        <w:tc>
          <w:tcPr>
            <w:tcW w:w="97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26.52</w:t>
            </w:r>
          </w:p>
        </w:tc>
        <w:tc>
          <w:tcPr>
            <w:tcW w:w="1338"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2299999</w:t>
            </w:r>
          </w:p>
        </w:tc>
        <w:tc>
          <w:tcPr>
            <w:tcW w:w="133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其他支出</w:t>
            </w:r>
          </w:p>
        </w:tc>
        <w:tc>
          <w:tcPr>
            <w:tcW w:w="101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44.10</w:t>
            </w:r>
          </w:p>
        </w:tc>
        <w:tc>
          <w:tcPr>
            <w:tcW w:w="97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44.10</w:t>
            </w:r>
          </w:p>
        </w:tc>
        <w:tc>
          <w:tcPr>
            <w:tcW w:w="1338"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rPr>
          <w:trHeight w:val="300" w:hRule="atLeast"/>
        </w:trPr>
        <w:tc>
          <w:tcPr>
            <w:tcW w:w="5000" w:type="pct"/>
            <w:gridSpan w:val="5"/>
            <w:tcBorders>
              <w:top w:val="single" w:color="000000" w:sz="4" w:space="0"/>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注：本表反映部门本年度一般公共预算财政拨款支出情况。</w:t>
            </w:r>
          </w:p>
        </w:tc>
      </w:tr>
    </w:tbl>
    <w:p>
      <w:pPr>
        <w:widowControl/>
        <w:jc w:val="center"/>
        <w:textAlignment w:val="bottom"/>
        <w:rPr>
          <w:rFonts w:ascii="宋体" w:hAnsi="宋体" w:eastAsia="宋体" w:cs="宋体"/>
          <w:kern w:val="0"/>
          <w:sz w:val="32"/>
          <w:szCs w:val="32"/>
        </w:rPr>
      </w:pPr>
    </w:p>
    <w:p>
      <w:pPr>
        <w:widowControl/>
        <w:jc w:val="center"/>
        <w:textAlignment w:val="bottom"/>
        <w:rPr>
          <w:rFonts w:ascii="宋体" w:hAnsi="宋体" w:eastAsia="宋体" w:cs="宋体"/>
          <w:kern w:val="0"/>
          <w:sz w:val="32"/>
          <w:szCs w:val="32"/>
        </w:rPr>
      </w:pPr>
    </w:p>
    <w:p>
      <w:pPr>
        <w:widowControl/>
        <w:jc w:val="center"/>
        <w:textAlignment w:val="bottom"/>
        <w:rPr>
          <w:rFonts w:ascii="宋体" w:hAnsi="宋体" w:eastAsia="宋体" w:cs="宋体"/>
          <w:kern w:val="0"/>
          <w:sz w:val="32"/>
          <w:szCs w:val="32"/>
        </w:rPr>
      </w:pPr>
    </w:p>
    <w:p>
      <w:pPr>
        <w:widowControl/>
        <w:jc w:val="center"/>
        <w:textAlignment w:val="bottom"/>
        <w:rPr>
          <w:rFonts w:ascii="宋体" w:hAnsi="宋体" w:eastAsia="宋体" w:cs="宋体"/>
          <w:kern w:val="0"/>
          <w:sz w:val="32"/>
          <w:szCs w:val="32"/>
        </w:rPr>
      </w:pPr>
    </w:p>
    <w:p>
      <w:pPr>
        <w:widowControl/>
        <w:jc w:val="center"/>
        <w:textAlignment w:val="bottom"/>
        <w:rPr>
          <w:rFonts w:ascii="宋体" w:hAnsi="宋体" w:eastAsia="宋体" w:cs="宋体"/>
          <w:kern w:val="0"/>
          <w:sz w:val="32"/>
          <w:szCs w:val="32"/>
        </w:rPr>
      </w:pPr>
      <w:r>
        <w:rPr>
          <w:rFonts w:hint="eastAsia" w:ascii="宋体" w:hAnsi="宋体" w:eastAsia="宋体" w:cs="宋体"/>
          <w:kern w:val="0"/>
          <w:sz w:val="32"/>
          <w:szCs w:val="32"/>
        </w:rPr>
        <w:t>表六：一般公共预算财政拨款基本支出决算明细表</w:t>
      </w:r>
    </w:p>
    <w:p>
      <w:pPr>
        <w:ind w:firstLine="12800" w:firstLineChars="6400"/>
        <w:jc w:val="left"/>
        <w:rPr>
          <w:rFonts w:ascii="仿宋" w:hAnsi="仿宋" w:eastAsia="仿宋" w:cs="仿宋"/>
          <w:sz w:val="24"/>
        </w:rPr>
      </w:pPr>
      <w:r>
        <w:rPr>
          <w:rFonts w:hint="eastAsia" w:ascii="宋体" w:hAnsi="宋体" w:eastAsia="宋体" w:cs="宋体"/>
          <w:kern w:val="0"/>
          <w:sz w:val="20"/>
          <w:szCs w:val="20"/>
        </w:rPr>
        <w:t>公开06表</w:t>
      </w:r>
    </w:p>
    <w:p>
      <w:pPr>
        <w:rPr>
          <w:rFonts w:ascii="宋体" w:hAnsi="宋体" w:eastAsia="宋体" w:cs="宋体"/>
          <w:kern w:val="0"/>
          <w:sz w:val="30"/>
          <w:szCs w:val="30"/>
        </w:rPr>
      </w:pPr>
      <w:r>
        <w:rPr>
          <w:rFonts w:hint="eastAsia" w:ascii="宋体" w:hAnsi="宋体" w:eastAsia="宋体" w:cs="宋体"/>
          <w:kern w:val="0"/>
          <w:sz w:val="20"/>
          <w:szCs w:val="20"/>
        </w:rPr>
        <w:t>部门：</w:t>
      </w:r>
      <w:r>
        <w:rPr>
          <w:rFonts w:ascii="宋体" w:hAnsi="宋体" w:eastAsia="宋体" w:cs="宋体"/>
          <w:sz w:val="20"/>
        </w:rPr>
        <w:t>环江毛南族自治县第一幼儿园</w:t>
      </w:r>
      <w:r>
        <w:rPr>
          <w:rFonts w:hint="eastAsia" w:ascii="宋体" w:hAnsi="宋体" w:eastAsia="宋体" w:cs="宋体"/>
          <w:sz w:val="20"/>
        </w:rPr>
        <w:t>　　　　　　　　　　　　　　　　　　　　　　　　　　　　　　　　　　　　　　　　　　　　　　</w:t>
      </w:r>
      <w:r>
        <w:rPr>
          <w:rFonts w:hint="eastAsia" w:ascii="宋体" w:hAnsi="宋体" w:eastAsia="宋体" w:cs="宋体"/>
          <w:kern w:val="0"/>
          <w:sz w:val="20"/>
          <w:szCs w:val="20"/>
        </w:rPr>
        <w:t>金额单位：万元</w:t>
      </w:r>
    </w:p>
    <w:tbl>
      <w:tblPr>
        <w:tblStyle w:val="7"/>
        <w:tblW w:w="5000" w:type="pct"/>
        <w:tblInd w:w="0" w:type="dxa"/>
        <w:tblLayout w:type="fixed"/>
        <w:tblCellMar>
          <w:top w:w="0" w:type="dxa"/>
          <w:left w:w="108" w:type="dxa"/>
          <w:bottom w:w="0" w:type="dxa"/>
          <w:right w:w="108" w:type="dxa"/>
        </w:tblCellMar>
      </w:tblPr>
      <w:tblGrid>
        <w:gridCol w:w="736"/>
        <w:gridCol w:w="2339"/>
        <w:gridCol w:w="1687"/>
        <w:gridCol w:w="906"/>
        <w:gridCol w:w="1787"/>
        <w:gridCol w:w="1230"/>
        <w:gridCol w:w="840"/>
        <w:gridCol w:w="3877"/>
        <w:gridCol w:w="772"/>
      </w:tblGrid>
      <w:tr>
        <w:tblPrEx>
          <w:tblCellMar>
            <w:top w:w="0" w:type="dxa"/>
            <w:left w:w="108" w:type="dxa"/>
            <w:bottom w:w="0" w:type="dxa"/>
            <w:right w:w="108" w:type="dxa"/>
          </w:tblCellMar>
        </w:tblPrEx>
        <w:trPr>
          <w:trHeight w:val="300" w:hRule="atLeast"/>
        </w:trPr>
        <w:tc>
          <w:tcPr>
            <w:tcW w:w="1679" w:type="pct"/>
            <w:gridSpan w:val="3"/>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人员经费</w:t>
            </w:r>
          </w:p>
        </w:tc>
        <w:tc>
          <w:tcPr>
            <w:tcW w:w="3320" w:type="pct"/>
            <w:gridSpan w:val="6"/>
            <w:tcBorders>
              <w:top w:val="single" w:color="000000" w:sz="4" w:space="0"/>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公用经费</w:t>
            </w:r>
          </w:p>
        </w:tc>
      </w:tr>
      <w:tr>
        <w:tblPrEx>
          <w:tblCellMar>
            <w:top w:w="0" w:type="dxa"/>
            <w:left w:w="108" w:type="dxa"/>
            <w:bottom w:w="0" w:type="dxa"/>
            <w:right w:w="108" w:type="dxa"/>
          </w:tblCellMar>
        </w:tblPrEx>
        <w:trPr>
          <w:trHeight w:val="312" w:hRule="atLeast"/>
        </w:trPr>
        <w:tc>
          <w:tcPr>
            <w:tcW w:w="259"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科目代码</w:t>
            </w:r>
          </w:p>
        </w:tc>
        <w:tc>
          <w:tcPr>
            <w:tcW w:w="825"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595"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决算数</w:t>
            </w:r>
          </w:p>
        </w:tc>
        <w:tc>
          <w:tcPr>
            <w:tcW w:w="319"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科目代码</w:t>
            </w:r>
          </w:p>
        </w:tc>
        <w:tc>
          <w:tcPr>
            <w:tcW w:w="630"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433"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决算数</w:t>
            </w:r>
          </w:p>
        </w:tc>
        <w:tc>
          <w:tcPr>
            <w:tcW w:w="296"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科目代码</w:t>
            </w:r>
          </w:p>
        </w:tc>
        <w:tc>
          <w:tcPr>
            <w:tcW w:w="1367"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272"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决算数</w:t>
            </w:r>
          </w:p>
        </w:tc>
      </w:tr>
      <w:tr>
        <w:tblPrEx>
          <w:tblCellMar>
            <w:top w:w="0" w:type="dxa"/>
            <w:left w:w="108" w:type="dxa"/>
            <w:bottom w:w="0" w:type="dxa"/>
            <w:right w:w="108" w:type="dxa"/>
          </w:tblCellMar>
        </w:tblPrEx>
        <w:trPr>
          <w:trHeight w:val="312" w:hRule="atLeast"/>
        </w:trPr>
        <w:tc>
          <w:tcPr>
            <w:tcW w:w="25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82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31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6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4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2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36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2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工资福利支出</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340.51</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商品和服务支出</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307</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债务利息及费用支出</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30101</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基本工资</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110.85</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30201</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办公费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30701</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国内债务付息</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30102</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津贴补贴</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11.14</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30202</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印刷费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30702</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国外债务付息</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30103</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奖金</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86.30</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30203</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咨询费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资本性支出</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30106</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伙食补助费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30204</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手续费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31001</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房屋建筑物购建</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30107</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绩效工资</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55.29</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30205</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水费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31002</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办公设备购置</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30108</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机关事业单位基本养老保险缴费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35.69</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30206</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电费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31003</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专用设备购置</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30109</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职业年金缴费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30207</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邮电费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31005</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基础设施建设</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30110</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职工基本医疗保险缴费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12.95</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30208</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取暖费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31006</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大型修缮</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30111</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公务员医疗补助缴费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30209</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物业管理费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31007</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信息网络及软件购置更新</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30112</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其他社会保障缴费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1.78</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30211</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差旅费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31008</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物资储备</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30113</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住房公积金</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26.52</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30212</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因公出国（境）费用</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31009</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土地补偿</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30114</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医疗费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30213</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维修（护）费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31010</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安置补助</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30199</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其他工资福利支出</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30214</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租赁费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31011</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地上附着物和青苗补偿</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对个人和家庭的补助</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35.72</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30215</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会议费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31012</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拆迁补偿</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30301</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离休费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30216</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培训费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31013</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公务用车购置</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30302</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退休费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30217</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公务接待费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31019</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其他交通工具购置</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30303</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退职（役）费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30218</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专用材料费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31021</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文物和陈列品购置</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30304</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抚恤金</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30224</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被装购置费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31022</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无形资产购置</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30305</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生活补助</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35.70</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30225</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专用燃料费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31099</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其他资本性支出</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30306</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救济费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30226</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劳务费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399</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其他支出</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30307</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医疗费补助</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30227</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委托业务费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39907</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国家赔偿费用支出</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30308</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助学金</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30228</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工会经费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39908</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对民间非营利组织和群众性自治组织补贴</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30309</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奖励金</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30229</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福利费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39909</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经常性赠与</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30310</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个人农业生产补贴</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30231</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公务用车运行维护费</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39910</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资本性赠与</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30311</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代缴社会保险费</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30239</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其他交通费用</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39999</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其他支出</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30399</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其他对个人和家庭的补助</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0.02</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30240</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税金及附加费用</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259"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825"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30299</w:t>
            </w:r>
          </w:p>
        </w:tc>
        <w:tc>
          <w:tcPr>
            <w:tcW w:w="630"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其他商品和服务支出</w:t>
            </w:r>
          </w:p>
        </w:tc>
        <w:tc>
          <w:tcPr>
            <w:tcW w:w="43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96"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367" w:type="pct"/>
            <w:tcBorders>
              <w:top w:val="nil"/>
              <w:left w:val="nil"/>
              <w:bottom w:val="single" w:color="000000" w:sz="4" w:space="0"/>
              <w:right w:val="single" w:color="000000" w:sz="4" w:space="0"/>
            </w:tcBorders>
            <w:shd w:val="clear" w:color="000000" w:fill="F1F1F1"/>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1084" w:type="pct"/>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人员经费合计</w:t>
            </w:r>
          </w:p>
        </w:tc>
        <w:tc>
          <w:tcPr>
            <w:tcW w:w="59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376.23</w:t>
            </w:r>
          </w:p>
        </w:tc>
        <w:tc>
          <w:tcPr>
            <w:tcW w:w="3047" w:type="pct"/>
            <w:gridSpan w:val="5"/>
            <w:tcBorders>
              <w:top w:val="single" w:color="000000" w:sz="4" w:space="0"/>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公用经费合计</w:t>
            </w:r>
          </w:p>
        </w:tc>
        <w:tc>
          <w:tcPr>
            <w:tcW w:w="272"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4.6</w:t>
            </w:r>
            <w:r>
              <w:rPr>
                <w:rFonts w:hint="eastAsia" w:ascii="宋体" w:hAnsi="宋体" w:eastAsia="宋体" w:cs="宋体"/>
                <w:kern w:val="0"/>
                <w:sz w:val="22"/>
                <w:szCs w:val="22"/>
                <w:lang w:val="en-US" w:eastAsia="zh-CN"/>
              </w:rPr>
              <w:t>3</w:t>
            </w:r>
          </w:p>
        </w:tc>
      </w:tr>
      <w:tr>
        <w:tblPrEx>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注：本表反映部门本年度一般公共预算财政拨款基本支出明细情况。</w:t>
            </w:r>
          </w:p>
        </w:tc>
      </w:tr>
    </w:tbl>
    <w:p>
      <w:pPr>
        <w:widowControl/>
        <w:textAlignment w:val="bottom"/>
        <w:rPr>
          <w:rFonts w:ascii="宋体" w:hAnsi="宋体" w:eastAsia="宋体" w:cs="宋体"/>
          <w:kern w:val="0"/>
          <w:sz w:val="32"/>
          <w:szCs w:val="32"/>
        </w:rPr>
      </w:pPr>
    </w:p>
    <w:p>
      <w:pPr>
        <w:widowControl/>
        <w:jc w:val="both"/>
        <w:textAlignment w:val="bottom"/>
        <w:rPr>
          <w:rFonts w:hint="eastAsia" w:ascii="宋体" w:hAnsi="宋体" w:eastAsia="宋体" w:cs="宋体"/>
          <w:kern w:val="0"/>
          <w:sz w:val="32"/>
          <w:szCs w:val="32"/>
        </w:rPr>
      </w:pPr>
    </w:p>
    <w:p>
      <w:pPr>
        <w:widowControl/>
        <w:jc w:val="both"/>
        <w:textAlignment w:val="bottom"/>
        <w:rPr>
          <w:rFonts w:hint="eastAsia" w:ascii="宋体" w:hAnsi="宋体" w:eastAsia="宋体" w:cs="宋体"/>
          <w:kern w:val="0"/>
          <w:sz w:val="32"/>
          <w:szCs w:val="32"/>
        </w:rPr>
      </w:pPr>
    </w:p>
    <w:p>
      <w:pPr>
        <w:widowControl/>
        <w:jc w:val="both"/>
        <w:textAlignment w:val="bottom"/>
        <w:rPr>
          <w:rFonts w:hint="eastAsia" w:ascii="宋体" w:hAnsi="宋体" w:eastAsia="宋体" w:cs="宋体"/>
          <w:kern w:val="0"/>
          <w:sz w:val="32"/>
          <w:szCs w:val="32"/>
        </w:rPr>
      </w:pPr>
    </w:p>
    <w:p>
      <w:pPr>
        <w:widowControl/>
        <w:jc w:val="both"/>
        <w:textAlignment w:val="bottom"/>
        <w:rPr>
          <w:rFonts w:hint="eastAsia" w:ascii="宋体" w:hAnsi="宋体" w:eastAsia="宋体" w:cs="宋体"/>
          <w:kern w:val="0"/>
          <w:sz w:val="32"/>
          <w:szCs w:val="32"/>
        </w:rPr>
      </w:pPr>
    </w:p>
    <w:p>
      <w:pPr>
        <w:widowControl/>
        <w:jc w:val="both"/>
        <w:textAlignment w:val="bottom"/>
        <w:rPr>
          <w:rFonts w:hint="eastAsia" w:ascii="宋体" w:hAnsi="宋体" w:eastAsia="宋体" w:cs="宋体"/>
          <w:kern w:val="0"/>
          <w:sz w:val="32"/>
          <w:szCs w:val="32"/>
        </w:rPr>
      </w:pPr>
    </w:p>
    <w:p>
      <w:pPr>
        <w:widowControl/>
        <w:jc w:val="both"/>
        <w:textAlignment w:val="bottom"/>
        <w:rPr>
          <w:rFonts w:hint="eastAsia" w:ascii="宋体" w:hAnsi="宋体" w:eastAsia="宋体" w:cs="宋体"/>
          <w:kern w:val="0"/>
          <w:sz w:val="32"/>
          <w:szCs w:val="32"/>
        </w:rPr>
      </w:pPr>
    </w:p>
    <w:p>
      <w:pPr>
        <w:widowControl/>
        <w:jc w:val="center"/>
        <w:textAlignment w:val="bottom"/>
        <w:rPr>
          <w:rFonts w:ascii="宋体" w:hAnsi="宋体" w:eastAsia="宋体" w:cs="宋体"/>
          <w:kern w:val="0"/>
          <w:sz w:val="32"/>
          <w:szCs w:val="32"/>
        </w:rPr>
      </w:pPr>
      <w:r>
        <w:rPr>
          <w:rFonts w:hint="eastAsia" w:ascii="宋体" w:hAnsi="宋体" w:eastAsia="宋体" w:cs="宋体"/>
          <w:kern w:val="0"/>
          <w:sz w:val="32"/>
          <w:szCs w:val="32"/>
        </w:rPr>
        <w:t>表七：国有资本经营预算财政拨款支出决算表</w:t>
      </w:r>
    </w:p>
    <w:p>
      <w:pPr>
        <w:ind w:firstLine="12800" w:firstLineChars="6400"/>
        <w:jc w:val="left"/>
        <w:rPr>
          <w:rFonts w:ascii="仿宋" w:hAnsi="仿宋" w:eastAsia="仿宋" w:cs="仿宋"/>
          <w:sz w:val="24"/>
        </w:rPr>
      </w:pPr>
      <w:r>
        <w:rPr>
          <w:rFonts w:hint="eastAsia" w:ascii="宋体" w:hAnsi="宋体" w:eastAsia="宋体" w:cs="宋体"/>
          <w:kern w:val="0"/>
          <w:sz w:val="20"/>
          <w:szCs w:val="20"/>
        </w:rPr>
        <w:t>公开07表</w:t>
      </w:r>
    </w:p>
    <w:p>
      <w:pPr>
        <w:rPr>
          <w:rFonts w:ascii="宋体" w:hAnsi="宋体" w:eastAsia="宋体" w:cs="宋体"/>
          <w:kern w:val="0"/>
          <w:sz w:val="30"/>
          <w:szCs w:val="30"/>
        </w:rPr>
      </w:pPr>
      <w:r>
        <w:rPr>
          <w:rFonts w:hint="eastAsia" w:ascii="宋体" w:hAnsi="宋体" w:eastAsia="宋体" w:cs="宋体"/>
          <w:kern w:val="0"/>
          <w:sz w:val="20"/>
          <w:szCs w:val="20"/>
        </w:rPr>
        <w:t>部门：</w:t>
      </w:r>
      <w:r>
        <w:rPr>
          <w:rFonts w:ascii="宋体" w:hAnsi="宋体" w:eastAsia="宋体" w:cs="宋体"/>
          <w:sz w:val="20"/>
        </w:rPr>
        <w:t>环江毛南族自治县第一幼儿园</w:t>
      </w:r>
      <w:r>
        <w:rPr>
          <w:rFonts w:hint="eastAsia" w:ascii="宋体" w:hAnsi="宋体" w:eastAsia="宋体" w:cs="宋体"/>
          <w:sz w:val="20"/>
        </w:rPr>
        <w:t>　　　　　　　　　　　　　　　　　　　　　　　　　　　　　　　　　　　　　　　　　　　　　　</w:t>
      </w:r>
      <w:r>
        <w:rPr>
          <w:rFonts w:hint="eastAsia" w:ascii="宋体" w:hAnsi="宋体" w:eastAsia="宋体" w:cs="宋体"/>
          <w:kern w:val="0"/>
          <w:sz w:val="20"/>
          <w:szCs w:val="20"/>
        </w:rPr>
        <w:t>金额单位：万元</w:t>
      </w:r>
    </w:p>
    <w:tbl>
      <w:tblPr>
        <w:tblStyle w:val="7"/>
        <w:tblW w:w="5000" w:type="pct"/>
        <w:tblInd w:w="0" w:type="dxa"/>
        <w:tblLayout w:type="autofit"/>
        <w:tblCellMar>
          <w:top w:w="0" w:type="dxa"/>
          <w:left w:w="108" w:type="dxa"/>
          <w:bottom w:w="0" w:type="dxa"/>
          <w:right w:w="108" w:type="dxa"/>
        </w:tblCellMar>
      </w:tblPr>
      <w:tblGrid>
        <w:gridCol w:w="960"/>
        <w:gridCol w:w="3713"/>
        <w:gridCol w:w="1585"/>
        <w:gridCol w:w="1585"/>
        <w:gridCol w:w="1585"/>
        <w:gridCol w:w="1585"/>
        <w:gridCol w:w="1585"/>
        <w:gridCol w:w="1576"/>
      </w:tblGrid>
      <w:tr>
        <w:trPr>
          <w:trHeight w:val="300" w:hRule="atLeast"/>
        </w:trPr>
        <w:tc>
          <w:tcPr>
            <w:tcW w:w="1649" w:type="pct"/>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年初结转和结余</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本年收入</w:t>
            </w:r>
          </w:p>
        </w:tc>
        <w:tc>
          <w:tcPr>
            <w:tcW w:w="1676" w:type="pct"/>
            <w:gridSpan w:val="3"/>
            <w:tcBorders>
              <w:top w:val="single" w:color="000000" w:sz="4" w:space="0"/>
              <w:left w:val="nil"/>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年末结转和结余</w:t>
            </w:r>
          </w:p>
        </w:tc>
      </w:tr>
      <w:tr>
        <w:tblPrEx>
          <w:tblCellMar>
            <w:top w:w="0" w:type="dxa"/>
            <w:left w:w="108" w:type="dxa"/>
            <w:bottom w:w="0" w:type="dxa"/>
            <w:right w:w="108" w:type="dxa"/>
          </w:tblCellMar>
        </w:tblPrEx>
        <w:trPr>
          <w:trHeight w:val="312"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科目代码</w:t>
            </w:r>
          </w:p>
        </w:tc>
        <w:tc>
          <w:tcPr>
            <w:tcW w:w="1310" w:type="pct"/>
            <w:vMerge w:val="restar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5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小计</w:t>
            </w:r>
          </w:p>
        </w:tc>
        <w:tc>
          <w:tcPr>
            <w:tcW w:w="559"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基本支出</w:t>
            </w:r>
          </w:p>
        </w:tc>
        <w:tc>
          <w:tcPr>
            <w:tcW w:w="559"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项目支出</w:t>
            </w:r>
          </w:p>
        </w:tc>
        <w:tc>
          <w:tcPr>
            <w:tcW w:w="5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12" w:hRule="atLeast"/>
        </w:trPr>
        <w:tc>
          <w:tcPr>
            <w:tcW w:w="3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31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12" w:hRule="atLeast"/>
        </w:trPr>
        <w:tc>
          <w:tcPr>
            <w:tcW w:w="3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131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c>
          <w:tcPr>
            <w:tcW w:w="5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00" w:hRule="atLeast"/>
        </w:trPr>
        <w:tc>
          <w:tcPr>
            <w:tcW w:w="1649" w:type="pct"/>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栏次</w:t>
            </w:r>
          </w:p>
        </w:tc>
        <w:tc>
          <w:tcPr>
            <w:tcW w:w="559"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559"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559"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559"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559"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559" w:type="pct"/>
            <w:tcBorders>
              <w:top w:val="nil"/>
              <w:left w:val="nil"/>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r>
      <w:tr>
        <w:tblPrEx>
          <w:tblCellMar>
            <w:top w:w="0" w:type="dxa"/>
            <w:left w:w="108" w:type="dxa"/>
            <w:bottom w:w="0" w:type="dxa"/>
            <w:right w:w="108" w:type="dxa"/>
          </w:tblCellMar>
        </w:tblPrEx>
        <w:trPr>
          <w:trHeight w:val="300" w:hRule="atLeast"/>
        </w:trPr>
        <w:tc>
          <w:tcPr>
            <w:tcW w:w="1649" w:type="pct"/>
            <w:gridSpan w:val="2"/>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31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00" w:hRule="atLeast"/>
        </w:trPr>
        <w:tc>
          <w:tcPr>
            <w:tcW w:w="5000" w:type="pct"/>
            <w:gridSpan w:val="8"/>
            <w:tcBorders>
              <w:top w:val="single" w:color="000000" w:sz="4" w:space="0"/>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注：本表反映部门本年度政府性基金预算财政拨款收入、支出及结转和结余情况。</w:t>
            </w:r>
          </w:p>
          <w:p>
            <w:pPr>
              <w:widowControl/>
              <w:jc w:val="left"/>
              <w:rPr>
                <w:rFonts w:ascii="宋体" w:hAnsi="宋体" w:eastAsia="宋体" w:cs="宋体"/>
                <w:kern w:val="0"/>
                <w:sz w:val="22"/>
                <w:szCs w:val="22"/>
              </w:rPr>
            </w:pPr>
            <w:r>
              <w:rPr>
                <w:rFonts w:hint="eastAsia" w:ascii="宋体" w:hAnsi="宋体" w:eastAsia="宋体" w:cs="宋体"/>
                <w:kern w:val="0"/>
                <w:sz w:val="22"/>
                <w:szCs w:val="22"/>
              </w:rPr>
              <w:t>本部门2023年度没有政府性基金预算财政拨款收入，也没有政府性基金预算财政拨款安排的支出，故本表无数据。</w:t>
            </w:r>
          </w:p>
        </w:tc>
      </w:tr>
    </w:tbl>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widowControl/>
              <w:textAlignment w:val="bottom"/>
              <w:rPr>
                <w:rFonts w:ascii="宋体" w:hAnsi="宋体" w:eastAsia="宋体" w:cs="宋体"/>
                <w:kern w:val="0"/>
                <w:sz w:val="32"/>
                <w:szCs w:val="32"/>
              </w:rPr>
            </w:pPr>
          </w:p>
          <w:p>
            <w:pPr>
              <w:widowControl/>
              <w:jc w:val="center"/>
              <w:textAlignment w:val="bottom"/>
              <w:rPr>
                <w:rFonts w:ascii="宋体" w:hAnsi="宋体" w:eastAsia="宋体" w:cs="宋体"/>
                <w:sz w:val="30"/>
                <w:szCs w:val="30"/>
              </w:rPr>
            </w:pPr>
            <w:r>
              <w:rPr>
                <w:rFonts w:hint="eastAsia" w:ascii="宋体" w:hAnsi="宋体" w:eastAsia="宋体" w:cs="宋体"/>
                <w:kern w:val="0"/>
                <w:sz w:val="32"/>
                <w:szCs w:val="32"/>
              </w:rPr>
              <w:t>表八：国有资本经营预算财政拨款支出决算表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rPr>
                <w:rFonts w:ascii="Arial" w:hAnsi="Arial" w:cs="Arial"/>
                <w:sz w:val="20"/>
                <w:szCs w:val="20"/>
              </w:rPr>
            </w:pPr>
          </w:p>
        </w:tc>
        <w:tc>
          <w:tcPr>
            <w:tcW w:w="285" w:type="dxa"/>
            <w:tcBorders>
              <w:top w:val="nil"/>
              <w:left w:val="nil"/>
              <w:bottom w:val="nil"/>
              <w:right w:val="nil"/>
            </w:tcBorders>
            <w:shd w:val="clear" w:color="auto" w:fill="auto"/>
            <w:noWrap/>
            <w:vAlign w:val="bottom"/>
          </w:tcPr>
          <w:p>
            <w:pPr>
              <w:rPr>
                <w:rFonts w:ascii="Arial" w:hAnsi="Arial" w:cs="Arial"/>
                <w:sz w:val="20"/>
                <w:szCs w:val="20"/>
              </w:rPr>
            </w:pPr>
          </w:p>
        </w:tc>
        <w:tc>
          <w:tcPr>
            <w:tcW w:w="363" w:type="dxa"/>
            <w:tcBorders>
              <w:top w:val="nil"/>
              <w:left w:val="nil"/>
              <w:bottom w:val="nil"/>
              <w:right w:val="nil"/>
            </w:tcBorders>
            <w:shd w:val="clear" w:color="auto" w:fill="auto"/>
            <w:noWrap/>
            <w:vAlign w:val="bottom"/>
          </w:tcPr>
          <w:p>
            <w:pPr>
              <w:rPr>
                <w:rFonts w:ascii="Arial" w:hAnsi="Arial" w:cs="Arial"/>
                <w:sz w:val="20"/>
                <w:szCs w:val="20"/>
              </w:rPr>
            </w:pPr>
          </w:p>
        </w:tc>
        <w:tc>
          <w:tcPr>
            <w:tcW w:w="1960" w:type="dxa"/>
            <w:tcBorders>
              <w:top w:val="nil"/>
              <w:left w:val="nil"/>
              <w:bottom w:val="nil"/>
              <w:right w:val="nil"/>
            </w:tcBorders>
            <w:shd w:val="clear" w:color="auto" w:fill="auto"/>
            <w:noWrap/>
            <w:vAlign w:val="bottom"/>
          </w:tcPr>
          <w:p>
            <w:pPr>
              <w:rPr>
                <w:rFonts w:ascii="Arial" w:hAnsi="Arial" w:cs="Arial"/>
                <w:sz w:val="20"/>
                <w:szCs w:val="20"/>
              </w:rPr>
            </w:pPr>
          </w:p>
        </w:tc>
        <w:tc>
          <w:tcPr>
            <w:tcW w:w="2993" w:type="dxa"/>
            <w:tcBorders>
              <w:top w:val="nil"/>
              <w:left w:val="nil"/>
              <w:bottom w:val="nil"/>
              <w:right w:val="nil"/>
            </w:tcBorders>
            <w:shd w:val="clear" w:color="auto" w:fill="auto"/>
            <w:noWrap/>
            <w:vAlign w:val="bottom"/>
          </w:tcPr>
          <w:p>
            <w:pPr>
              <w:rPr>
                <w:rFonts w:ascii="Arial" w:hAnsi="Arial" w:cs="Arial"/>
                <w:sz w:val="20"/>
                <w:szCs w:val="20"/>
              </w:rPr>
            </w:pPr>
          </w:p>
        </w:tc>
        <w:tc>
          <w:tcPr>
            <w:tcW w:w="3135" w:type="dxa"/>
            <w:tcBorders>
              <w:top w:val="nil"/>
              <w:left w:val="nil"/>
              <w:bottom w:val="nil"/>
              <w:right w:val="nil"/>
            </w:tcBorders>
            <w:shd w:val="clear" w:color="auto" w:fill="auto"/>
            <w:noWrap/>
            <w:vAlign w:val="bottom"/>
          </w:tcPr>
          <w:p>
            <w:pPr>
              <w:rPr>
                <w:rFonts w:ascii="Arial" w:hAnsi="Arial" w:cs="Arial"/>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rPr>
              <w:t>公开08表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rPr>
                <w:rFonts w:ascii="Arial" w:hAnsi="Arial" w:cs="Arial"/>
                <w:sz w:val="20"/>
                <w:szCs w:val="20"/>
              </w:rPr>
            </w:pPr>
            <w:r>
              <w:rPr>
                <w:rFonts w:hint="eastAsia" w:ascii="宋体" w:hAnsi="宋体" w:eastAsia="宋体" w:cs="宋体"/>
                <w:kern w:val="0"/>
                <w:sz w:val="20"/>
                <w:szCs w:val="20"/>
              </w:rPr>
              <w:t>部门：</w:t>
            </w:r>
            <w:r>
              <w:rPr>
                <w:rFonts w:ascii="宋体" w:hAnsi="宋体" w:eastAsia="宋体" w:cs="宋体"/>
                <w:sz w:val="20"/>
              </w:rPr>
              <w:t>环江毛南族自治县第一幼儿园</w:t>
            </w:r>
          </w:p>
        </w:tc>
        <w:tc>
          <w:tcPr>
            <w:tcW w:w="3135" w:type="dxa"/>
            <w:tcBorders>
              <w:top w:val="nil"/>
              <w:left w:val="nil"/>
              <w:bottom w:val="nil"/>
              <w:right w:val="nil"/>
            </w:tcBorders>
            <w:shd w:val="clear" w:color="auto" w:fill="auto"/>
            <w:noWrap/>
            <w:vAlign w:val="bottom"/>
          </w:tcPr>
          <w:p>
            <w:pPr>
              <w:rPr>
                <w:rFonts w:ascii="Arial" w:hAnsi="Arial" w:cs="Arial"/>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栏次</w:t>
            </w:r>
          </w:p>
        </w:tc>
        <w:tc>
          <w:tcPr>
            <w:tcW w:w="299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w:t>
            </w:r>
          </w:p>
        </w:tc>
        <w:tc>
          <w:tcPr>
            <w:tcW w:w="31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合计</w:t>
            </w: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sz w:val="22"/>
                <w:szCs w:val="22"/>
              </w:rPr>
            </w:pPr>
            <w:r>
              <w:rPr>
                <w:rFonts w:hint="eastAsia" w:ascii="宋体" w:hAnsi="宋体" w:eastAsia="宋体" w:cs="宋体"/>
                <w:b/>
                <w:bCs/>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sz w:val="22"/>
                <w:szCs w:val="22"/>
              </w:rPr>
            </w:pPr>
            <w:r>
              <w:rPr>
                <w:rFonts w:hint="eastAsia" w:ascii="宋体" w:hAnsi="宋体" w:eastAsia="宋体" w:cs="宋体"/>
                <w:b/>
                <w:bCs/>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sz w:val="22"/>
                <w:szCs w:val="22"/>
              </w:rPr>
            </w:pPr>
            <w:r>
              <w:rPr>
                <w:rFonts w:hint="eastAsia" w:ascii="宋体" w:hAnsi="宋体" w:eastAsia="宋体" w:cs="宋体"/>
                <w:b/>
                <w:bCs/>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p>
        </w:tc>
      </w:tr>
    </w:tbl>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注：本表反映部门本年度国有资本经营预算财政拨款支出情况。</w:t>
      </w:r>
    </w:p>
    <w:p>
      <w:pPr>
        <w:widowControl/>
        <w:jc w:val="left"/>
        <w:textAlignment w:val="center"/>
        <w:rPr>
          <w:rFonts w:ascii="宋体" w:hAnsi="宋体" w:eastAsia="宋体" w:cs="宋体"/>
          <w:szCs w:val="21"/>
        </w:rPr>
      </w:pPr>
      <w:r>
        <w:rPr>
          <w:rFonts w:hint="eastAsia" w:ascii="宋体" w:hAnsi="宋体" w:eastAsia="宋体" w:cs="宋体"/>
          <w:kern w:val="0"/>
          <w:sz w:val="22"/>
          <w:szCs w:val="22"/>
        </w:rPr>
        <w:t>本部门2023年度没有国有资本经营预算财政拨款收入，也没有国有资本经营预算财政拨款安排的支出，故本表无数据。</w:t>
      </w:r>
    </w:p>
    <w:p>
      <w:pPr>
        <w:widowControl/>
        <w:jc w:val="left"/>
        <w:textAlignment w:val="center"/>
        <w:rPr>
          <w:rFonts w:ascii="宋体" w:hAnsi="宋体" w:eastAsia="宋体" w:cs="宋体"/>
          <w:szCs w:val="21"/>
        </w:rPr>
      </w:pPr>
    </w:p>
    <w:p>
      <w:pPr>
        <w:widowControl/>
        <w:jc w:val="left"/>
        <w:textAlignment w:val="center"/>
        <w:rPr>
          <w:rFonts w:ascii="宋体" w:hAnsi="宋体" w:eastAsia="宋体" w:cs="宋体"/>
          <w:kern w:val="0"/>
          <w:sz w:val="22"/>
          <w:szCs w:val="22"/>
        </w:rPr>
      </w:pP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widowControl/>
              <w:jc w:val="left"/>
              <w:textAlignment w:val="center"/>
              <w:rPr>
                <w:rFonts w:ascii="宋体" w:hAnsi="宋体" w:eastAsia="宋体" w:cs="宋体"/>
                <w:kern w:val="0"/>
                <w:sz w:val="22"/>
                <w:szCs w:val="22"/>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widowControl/>
              <w:textAlignment w:val="bottom"/>
              <w:rPr>
                <w:rFonts w:ascii="宋体" w:hAnsi="宋体" w:eastAsia="宋体" w:cs="宋体"/>
                <w:kern w:val="0"/>
                <w:sz w:val="30"/>
                <w:szCs w:val="30"/>
              </w:rPr>
            </w:pPr>
          </w:p>
          <w:p>
            <w:pPr>
              <w:widowControl/>
              <w:jc w:val="center"/>
              <w:textAlignment w:val="bottom"/>
              <w:rPr>
                <w:rFonts w:ascii="宋体" w:hAnsi="宋体" w:eastAsia="宋体" w:cs="宋体"/>
                <w:sz w:val="30"/>
                <w:szCs w:val="30"/>
              </w:rPr>
            </w:pPr>
            <w:r>
              <w:rPr>
                <w:rFonts w:hint="eastAsia" w:ascii="宋体" w:hAnsi="宋体" w:eastAsia="宋体" w:cs="宋体"/>
                <w:kern w:val="0"/>
                <w:sz w:val="32"/>
                <w:szCs w:val="32"/>
              </w:rPr>
              <w:t>表九：财政拨款“三公”经费支出决算表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rPr>
                <w:rFonts w:ascii="Arial" w:hAnsi="Arial" w:cs="Arial"/>
                <w:sz w:val="20"/>
                <w:szCs w:val="20"/>
              </w:rPr>
            </w:pPr>
          </w:p>
        </w:tc>
        <w:tc>
          <w:tcPr>
            <w:tcW w:w="1425" w:type="dxa"/>
            <w:tcBorders>
              <w:top w:val="nil"/>
              <w:left w:val="nil"/>
              <w:bottom w:val="nil"/>
              <w:right w:val="nil"/>
            </w:tcBorders>
            <w:shd w:val="clear" w:color="auto" w:fill="auto"/>
            <w:noWrap/>
            <w:vAlign w:val="bottom"/>
          </w:tcPr>
          <w:p>
            <w:pPr>
              <w:rPr>
                <w:rFonts w:ascii="Arial" w:hAnsi="Arial" w:cs="Arial"/>
                <w:sz w:val="20"/>
                <w:szCs w:val="20"/>
              </w:rPr>
            </w:pPr>
          </w:p>
        </w:tc>
        <w:tc>
          <w:tcPr>
            <w:tcW w:w="1094" w:type="dxa"/>
            <w:tcBorders>
              <w:top w:val="nil"/>
              <w:left w:val="nil"/>
              <w:bottom w:val="nil"/>
              <w:right w:val="nil"/>
            </w:tcBorders>
            <w:shd w:val="clear" w:color="auto" w:fill="auto"/>
            <w:noWrap/>
            <w:vAlign w:val="bottom"/>
          </w:tcPr>
          <w:p>
            <w:pPr>
              <w:rPr>
                <w:rFonts w:ascii="Arial" w:hAnsi="Arial" w:cs="Arial"/>
                <w:sz w:val="20"/>
                <w:szCs w:val="20"/>
              </w:rPr>
            </w:pPr>
          </w:p>
        </w:tc>
        <w:tc>
          <w:tcPr>
            <w:tcW w:w="1159" w:type="dxa"/>
            <w:tcBorders>
              <w:top w:val="nil"/>
              <w:left w:val="nil"/>
              <w:bottom w:val="nil"/>
              <w:right w:val="nil"/>
            </w:tcBorders>
            <w:shd w:val="clear" w:color="auto" w:fill="auto"/>
            <w:noWrap/>
            <w:vAlign w:val="bottom"/>
          </w:tcPr>
          <w:p>
            <w:pPr>
              <w:rPr>
                <w:rFonts w:ascii="Arial" w:hAnsi="Arial" w:cs="Arial"/>
                <w:sz w:val="20"/>
                <w:szCs w:val="20"/>
              </w:rPr>
            </w:pPr>
          </w:p>
        </w:tc>
        <w:tc>
          <w:tcPr>
            <w:tcW w:w="1133" w:type="dxa"/>
            <w:tcBorders>
              <w:top w:val="nil"/>
              <w:left w:val="nil"/>
              <w:bottom w:val="nil"/>
              <w:right w:val="nil"/>
            </w:tcBorders>
            <w:shd w:val="clear" w:color="auto" w:fill="auto"/>
            <w:noWrap/>
            <w:vAlign w:val="bottom"/>
          </w:tcPr>
          <w:p>
            <w:pPr>
              <w:rPr>
                <w:rFonts w:ascii="Arial" w:hAnsi="Arial" w:cs="Arial"/>
                <w:sz w:val="20"/>
                <w:szCs w:val="20"/>
              </w:rPr>
            </w:pPr>
          </w:p>
        </w:tc>
        <w:tc>
          <w:tcPr>
            <w:tcW w:w="1040" w:type="dxa"/>
            <w:tcBorders>
              <w:top w:val="nil"/>
              <w:left w:val="nil"/>
              <w:bottom w:val="nil"/>
              <w:right w:val="nil"/>
            </w:tcBorders>
            <w:shd w:val="clear" w:color="auto" w:fill="auto"/>
            <w:noWrap/>
            <w:vAlign w:val="bottom"/>
          </w:tcPr>
          <w:p>
            <w:pPr>
              <w:rPr>
                <w:rFonts w:ascii="Arial" w:hAnsi="Arial" w:cs="Arial"/>
                <w:sz w:val="20"/>
                <w:szCs w:val="20"/>
              </w:rPr>
            </w:pPr>
          </w:p>
        </w:tc>
        <w:tc>
          <w:tcPr>
            <w:tcW w:w="1066" w:type="dxa"/>
            <w:tcBorders>
              <w:top w:val="nil"/>
              <w:left w:val="nil"/>
              <w:bottom w:val="nil"/>
              <w:right w:val="nil"/>
            </w:tcBorders>
            <w:shd w:val="clear" w:color="auto" w:fill="auto"/>
            <w:noWrap/>
            <w:vAlign w:val="bottom"/>
          </w:tcPr>
          <w:p>
            <w:pPr>
              <w:rPr>
                <w:rFonts w:ascii="Arial" w:hAnsi="Arial" w:cs="Arial"/>
                <w:sz w:val="20"/>
                <w:szCs w:val="20"/>
              </w:rPr>
            </w:pPr>
          </w:p>
        </w:tc>
        <w:tc>
          <w:tcPr>
            <w:tcW w:w="1161" w:type="dxa"/>
            <w:tcBorders>
              <w:top w:val="nil"/>
              <w:left w:val="nil"/>
              <w:bottom w:val="nil"/>
              <w:right w:val="nil"/>
            </w:tcBorders>
            <w:shd w:val="clear" w:color="auto" w:fill="auto"/>
            <w:noWrap/>
            <w:vAlign w:val="bottom"/>
          </w:tcPr>
          <w:p>
            <w:pPr>
              <w:rPr>
                <w:rFonts w:ascii="Arial" w:hAnsi="Arial" w:cs="Arial"/>
                <w:sz w:val="20"/>
                <w:szCs w:val="20"/>
              </w:rPr>
            </w:pPr>
          </w:p>
        </w:tc>
        <w:tc>
          <w:tcPr>
            <w:tcW w:w="1053" w:type="dxa"/>
            <w:tcBorders>
              <w:top w:val="nil"/>
              <w:left w:val="nil"/>
              <w:bottom w:val="nil"/>
              <w:right w:val="nil"/>
            </w:tcBorders>
            <w:shd w:val="clear" w:color="auto" w:fill="auto"/>
            <w:noWrap/>
            <w:vAlign w:val="bottom"/>
          </w:tcPr>
          <w:p>
            <w:pPr>
              <w:rPr>
                <w:rFonts w:ascii="Arial" w:hAnsi="Arial" w:cs="Arial"/>
                <w:sz w:val="20"/>
                <w:szCs w:val="20"/>
              </w:rPr>
            </w:pPr>
          </w:p>
        </w:tc>
        <w:tc>
          <w:tcPr>
            <w:tcW w:w="1148" w:type="dxa"/>
            <w:tcBorders>
              <w:top w:val="nil"/>
              <w:left w:val="nil"/>
              <w:bottom w:val="nil"/>
              <w:right w:val="nil"/>
            </w:tcBorders>
            <w:shd w:val="clear" w:color="auto" w:fill="auto"/>
            <w:noWrap/>
            <w:vAlign w:val="bottom"/>
          </w:tcPr>
          <w:p>
            <w:pPr>
              <w:rPr>
                <w:rFonts w:ascii="Arial" w:hAnsi="Arial" w:cs="Arial"/>
                <w:sz w:val="20"/>
                <w:szCs w:val="20"/>
              </w:rPr>
            </w:pPr>
          </w:p>
        </w:tc>
        <w:tc>
          <w:tcPr>
            <w:tcW w:w="1133" w:type="dxa"/>
            <w:tcBorders>
              <w:top w:val="nil"/>
              <w:left w:val="nil"/>
              <w:bottom w:val="nil"/>
              <w:right w:val="nil"/>
            </w:tcBorders>
            <w:shd w:val="clear" w:color="auto" w:fill="auto"/>
            <w:noWrap/>
            <w:vAlign w:val="bottom"/>
          </w:tcPr>
          <w:p>
            <w:pPr>
              <w:rPr>
                <w:rFonts w:ascii="Arial" w:hAnsi="Arial" w:cs="Arial"/>
                <w:sz w:val="20"/>
                <w:szCs w:val="20"/>
              </w:rPr>
            </w:pPr>
          </w:p>
        </w:tc>
        <w:tc>
          <w:tcPr>
            <w:tcW w:w="1073"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rPr>
              <w:t>公开09表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rPr>
                <w:rFonts w:ascii="Arial" w:hAnsi="Arial" w:cs="Arial"/>
                <w:sz w:val="20"/>
                <w:szCs w:val="20"/>
              </w:rPr>
            </w:pPr>
            <w:r>
              <w:rPr>
                <w:rFonts w:hint="eastAsia" w:ascii="宋体" w:hAnsi="宋体" w:eastAsia="宋体" w:cs="宋体"/>
                <w:kern w:val="0"/>
                <w:sz w:val="20"/>
                <w:szCs w:val="20"/>
              </w:rPr>
              <w:t>部门：</w:t>
            </w:r>
            <w:r>
              <w:rPr>
                <w:rFonts w:ascii="宋体" w:hAnsi="宋体" w:eastAsia="宋体" w:cs="宋体"/>
                <w:sz w:val="20"/>
              </w:rPr>
              <w:t>环江毛南族自治县第一幼儿园</w:t>
            </w:r>
          </w:p>
        </w:tc>
        <w:tc>
          <w:tcPr>
            <w:tcW w:w="1066" w:type="dxa"/>
            <w:tcBorders>
              <w:top w:val="nil"/>
              <w:left w:val="nil"/>
              <w:bottom w:val="nil"/>
              <w:right w:val="nil"/>
            </w:tcBorders>
            <w:shd w:val="clear" w:color="auto" w:fill="auto"/>
            <w:noWrap/>
            <w:vAlign w:val="bottom"/>
          </w:tcPr>
          <w:p>
            <w:pPr>
              <w:rPr>
                <w:rFonts w:ascii="Arial" w:hAnsi="Arial" w:cs="Arial"/>
                <w:sz w:val="20"/>
                <w:szCs w:val="20"/>
              </w:rPr>
            </w:pPr>
          </w:p>
        </w:tc>
        <w:tc>
          <w:tcPr>
            <w:tcW w:w="1161" w:type="dxa"/>
            <w:tcBorders>
              <w:top w:val="nil"/>
              <w:left w:val="nil"/>
              <w:bottom w:val="nil"/>
              <w:right w:val="nil"/>
            </w:tcBorders>
            <w:shd w:val="clear" w:color="auto" w:fill="auto"/>
            <w:noWrap/>
            <w:vAlign w:val="bottom"/>
          </w:tcPr>
          <w:p>
            <w:pPr>
              <w:rPr>
                <w:rFonts w:ascii="Arial" w:hAnsi="Arial" w:cs="Arial"/>
                <w:sz w:val="20"/>
                <w:szCs w:val="20"/>
              </w:rPr>
            </w:pPr>
          </w:p>
        </w:tc>
        <w:tc>
          <w:tcPr>
            <w:tcW w:w="1053" w:type="dxa"/>
            <w:tcBorders>
              <w:top w:val="nil"/>
              <w:left w:val="nil"/>
              <w:bottom w:val="nil"/>
              <w:right w:val="nil"/>
            </w:tcBorders>
            <w:shd w:val="clear" w:color="auto" w:fill="auto"/>
            <w:noWrap/>
            <w:vAlign w:val="bottom"/>
          </w:tcPr>
          <w:p>
            <w:pPr>
              <w:rPr>
                <w:rFonts w:ascii="Arial" w:hAnsi="Arial" w:cs="Arial"/>
                <w:sz w:val="20"/>
                <w:szCs w:val="20"/>
              </w:rPr>
            </w:pPr>
          </w:p>
        </w:tc>
        <w:tc>
          <w:tcPr>
            <w:tcW w:w="1148" w:type="dxa"/>
            <w:tcBorders>
              <w:top w:val="nil"/>
              <w:left w:val="nil"/>
              <w:bottom w:val="nil"/>
              <w:right w:val="nil"/>
            </w:tcBorders>
            <w:shd w:val="clear" w:color="auto" w:fill="auto"/>
            <w:noWrap/>
            <w:vAlign w:val="bottom"/>
          </w:tcPr>
          <w:p>
            <w:pPr>
              <w:rPr>
                <w:rFonts w:ascii="Arial" w:hAnsi="Arial" w:cs="Arial"/>
                <w:sz w:val="20"/>
                <w:szCs w:val="20"/>
              </w:rPr>
            </w:pPr>
          </w:p>
        </w:tc>
        <w:tc>
          <w:tcPr>
            <w:tcW w:w="2206"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4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小计</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0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16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小计</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w:t>
            </w:r>
          </w:p>
          <w:p>
            <w:pPr>
              <w:widowControl/>
              <w:jc w:val="center"/>
              <w:textAlignment w:val="center"/>
              <w:rPr>
                <w:rFonts w:ascii="宋体" w:hAnsi="宋体" w:eastAsia="宋体" w:cs="宋体"/>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3</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4</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5</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6</w:t>
            </w:r>
          </w:p>
        </w:tc>
        <w:tc>
          <w:tcPr>
            <w:tcW w:w="10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7</w:t>
            </w:r>
          </w:p>
        </w:tc>
        <w:tc>
          <w:tcPr>
            <w:tcW w:w="116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8</w:t>
            </w: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9</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10</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11</w:t>
            </w:r>
          </w:p>
        </w:tc>
        <w:tc>
          <w:tcPr>
            <w:tcW w:w="107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115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113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ascii="宋体" w:hAnsi="宋体" w:eastAsia="宋体" w:cs="宋体"/>
                <w:sz w:val="22"/>
                <w:szCs w:val="22"/>
              </w:rPr>
              <w:t>0.00</w:t>
            </w:r>
          </w:p>
        </w:tc>
        <w:tc>
          <w:tcPr>
            <w:tcW w:w="10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105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11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szCs w:val="22"/>
              </w:rPr>
            </w:pPr>
            <w:r>
              <w:rPr>
                <w:rFonts w:hint="eastAsia" w:ascii="宋体" w:hAnsi="宋体" w:eastAsia="宋体" w:cs="宋体"/>
                <w:sz w:val="22"/>
                <w:szCs w:val="22"/>
              </w:rPr>
              <w:t>0.00</w:t>
            </w:r>
          </w:p>
        </w:tc>
        <w:tc>
          <w:tcPr>
            <w:tcW w:w="1133" w:type="dxa"/>
            <w:tcBorders>
              <w:top w:val="nil"/>
              <w:left w:val="nil"/>
              <w:bottom w:val="single" w:color="000000" w:sz="4" w:space="0"/>
              <w:right w:val="single" w:color="000000" w:sz="4" w:space="0"/>
            </w:tcBorders>
            <w:shd w:val="clear" w:color="auto" w:fill="auto"/>
            <w:noWrap/>
          </w:tcPr>
          <w:p>
            <w:pPr>
              <w:jc w:val="right"/>
            </w:pPr>
            <w:r>
              <w:t>0.00</w:t>
            </w:r>
          </w:p>
        </w:tc>
        <w:tc>
          <w:tcPr>
            <w:tcW w:w="1073"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textAlignment w:val="center"/>
              <w:rPr>
                <w:rFonts w:ascii="宋体" w:hAnsi="宋体" w:eastAsia="宋体" w:cs="宋体"/>
                <w:szCs w:val="21"/>
              </w:rPr>
            </w:pPr>
            <w:r>
              <w:rPr>
                <w:rFonts w:hint="eastAsia" w:ascii="宋体" w:hAnsi="宋体" w:eastAsia="宋体" w:cs="宋体"/>
                <w:kern w:val="0"/>
                <w:sz w:val="22"/>
                <w:szCs w:val="22"/>
              </w:rPr>
              <w:t>本部门2023年度没有一般公共预算财政拨款“三公”经费收入，也没有一般公共预算财政拨款“三公”经费安排的支出，故本表无数据。</w:t>
            </w:r>
          </w:p>
          <w:p>
            <w:pPr>
              <w:widowControl/>
              <w:jc w:val="left"/>
              <w:textAlignment w:val="center"/>
              <w:rPr>
                <w:rFonts w:ascii="宋体" w:hAnsi="宋体" w:eastAsia="宋体" w:cs="宋体"/>
                <w:kern w:val="0"/>
                <w:sz w:val="22"/>
                <w:szCs w:val="22"/>
              </w:rPr>
            </w:pPr>
          </w:p>
        </w:tc>
      </w:tr>
    </w:tbl>
    <w:p>
      <w:pPr>
        <w:ind w:firstLine="420"/>
        <w:jc w:val="left"/>
        <w:rPr>
          <w:rFonts w:ascii="仿宋" w:hAnsi="仿宋" w:eastAsia="仿宋" w:cs="仿宋"/>
          <w:sz w:val="24"/>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rPr>
      </w:pPr>
    </w:p>
    <w:p>
      <w:pPr>
        <w:jc w:val="center"/>
        <w:rPr>
          <w:rFonts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环江毛南族自治县第一幼儿园</w:t>
      </w:r>
      <w:r>
        <w:rPr>
          <w:rFonts w:hint="eastAsia" w:ascii="黑体" w:hAnsi="黑体" w:eastAsia="黑体" w:cs="黑体"/>
          <w:sz w:val="32"/>
          <w:szCs w:val="32"/>
        </w:rPr>
        <w:t>2023年度部门决算情况说明</w:t>
      </w:r>
    </w:p>
    <w:p>
      <w:pPr>
        <w:jc w:val="left"/>
        <w:rPr>
          <w:rFonts w:ascii="黑体" w:hAnsi="黑体" w:eastAsia="黑体" w:cs="黑体"/>
          <w:sz w:val="32"/>
          <w:szCs w:val="32"/>
        </w:rPr>
      </w:pPr>
      <w:r>
        <w:rPr>
          <w:rFonts w:hint="eastAsia" w:ascii="黑体" w:hAnsi="黑体" w:eastAsia="黑体" w:cs="黑体"/>
          <w:sz w:val="32"/>
          <w:szCs w:val="32"/>
        </w:rPr>
        <w:t>一、2023年度收入支出决算总体情况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（一）本部门2023年度总收入</w:t>
      </w:r>
      <w:r>
        <w:rPr>
          <w:rFonts w:ascii="仿宋" w:hAnsi="仿宋" w:eastAsia="仿宋" w:cs="仿宋"/>
          <w:sz w:val="32"/>
          <w:szCs w:val="32"/>
        </w:rPr>
        <w:t xml:space="preserve">541.21 </w:t>
      </w:r>
      <w:r>
        <w:rPr>
          <w:rFonts w:hint="eastAsia" w:ascii="仿宋" w:hAnsi="仿宋" w:eastAsia="仿宋" w:cs="仿宋"/>
          <w:sz w:val="32"/>
          <w:szCs w:val="32"/>
        </w:rPr>
        <w:t>，较2022年度决算数</w:t>
      </w:r>
      <w:r>
        <w:rPr>
          <w:rFonts w:hint="eastAsia" w:ascii="仿宋" w:hAnsi="仿宋" w:eastAsia="仿宋" w:cs="仿宋"/>
          <w:sz w:val="32"/>
        </w:rPr>
        <w:t>减少62.64</w:t>
      </w:r>
      <w:r>
        <w:rPr>
          <w:rFonts w:hint="eastAsia" w:ascii="仿宋" w:hAnsi="仿宋" w:eastAsia="仿宋" w:cs="仿宋"/>
          <w:sz w:val="32"/>
          <w:szCs w:val="32"/>
        </w:rPr>
        <w:t>万元，下降</w:t>
      </w:r>
      <w:r>
        <w:rPr>
          <w:rFonts w:hint="eastAsia" w:ascii="仿宋" w:hAnsi="仿宋" w:eastAsia="仿宋" w:cs="仿宋"/>
          <w:sz w:val="32"/>
        </w:rPr>
        <w:t>10.37</w:t>
      </w:r>
      <w:r>
        <w:rPr>
          <w:rFonts w:ascii="仿宋" w:hAnsi="仿宋" w:eastAsia="仿宋" w:cs="仿宋"/>
          <w:sz w:val="32"/>
        </w:rPr>
        <w:t>%</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本年收入具体情况如下。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1.一般公共预算财政拨款收入</w:t>
      </w:r>
      <w:r>
        <w:rPr>
          <w:rFonts w:ascii="仿宋" w:hAnsi="仿宋" w:eastAsia="仿宋" w:cs="仿宋"/>
          <w:sz w:val="32"/>
          <w:szCs w:val="32"/>
        </w:rPr>
        <w:t>541.21</w:t>
      </w:r>
      <w:r>
        <w:rPr>
          <w:rFonts w:hint="eastAsia" w:ascii="仿宋" w:hAnsi="仿宋" w:eastAsia="仿宋" w:cs="仿宋"/>
          <w:sz w:val="32"/>
          <w:szCs w:val="32"/>
        </w:rPr>
        <w:t>万元，为环江毛南族自治县本级财政当年拨付的资金。较2022年度决算数</w:t>
      </w:r>
      <w:r>
        <w:rPr>
          <w:rFonts w:hint="eastAsia" w:ascii="仿宋" w:hAnsi="仿宋" w:eastAsia="仿宋" w:cs="仿宋"/>
          <w:sz w:val="32"/>
        </w:rPr>
        <w:t>减少62.64</w:t>
      </w:r>
      <w:r>
        <w:rPr>
          <w:rFonts w:hint="eastAsia" w:ascii="仿宋" w:hAnsi="仿宋" w:eastAsia="仿宋" w:cs="仿宋"/>
          <w:sz w:val="32"/>
          <w:szCs w:val="32"/>
        </w:rPr>
        <w:t>万元，下降</w:t>
      </w:r>
      <w:r>
        <w:rPr>
          <w:rFonts w:hint="eastAsia" w:ascii="仿宋" w:hAnsi="仿宋" w:eastAsia="仿宋" w:cs="仿宋"/>
          <w:sz w:val="32"/>
        </w:rPr>
        <w:t>10.37</w:t>
      </w:r>
      <w:r>
        <w:rPr>
          <w:rFonts w:ascii="仿宋" w:hAnsi="仿宋" w:eastAsia="仿宋" w:cs="仿宋"/>
          <w:sz w:val="32"/>
        </w:rPr>
        <w:t>%</w:t>
      </w:r>
      <w:r>
        <w:rPr>
          <w:rFonts w:hint="eastAsia" w:ascii="仿宋" w:hAnsi="仿宋" w:eastAsia="仿宋" w:cs="仿宋"/>
          <w:sz w:val="32"/>
          <w:szCs w:val="32"/>
        </w:rPr>
        <w:t>。主要原因：单位在职人员减少，拨款减少。</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2.政府性基金预算财政拨款收入</w:t>
      </w:r>
      <w:r>
        <w:rPr>
          <w:rFonts w:ascii="仿宋" w:hAnsi="仿宋" w:eastAsia="仿宋" w:cs="仿宋"/>
          <w:sz w:val="32"/>
        </w:rPr>
        <w:t>0.00</w:t>
      </w:r>
      <w:r>
        <w:rPr>
          <w:rFonts w:hint="eastAsia" w:ascii="仿宋" w:hAnsi="仿宋" w:eastAsia="仿宋" w:cs="仿宋"/>
          <w:sz w:val="32"/>
          <w:szCs w:val="32"/>
        </w:rPr>
        <w:t>万元，较2022年度决算数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。本部门无政府性基金预算财政拨款收入。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3.国有资本经营预算财政拨款收入</w:t>
      </w:r>
      <w:r>
        <w:rPr>
          <w:rFonts w:ascii="仿宋" w:hAnsi="仿宋" w:eastAsia="仿宋" w:cs="仿宋"/>
          <w:sz w:val="32"/>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。主要原因是：本部门无国有资本经营预算财政拨款收入。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4.上级补助收入</w:t>
      </w:r>
      <w:r>
        <w:rPr>
          <w:rFonts w:ascii="仿宋" w:hAnsi="仿宋" w:eastAsia="仿宋" w:cs="仿宋"/>
          <w:sz w:val="32"/>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。主要原因是：本单位没有上级补助收入。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5.事业收入</w:t>
      </w:r>
      <w:r>
        <w:rPr>
          <w:rFonts w:ascii="仿宋" w:hAnsi="仿宋" w:eastAsia="仿宋" w:cs="仿宋"/>
          <w:sz w:val="32"/>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。主要原因：事业收入全部纳入一般公共预算财政收入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6.经营收入0.00万</w:t>
      </w:r>
      <w:r>
        <w:rPr>
          <w:rFonts w:hint="eastAsia" w:ascii="仿宋" w:hAnsi="仿宋" w:eastAsia="仿宋" w:cs="仿宋"/>
          <w:sz w:val="32"/>
          <w:szCs w:val="32"/>
          <w:lang w:val="en-US" w:eastAsia="zh-CN"/>
        </w:rPr>
        <w:t>,</w:t>
      </w:r>
      <w:r>
        <w:rPr>
          <w:rFonts w:hint="eastAsia" w:ascii="仿宋" w:hAnsi="仿宋" w:eastAsia="仿宋" w:cs="仿宋"/>
          <w:sz w:val="32"/>
          <w:szCs w:val="32"/>
        </w:rPr>
        <w:t>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。主要原因是：本单位没有经营性收入。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7.附属单位上缴收入</w:t>
      </w:r>
      <w:r>
        <w:rPr>
          <w:rFonts w:ascii="仿宋" w:hAnsi="仿宋" w:eastAsia="仿宋" w:cs="仿宋"/>
          <w:sz w:val="32"/>
        </w:rPr>
        <w:t>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。主要原因是：本单位无附属单位上缴收入。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8.其他收入</w:t>
      </w:r>
      <w:r>
        <w:rPr>
          <w:rFonts w:ascii="仿宋" w:hAnsi="仿宋" w:eastAsia="仿宋" w:cs="仿宋"/>
          <w:sz w:val="32"/>
        </w:rPr>
        <w:t>0.00</w:t>
      </w:r>
      <w:r>
        <w:rPr>
          <w:rFonts w:hint="eastAsia" w:ascii="仿宋" w:hAnsi="仿宋" w:eastAsia="仿宋" w:cs="仿宋"/>
          <w:sz w:val="32"/>
          <w:szCs w:val="32"/>
        </w:rPr>
        <w:t>万元,较2022年度决算数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。主要原因是：本单位没有其他收入。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9.使用非财政拨款结余</w:t>
      </w:r>
      <w:r>
        <w:rPr>
          <w:rFonts w:ascii="仿宋" w:hAnsi="仿宋" w:eastAsia="仿宋" w:cs="仿宋"/>
          <w:sz w:val="32"/>
        </w:rPr>
        <w:t>0.00</w:t>
      </w:r>
      <w:r>
        <w:rPr>
          <w:rFonts w:hint="eastAsia" w:ascii="仿宋" w:hAnsi="仿宋" w:eastAsia="仿宋" w:cs="仿宋"/>
          <w:sz w:val="32"/>
          <w:szCs w:val="32"/>
        </w:rPr>
        <w:t>万元,较2022年度决算数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。主要原因是：本单位没有非财政拨款结余。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10.上年结转和结余</w:t>
      </w:r>
      <w:r>
        <w:rPr>
          <w:rFonts w:ascii="仿宋" w:hAnsi="仿宋" w:eastAsia="仿宋" w:cs="仿宋"/>
          <w:sz w:val="32"/>
        </w:rPr>
        <w:t>0.00</w:t>
      </w:r>
      <w:r>
        <w:rPr>
          <w:rFonts w:hint="eastAsia" w:ascii="仿宋" w:hAnsi="仿宋" w:eastAsia="仿宋" w:cs="仿宋"/>
          <w:sz w:val="32"/>
          <w:szCs w:val="32"/>
        </w:rPr>
        <w:t>万元，较2022年度决算数</w:t>
      </w:r>
      <w:r>
        <w:rPr>
          <w:rFonts w:ascii="仿宋" w:hAnsi="仿宋" w:eastAsia="仿宋" w:cs="仿宋"/>
          <w:sz w:val="32"/>
        </w:rPr>
        <w:t>减少</w:t>
      </w:r>
      <w:r>
        <w:rPr>
          <w:rFonts w:hint="eastAsia" w:ascii="仿宋" w:hAnsi="仿宋" w:eastAsia="仿宋" w:cs="仿宋"/>
          <w:sz w:val="32"/>
        </w:rPr>
        <w:t>0</w:t>
      </w:r>
      <w:r>
        <w:rPr>
          <w:rFonts w:hint="eastAsia" w:ascii="仿宋" w:hAnsi="仿宋" w:eastAsia="仿宋" w:cs="仿宋"/>
          <w:sz w:val="32"/>
          <w:szCs w:val="32"/>
        </w:rPr>
        <w:t>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571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（二）本部门2023年度总支出</w:t>
      </w:r>
      <w:r>
        <w:rPr>
          <w:rFonts w:ascii="仿宋" w:hAnsi="仿宋" w:eastAsia="仿宋" w:cs="仿宋"/>
          <w:sz w:val="32"/>
          <w:szCs w:val="32"/>
        </w:rPr>
        <w:t>541.21</w:t>
      </w:r>
      <w:r>
        <w:rPr>
          <w:rFonts w:hint="eastAsia" w:ascii="仿宋" w:hAnsi="仿宋" w:eastAsia="仿宋" w:cs="仿宋"/>
          <w:sz w:val="32"/>
          <w:szCs w:val="32"/>
        </w:rPr>
        <w:t>万元，其中本年支出</w:t>
      </w:r>
      <w:r>
        <w:rPr>
          <w:rFonts w:ascii="仿宋" w:hAnsi="仿宋" w:eastAsia="仿宋" w:cs="仿宋"/>
          <w:sz w:val="32"/>
          <w:szCs w:val="32"/>
        </w:rPr>
        <w:t>541.21</w:t>
      </w:r>
      <w:r>
        <w:rPr>
          <w:rFonts w:hint="eastAsia" w:ascii="仿宋" w:hAnsi="仿宋" w:eastAsia="仿宋" w:cs="仿宋"/>
          <w:sz w:val="32"/>
          <w:szCs w:val="32"/>
        </w:rPr>
        <w:t>万元，较2022年度决算数</w:t>
      </w:r>
      <w:r>
        <w:rPr>
          <w:rFonts w:hint="eastAsia" w:ascii="仿宋" w:hAnsi="仿宋" w:eastAsia="仿宋" w:cs="仿宋"/>
          <w:sz w:val="32"/>
        </w:rPr>
        <w:t>减少62.64</w:t>
      </w:r>
      <w:r>
        <w:rPr>
          <w:rFonts w:hint="eastAsia" w:ascii="仿宋" w:hAnsi="仿宋" w:eastAsia="仿宋" w:cs="仿宋"/>
          <w:sz w:val="32"/>
          <w:szCs w:val="32"/>
        </w:rPr>
        <w:t>万元，下降</w:t>
      </w:r>
      <w:r>
        <w:rPr>
          <w:rFonts w:hint="eastAsia" w:ascii="仿宋" w:hAnsi="仿宋" w:eastAsia="仿宋" w:cs="仿宋"/>
          <w:sz w:val="32"/>
        </w:rPr>
        <w:t>10.37</w:t>
      </w:r>
      <w:r>
        <w:rPr>
          <w:rFonts w:ascii="仿宋" w:hAnsi="仿宋" w:eastAsia="仿宋" w:cs="仿宋"/>
          <w:sz w:val="32"/>
        </w:rPr>
        <w:t>%</w:t>
      </w:r>
      <w:r>
        <w:rPr>
          <w:rFonts w:hint="eastAsia" w:ascii="仿宋" w:hAnsi="仿宋" w:eastAsia="仿宋" w:cs="仿宋"/>
          <w:sz w:val="32"/>
          <w:szCs w:val="32"/>
        </w:rPr>
        <w:t>。支出具体情况如下：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rPr>
        <w:t>.</w:t>
      </w:r>
      <w:r>
        <w:rPr>
          <w:rFonts w:hint="eastAsia" w:ascii="仿宋" w:hAnsi="仿宋" w:eastAsia="仿宋" w:cs="仿宋"/>
          <w:sz w:val="32"/>
          <w:szCs w:val="32"/>
        </w:rPr>
        <w:t>一般公共服务支出（201</w:t>
      </w:r>
      <w:r>
        <w:rPr>
          <w:rFonts w:ascii="Calibri" w:hAnsi="Calibri" w:eastAsia="宋体" w:cs="Times New Roman"/>
        </w:rPr>
        <w:t xml:space="preserve"> </w:t>
      </w:r>
      <w:r>
        <w:rPr>
          <w:rFonts w:hint="eastAsia" w:ascii="仿宋" w:hAnsi="仿宋" w:eastAsia="仿宋" w:cs="仿宋"/>
          <w:sz w:val="32"/>
          <w:szCs w:val="32"/>
        </w:rPr>
        <w:t>类）4.6</w:t>
      </w:r>
      <w:r>
        <w:rPr>
          <w:rFonts w:hint="eastAsia" w:ascii="仿宋" w:hAnsi="仿宋" w:eastAsia="仿宋" w:cs="仿宋"/>
          <w:sz w:val="32"/>
          <w:szCs w:val="32"/>
          <w:lang w:val="en-US" w:eastAsia="zh-CN"/>
        </w:rPr>
        <w:t>3</w:t>
      </w:r>
      <w:r>
        <w:rPr>
          <w:rFonts w:hint="eastAsia" w:ascii="仿宋" w:hAnsi="仿宋" w:eastAsia="仿宋" w:cs="仿宋"/>
          <w:sz w:val="32"/>
          <w:szCs w:val="32"/>
        </w:rPr>
        <w:t>万元：主要用于：工会经费支出。较2022年度决算数增加0.0</w:t>
      </w:r>
      <w:r>
        <w:rPr>
          <w:rFonts w:hint="eastAsia" w:ascii="仿宋" w:hAnsi="仿宋" w:eastAsia="仿宋" w:cs="仿宋"/>
          <w:sz w:val="32"/>
          <w:szCs w:val="32"/>
          <w:lang w:val="en-US" w:eastAsia="zh-CN"/>
        </w:rPr>
        <w:t>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0.87</w:t>
      </w:r>
      <w:r>
        <w:rPr>
          <w:rFonts w:hint="eastAsia" w:ascii="仿宋" w:hAnsi="仿宋" w:eastAsia="仿宋" w:cs="仿宋"/>
          <w:sz w:val="32"/>
          <w:szCs w:val="32"/>
        </w:rPr>
        <w:t>%，主要原因是：经费开支增加。</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rPr>
        <w:t>.</w:t>
      </w:r>
      <w:r>
        <w:rPr>
          <w:rFonts w:hint="eastAsia" w:ascii="仿宋" w:hAnsi="仿宋" w:eastAsia="仿宋" w:cs="仿宋"/>
          <w:sz w:val="32"/>
          <w:szCs w:val="32"/>
        </w:rPr>
        <w:t>教育支出（205</w:t>
      </w:r>
      <w:r>
        <w:rPr>
          <w:rFonts w:ascii="Calibri" w:hAnsi="Calibri" w:eastAsia="宋体" w:cs="Times New Roman"/>
        </w:rPr>
        <w:t xml:space="preserve"> </w:t>
      </w:r>
      <w:r>
        <w:rPr>
          <w:rFonts w:hint="eastAsia" w:ascii="仿宋" w:hAnsi="仿宋" w:eastAsia="仿宋" w:cs="仿宋"/>
          <w:sz w:val="32"/>
          <w:szCs w:val="32"/>
        </w:rPr>
        <w:t>类）</w:t>
      </w:r>
      <w:r>
        <w:rPr>
          <w:rFonts w:ascii="仿宋" w:hAnsi="仿宋" w:eastAsia="仿宋" w:cs="仿宋"/>
          <w:sz w:val="32"/>
          <w:szCs w:val="32"/>
        </w:rPr>
        <w:t>430.27</w:t>
      </w:r>
      <w:r>
        <w:rPr>
          <w:rFonts w:hint="eastAsia" w:ascii="仿宋" w:hAnsi="仿宋" w:eastAsia="仿宋" w:cs="仿宋"/>
          <w:sz w:val="32"/>
          <w:szCs w:val="32"/>
        </w:rPr>
        <w:t>万元：主要用于：人员工资、日常运转办公经费等支出。较2022年度决算数减少56.68万元，下降11.62%，主要原因是：单位在职人员减少，支出减少。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rPr>
        <w:t>.</w:t>
      </w:r>
      <w:r>
        <w:rPr>
          <w:rFonts w:hint="eastAsia" w:ascii="仿宋" w:hAnsi="仿宋" w:eastAsia="仿宋" w:cs="仿宋"/>
          <w:sz w:val="32"/>
          <w:szCs w:val="32"/>
        </w:rPr>
        <w:t>社会保障和就业支出（208</w:t>
      </w:r>
      <w:r>
        <w:rPr>
          <w:rFonts w:ascii="Calibri" w:hAnsi="Calibri" w:eastAsia="宋体" w:cs="Times New Roman"/>
        </w:rPr>
        <w:t xml:space="preserve"> </w:t>
      </w:r>
      <w:r>
        <w:rPr>
          <w:rFonts w:hint="eastAsia" w:ascii="仿宋" w:hAnsi="仿宋" w:eastAsia="仿宋" w:cs="仿宋"/>
          <w:sz w:val="32"/>
          <w:szCs w:val="32"/>
        </w:rPr>
        <w:t>类）</w:t>
      </w:r>
      <w:r>
        <w:rPr>
          <w:rFonts w:ascii="仿宋" w:hAnsi="仿宋" w:eastAsia="仿宋" w:cs="仿宋"/>
          <w:sz w:val="32"/>
          <w:szCs w:val="32"/>
        </w:rPr>
        <w:t>35.69</w:t>
      </w:r>
      <w:r>
        <w:rPr>
          <w:rFonts w:hint="eastAsia" w:ascii="仿宋" w:hAnsi="仿宋" w:eastAsia="仿宋" w:cs="仿宋"/>
          <w:sz w:val="32"/>
          <w:szCs w:val="32"/>
        </w:rPr>
        <w:t>万元：主要用于：主要用于缴纳教职工社保费单位部分。较2022年度决算数增加3.31万元，增长10.22%，主要原因是：社保缴纳基数提高。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rPr>
        <w:t>.</w:t>
      </w:r>
      <w:r>
        <w:rPr>
          <w:rFonts w:hint="eastAsia" w:ascii="仿宋" w:hAnsi="仿宋" w:eastAsia="仿宋" w:cs="仿宋"/>
          <w:sz w:val="32"/>
          <w:szCs w:val="32"/>
        </w:rPr>
        <w:t>住房保障支出（221</w:t>
      </w:r>
      <w:r>
        <w:rPr>
          <w:rFonts w:ascii="Calibri" w:hAnsi="Calibri" w:eastAsia="宋体" w:cs="Times New Roman"/>
        </w:rPr>
        <w:t xml:space="preserve"> </w:t>
      </w:r>
      <w:r>
        <w:rPr>
          <w:rFonts w:hint="eastAsia" w:ascii="仿宋" w:hAnsi="仿宋" w:eastAsia="仿宋" w:cs="仿宋"/>
          <w:sz w:val="32"/>
          <w:szCs w:val="32"/>
        </w:rPr>
        <w:t>类）</w:t>
      </w:r>
      <w:r>
        <w:rPr>
          <w:rFonts w:ascii="仿宋" w:hAnsi="仿宋" w:eastAsia="仿宋" w:cs="仿宋"/>
          <w:sz w:val="32"/>
          <w:szCs w:val="32"/>
        </w:rPr>
        <w:t>26.52</w:t>
      </w:r>
      <w:r>
        <w:rPr>
          <w:rFonts w:hint="eastAsia" w:ascii="仿宋" w:hAnsi="仿宋" w:eastAsia="仿宋" w:cs="仿宋"/>
          <w:sz w:val="32"/>
          <w:szCs w:val="32"/>
        </w:rPr>
        <w:t>万元：主要用于：缴纳教职员工住房公积金单位部分。较2022年度决算数增加2.38万元，增长9.86%，主要原因是：人员年总收入增加，缴纳基数提高。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rPr>
        <w:t>.</w:t>
      </w:r>
      <w:r>
        <w:rPr>
          <w:rFonts w:hint="eastAsia" w:ascii="仿宋" w:hAnsi="仿宋" w:eastAsia="仿宋" w:cs="仿宋"/>
          <w:sz w:val="32"/>
          <w:szCs w:val="32"/>
        </w:rPr>
        <w:t>其他支出（229</w:t>
      </w:r>
      <w:r>
        <w:rPr>
          <w:rFonts w:ascii="Calibri" w:hAnsi="Calibri" w:eastAsia="宋体" w:cs="Times New Roman"/>
        </w:rPr>
        <w:t xml:space="preserve"> </w:t>
      </w:r>
      <w:r>
        <w:rPr>
          <w:rFonts w:hint="eastAsia" w:ascii="仿宋" w:hAnsi="仿宋" w:eastAsia="仿宋" w:cs="仿宋"/>
          <w:sz w:val="32"/>
          <w:szCs w:val="32"/>
        </w:rPr>
        <w:t>类）</w:t>
      </w:r>
      <w:r>
        <w:rPr>
          <w:rFonts w:ascii="仿宋" w:hAnsi="仿宋" w:eastAsia="仿宋" w:cs="仿宋"/>
          <w:sz w:val="32"/>
          <w:szCs w:val="32"/>
        </w:rPr>
        <w:t>44.1</w:t>
      </w:r>
      <w:r>
        <w:rPr>
          <w:rFonts w:hint="eastAsia" w:ascii="仿宋" w:hAnsi="仿宋" w:eastAsia="仿宋" w:cs="仿宋"/>
          <w:sz w:val="32"/>
          <w:szCs w:val="32"/>
        </w:rPr>
        <w:t>0万元：主要用于：其他工资福利支出。较2022年度决算数减少11.78万元，下降21.08%，主要原因是：主要原因是：其他聘用人员减少。</w:t>
      </w:r>
    </w:p>
    <w:p>
      <w:pPr>
        <w:ind w:firstLine="620" w:firstLineChars="200"/>
        <w:jc w:val="left"/>
        <w:rPr>
          <w:rFonts w:ascii="仿宋" w:hAnsi="仿宋" w:eastAsia="仿宋_GB2312" w:cs="仿宋"/>
          <w:sz w:val="32"/>
          <w:szCs w:val="32"/>
        </w:rPr>
      </w:pPr>
      <w:r>
        <w:rPr>
          <w:rFonts w:ascii="仿宋_GB2312" w:hAnsi="微软雅黑" w:eastAsia="仿宋_GB2312" w:cs="仿宋_GB2312"/>
          <w:sz w:val="31"/>
          <w:szCs w:val="31"/>
          <w:shd w:val="clear" w:color="auto" w:fill="FFFFFF"/>
        </w:rPr>
        <w:t>结余分配</w:t>
      </w:r>
      <w:r>
        <w:rPr>
          <w:rFonts w:hint="eastAsia" w:ascii="仿宋_GB2312" w:hAnsi="微软雅黑" w:eastAsia="仿宋_GB2312" w:cs="仿宋_GB2312"/>
          <w:sz w:val="31"/>
          <w:szCs w:val="31"/>
          <w:shd w:val="clear" w:color="auto" w:fill="FFFFFF"/>
        </w:rPr>
        <w:t>0.00</w:t>
      </w:r>
      <w:r>
        <w:rPr>
          <w:rFonts w:ascii="仿宋_GB2312" w:hAnsi="微软雅黑" w:eastAsia="仿宋_GB2312" w:cs="仿宋_GB2312"/>
          <w:sz w:val="31"/>
          <w:szCs w:val="31"/>
          <w:shd w:val="clear" w:color="auto" w:fill="FFFFFF"/>
        </w:rPr>
        <w:t>万元，为事业单位按规定提取的专用结余、缴纳所得税和转入非财政拨款结余等。较202</w:t>
      </w:r>
      <w:r>
        <w:rPr>
          <w:rFonts w:hint="eastAsia" w:ascii="仿宋_GB2312" w:hAnsi="微软雅黑" w:eastAsia="仿宋_GB2312" w:cs="仿宋_GB2312"/>
          <w:sz w:val="31"/>
          <w:szCs w:val="31"/>
          <w:shd w:val="clear" w:color="auto" w:fill="FFFFFF"/>
        </w:rPr>
        <w:t>2</w:t>
      </w:r>
      <w:r>
        <w:rPr>
          <w:rFonts w:ascii="仿宋_GB2312" w:hAnsi="微软雅黑" w:eastAsia="仿宋_GB2312" w:cs="仿宋_GB2312"/>
          <w:sz w:val="31"/>
          <w:szCs w:val="31"/>
          <w:shd w:val="clear" w:color="auto" w:fill="FFFFFF"/>
        </w:rPr>
        <w:t>年决算</w:t>
      </w:r>
      <w:r>
        <w:rPr>
          <w:rFonts w:hint="eastAsia" w:ascii="仿宋_GB2312" w:hAnsi="微软雅黑" w:eastAsia="仿宋_GB2312" w:cs="仿宋_GB2312"/>
          <w:sz w:val="31"/>
          <w:szCs w:val="31"/>
          <w:shd w:val="clear" w:color="auto" w:fill="FFFFFF"/>
        </w:rPr>
        <w:t>0.00</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,增加0.00</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增长0%</w:t>
      </w:r>
      <w:r>
        <w:rPr>
          <w:rFonts w:ascii="仿宋_GB2312" w:hAnsi="微软雅黑" w:eastAsia="仿宋_GB2312" w:cs="仿宋_GB2312"/>
          <w:sz w:val="31"/>
          <w:szCs w:val="31"/>
          <w:shd w:val="clear" w:color="auto" w:fill="FFFFFF"/>
        </w:rPr>
        <w:t>，主要原因是</w:t>
      </w:r>
      <w:r>
        <w:rPr>
          <w:rFonts w:hint="eastAsia" w:ascii="仿宋" w:hAnsi="仿宋" w:eastAsia="仿宋" w:cs="仿宋"/>
          <w:sz w:val="32"/>
          <w:szCs w:val="32"/>
        </w:rPr>
        <w:t>：</w:t>
      </w:r>
      <w:bookmarkStart w:id="1" w:name="_Hlk151197655"/>
      <w:r>
        <w:rPr>
          <w:rFonts w:hint="eastAsia" w:ascii="仿宋" w:hAnsi="仿宋" w:eastAsia="仿宋" w:cs="仿宋"/>
          <w:sz w:val="32"/>
          <w:szCs w:val="32"/>
        </w:rPr>
        <w:t>本部门2023年度无结余分配资金。</w:t>
      </w:r>
      <w:bookmarkEnd w:id="1"/>
    </w:p>
    <w:p>
      <w:pPr>
        <w:ind w:firstLine="640" w:firstLineChars="200"/>
        <w:jc w:val="left"/>
        <w:rPr>
          <w:rFonts w:ascii="仿宋" w:hAnsi="仿宋" w:eastAsia="仿宋" w:cs="仿宋"/>
          <w:sz w:val="32"/>
          <w:szCs w:val="32"/>
        </w:rPr>
      </w:pPr>
      <w:r>
        <w:rPr>
          <w:rFonts w:hint="eastAsia" w:ascii="仿宋" w:hAnsi="仿宋" w:eastAsia="仿宋" w:cs="仿宋"/>
          <w:sz w:val="32"/>
          <w:szCs w:val="32"/>
        </w:rPr>
        <w:t>年末结转和结余</w:t>
      </w:r>
      <w:r>
        <w:rPr>
          <w:rFonts w:ascii="仿宋" w:hAnsi="仿宋" w:eastAsia="仿宋" w:cs="仿宋"/>
          <w:sz w:val="32"/>
        </w:rPr>
        <w:t>0.00</w:t>
      </w:r>
      <w:r>
        <w:rPr>
          <w:rFonts w:hint="eastAsia" w:ascii="仿宋" w:hAnsi="仿宋" w:eastAsia="仿宋" w:cs="仿宋"/>
          <w:sz w:val="32"/>
          <w:szCs w:val="32"/>
        </w:rPr>
        <w:t>万元，较2022年度决算数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，主要原因是：本部门无结余分配资金。</w:t>
      </w:r>
      <w:r>
        <w:rPr>
          <w:rFonts w:hint="eastAsia" w:ascii="仿宋" w:hAnsi="仿宋" w:eastAsia="仿宋" w:cs="仿宋"/>
          <w:sz w:val="32"/>
          <w:szCs w:val="32"/>
        </w:rPr>
        <w:drawing>
          <wp:inline distT="0" distB="0" distL="114300" distR="114300">
            <wp:extent cx="5229225" cy="2266950"/>
            <wp:effectExtent l="4445" t="4445" r="5080"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rPr>
      </w:pPr>
      <w:r>
        <w:rPr>
          <w:rFonts w:hint="eastAsia" w:ascii="黑体" w:hAnsi="黑体" w:eastAsia="黑体" w:cs="黑体"/>
          <w:sz w:val="32"/>
          <w:szCs w:val="32"/>
        </w:rPr>
        <w:t>二、2023 年度</w:t>
      </w:r>
      <w:bookmarkStart w:id="2" w:name="OLE_LINK1"/>
      <w:r>
        <w:rPr>
          <w:rFonts w:hint="eastAsia" w:ascii="黑体" w:hAnsi="黑体" w:eastAsia="黑体" w:cs="黑体"/>
          <w:sz w:val="32"/>
          <w:szCs w:val="32"/>
        </w:rPr>
        <w:t>一般公共预算财政拨款支出决算情况</w:t>
      </w:r>
      <w:bookmarkEnd w:id="2"/>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环江毛南族自治县第一幼儿园2023年度一般公共预算财政拨款支出</w:t>
      </w:r>
      <w:r>
        <w:rPr>
          <w:rFonts w:ascii="仿宋" w:hAnsi="仿宋" w:eastAsia="仿宋" w:cs="仿宋"/>
          <w:sz w:val="32"/>
          <w:szCs w:val="32"/>
        </w:rPr>
        <w:t>541.21</w:t>
      </w:r>
      <w:r>
        <w:rPr>
          <w:rFonts w:hint="eastAsia" w:ascii="仿宋" w:hAnsi="仿宋" w:eastAsia="仿宋" w:cs="仿宋"/>
          <w:sz w:val="32"/>
          <w:szCs w:val="32"/>
        </w:rPr>
        <w:t>万元，较2022年度决算数</w:t>
      </w:r>
      <w:r>
        <w:rPr>
          <w:rFonts w:hint="eastAsia" w:ascii="仿宋" w:hAnsi="仿宋" w:eastAsia="仿宋" w:cs="仿宋"/>
          <w:sz w:val="32"/>
        </w:rPr>
        <w:t>减少62.64</w:t>
      </w:r>
      <w:r>
        <w:rPr>
          <w:rFonts w:hint="eastAsia" w:ascii="仿宋" w:hAnsi="仿宋" w:eastAsia="仿宋" w:cs="仿宋"/>
          <w:sz w:val="32"/>
          <w:szCs w:val="32"/>
        </w:rPr>
        <w:t>万元，下降</w:t>
      </w:r>
      <w:r>
        <w:rPr>
          <w:rFonts w:hint="eastAsia" w:ascii="仿宋" w:hAnsi="仿宋" w:eastAsia="仿宋" w:cs="仿宋"/>
          <w:sz w:val="32"/>
        </w:rPr>
        <w:t>10.37</w:t>
      </w:r>
      <w:r>
        <w:rPr>
          <w:rFonts w:ascii="仿宋" w:hAnsi="仿宋" w:eastAsia="仿宋" w:cs="仿宋"/>
          <w:sz w:val="32"/>
        </w:rPr>
        <w:t>%</w:t>
      </w:r>
      <w:r>
        <w:rPr>
          <w:rFonts w:hint="eastAsia" w:ascii="仿宋" w:hAnsi="仿宋" w:eastAsia="仿宋" w:cs="仿宋"/>
          <w:sz w:val="32"/>
          <w:szCs w:val="32"/>
        </w:rPr>
        <w:t>。其中：基本支出</w:t>
      </w:r>
      <w:r>
        <w:rPr>
          <w:rFonts w:ascii="仿宋" w:hAnsi="仿宋" w:eastAsia="仿宋" w:cs="仿宋"/>
          <w:sz w:val="32"/>
        </w:rPr>
        <w:t>380.86</w:t>
      </w:r>
      <w:r>
        <w:rPr>
          <w:rFonts w:hint="eastAsia" w:ascii="仿宋" w:hAnsi="仿宋" w:eastAsia="仿宋" w:cs="仿宋"/>
          <w:sz w:val="32"/>
          <w:szCs w:val="32"/>
        </w:rPr>
        <w:t>万元，项目支出</w:t>
      </w:r>
      <w:r>
        <w:rPr>
          <w:rFonts w:ascii="仿宋" w:hAnsi="仿宋" w:eastAsia="仿宋" w:cs="仿宋"/>
          <w:sz w:val="32"/>
        </w:rPr>
        <w:t>160.35</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环江毛南族自治县第一幼儿园2023 年度一般公共预算财政拨款支出年初预算为490.40万元，支出决算为</w:t>
      </w:r>
      <w:r>
        <w:rPr>
          <w:rFonts w:ascii="仿宋" w:hAnsi="仿宋" w:eastAsia="仿宋" w:cs="仿宋"/>
          <w:sz w:val="32"/>
          <w:szCs w:val="32"/>
        </w:rPr>
        <w:t>541.21</w:t>
      </w:r>
      <w:r>
        <w:rPr>
          <w:rFonts w:hint="eastAsia" w:ascii="仿宋" w:hAnsi="仿宋" w:eastAsia="仿宋" w:cs="仿宋"/>
          <w:sz w:val="32"/>
          <w:szCs w:val="32"/>
        </w:rPr>
        <w:t>万元，完成年初预算的</w:t>
      </w:r>
      <w:r>
        <w:rPr>
          <w:rFonts w:hint="eastAsia" w:ascii="仿宋" w:hAnsi="仿宋" w:eastAsia="仿宋" w:cs="仿宋"/>
          <w:sz w:val="32"/>
        </w:rPr>
        <w:t>110.36</w:t>
      </w:r>
      <w:r>
        <w:rPr>
          <w:rFonts w:ascii="仿宋" w:hAnsi="仿宋" w:eastAsia="仿宋" w:cs="仿宋"/>
          <w:sz w:val="32"/>
        </w:rPr>
        <w:t>%</w:t>
      </w:r>
      <w:r>
        <w:rPr>
          <w:rFonts w:hint="eastAsia" w:ascii="仿宋" w:hAnsi="仿宋" w:eastAsia="仿宋" w:cs="仿宋"/>
          <w:sz w:val="32"/>
          <w:szCs w:val="32"/>
        </w:rPr>
        <w:t>。</w:t>
      </w:r>
      <w:bookmarkStart w:id="3" w:name="OLE_LINK2"/>
      <w:bookmarkEnd w:id="3"/>
    </w:p>
    <w:p>
      <w:pPr>
        <w:numPr>
          <w:ilvl w:val="0"/>
          <w:numId w:val="1"/>
        </w:numPr>
        <w:jc w:val="left"/>
        <w:rPr>
          <w:rFonts w:eastAsia="仿宋"/>
        </w:rPr>
      </w:pPr>
      <w:r>
        <w:rPr>
          <w:rFonts w:hint="eastAsia" w:ascii="仿宋" w:hAnsi="仿宋" w:eastAsia="仿宋"/>
          <w:sz w:val="32"/>
          <w:szCs w:val="32"/>
        </w:rPr>
        <w:t>一般公共服务支出</w:t>
      </w:r>
      <w:r>
        <w:rPr>
          <w:rFonts w:ascii="仿宋" w:hAnsi="仿宋" w:eastAsia="仿宋"/>
          <w:sz w:val="32"/>
        </w:rPr>
        <w:t>（201</w:t>
      </w:r>
      <w:r>
        <w:rPr>
          <w:rFonts w:hint="eastAsia" w:ascii="仿宋" w:hAnsi="仿宋" w:eastAsia="仿宋"/>
          <w:sz w:val="32"/>
          <w:szCs w:val="32"/>
        </w:rPr>
        <w:t>类）年初预算为</w:t>
      </w:r>
      <w:r>
        <w:rPr>
          <w:rFonts w:ascii="仿宋" w:hAnsi="仿宋" w:eastAsia="仿宋"/>
          <w:sz w:val="32"/>
          <w:szCs w:val="32"/>
        </w:rPr>
        <w:t>4.6</w:t>
      </w:r>
      <w:r>
        <w:rPr>
          <w:rFonts w:hint="eastAsia" w:ascii="仿宋" w:hAnsi="仿宋" w:eastAsia="仿宋"/>
          <w:sz w:val="32"/>
          <w:szCs w:val="32"/>
          <w:lang w:val="en-US" w:eastAsia="zh-CN"/>
        </w:rPr>
        <w:t>3</w:t>
      </w:r>
      <w:r>
        <w:rPr>
          <w:rFonts w:hint="eastAsia" w:ascii="仿宋" w:hAnsi="仿宋" w:eastAsia="仿宋"/>
          <w:sz w:val="32"/>
          <w:szCs w:val="32"/>
        </w:rPr>
        <w:t>万元，支出决算为</w:t>
      </w:r>
      <w:r>
        <w:rPr>
          <w:rFonts w:ascii="仿宋" w:hAnsi="仿宋" w:eastAsia="仿宋"/>
          <w:sz w:val="32"/>
          <w:szCs w:val="32"/>
        </w:rPr>
        <w:t>4.6</w:t>
      </w:r>
      <w:r>
        <w:rPr>
          <w:rFonts w:hint="eastAsia" w:ascii="仿宋" w:hAnsi="仿宋" w:eastAsia="仿宋"/>
          <w:sz w:val="32"/>
          <w:szCs w:val="32"/>
          <w:lang w:val="en-US" w:eastAsia="zh-CN"/>
        </w:rPr>
        <w:t>3</w:t>
      </w:r>
      <w:r>
        <w:rPr>
          <w:rFonts w:hint="eastAsia" w:ascii="仿宋" w:hAnsi="仿宋" w:eastAsia="仿宋"/>
          <w:sz w:val="32"/>
          <w:szCs w:val="32"/>
        </w:rPr>
        <w:t>万元，完成年初预算的100</w:t>
      </w:r>
      <w:r>
        <w:rPr>
          <w:rFonts w:ascii="仿宋" w:hAnsi="仿宋" w:eastAsia="仿宋"/>
          <w:sz w:val="32"/>
          <w:szCs w:val="32"/>
        </w:rPr>
        <w:t>%</w:t>
      </w:r>
      <w:r>
        <w:rPr>
          <w:rFonts w:hint="eastAsia" w:ascii="仿宋" w:hAnsi="仿宋" w:eastAsia="仿宋"/>
          <w:sz w:val="32"/>
          <w:szCs w:val="32"/>
        </w:rPr>
        <w:t>。预决算存无差异</w:t>
      </w:r>
      <w:r>
        <w:rPr>
          <w:rFonts w:hint="eastAsia" w:ascii="仿宋" w:hAnsi="仿宋" w:eastAsia="仿宋" w:cs="仿宋"/>
          <w:sz w:val="32"/>
          <w:szCs w:val="32"/>
        </w:rPr>
        <w:t>。</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4.6</w:t>
            </w:r>
            <w:r>
              <w:rPr>
                <w:rFonts w:hint="eastAsia" w:ascii="宋体" w:hAnsi="宋体" w:eastAsia="宋体" w:cs="宋体"/>
                <w:sz w:val="18"/>
                <w:szCs w:val="18"/>
                <w:lang w:val="en-US" w:eastAsia="zh-CN"/>
              </w:rPr>
              <w:t>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无差异</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4.6</w:t>
            </w:r>
            <w:r>
              <w:rPr>
                <w:rFonts w:hint="eastAsia" w:ascii="宋体" w:hAnsi="宋体" w:eastAsia="宋体" w:cs="宋体"/>
                <w:sz w:val="18"/>
                <w:szCs w:val="18"/>
                <w:lang w:val="en-US" w:eastAsia="zh-CN"/>
              </w:rPr>
              <w:t>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无差异</w:t>
            </w: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1"/>
        </w:numPr>
        <w:jc w:val="left"/>
        <w:rPr>
          <w:rFonts w:eastAsia="仿宋"/>
        </w:rPr>
      </w:pPr>
      <w:r>
        <w:rPr>
          <w:rFonts w:hint="eastAsia" w:ascii="仿宋" w:hAnsi="仿宋" w:eastAsia="仿宋"/>
          <w:sz w:val="32"/>
          <w:szCs w:val="32"/>
        </w:rPr>
        <w:t>教育支出</w:t>
      </w:r>
      <w:r>
        <w:rPr>
          <w:rFonts w:ascii="仿宋" w:hAnsi="仿宋" w:eastAsia="仿宋"/>
          <w:sz w:val="32"/>
        </w:rPr>
        <w:t>（205</w:t>
      </w:r>
      <w:r>
        <w:rPr>
          <w:rFonts w:hint="eastAsia" w:ascii="仿宋" w:hAnsi="仿宋" w:eastAsia="仿宋"/>
          <w:sz w:val="32"/>
          <w:szCs w:val="32"/>
        </w:rPr>
        <w:t>类）年初预算为407.39万元，支出决算为</w:t>
      </w:r>
      <w:r>
        <w:rPr>
          <w:rFonts w:ascii="仿宋" w:hAnsi="仿宋" w:eastAsia="仿宋"/>
          <w:sz w:val="32"/>
          <w:szCs w:val="32"/>
        </w:rPr>
        <w:t>430.27</w:t>
      </w:r>
      <w:r>
        <w:rPr>
          <w:rFonts w:hint="eastAsia" w:ascii="仿宋" w:hAnsi="仿宋" w:eastAsia="仿宋"/>
          <w:sz w:val="32"/>
          <w:szCs w:val="32"/>
        </w:rPr>
        <w:t>万元，完成年初预算的105.62</w:t>
      </w:r>
      <w:r>
        <w:rPr>
          <w:rFonts w:ascii="仿宋" w:hAnsi="仿宋" w:eastAsia="仿宋"/>
          <w:sz w:val="32"/>
          <w:szCs w:val="32"/>
        </w:rPr>
        <w:t>%</w:t>
      </w:r>
      <w:r>
        <w:rPr>
          <w:rFonts w:hint="eastAsia" w:ascii="仿宋" w:hAnsi="仿宋" w:eastAsia="仿宋"/>
          <w:sz w:val="32"/>
          <w:szCs w:val="32"/>
        </w:rPr>
        <w:t>。预决算存有差异原因是：</w:t>
      </w:r>
      <w:r>
        <w:rPr>
          <w:rFonts w:hint="eastAsia" w:ascii="仿宋" w:hAnsi="仿宋" w:eastAsia="仿宋" w:cs="仿宋"/>
          <w:sz w:val="32"/>
          <w:szCs w:val="32"/>
        </w:rPr>
        <w:t>调整工资标准，支出增加。</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jc w:val="right"/>
              <w:rPr>
                <w:rFonts w:ascii="楷体_GB2312" w:hAnsi="宋体" w:eastAsia="楷体_GB2312" w:cs="宋体"/>
                <w:sz w:val="18"/>
                <w:szCs w:val="18"/>
              </w:rPr>
            </w:pPr>
            <w:r>
              <w:rPr>
                <w:rFonts w:hint="eastAsia" w:ascii="楷体_GB2312" w:eastAsia="楷体_GB2312"/>
                <w:sz w:val="18"/>
                <w:szCs w:val="18"/>
              </w:rPr>
              <w:t>407.39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jc w:val="right"/>
              <w:rPr>
                <w:rFonts w:ascii="楷体_GB2312" w:hAnsi="宋体" w:eastAsia="楷体_GB2312" w:cs="宋体"/>
                <w:sz w:val="18"/>
                <w:szCs w:val="18"/>
              </w:rPr>
            </w:pPr>
            <w:r>
              <w:rPr>
                <w:rFonts w:hint="eastAsia" w:ascii="楷体_GB2312" w:eastAsia="楷体_GB2312"/>
                <w:sz w:val="18"/>
                <w:szCs w:val="18"/>
              </w:rPr>
              <w:t>429.71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105.48%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人员</w:t>
            </w:r>
            <w:r>
              <w:rPr>
                <w:rFonts w:hint="eastAsia" w:ascii="仿宋" w:hAnsi="仿宋" w:eastAsia="仿宋" w:cs="仿宋"/>
                <w:szCs w:val="21"/>
                <w:lang w:val="en-US" w:eastAsia="zh-CN"/>
              </w:rPr>
              <w:t>工资福利及</w:t>
            </w:r>
            <w:r>
              <w:rPr>
                <w:rFonts w:hint="eastAsia" w:ascii="仿宋" w:hAnsi="仿宋" w:eastAsia="仿宋" w:cs="仿宋"/>
                <w:szCs w:val="21"/>
              </w:rPr>
              <w:t>，商品服务支出。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调整工资标准，支出增加。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仿宋_GB2312" w:hAnsi="宋体" w:eastAsia="仿宋_GB2312" w:cs="宋体"/>
                <w:sz w:val="18"/>
                <w:szCs w:val="18"/>
              </w:rPr>
            </w:pPr>
            <w:r>
              <w:rPr>
                <w:rFonts w:hint="eastAsia" w:ascii="仿宋_GB2312" w:hAnsi="宋体" w:eastAsia="仿宋_GB2312" w:cs="宋体"/>
                <w:sz w:val="18"/>
                <w:szCs w:val="18"/>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仿宋_GB2312" w:hAnsi="宋体" w:eastAsia="仿宋_GB2312" w:cs="宋体"/>
                <w:sz w:val="18"/>
                <w:szCs w:val="18"/>
              </w:rPr>
            </w:pPr>
            <w:r>
              <w:rPr>
                <w:rFonts w:hint="eastAsia" w:ascii="仿宋_GB2312" w:hAnsi="宋体" w:eastAsia="仿宋_GB2312" w:cs="宋体"/>
                <w:sz w:val="18"/>
                <w:szCs w:val="18"/>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jc w:val="right"/>
              <w:rPr>
                <w:rFonts w:ascii="仿宋_GB2312" w:hAnsi="宋体" w:eastAsia="仿宋_GB2312" w:cs="宋体"/>
                <w:sz w:val="18"/>
                <w:szCs w:val="18"/>
              </w:rPr>
            </w:pPr>
            <w:r>
              <w:rPr>
                <w:rFonts w:hint="eastAsia" w:ascii="仿宋_GB2312" w:eastAsia="仿宋_GB2312"/>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jc w:val="right"/>
              <w:rPr>
                <w:rFonts w:ascii="仿宋_GB2312" w:hAnsi="宋体" w:eastAsia="仿宋_GB2312" w:cs="宋体"/>
                <w:sz w:val="18"/>
                <w:szCs w:val="18"/>
              </w:rPr>
            </w:pPr>
            <w:r>
              <w:rPr>
                <w:rFonts w:hint="eastAsia" w:ascii="仿宋_GB2312" w:eastAsia="仿宋_GB2312"/>
                <w:sz w:val="18"/>
                <w:szCs w:val="18"/>
              </w:rPr>
              <w:t>0.56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_GB2312" w:hAnsi="宋体" w:eastAsia="仿宋_GB2312" w:cs="宋体"/>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_GB2312" w:hAnsi="宋体" w:eastAsia="仿宋_GB2312"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_GB2312" w:hAnsi="宋体" w:eastAsia="仿宋_GB2312" w:cs="宋体"/>
                <w:sz w:val="18"/>
                <w:szCs w:val="18"/>
              </w:rPr>
            </w:pPr>
            <w:r>
              <w:rPr>
                <w:rFonts w:hint="eastAsia" w:ascii="仿宋" w:hAnsi="仿宋" w:eastAsia="仿宋" w:cs="仿宋"/>
                <w:sz w:val="18"/>
                <w:szCs w:val="18"/>
              </w:rPr>
              <w:t>此部分资金每年上级部门都做有预算，直接下达，本部门无需做预算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楷体_GB2312" w:eastAsia="楷体_GB2312"/>
                <w:sz w:val="18"/>
                <w:szCs w:val="18"/>
              </w:rPr>
              <w:t>407.39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430.27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105.62</w:t>
            </w:r>
            <w:r>
              <w:rPr>
                <w:rFonts w:hint="eastAsia" w:ascii="宋体" w:hAnsi="宋体" w:eastAsia="宋体" w:cs="宋体"/>
                <w:sz w:val="18"/>
                <w:szCs w:val="18"/>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jc w:val="left"/>
        <w:rPr>
          <w:rFonts w:ascii="仿宋" w:hAnsi="仿宋" w:eastAsia="仿宋"/>
          <w:sz w:val="32"/>
          <w:szCs w:val="32"/>
        </w:rPr>
      </w:pPr>
    </w:p>
    <w:p>
      <w:pPr>
        <w:jc w:val="center"/>
        <w:rPr>
          <w:rFonts w:ascii="仿宋" w:hAnsi="仿宋" w:eastAsia="仿宋"/>
          <w:sz w:val="32"/>
          <w:szCs w:val="32"/>
        </w:rPr>
      </w:pPr>
      <w:r>
        <w:drawing>
          <wp:inline distT="0" distB="0" distL="114300" distR="114300">
            <wp:extent cx="4581525" cy="3028950"/>
            <wp:effectExtent l="4445" t="4445" r="5080" b="14605"/>
            <wp:docPr id="105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1"/>
        </w:numPr>
        <w:jc w:val="left"/>
        <w:rPr>
          <w:rFonts w:eastAsia="仿宋"/>
        </w:rPr>
      </w:pPr>
      <w:r>
        <w:rPr>
          <w:rFonts w:hint="eastAsia" w:ascii="仿宋" w:hAnsi="仿宋" w:eastAsia="仿宋"/>
          <w:sz w:val="32"/>
          <w:szCs w:val="32"/>
        </w:rPr>
        <w:t>社会保障和就业支出</w:t>
      </w:r>
      <w:r>
        <w:rPr>
          <w:rFonts w:ascii="仿宋" w:hAnsi="仿宋" w:eastAsia="仿宋"/>
          <w:sz w:val="32"/>
        </w:rPr>
        <w:t>（208</w:t>
      </w:r>
      <w:r>
        <w:rPr>
          <w:rFonts w:hint="eastAsia" w:ascii="仿宋" w:hAnsi="仿宋" w:eastAsia="仿宋"/>
          <w:sz w:val="32"/>
          <w:szCs w:val="32"/>
        </w:rPr>
        <w:t>类）年初预算为38.42万元，支出决算为</w:t>
      </w:r>
      <w:r>
        <w:rPr>
          <w:rFonts w:ascii="仿宋" w:hAnsi="仿宋" w:eastAsia="仿宋"/>
          <w:sz w:val="32"/>
          <w:szCs w:val="32"/>
        </w:rPr>
        <w:t>35.69</w:t>
      </w:r>
      <w:r>
        <w:rPr>
          <w:rFonts w:hint="eastAsia" w:ascii="仿宋" w:hAnsi="仿宋" w:eastAsia="仿宋"/>
          <w:sz w:val="32"/>
          <w:szCs w:val="32"/>
        </w:rPr>
        <w:t>万元，完成年初预算的92.89</w:t>
      </w:r>
      <w:r>
        <w:rPr>
          <w:rFonts w:ascii="仿宋" w:hAnsi="仿宋" w:eastAsia="仿宋"/>
          <w:sz w:val="32"/>
          <w:szCs w:val="32"/>
        </w:rPr>
        <w:t>%</w:t>
      </w:r>
      <w:r>
        <w:rPr>
          <w:rFonts w:hint="eastAsia" w:ascii="仿宋" w:hAnsi="仿宋" w:eastAsia="仿宋"/>
          <w:sz w:val="32"/>
          <w:szCs w:val="32"/>
        </w:rPr>
        <w:t>。预决算存有差异原因是：</w:t>
      </w:r>
      <w:r>
        <w:rPr>
          <w:rFonts w:hint="eastAsia" w:ascii="仿宋" w:hAnsi="仿宋" w:eastAsia="仿宋" w:cs="仿宋"/>
          <w:sz w:val="32"/>
          <w:szCs w:val="32"/>
        </w:rPr>
        <w:t>年初预算缴费基数过高。</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38.42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35.69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92.89%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教职工基本养老保险缴费支出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bookmarkStart w:id="4" w:name="_Hlk151198286"/>
            <w:r>
              <w:rPr>
                <w:rFonts w:hint="eastAsia" w:ascii="仿宋" w:hAnsi="仿宋" w:eastAsia="仿宋" w:cs="仿宋"/>
                <w:sz w:val="18"/>
                <w:szCs w:val="18"/>
              </w:rPr>
              <w:t>年初预算缴费基数过高。</w:t>
            </w:r>
            <w:bookmarkEnd w:id="4"/>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38.42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35.69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92.89%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jc w:val="left"/>
        <w:rPr>
          <w:rFonts w:ascii="仿宋" w:hAnsi="仿宋" w:eastAsia="仿宋"/>
          <w:sz w:val="32"/>
          <w:szCs w:val="32"/>
        </w:rPr>
      </w:pPr>
    </w:p>
    <w:p>
      <w:pPr>
        <w:jc w:val="center"/>
        <w:rPr>
          <w:rFonts w:ascii="仿宋" w:hAnsi="仿宋" w:eastAsia="仿宋"/>
          <w:sz w:val="32"/>
          <w:szCs w:val="32"/>
        </w:rPr>
      </w:pPr>
      <w:r>
        <w:drawing>
          <wp:inline distT="0" distB="0" distL="114300" distR="114300">
            <wp:extent cx="4581525" cy="3028950"/>
            <wp:effectExtent l="4445" t="4445" r="5080"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1"/>
        </w:numPr>
        <w:jc w:val="left"/>
        <w:rPr>
          <w:rFonts w:eastAsia="仿宋"/>
        </w:rPr>
      </w:pPr>
      <w:r>
        <w:rPr>
          <w:rFonts w:hint="eastAsia" w:ascii="仿宋" w:hAnsi="仿宋" w:eastAsia="仿宋"/>
          <w:sz w:val="32"/>
          <w:szCs w:val="32"/>
        </w:rPr>
        <w:t>住房保障支出</w:t>
      </w:r>
      <w:r>
        <w:rPr>
          <w:rFonts w:ascii="仿宋" w:hAnsi="仿宋" w:eastAsia="仿宋"/>
          <w:sz w:val="32"/>
        </w:rPr>
        <w:t>（221</w:t>
      </w:r>
      <w:r>
        <w:rPr>
          <w:rFonts w:hint="eastAsia" w:ascii="仿宋" w:hAnsi="仿宋" w:eastAsia="仿宋"/>
          <w:sz w:val="32"/>
          <w:szCs w:val="32"/>
        </w:rPr>
        <w:t>类）年初预算为28.82万元，支出决算为</w:t>
      </w:r>
      <w:r>
        <w:rPr>
          <w:rFonts w:ascii="仿宋" w:hAnsi="仿宋" w:eastAsia="仿宋"/>
          <w:sz w:val="32"/>
          <w:szCs w:val="32"/>
        </w:rPr>
        <w:t>26.52</w:t>
      </w:r>
      <w:r>
        <w:rPr>
          <w:rFonts w:hint="eastAsia" w:ascii="仿宋" w:hAnsi="仿宋" w:eastAsia="仿宋"/>
          <w:sz w:val="32"/>
          <w:szCs w:val="32"/>
        </w:rPr>
        <w:t>万元，完成年初预算的92.02</w:t>
      </w:r>
      <w:r>
        <w:rPr>
          <w:rFonts w:ascii="仿宋" w:hAnsi="仿宋" w:eastAsia="仿宋"/>
          <w:sz w:val="32"/>
          <w:szCs w:val="32"/>
        </w:rPr>
        <w:t>%</w:t>
      </w:r>
      <w:r>
        <w:rPr>
          <w:rFonts w:hint="eastAsia" w:ascii="仿宋" w:hAnsi="仿宋" w:eastAsia="仿宋"/>
          <w:sz w:val="32"/>
          <w:szCs w:val="32"/>
        </w:rPr>
        <w:t>。预决算存有差异原因是：</w:t>
      </w:r>
      <w:r>
        <w:rPr>
          <w:rFonts w:hint="eastAsia" w:ascii="仿宋" w:hAnsi="仿宋" w:eastAsia="仿宋" w:cs="仿宋"/>
          <w:sz w:val="32"/>
          <w:szCs w:val="32"/>
        </w:rPr>
        <w:t>年初预算缴费基数过高。</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28.82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26.52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92.02%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教职工住房公积金支出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年初预算缴费基数过高。</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28.82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26.52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92.02%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jc w:val="left"/>
        <w:rPr>
          <w:rFonts w:ascii="仿宋" w:hAnsi="仿宋" w:eastAsia="仿宋"/>
          <w:sz w:val="32"/>
          <w:szCs w:val="32"/>
        </w:rPr>
      </w:pPr>
    </w:p>
    <w:p>
      <w:pPr>
        <w:jc w:val="center"/>
        <w:rPr>
          <w:rFonts w:ascii="仿宋" w:hAnsi="仿宋" w:eastAsia="仿宋"/>
          <w:sz w:val="32"/>
          <w:szCs w:val="32"/>
        </w:rPr>
      </w:pPr>
      <w:r>
        <w:drawing>
          <wp:inline distT="0" distB="0" distL="114300" distR="114300">
            <wp:extent cx="4581525" cy="2172335"/>
            <wp:effectExtent l="5080" t="4445" r="4445" b="1397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1"/>
        </w:numPr>
        <w:jc w:val="left"/>
        <w:rPr>
          <w:rFonts w:eastAsia="仿宋"/>
        </w:rPr>
      </w:pPr>
      <w:r>
        <w:rPr>
          <w:rFonts w:hint="eastAsia" w:ascii="仿宋" w:hAnsi="仿宋" w:eastAsia="仿宋"/>
          <w:sz w:val="32"/>
          <w:szCs w:val="32"/>
        </w:rPr>
        <w:t>其他支出</w:t>
      </w:r>
      <w:r>
        <w:rPr>
          <w:rFonts w:ascii="仿宋" w:hAnsi="仿宋" w:eastAsia="仿宋"/>
          <w:sz w:val="32"/>
        </w:rPr>
        <w:t>（229</w:t>
      </w:r>
      <w:r>
        <w:rPr>
          <w:rFonts w:hint="eastAsia" w:ascii="仿宋" w:hAnsi="仿宋" w:eastAsia="仿宋"/>
          <w:sz w:val="32"/>
          <w:szCs w:val="32"/>
        </w:rPr>
        <w:t>类）年初预算为</w:t>
      </w:r>
      <w:r>
        <w:rPr>
          <w:rFonts w:ascii="仿宋" w:hAnsi="仿宋" w:eastAsia="仿宋"/>
          <w:sz w:val="32"/>
          <w:szCs w:val="32"/>
        </w:rPr>
        <w:t>0.00</w:t>
      </w:r>
      <w:r>
        <w:rPr>
          <w:rFonts w:hint="eastAsia" w:ascii="仿宋" w:hAnsi="仿宋" w:eastAsia="仿宋"/>
          <w:sz w:val="32"/>
          <w:szCs w:val="32"/>
        </w:rPr>
        <w:t>万元，支出决算为</w:t>
      </w:r>
      <w:r>
        <w:rPr>
          <w:rFonts w:ascii="仿宋" w:hAnsi="仿宋" w:eastAsia="仿宋"/>
          <w:sz w:val="32"/>
          <w:szCs w:val="32"/>
        </w:rPr>
        <w:t>44.1</w:t>
      </w:r>
      <w:r>
        <w:rPr>
          <w:rFonts w:hint="eastAsia" w:ascii="仿宋" w:hAnsi="仿宋" w:eastAsia="仿宋"/>
          <w:sz w:val="32"/>
          <w:szCs w:val="32"/>
        </w:rPr>
        <w:t>0万元。预决算存有差异原因是：</w:t>
      </w:r>
      <w:r>
        <w:rPr>
          <w:rFonts w:hint="eastAsia" w:ascii="仿宋" w:hAnsi="仿宋" w:eastAsia="仿宋" w:cs="仿宋"/>
          <w:sz w:val="32"/>
          <w:szCs w:val="32"/>
        </w:rPr>
        <w:t>此部分资金每年上级部门都做有预算，直接下达，本部门无需做预算。</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44.10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其他人员工资福利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_GB2312" w:hAnsi="宋体" w:eastAsia="仿宋_GB2312" w:cs="宋体"/>
                <w:sz w:val="18"/>
                <w:szCs w:val="18"/>
              </w:rPr>
            </w:pPr>
            <w:r>
              <w:rPr>
                <w:rFonts w:hint="eastAsia" w:ascii="仿宋" w:hAnsi="仿宋" w:eastAsia="仿宋" w:cs="仿宋"/>
                <w:szCs w:val="21"/>
              </w:rPr>
              <w:t>此部分资金每年上级部门都做有预算，直接下达，本部门无需做预算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44.10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rPr>
      </w:pPr>
      <w:r>
        <w:rPr>
          <w:rFonts w:hint="eastAsia" w:ascii="黑体" w:hAnsi="黑体" w:eastAsia="黑体" w:cs="黑体"/>
          <w:sz w:val="32"/>
          <w:szCs w:val="32"/>
        </w:rPr>
        <w:t>三、2023年度一般公共预算财政拨款基本支出决算情况说明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环江毛南族自治县第一幼儿园2023年度一般公共预算财政拨款基本支出</w:t>
      </w:r>
      <w:r>
        <w:rPr>
          <w:rFonts w:ascii="仿宋" w:hAnsi="仿宋" w:eastAsia="仿宋" w:cs="仿宋"/>
          <w:sz w:val="32"/>
        </w:rPr>
        <w:t>380.86</w:t>
      </w:r>
      <w:r>
        <w:rPr>
          <w:rFonts w:hint="eastAsia" w:ascii="仿宋" w:hAnsi="仿宋" w:eastAsia="仿宋" w:cs="仿宋"/>
          <w:sz w:val="32"/>
          <w:szCs w:val="32"/>
        </w:rPr>
        <w:t>万元，</w:t>
      </w:r>
      <w:r>
        <w:rPr>
          <w:rFonts w:ascii="仿宋_GB2312" w:hAnsi="微软雅黑" w:eastAsia="仿宋_GB2312" w:cs="仿宋_GB2312"/>
          <w:sz w:val="31"/>
          <w:szCs w:val="31"/>
          <w:shd w:val="clear" w:color="auto" w:fill="FFFFFF"/>
        </w:rPr>
        <w:t>其中：人员经费支出</w:t>
      </w:r>
      <w:r>
        <w:rPr>
          <w:rFonts w:ascii="仿宋" w:hAnsi="仿宋" w:eastAsia="仿宋" w:cs="仿宋"/>
          <w:sz w:val="32"/>
          <w:szCs w:val="32"/>
        </w:rPr>
        <w:t>376.2</w:t>
      </w:r>
      <w:r>
        <w:rPr>
          <w:rFonts w:hint="eastAsia" w:ascii="仿宋" w:hAnsi="仿宋" w:eastAsia="仿宋" w:cs="仿宋"/>
          <w:sz w:val="32"/>
          <w:szCs w:val="32"/>
        </w:rPr>
        <w:t>2</w:t>
      </w:r>
      <w:r>
        <w:rPr>
          <w:rFonts w:ascii="仿宋_GB2312" w:hAnsi="微软雅黑" w:eastAsia="仿宋_GB2312" w:cs="仿宋_GB2312"/>
          <w:sz w:val="31"/>
          <w:szCs w:val="31"/>
          <w:shd w:val="clear" w:color="auto" w:fill="FFFFFF"/>
        </w:rPr>
        <w:t>万元，公用经费支出</w:t>
      </w:r>
      <w:r>
        <w:rPr>
          <w:rFonts w:hint="eastAsia" w:ascii="仿宋" w:hAnsi="仿宋" w:eastAsia="仿宋" w:cs="仿宋"/>
          <w:sz w:val="32"/>
          <w:szCs w:val="32"/>
        </w:rPr>
        <w:t>4.6</w:t>
      </w:r>
      <w:r>
        <w:rPr>
          <w:rFonts w:hint="eastAsia" w:ascii="仿宋" w:hAnsi="仿宋" w:eastAsia="仿宋" w:cs="仿宋"/>
          <w:sz w:val="32"/>
          <w:szCs w:val="32"/>
          <w:lang w:val="en-US" w:eastAsia="zh-CN"/>
        </w:rPr>
        <w:t>3</w:t>
      </w:r>
      <w:r>
        <w:rPr>
          <w:rFonts w:ascii="仿宋_GB2312" w:hAnsi="微软雅黑" w:eastAsia="仿宋_GB2312" w:cs="仿宋_GB2312"/>
          <w:sz w:val="31"/>
          <w:szCs w:val="31"/>
          <w:shd w:val="clear" w:color="auto" w:fill="FFFFFF"/>
        </w:rPr>
        <w:t>万元，</w:t>
      </w:r>
      <w:r>
        <w:rPr>
          <w:rFonts w:hint="eastAsia" w:ascii="仿宋" w:hAnsi="仿宋" w:eastAsia="仿宋" w:cs="仿宋"/>
          <w:sz w:val="32"/>
          <w:szCs w:val="32"/>
        </w:rPr>
        <w:t>支出具体情况如下：</w:t>
      </w:r>
    </w:p>
    <w:p>
      <w:pPr>
        <w:numPr>
          <w:ilvl w:val="0"/>
          <w:numId w:val="2"/>
        </w:numPr>
        <w:jc w:val="left"/>
        <w:rPr>
          <w:rFonts w:ascii="仿宋" w:hAnsi="仿宋" w:eastAsia="仿宋" w:cs="仿宋"/>
          <w:sz w:val="32"/>
          <w:szCs w:val="32"/>
        </w:rPr>
      </w:pPr>
      <w:r>
        <w:rPr>
          <w:rFonts w:hint="eastAsia" w:ascii="仿宋" w:hAnsi="仿宋" w:eastAsia="仿宋" w:cs="仿宋"/>
          <w:sz w:val="32"/>
          <w:szCs w:val="32"/>
        </w:rPr>
        <w:t>工资福利支出</w:t>
      </w:r>
      <w:r>
        <w:rPr>
          <w:rFonts w:ascii="仿宋" w:hAnsi="仿宋" w:eastAsia="仿宋" w:cs="仿宋"/>
          <w:sz w:val="32"/>
        </w:rPr>
        <w:t>340.51万元，</w:t>
      </w:r>
      <w:r>
        <w:rPr>
          <w:rFonts w:ascii="仿宋_GB2312" w:hAnsi="微软雅黑" w:eastAsia="仿宋_GB2312" w:cs="仿宋_GB2312"/>
          <w:sz w:val="31"/>
          <w:szCs w:val="31"/>
          <w:shd w:val="clear" w:color="auto" w:fill="FFFFFF"/>
        </w:rPr>
        <w:t>完成年初预算</w:t>
      </w:r>
      <w:r>
        <w:rPr>
          <w:rFonts w:hint="eastAsia" w:ascii="仿宋_GB2312" w:hAnsi="微软雅黑" w:eastAsia="仿宋_GB2312" w:cs="仿宋_GB2312"/>
          <w:sz w:val="31"/>
          <w:szCs w:val="31"/>
          <w:shd w:val="clear" w:color="auto" w:fill="FFFFFF"/>
        </w:rPr>
        <w:t>303.82</w:t>
      </w:r>
      <w:r>
        <w:rPr>
          <w:rFonts w:ascii="仿宋_GB2312" w:hAnsi="微软雅黑" w:eastAsia="仿宋_GB2312" w:cs="仿宋_GB2312"/>
          <w:sz w:val="31"/>
          <w:szCs w:val="31"/>
          <w:shd w:val="clear" w:color="auto" w:fill="FFFFFF"/>
        </w:rPr>
        <w:t>的</w:t>
      </w:r>
      <w:r>
        <w:rPr>
          <w:rFonts w:hint="eastAsia" w:ascii="仿宋" w:hAnsi="仿宋" w:eastAsia="仿宋" w:cs="仿宋"/>
          <w:sz w:val="32"/>
          <w:szCs w:val="32"/>
        </w:rPr>
        <w:t>112.08%</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主要原因是：2023年度调整工资标准；职工五险一金基数调整。</w:t>
      </w:r>
    </w:p>
    <w:p>
      <w:pPr>
        <w:ind w:firstLine="640" w:firstLineChars="200"/>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：30101基本工资</w:t>
      </w:r>
      <w:r>
        <w:rPr>
          <w:rFonts w:ascii="仿宋" w:hAnsi="仿宋" w:eastAsia="仿宋" w:cs="仿宋"/>
          <w:sz w:val="32"/>
          <w:szCs w:val="32"/>
        </w:rPr>
        <w:t>110.85</w:t>
      </w:r>
      <w:r>
        <w:rPr>
          <w:rFonts w:hint="eastAsia" w:ascii="仿宋" w:hAnsi="仿宋" w:eastAsia="仿宋" w:cs="仿宋"/>
          <w:sz w:val="32"/>
          <w:szCs w:val="32"/>
        </w:rPr>
        <w:t>万元，30102津贴补贴</w:t>
      </w:r>
      <w:r>
        <w:rPr>
          <w:rFonts w:ascii="仿宋" w:hAnsi="仿宋" w:eastAsia="仿宋" w:cs="仿宋"/>
          <w:sz w:val="32"/>
          <w:szCs w:val="32"/>
        </w:rPr>
        <w:t>11.14</w:t>
      </w:r>
      <w:r>
        <w:rPr>
          <w:rFonts w:hint="eastAsia" w:ascii="仿宋" w:hAnsi="仿宋" w:eastAsia="仿宋" w:cs="仿宋"/>
          <w:sz w:val="32"/>
          <w:szCs w:val="32"/>
        </w:rPr>
        <w:t>万元，30103奖金</w:t>
      </w:r>
      <w:r>
        <w:rPr>
          <w:rFonts w:ascii="仿宋" w:hAnsi="仿宋" w:eastAsia="仿宋" w:cs="仿宋"/>
          <w:sz w:val="32"/>
          <w:szCs w:val="32"/>
        </w:rPr>
        <w:t>86.3</w:t>
      </w:r>
      <w:r>
        <w:rPr>
          <w:rFonts w:hint="eastAsia" w:ascii="仿宋" w:hAnsi="仿宋" w:eastAsia="仿宋" w:cs="仿宋"/>
          <w:sz w:val="32"/>
          <w:szCs w:val="32"/>
        </w:rPr>
        <w:t>万元，30107绩效工资</w:t>
      </w:r>
      <w:r>
        <w:rPr>
          <w:rFonts w:ascii="仿宋" w:hAnsi="仿宋" w:eastAsia="仿宋" w:cs="仿宋"/>
          <w:sz w:val="32"/>
          <w:szCs w:val="32"/>
        </w:rPr>
        <w:t>55.29</w:t>
      </w:r>
      <w:r>
        <w:rPr>
          <w:rFonts w:hint="eastAsia" w:ascii="仿宋" w:hAnsi="仿宋" w:eastAsia="仿宋" w:cs="仿宋"/>
          <w:sz w:val="32"/>
          <w:szCs w:val="32"/>
        </w:rPr>
        <w:t>万元，30108机关事业单位基本养老保险缴费</w:t>
      </w:r>
      <w:r>
        <w:rPr>
          <w:rFonts w:ascii="仿宋" w:hAnsi="仿宋" w:eastAsia="仿宋" w:cs="仿宋"/>
          <w:sz w:val="32"/>
          <w:szCs w:val="32"/>
        </w:rPr>
        <w:t>35.69</w:t>
      </w:r>
      <w:r>
        <w:rPr>
          <w:rFonts w:hint="eastAsia" w:ascii="仿宋" w:hAnsi="仿宋" w:eastAsia="仿宋" w:cs="仿宋"/>
          <w:sz w:val="32"/>
          <w:szCs w:val="32"/>
        </w:rPr>
        <w:t>万元，30110职工基本医疗保险缴费</w:t>
      </w:r>
      <w:r>
        <w:rPr>
          <w:rFonts w:ascii="仿宋" w:hAnsi="仿宋" w:eastAsia="仿宋" w:cs="仿宋"/>
          <w:sz w:val="32"/>
          <w:szCs w:val="32"/>
        </w:rPr>
        <w:t>12.95</w:t>
      </w:r>
      <w:r>
        <w:rPr>
          <w:rFonts w:hint="eastAsia" w:ascii="仿宋" w:hAnsi="仿宋" w:eastAsia="仿宋" w:cs="仿宋"/>
          <w:sz w:val="32"/>
          <w:szCs w:val="32"/>
        </w:rPr>
        <w:t>万元，30112其他社会保障缴费</w:t>
      </w:r>
      <w:r>
        <w:rPr>
          <w:rFonts w:ascii="仿宋" w:hAnsi="仿宋" w:eastAsia="仿宋" w:cs="仿宋"/>
          <w:sz w:val="32"/>
          <w:szCs w:val="32"/>
        </w:rPr>
        <w:t>1.78</w:t>
      </w:r>
      <w:r>
        <w:rPr>
          <w:rFonts w:hint="eastAsia" w:ascii="仿宋" w:hAnsi="仿宋" w:eastAsia="仿宋" w:cs="仿宋"/>
          <w:sz w:val="32"/>
          <w:szCs w:val="32"/>
        </w:rPr>
        <w:t>万元，30113住房公积金</w:t>
      </w:r>
      <w:r>
        <w:rPr>
          <w:rFonts w:ascii="仿宋" w:hAnsi="仿宋" w:eastAsia="仿宋" w:cs="仿宋"/>
          <w:sz w:val="32"/>
          <w:szCs w:val="32"/>
        </w:rPr>
        <w:t>26.52</w:t>
      </w:r>
      <w:r>
        <w:rPr>
          <w:rFonts w:hint="eastAsia" w:ascii="仿宋" w:hAnsi="仿宋" w:eastAsia="仿宋" w:cs="仿宋"/>
          <w:sz w:val="32"/>
          <w:szCs w:val="32"/>
        </w:rPr>
        <w:t>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sz w:val="32"/>
          <w:szCs w:val="32"/>
        </w:rPr>
      </w:pPr>
      <w:r>
        <w:rPr>
          <w:rFonts w:hint="eastAsia" w:ascii="仿宋" w:hAnsi="仿宋" w:eastAsia="仿宋" w:cs="仿宋"/>
          <w:sz w:val="32"/>
          <w:szCs w:val="32"/>
        </w:rPr>
        <w:t>商品和服务支出4.6</w:t>
      </w:r>
      <w:r>
        <w:rPr>
          <w:rFonts w:hint="eastAsia" w:ascii="仿宋" w:hAnsi="仿宋" w:eastAsia="仿宋" w:cs="仿宋"/>
          <w:sz w:val="32"/>
          <w:szCs w:val="32"/>
          <w:lang w:val="en-US" w:eastAsia="zh-CN"/>
        </w:rPr>
        <w:t>3</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100%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主要原因是：无差异。</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：30228工会经费4.6</w:t>
      </w:r>
      <w:r>
        <w:rPr>
          <w:rFonts w:hint="eastAsia" w:ascii="仿宋" w:hAnsi="仿宋" w:eastAsia="仿宋" w:cs="仿宋"/>
          <w:sz w:val="32"/>
          <w:szCs w:val="32"/>
          <w:lang w:val="en-US" w:eastAsia="zh-CN"/>
        </w:rPr>
        <w:t>3</w:t>
      </w:r>
      <w:r>
        <w:rPr>
          <w:rFonts w:hint="eastAsia" w:ascii="仿宋" w:hAnsi="仿宋" w:eastAsia="仿宋" w:cs="仿宋"/>
          <w:sz w:val="32"/>
          <w:szCs w:val="32"/>
        </w:rPr>
        <w:t>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sz w:val="32"/>
          <w:szCs w:val="32"/>
        </w:rPr>
      </w:pPr>
      <w:r>
        <w:rPr>
          <w:rFonts w:hint="eastAsia" w:ascii="仿宋" w:hAnsi="仿宋" w:eastAsia="仿宋" w:cs="仿宋"/>
          <w:sz w:val="32"/>
          <w:szCs w:val="32"/>
        </w:rPr>
        <w:t>对个人和家庭的补助</w:t>
      </w:r>
      <w:r>
        <w:rPr>
          <w:rFonts w:ascii="仿宋" w:hAnsi="仿宋" w:eastAsia="仿宋" w:cs="仿宋"/>
          <w:sz w:val="32"/>
        </w:rPr>
        <w:t>3</w:t>
      </w:r>
      <w:r>
        <w:rPr>
          <w:rFonts w:hint="eastAsia" w:ascii="仿宋" w:hAnsi="仿宋" w:eastAsia="仿宋" w:cs="仿宋"/>
          <w:sz w:val="32"/>
        </w:rPr>
        <w:t>5.72</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140.65%</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主要原因是：退休人员增加，生活补助发放标准提高。</w:t>
      </w:r>
    </w:p>
    <w:p>
      <w:pPr>
        <w:ind w:firstLine="640" w:firstLineChars="200"/>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：30305生活补助</w:t>
      </w:r>
      <w:r>
        <w:rPr>
          <w:rFonts w:ascii="仿宋" w:hAnsi="仿宋" w:eastAsia="仿宋" w:cs="仿宋"/>
          <w:sz w:val="32"/>
          <w:szCs w:val="32"/>
        </w:rPr>
        <w:t>35.7</w:t>
      </w:r>
      <w:r>
        <w:rPr>
          <w:rFonts w:hint="eastAsia" w:ascii="仿宋" w:hAnsi="仿宋" w:eastAsia="仿宋" w:cs="仿宋"/>
          <w:sz w:val="32"/>
          <w:szCs w:val="32"/>
        </w:rPr>
        <w:t>0万元，30399其他对个人和家庭的补助</w:t>
      </w:r>
      <w:r>
        <w:rPr>
          <w:rFonts w:ascii="仿宋" w:hAnsi="仿宋" w:eastAsia="仿宋" w:cs="仿宋"/>
          <w:sz w:val="32"/>
          <w:szCs w:val="32"/>
        </w:rPr>
        <w:t>0.02</w:t>
      </w:r>
      <w:r>
        <w:rPr>
          <w:rFonts w:hint="eastAsia" w:ascii="仿宋" w:hAnsi="仿宋" w:eastAsia="仿宋" w:cs="仿宋"/>
          <w:sz w:val="32"/>
          <w:szCs w:val="32"/>
        </w:rPr>
        <w:t>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19050" t="0" r="20955" b="3810"/>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sz w:val="32"/>
          <w:szCs w:val="32"/>
        </w:rPr>
      </w:pP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主要原因是：无资本性支出。</w:t>
      </w:r>
    </w:p>
    <w:p>
      <w:pPr>
        <w:ind w:firstLine="640" w:firstLineChars="200"/>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sz w:val="32"/>
          <w:szCs w:val="32"/>
        </w:rPr>
      </w:pPr>
      <w:r>
        <w:rPr>
          <w:rFonts w:hint="eastAsia" w:ascii="仿宋" w:hAnsi="仿宋" w:eastAsia="仿宋" w:cs="仿宋"/>
          <w:sz w:val="32"/>
          <w:szCs w:val="32"/>
        </w:rPr>
        <w:t>资本性支出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主要原因是：无债务利息及费用支出。</w:t>
      </w:r>
    </w:p>
    <w:p>
      <w:pPr>
        <w:ind w:firstLine="640" w:firstLineChars="200"/>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sz w:val="32"/>
          <w:szCs w:val="32"/>
        </w:rPr>
      </w:pPr>
      <w:r>
        <w:rPr>
          <w:rFonts w:hint="eastAsia" w:ascii="仿宋" w:hAnsi="仿宋" w:eastAsia="仿宋" w:cs="仿宋"/>
          <w:sz w:val="32"/>
          <w:szCs w:val="32"/>
        </w:rPr>
        <w:t>其他支出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主要原因是：无其他支出。</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ascii="仿宋" w:hAnsi="仿宋" w:eastAsia="仿宋" w:cs="仿宋"/>
          <w:sz w:val="32"/>
          <w:szCs w:val="32"/>
        </w:rPr>
      </w:pPr>
    </w:p>
    <w:p>
      <w:pPr>
        <w:jc w:val="left"/>
        <w:rPr>
          <w:rFonts w:ascii="仿宋" w:hAnsi="仿宋" w:eastAsia="仿宋" w:cs="仿宋"/>
          <w:sz w:val="32"/>
          <w:szCs w:val="32"/>
        </w:rPr>
      </w:pPr>
    </w:p>
    <w:p>
      <w:pPr>
        <w:jc w:val="left"/>
        <w:rPr>
          <w:rFonts w:ascii="黑体" w:hAnsi="黑体" w:eastAsia="黑体" w:cs="黑体"/>
          <w:sz w:val="32"/>
          <w:szCs w:val="32"/>
        </w:rPr>
      </w:pPr>
      <w:r>
        <w:rPr>
          <w:rFonts w:hint="eastAsia" w:ascii="黑体" w:hAnsi="黑体" w:eastAsia="黑体" w:cs="黑体"/>
          <w:sz w:val="32"/>
          <w:szCs w:val="32"/>
        </w:rPr>
        <w:t>四、2023年度政府性基金支出决算情况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环江毛南族自治县第一幼儿园2023年度政府性基金支出</w:t>
      </w:r>
      <w:r>
        <w:rPr>
          <w:rFonts w:ascii="仿宋" w:hAnsi="仿宋" w:eastAsia="仿宋" w:cs="仿宋"/>
          <w:sz w:val="32"/>
          <w:szCs w:val="32"/>
        </w:rPr>
        <w:t>0.00</w:t>
      </w:r>
      <w:r>
        <w:rPr>
          <w:rFonts w:hint="eastAsia" w:ascii="仿宋" w:hAnsi="仿宋" w:eastAsia="仿宋" w:cs="仿宋"/>
          <w:sz w:val="32"/>
          <w:szCs w:val="32"/>
        </w:rPr>
        <w:t>万元，较202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环江毛南族自治县第一幼儿园2023年度政府性基金支出年初预算为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_GB2312" w:hAnsi="Times New Roman" w:eastAsia="仿宋_GB2312" w:cs="Times New Roman"/>
          <w:sz w:val="32"/>
          <w:szCs w:val="32"/>
        </w:rPr>
        <w:t>环江毛南族自治县第一幼儿园</w:t>
      </w:r>
      <w:r>
        <w:rPr>
          <w:rFonts w:ascii="仿宋_GB2312" w:hAnsi="仿宋_GB2312" w:eastAsia="仿宋_GB2312" w:cs="仿宋_GB2312"/>
          <w:sz w:val="32"/>
        </w:rPr>
        <w:t>没有政府性基金收入，也没有政府性基金收入安排的支出</w:t>
      </w:r>
      <w:r>
        <w:rPr>
          <w:rFonts w:hint="eastAsia" w:ascii="仿宋_GB2312" w:hAnsi="Times New Roman" w:eastAsia="仿宋_GB2312" w:cs="Times New Roman"/>
          <w:sz w:val="32"/>
          <w:szCs w:val="32"/>
        </w:rPr>
        <w:t>。</w:t>
      </w:r>
    </w:p>
    <w:p>
      <w:pPr>
        <w:jc w:val="left"/>
        <w:rPr>
          <w:rFonts w:ascii="仿宋" w:hAnsi="仿宋" w:eastAsia="仿宋" w:cs="仿宋"/>
          <w:sz w:val="32"/>
          <w:szCs w:val="32"/>
        </w:rPr>
      </w:pPr>
      <w:r>
        <w:rPr>
          <w:rFonts w:hint="eastAsia" w:ascii="黑体" w:hAnsi="黑体" w:eastAsia="黑体" w:cs="黑体"/>
          <w:sz w:val="32"/>
          <w:szCs w:val="32"/>
        </w:rPr>
        <w:t>五、2023年度国有资本经营预算支出决算情况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环江毛南族自治县第一幼儿园2023年度国有资本经营预算支出</w:t>
      </w:r>
      <w:r>
        <w:rPr>
          <w:rFonts w:ascii="仿宋" w:hAnsi="仿宋" w:eastAsia="仿宋" w:cs="仿宋"/>
          <w:sz w:val="32"/>
          <w:szCs w:val="32"/>
        </w:rPr>
        <w:t>0.00</w:t>
      </w:r>
      <w:r>
        <w:rPr>
          <w:rFonts w:hint="eastAsia" w:ascii="仿宋" w:hAnsi="仿宋" w:eastAsia="仿宋" w:cs="仿宋"/>
          <w:sz w:val="32"/>
          <w:szCs w:val="32"/>
        </w:rPr>
        <w:t>万元。其中：基本支出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环江毛南族自治县第一幼儿园2023 年度国有资本经营预算支出年初预算为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bookmarkStart w:id="5" w:name="PO_part3A5B1C1DiffReason1"/>
      <w:r>
        <w:rPr>
          <w:rFonts w:hint="eastAsia" w:ascii="仿宋_GB2312" w:hAnsi="Times New Roman" w:eastAsia="仿宋_GB2312" w:cs="Times New Roman"/>
          <w:sz w:val="32"/>
          <w:szCs w:val="32"/>
        </w:rPr>
        <w:t>环江毛南族自治县第一幼儿园</w:t>
      </w:r>
      <w:r>
        <w:rPr>
          <w:rFonts w:ascii="仿宋_GB2312" w:hAnsi="仿宋_GB2312" w:eastAsia="仿宋_GB2312" w:cs="仿宋_GB2312"/>
          <w:sz w:val="32"/>
        </w:rPr>
        <w:t>没有国有资本经营预算收入，也没有国有资本经营预算收入</w:t>
      </w:r>
      <w:r>
        <w:rPr>
          <w:rFonts w:hint="eastAsia" w:ascii="仿宋_GB2312" w:hAnsi="Times New Roman" w:eastAsia="仿宋_GB2312" w:cs="Times New Roman"/>
          <w:sz w:val="32"/>
          <w:szCs w:val="32"/>
        </w:rPr>
        <w:t>。</w:t>
      </w:r>
      <w:bookmarkEnd w:id="5"/>
    </w:p>
    <w:p>
      <w:pPr>
        <w:jc w:val="left"/>
        <w:rPr>
          <w:rFonts w:ascii="仿宋" w:hAnsi="仿宋" w:eastAsia="仿宋" w:cs="仿宋"/>
          <w:sz w:val="32"/>
          <w:szCs w:val="32"/>
        </w:rPr>
      </w:pPr>
      <w:r>
        <w:rPr>
          <w:rFonts w:hint="eastAsia" w:ascii="黑体" w:hAnsi="黑体" w:eastAsia="黑体" w:cs="黑体"/>
          <w:sz w:val="32"/>
          <w:szCs w:val="32"/>
        </w:rPr>
        <w:t>六、财政拨款“三公”经费支出决算情况说明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2023年预算财政拨款安排的“三公”经费支出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万元。其中：因公出国（境）费支出决算</w:t>
      </w:r>
      <w:r>
        <w:rPr>
          <w:rFonts w:ascii="仿宋" w:hAnsi="仿宋" w:eastAsia="仿宋" w:cs="仿宋"/>
          <w:sz w:val="32"/>
          <w:szCs w:val="32"/>
        </w:rPr>
        <w:t>0.00</w:t>
      </w:r>
      <w:r>
        <w:rPr>
          <w:rFonts w:hint="eastAsia" w:ascii="仿宋" w:hAnsi="仿宋" w:eastAsia="仿宋" w:cs="仿宋"/>
          <w:sz w:val="32"/>
          <w:szCs w:val="32"/>
        </w:rPr>
        <w:t>万元，公务用车购置及运行费支出决算</w:t>
      </w:r>
      <w:r>
        <w:rPr>
          <w:rFonts w:ascii="仿宋" w:hAnsi="仿宋" w:eastAsia="仿宋" w:cs="仿宋"/>
          <w:sz w:val="32"/>
          <w:szCs w:val="32"/>
        </w:rPr>
        <w:t>0.00</w:t>
      </w:r>
      <w:r>
        <w:rPr>
          <w:rFonts w:hint="eastAsia" w:ascii="仿宋" w:hAnsi="仿宋" w:eastAsia="仿宋" w:cs="仿宋"/>
          <w:sz w:val="32"/>
          <w:szCs w:val="32"/>
        </w:rPr>
        <w:t>万元，公务接待费支出决算</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主要原因是：本单位严格执行贯彻中央八项规定精神,不安排三公经费支出。</w:t>
      </w:r>
    </w:p>
    <w:p>
      <w:pPr>
        <w:jc w:val="left"/>
        <w:rPr>
          <w:rFonts w:ascii="仿宋" w:hAnsi="仿宋" w:eastAsia="仿宋" w:cs="仿宋"/>
          <w:sz w:val="32"/>
          <w:szCs w:val="32"/>
        </w:rPr>
      </w:pPr>
      <w:r>
        <w:rPr>
          <w:rFonts w:hint="eastAsia" w:ascii="黑体" w:hAnsi="黑体" w:eastAsia="黑体" w:cs="黑体"/>
          <w:sz w:val="32"/>
          <w:szCs w:val="32"/>
        </w:rPr>
        <w:t>七、其他重要事项情况说明</w:t>
      </w:r>
    </w:p>
    <w:p>
      <w:pPr>
        <w:jc w:val="left"/>
        <w:rPr>
          <w:rFonts w:ascii="黑体" w:hAnsi="黑体" w:eastAsia="黑体" w:cs="黑体"/>
          <w:sz w:val="32"/>
          <w:szCs w:val="32"/>
        </w:rPr>
      </w:pPr>
      <w:r>
        <w:rPr>
          <w:rFonts w:hint="eastAsia" w:ascii="黑体" w:hAnsi="黑体" w:eastAsia="黑体" w:cs="黑体"/>
          <w:sz w:val="32"/>
          <w:szCs w:val="32"/>
        </w:rPr>
        <w:t>（一） 机关运行经费支出情况说明</w:t>
      </w:r>
    </w:p>
    <w:p>
      <w:pPr>
        <w:jc w:val="left"/>
        <w:rPr>
          <w:rFonts w:ascii="仿宋" w:hAnsi="仿宋" w:eastAsia="仿宋" w:cs="仿宋"/>
          <w:sz w:val="32"/>
          <w:szCs w:val="32"/>
        </w:rPr>
      </w:pPr>
      <w:r>
        <w:rPr>
          <w:rFonts w:hint="eastAsia" w:ascii="仿宋" w:hAnsi="仿宋" w:eastAsia="仿宋" w:cs="仿宋"/>
          <w:sz w:val="32"/>
          <w:szCs w:val="32"/>
        </w:rPr>
        <w:t>本部门2023年度机关运行经费支出</w:t>
      </w:r>
      <w:r>
        <w:rPr>
          <w:rFonts w:ascii="仿宋" w:hAnsi="仿宋" w:eastAsia="仿宋" w:cs="仿宋"/>
          <w:sz w:val="32"/>
          <w:szCs w:val="32"/>
        </w:rPr>
        <w:t>0.00</w:t>
      </w:r>
      <w:r>
        <w:rPr>
          <w:rFonts w:hint="eastAsia" w:ascii="仿宋" w:hAnsi="仿宋" w:eastAsia="仿宋" w:cs="仿宋"/>
          <w:sz w:val="32"/>
          <w:szCs w:val="32"/>
        </w:rPr>
        <w:t>万元，比上年决算数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。原因是：本部门2023年度无机关运行经费支出。</w:t>
      </w:r>
    </w:p>
    <w:p>
      <w:pPr>
        <w:jc w:val="left"/>
        <w:rPr>
          <w:rFonts w:ascii="黑体" w:hAnsi="黑体" w:eastAsia="黑体" w:cs="黑体"/>
          <w:sz w:val="32"/>
          <w:szCs w:val="32"/>
        </w:rPr>
      </w:pPr>
      <w:r>
        <w:rPr>
          <w:rFonts w:hint="eastAsia" w:ascii="黑体" w:hAnsi="黑体" w:eastAsia="黑体" w:cs="黑体"/>
          <w:sz w:val="32"/>
          <w:szCs w:val="32"/>
        </w:rPr>
        <w:t>（二）政府采购支出情况说明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本部门2023年度政府采购支出总额</w:t>
      </w:r>
      <w:r>
        <w:rPr>
          <w:rFonts w:ascii="仿宋" w:hAnsi="仿宋" w:eastAsia="仿宋" w:cs="仿宋"/>
          <w:sz w:val="32"/>
          <w:szCs w:val="32"/>
        </w:rPr>
        <w:t>0.00</w:t>
      </w:r>
      <w:r>
        <w:rPr>
          <w:rFonts w:hint="eastAsia" w:ascii="仿宋" w:hAnsi="仿宋" w:eastAsia="仿宋" w:cs="仿宋"/>
          <w:sz w:val="32"/>
          <w:szCs w:val="32"/>
        </w:rPr>
        <w:t>万元，其中：政府采购货物支出</w:t>
      </w:r>
      <w:r>
        <w:rPr>
          <w:rFonts w:ascii="仿宋" w:hAnsi="仿宋" w:eastAsia="仿宋" w:cs="仿宋"/>
          <w:sz w:val="32"/>
          <w:szCs w:val="32"/>
        </w:rPr>
        <w:t>0.00</w:t>
      </w:r>
      <w:r>
        <w:rPr>
          <w:rFonts w:hint="eastAsia" w:ascii="仿宋" w:hAnsi="仿宋" w:eastAsia="仿宋" w:cs="仿宋"/>
          <w:sz w:val="32"/>
          <w:szCs w:val="32"/>
        </w:rPr>
        <w:t>万元、政府采购工程支出</w:t>
      </w:r>
      <w:r>
        <w:rPr>
          <w:rFonts w:ascii="仿宋" w:hAnsi="仿宋" w:eastAsia="仿宋" w:cs="仿宋"/>
          <w:sz w:val="32"/>
          <w:szCs w:val="32"/>
        </w:rPr>
        <w:t>0.00</w:t>
      </w:r>
      <w:r>
        <w:rPr>
          <w:rFonts w:hint="eastAsia" w:ascii="仿宋" w:hAnsi="仿宋" w:eastAsia="仿宋" w:cs="仿宋"/>
          <w:sz w:val="32"/>
          <w:szCs w:val="32"/>
        </w:rPr>
        <w:t>万元、政府采购服务支出</w:t>
      </w:r>
      <w:r>
        <w:rPr>
          <w:rFonts w:ascii="仿宋" w:hAnsi="仿宋" w:eastAsia="仿宋" w:cs="仿宋"/>
          <w:sz w:val="32"/>
          <w:szCs w:val="32"/>
        </w:rPr>
        <w:t>0.00</w:t>
      </w:r>
      <w:r>
        <w:rPr>
          <w:rFonts w:hint="eastAsia" w:ascii="仿宋" w:hAnsi="仿宋" w:eastAsia="仿宋" w:cs="仿宋"/>
          <w:sz w:val="32"/>
          <w:szCs w:val="32"/>
        </w:rPr>
        <w:t>万元。授予中小企业合同金额</w:t>
      </w:r>
      <w:r>
        <w:rPr>
          <w:rFonts w:ascii="仿宋" w:hAnsi="仿宋" w:eastAsia="仿宋" w:cs="仿宋"/>
          <w:sz w:val="32"/>
          <w:szCs w:val="32"/>
        </w:rPr>
        <w:t>0.00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，其中：授予小微企业合同金额</w:t>
      </w:r>
      <w:r>
        <w:rPr>
          <w:rFonts w:ascii="仿宋" w:hAnsi="仿宋" w:eastAsia="仿宋" w:cs="仿宋"/>
          <w:sz w:val="32"/>
          <w:szCs w:val="32"/>
        </w:rPr>
        <w:t>0.00</w:t>
      </w:r>
      <w:r>
        <w:rPr>
          <w:rFonts w:hint="eastAsia" w:ascii="仿宋" w:hAnsi="仿宋" w:eastAsia="仿宋" w:cs="仿宋"/>
          <w:sz w:val="32"/>
          <w:szCs w:val="32"/>
        </w:rPr>
        <w:t>万元，占授予中小企业合同金额的</w:t>
      </w:r>
      <w:r>
        <w:rPr>
          <w:rFonts w:ascii="仿宋" w:hAnsi="仿宋" w:eastAsia="仿宋" w:cs="仿宋"/>
          <w:sz w:val="32"/>
          <w:szCs w:val="32"/>
        </w:rPr>
        <w:t>0%</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黑体" w:hAnsi="黑体" w:eastAsia="黑体" w:cs="黑体"/>
          <w:sz w:val="32"/>
          <w:szCs w:val="32"/>
        </w:rPr>
        <w:t>（三）国有资产占用情况说明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截至2023年12月31日，本部门共有车辆</w:t>
      </w:r>
      <w:r>
        <w:rPr>
          <w:rFonts w:ascii="仿宋" w:hAnsi="仿宋" w:eastAsia="仿宋" w:cs="仿宋"/>
          <w:sz w:val="32"/>
          <w:szCs w:val="32"/>
        </w:rPr>
        <w:t>0</w:t>
      </w:r>
      <w:r>
        <w:rPr>
          <w:rFonts w:hint="eastAsia" w:ascii="仿宋" w:hAnsi="仿宋" w:eastAsia="仿宋" w:cs="仿宋"/>
          <w:sz w:val="32"/>
          <w:szCs w:val="32"/>
        </w:rPr>
        <w:t>辆，其中：副部（省）级领导干部用车</w:t>
      </w:r>
      <w:r>
        <w:rPr>
          <w:rFonts w:ascii="仿宋" w:hAnsi="仿宋" w:eastAsia="仿宋" w:cs="仿宋"/>
          <w:sz w:val="32"/>
          <w:szCs w:val="32"/>
        </w:rPr>
        <w:t>0</w:t>
      </w:r>
      <w:r>
        <w:rPr>
          <w:rFonts w:hint="eastAsia" w:ascii="仿宋" w:hAnsi="仿宋" w:eastAsia="仿宋" w:cs="仿宋"/>
          <w:sz w:val="32"/>
          <w:szCs w:val="32"/>
        </w:rPr>
        <w:t>辆、机要通信用车</w:t>
      </w:r>
      <w:r>
        <w:rPr>
          <w:rFonts w:ascii="仿宋" w:hAnsi="仿宋" w:eastAsia="仿宋" w:cs="仿宋"/>
          <w:sz w:val="32"/>
          <w:szCs w:val="32"/>
        </w:rPr>
        <w:t>0</w:t>
      </w:r>
      <w:r>
        <w:rPr>
          <w:rFonts w:hint="eastAsia" w:ascii="仿宋" w:hAnsi="仿宋" w:eastAsia="仿宋" w:cs="仿宋"/>
          <w:sz w:val="32"/>
          <w:szCs w:val="32"/>
        </w:rPr>
        <w:t>辆、应急保障用车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辆；单位价值50万元以上通用设备</w:t>
      </w:r>
      <w:r>
        <w:rPr>
          <w:rFonts w:ascii="仿宋" w:hAnsi="仿宋" w:eastAsia="仿宋" w:cs="仿宋"/>
          <w:sz w:val="32"/>
          <w:szCs w:val="32"/>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jc w:val="left"/>
        <w:rPr>
          <w:rFonts w:ascii="仿宋" w:hAnsi="仿宋" w:eastAsia="仿宋" w:cs="仿宋"/>
          <w:sz w:val="32"/>
          <w:szCs w:val="32"/>
        </w:rPr>
      </w:pPr>
      <w:r>
        <w:rPr>
          <w:rFonts w:hint="eastAsia" w:ascii="黑体" w:hAnsi="黑体" w:eastAsia="黑体" w:cs="黑体"/>
          <w:sz w:val="32"/>
          <w:szCs w:val="32"/>
        </w:rPr>
        <w:t>（四）预算绩效管理工作开展情况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1.绩效管理工作开展情况。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根据财政预算管理要求，本部门组织对2023年度一般公共预算项目支出全面开展绩效自评。其中，一等项目14个，二等项目3个，共涉及资金333.71元，占一般公共预算项目支出总额的61.67</w:t>
      </w:r>
      <w:r>
        <w:rPr>
          <w:rFonts w:ascii="仿宋" w:hAnsi="仿宋" w:eastAsia="仿宋" w:cs="仿宋"/>
          <w:sz w:val="32"/>
          <w:szCs w:val="32"/>
        </w:rPr>
        <w:t>%</w:t>
      </w:r>
      <w:r>
        <w:rPr>
          <w:rFonts w:hint="eastAsia" w:ascii="仿宋" w:hAnsi="仿宋" w:eastAsia="仿宋" w:cs="仿宋"/>
          <w:sz w:val="32"/>
          <w:szCs w:val="32"/>
        </w:rPr>
        <w:t>。组织对2023年度</w:t>
      </w:r>
      <w:r>
        <w:rPr>
          <w:rFonts w:ascii="仿宋" w:hAnsi="仿宋" w:eastAsia="仿宋" w:cs="仿宋"/>
          <w:sz w:val="32"/>
          <w:szCs w:val="32"/>
        </w:rPr>
        <w:t>0</w:t>
      </w:r>
      <w:r>
        <w:rPr>
          <w:rFonts w:hint="eastAsia" w:ascii="仿宋" w:hAnsi="仿宋" w:eastAsia="仿宋" w:cs="仿宋"/>
          <w:sz w:val="32"/>
          <w:szCs w:val="32"/>
        </w:rPr>
        <w:t>等个政府性基金预算项目支出开展绩效自评，共涉及资金</w:t>
      </w:r>
      <w:r>
        <w:rPr>
          <w:rFonts w:ascii="仿宋" w:hAnsi="仿宋" w:eastAsia="仿宋" w:cs="仿宋"/>
          <w:sz w:val="32"/>
          <w:szCs w:val="32"/>
        </w:rPr>
        <w:t>0</w:t>
      </w:r>
      <w:r>
        <w:rPr>
          <w:rFonts w:hint="eastAsia" w:ascii="仿宋" w:hAnsi="仿宋" w:eastAsia="仿宋" w:cs="仿宋"/>
          <w:sz w:val="32"/>
          <w:szCs w:val="32"/>
        </w:rPr>
        <w:t>万元，占政府性基金预算项目支出总额的</w:t>
      </w:r>
      <w:r>
        <w:rPr>
          <w:rFonts w:ascii="仿宋" w:hAnsi="仿宋" w:eastAsia="仿宋" w:cs="仿宋"/>
          <w:sz w:val="32"/>
          <w:szCs w:val="32"/>
        </w:rPr>
        <w:t>0</w:t>
      </w:r>
      <w:r>
        <w:rPr>
          <w:rFonts w:hint="eastAsia" w:ascii="仿宋" w:hAnsi="仿宋" w:eastAsia="仿宋" w:cs="仿宋"/>
          <w:sz w:val="32"/>
          <w:szCs w:val="32"/>
        </w:rPr>
        <w:t>%。组织对2023年度</w:t>
      </w:r>
      <w:r>
        <w:rPr>
          <w:rFonts w:ascii="仿宋" w:hAnsi="仿宋" w:eastAsia="仿宋" w:cs="仿宋"/>
          <w:sz w:val="32"/>
          <w:szCs w:val="32"/>
        </w:rPr>
        <w:t xml:space="preserve"> 0</w:t>
      </w:r>
      <w:r>
        <w:rPr>
          <w:rFonts w:hint="eastAsia" w:ascii="仿宋" w:hAnsi="仿宋" w:eastAsia="仿宋" w:cs="仿宋"/>
          <w:sz w:val="32"/>
          <w:szCs w:val="32"/>
        </w:rPr>
        <w:t>个国有资本经营预算项目支出开展绩效自评，共涉及资金</w:t>
      </w:r>
      <w:r>
        <w:rPr>
          <w:rFonts w:ascii="仿宋" w:hAnsi="仿宋" w:eastAsia="仿宋" w:cs="仿宋"/>
          <w:sz w:val="32"/>
          <w:szCs w:val="32"/>
        </w:rPr>
        <w:t>0</w:t>
      </w:r>
      <w:r>
        <w:rPr>
          <w:rFonts w:hint="eastAsia" w:ascii="仿宋" w:hAnsi="仿宋" w:eastAsia="仿宋" w:cs="仿宋"/>
          <w:sz w:val="32"/>
          <w:szCs w:val="32"/>
        </w:rPr>
        <w:t>万元，占国有资本经营预算项目支出总额的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组织对“学前教育质量提升资金”等</w:t>
      </w:r>
      <w:r>
        <w:rPr>
          <w:rFonts w:ascii="仿宋" w:hAnsi="仿宋" w:eastAsia="仿宋" w:cs="仿宋"/>
          <w:sz w:val="32"/>
          <w:szCs w:val="32"/>
        </w:rPr>
        <w:t>1</w:t>
      </w:r>
      <w:r>
        <w:rPr>
          <w:rFonts w:hint="eastAsia" w:ascii="仿宋" w:hAnsi="仿宋" w:eastAsia="仿宋" w:cs="仿宋"/>
          <w:sz w:val="32"/>
          <w:szCs w:val="32"/>
        </w:rPr>
        <w:t>7个项目进行了部门评价，涉及一般公共预算支出333.71万元，政府性基金预算支出</w:t>
      </w:r>
      <w:r>
        <w:rPr>
          <w:rFonts w:ascii="仿宋" w:hAnsi="仿宋" w:eastAsia="仿宋" w:cs="仿宋"/>
          <w:sz w:val="32"/>
          <w:szCs w:val="32"/>
        </w:rPr>
        <w:t>0</w:t>
      </w:r>
      <w:r>
        <w:rPr>
          <w:rFonts w:hint="eastAsia" w:ascii="仿宋" w:hAnsi="仿宋" w:eastAsia="仿宋" w:cs="仿宋"/>
          <w:sz w:val="32"/>
          <w:szCs w:val="32"/>
        </w:rPr>
        <w:t>万元，国有资本经营预算支出</w:t>
      </w:r>
      <w:r>
        <w:rPr>
          <w:rFonts w:ascii="仿宋" w:hAnsi="仿宋" w:eastAsia="仿宋" w:cs="仿宋"/>
          <w:sz w:val="32"/>
          <w:szCs w:val="32"/>
        </w:rPr>
        <w:t>0</w:t>
      </w:r>
      <w:r>
        <w:rPr>
          <w:rFonts w:hint="eastAsia" w:ascii="仿宋" w:hAnsi="仿宋" w:eastAsia="仿宋" w:cs="仿宋"/>
          <w:sz w:val="32"/>
          <w:szCs w:val="32"/>
        </w:rPr>
        <w:t>万元。从评价情况来看，本部门推进预算支出绩效评价管理,提高资金使用效率。按时完成各个项目年度绩效目标，提高服务对象的满意度。</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从评价情况来看，我部门绩效管理情况较为理想，达到了年初设定的各项绩效目标。所有资金使用严格按审批程序办理、操作规范，会计核算结果真实、准确，各项支出严格按照各项制度执行。</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2.部门决算中项目绩效自评结果。</w:t>
      </w:r>
    </w:p>
    <w:p>
      <w:pPr>
        <w:ind w:firstLine="640" w:firstLineChars="200"/>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1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hint="eastAsia" w:ascii="仿宋" w:hAnsi="仿宋" w:eastAsia="仿宋" w:cs="仿宋"/>
          <w:sz w:val="32"/>
          <w:szCs w:val="32"/>
        </w:rPr>
        <w:t>学前教育质量提升资金项目自评得分为</w:t>
      </w:r>
      <w:r>
        <w:rPr>
          <w:rFonts w:ascii="仿宋" w:hAnsi="仿宋" w:eastAsia="仿宋" w:cs="仿宋"/>
          <w:sz w:val="32"/>
          <w:szCs w:val="32"/>
        </w:rPr>
        <w:t>93.5</w:t>
      </w:r>
      <w:r>
        <w:rPr>
          <w:rFonts w:hint="eastAsia" w:ascii="仿宋" w:hAnsi="仿宋" w:eastAsia="仿宋" w:cs="仿宋"/>
          <w:sz w:val="32"/>
          <w:szCs w:val="32"/>
        </w:rPr>
        <w:t>分。发现的主要问题及原因：部分报账材料未能及时整理。下一步改进措施：及时整理报账材料，下年初完成年度资金进度安排。</w:t>
      </w:r>
    </w:p>
    <w:p>
      <w:pPr>
        <w:ind w:firstLine="640" w:firstLineChars="200"/>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2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rPr>
        <w:t xml:space="preserve"> </w:t>
      </w:r>
      <w:r>
        <w:rPr>
          <w:rFonts w:hint="eastAsia" w:ascii="仿宋" w:hAnsi="仿宋" w:eastAsia="仿宋" w:cs="仿宋"/>
          <w:sz w:val="32"/>
          <w:szCs w:val="32"/>
        </w:rPr>
        <w:t>学前生均公用经费项目自评得分为</w:t>
      </w:r>
      <w:r>
        <w:rPr>
          <w:rFonts w:ascii="仿宋" w:hAnsi="仿宋" w:eastAsia="仿宋" w:cs="仿宋"/>
          <w:sz w:val="32"/>
          <w:szCs w:val="32"/>
        </w:rPr>
        <w:t>90.66</w:t>
      </w:r>
      <w:r>
        <w:rPr>
          <w:rFonts w:hint="eastAsia" w:ascii="仿宋" w:hAnsi="仿宋" w:eastAsia="仿宋" w:cs="仿宋"/>
          <w:sz w:val="32"/>
          <w:szCs w:val="32"/>
        </w:rPr>
        <w:t>分。发现的主要问题及原因：部分报账材料未能及时整理。下一步改进措施：及时整理报账材料，下年初完成年度资金进度安排。</w:t>
      </w:r>
    </w:p>
    <w:p>
      <w:pPr>
        <w:ind w:firstLine="640" w:firstLineChars="200"/>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3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③</w:t>
      </w:r>
      <w:r>
        <w:rPr>
          <w:rFonts w:ascii="仿宋" w:hAnsi="仿宋" w:eastAsia="仿宋" w:cs="仿宋"/>
          <w:sz w:val="32"/>
          <w:szCs w:val="32"/>
        </w:rPr>
        <w:fldChar w:fldCharType="end"/>
      </w:r>
      <w:r>
        <w:rPr>
          <w:rFonts w:hint="eastAsia" w:ascii="仿宋" w:hAnsi="仿宋" w:eastAsia="仿宋" w:cs="仿宋"/>
          <w:sz w:val="32"/>
          <w:szCs w:val="32"/>
        </w:rPr>
        <w:t>环江毛南族自治县第一幼儿园年初预算经费保教费项目自评得分为</w:t>
      </w:r>
      <w:r>
        <w:rPr>
          <w:rFonts w:ascii="仿宋" w:hAnsi="仿宋" w:eastAsia="仿宋" w:cs="仿宋"/>
          <w:sz w:val="32"/>
          <w:szCs w:val="32"/>
        </w:rPr>
        <w:t>93.18</w:t>
      </w:r>
      <w:r>
        <w:rPr>
          <w:rFonts w:hint="eastAsia" w:ascii="仿宋" w:hAnsi="仿宋" w:eastAsia="仿宋" w:cs="仿宋"/>
          <w:sz w:val="32"/>
          <w:szCs w:val="32"/>
        </w:rPr>
        <w:t>分。发现的主要问题及原因：部分报账材料未能及时整理。下一步改进措施：及时整理报账材料，下年初完成年度资金进度安排。</w:t>
      </w:r>
    </w:p>
    <w:p>
      <w:pPr>
        <w:ind w:firstLine="640" w:firstLineChars="200"/>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4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④</w:t>
      </w:r>
      <w:r>
        <w:rPr>
          <w:rFonts w:ascii="仿宋" w:hAnsi="仿宋" w:eastAsia="仿宋" w:cs="仿宋"/>
          <w:sz w:val="32"/>
          <w:szCs w:val="32"/>
        </w:rPr>
        <w:fldChar w:fldCharType="end"/>
      </w:r>
      <w:r>
        <w:rPr>
          <w:rFonts w:hint="eastAsia" w:ascii="仿宋" w:hAnsi="仿宋" w:eastAsia="仿宋" w:cs="仿宋"/>
          <w:sz w:val="32"/>
          <w:szCs w:val="32"/>
        </w:rPr>
        <w:t>奖励性补贴项目自评得分为100分。发现的主要问题及原因：无。</w:t>
      </w:r>
    </w:p>
    <w:p>
      <w:pPr>
        <w:ind w:firstLine="640" w:firstLineChars="200"/>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5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⑤</w:t>
      </w:r>
      <w:r>
        <w:rPr>
          <w:rFonts w:ascii="仿宋" w:hAnsi="仿宋" w:eastAsia="仿宋" w:cs="仿宋"/>
          <w:sz w:val="32"/>
          <w:szCs w:val="32"/>
        </w:rPr>
        <w:fldChar w:fldCharType="end"/>
      </w:r>
      <w:r>
        <w:rPr>
          <w:rFonts w:hint="eastAsia"/>
        </w:rPr>
        <w:t xml:space="preserve"> </w:t>
      </w:r>
      <w:r>
        <w:rPr>
          <w:rFonts w:hint="eastAsia" w:ascii="仿宋" w:hAnsi="仿宋" w:eastAsia="仿宋" w:cs="仿宋"/>
          <w:sz w:val="32"/>
          <w:szCs w:val="32"/>
        </w:rPr>
        <w:t>教师节经费项目自评得分为100分。发现的主要问题及原因：无。</w:t>
      </w:r>
    </w:p>
    <w:p>
      <w:pPr>
        <w:ind w:firstLine="640" w:firstLineChars="200"/>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6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⑥</w:t>
      </w:r>
      <w:r>
        <w:rPr>
          <w:rFonts w:ascii="仿宋" w:hAnsi="仿宋" w:eastAsia="仿宋" w:cs="仿宋"/>
          <w:sz w:val="32"/>
          <w:szCs w:val="32"/>
        </w:rPr>
        <w:fldChar w:fldCharType="end"/>
      </w:r>
      <w:r>
        <w:rPr>
          <w:rFonts w:hint="eastAsia" w:ascii="仿宋" w:hAnsi="仿宋" w:eastAsia="仿宋" w:cs="仿宋"/>
          <w:sz w:val="32"/>
          <w:szCs w:val="32"/>
        </w:rPr>
        <w:t>学前教育免除保教费自治区补助资金项目自评得分为</w:t>
      </w:r>
      <w:r>
        <w:rPr>
          <w:rFonts w:ascii="仿宋" w:hAnsi="仿宋" w:eastAsia="仿宋" w:cs="仿宋"/>
          <w:sz w:val="32"/>
          <w:szCs w:val="32"/>
        </w:rPr>
        <w:t>94.3</w:t>
      </w:r>
      <w:r>
        <w:rPr>
          <w:rFonts w:hint="eastAsia" w:ascii="仿宋" w:hAnsi="仿宋" w:eastAsia="仿宋" w:cs="仿宋"/>
          <w:sz w:val="32"/>
          <w:szCs w:val="32"/>
        </w:rPr>
        <w:t>分。发现的主要问题及原因：部分报账材料未能及时整理。下一步改进措施：及时整理报账材料，下年初完成年度资金进度安排。</w:t>
      </w:r>
    </w:p>
    <w:p>
      <w:pPr>
        <w:ind w:firstLine="640" w:firstLineChars="200"/>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7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⑦</w:t>
      </w:r>
      <w:r>
        <w:rPr>
          <w:rFonts w:ascii="仿宋" w:hAnsi="仿宋" w:eastAsia="仿宋" w:cs="仿宋"/>
          <w:sz w:val="32"/>
          <w:szCs w:val="32"/>
        </w:rPr>
        <w:fldChar w:fldCharType="end"/>
      </w:r>
      <w:r>
        <w:rPr>
          <w:rFonts w:hint="eastAsia"/>
        </w:rPr>
        <w:t xml:space="preserve"> </w:t>
      </w:r>
      <w:r>
        <w:rPr>
          <w:rFonts w:hint="eastAsia" w:ascii="仿宋" w:hAnsi="仿宋" w:eastAsia="仿宋" w:cs="仿宋"/>
          <w:sz w:val="32"/>
          <w:szCs w:val="32"/>
        </w:rPr>
        <w:t>班主任津贴项目自评得分为</w:t>
      </w:r>
      <w:r>
        <w:rPr>
          <w:rFonts w:ascii="仿宋" w:hAnsi="仿宋" w:eastAsia="仿宋" w:cs="仿宋"/>
          <w:sz w:val="32"/>
          <w:szCs w:val="32"/>
        </w:rPr>
        <w:t>98.48</w:t>
      </w:r>
      <w:r>
        <w:rPr>
          <w:rFonts w:hint="eastAsia" w:ascii="仿宋" w:hAnsi="仿宋" w:eastAsia="仿宋" w:cs="仿宋"/>
          <w:sz w:val="32"/>
          <w:szCs w:val="32"/>
        </w:rPr>
        <w:t>分。发现的主要问题及原因：部分报账材料未能及时整理。下一步改进措施：及时整理报账材料，下年初完成年度资金进度安排。</w:t>
      </w:r>
    </w:p>
    <w:p>
      <w:pPr>
        <w:ind w:firstLine="640" w:firstLineChars="200"/>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8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⑧</w:t>
      </w:r>
      <w:r>
        <w:rPr>
          <w:rFonts w:ascii="仿宋" w:hAnsi="仿宋" w:eastAsia="仿宋" w:cs="仿宋"/>
          <w:sz w:val="32"/>
          <w:szCs w:val="32"/>
        </w:rPr>
        <w:fldChar w:fldCharType="end"/>
      </w:r>
      <w:r>
        <w:rPr>
          <w:rFonts w:hint="eastAsia" w:ascii="仿宋" w:hAnsi="仿宋" w:eastAsia="仿宋" w:cs="仿宋"/>
          <w:sz w:val="32"/>
          <w:szCs w:val="32"/>
        </w:rPr>
        <w:t>奖励性补贴(非三保)项目自评得分为100分。发现的主要问题及原因：无。</w:t>
      </w:r>
    </w:p>
    <w:p>
      <w:pPr>
        <w:ind w:firstLine="640" w:firstLineChars="200"/>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9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⑨</w:t>
      </w:r>
      <w:r>
        <w:rPr>
          <w:rFonts w:ascii="仿宋" w:hAnsi="仿宋" w:eastAsia="仿宋" w:cs="仿宋"/>
          <w:sz w:val="32"/>
          <w:szCs w:val="32"/>
        </w:rPr>
        <w:fldChar w:fldCharType="end"/>
      </w:r>
      <w:r>
        <w:rPr>
          <w:rFonts w:hint="eastAsia"/>
        </w:rPr>
        <w:t xml:space="preserve"> </w:t>
      </w:r>
      <w:r>
        <w:rPr>
          <w:rFonts w:hint="eastAsia" w:ascii="仿宋" w:hAnsi="仿宋" w:eastAsia="仿宋" w:cs="仿宋"/>
          <w:sz w:val="32"/>
          <w:szCs w:val="32"/>
        </w:rPr>
        <w:t>普惠性民办幼儿园奖补中央补助资金项目自评得分为</w:t>
      </w:r>
      <w:r>
        <w:rPr>
          <w:rFonts w:ascii="仿宋" w:hAnsi="仿宋" w:eastAsia="仿宋" w:cs="仿宋"/>
          <w:sz w:val="32"/>
          <w:szCs w:val="32"/>
        </w:rPr>
        <w:t>92.56</w:t>
      </w:r>
      <w:r>
        <w:rPr>
          <w:rFonts w:hint="eastAsia" w:ascii="仿宋" w:hAnsi="仿宋" w:eastAsia="仿宋" w:cs="仿宋"/>
          <w:sz w:val="32"/>
          <w:szCs w:val="32"/>
        </w:rPr>
        <w:t>分。发现的主要问题及原因：部分报账材料未能及时整理。下一步改进措施：及时整理报账材料，下年初完成年度资金进度安排。</w:t>
      </w:r>
    </w:p>
    <w:p>
      <w:pPr>
        <w:ind w:firstLine="640" w:firstLineChars="200"/>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10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⑩</w:t>
      </w:r>
      <w:r>
        <w:rPr>
          <w:rFonts w:ascii="仿宋" w:hAnsi="仿宋" w:eastAsia="仿宋" w:cs="仿宋"/>
          <w:sz w:val="32"/>
          <w:szCs w:val="32"/>
        </w:rPr>
        <w:fldChar w:fldCharType="end"/>
      </w:r>
      <w:r>
        <w:rPr>
          <w:rFonts w:hint="eastAsia"/>
        </w:rPr>
        <w:t xml:space="preserve"> </w:t>
      </w:r>
      <w:r>
        <w:rPr>
          <w:rFonts w:hint="eastAsia" w:ascii="仿宋" w:hAnsi="仿宋" w:eastAsia="仿宋" w:cs="仿宋"/>
          <w:sz w:val="32"/>
          <w:szCs w:val="32"/>
        </w:rPr>
        <w:t>学前教育免保教费县本级补助资金项目自评得分为</w:t>
      </w:r>
      <w:r>
        <w:rPr>
          <w:rFonts w:ascii="仿宋" w:hAnsi="仿宋" w:eastAsia="仿宋" w:cs="仿宋"/>
          <w:sz w:val="32"/>
          <w:szCs w:val="32"/>
        </w:rPr>
        <w:t>99.4</w:t>
      </w:r>
      <w:r>
        <w:rPr>
          <w:rFonts w:hint="eastAsia" w:ascii="仿宋" w:hAnsi="仿宋" w:eastAsia="仿宋" w:cs="仿宋"/>
          <w:sz w:val="32"/>
          <w:szCs w:val="32"/>
        </w:rPr>
        <w:t>分。发现的主要问题及原因：部分报账材料未能及时整理。下一步改进措施：及时整理报账材料，下年初完成年度资金进度安排。</w:t>
      </w:r>
    </w:p>
    <w:p>
      <w:pPr>
        <w:ind w:firstLine="640" w:firstLineChars="200"/>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11 </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ascii="仿宋" w:hAnsi="仿宋" w:eastAsia="仿宋" w:cs="仿宋"/>
          <w:sz w:val="32"/>
          <w:szCs w:val="32"/>
        </w:rPr>
        <w:t>11</w:t>
      </w:r>
      <w:r>
        <w:rPr>
          <w:rFonts w:ascii="仿宋" w:hAnsi="仿宋" w:eastAsia="仿宋" w:cs="仿宋"/>
          <w:sz w:val="32"/>
          <w:szCs w:val="32"/>
        </w:rPr>
        <w:fldChar w:fldCharType="end"/>
      </w:r>
      <w:r>
        <w:rPr>
          <w:rFonts w:hint="eastAsia" w:ascii="仿宋" w:hAnsi="仿宋" w:eastAsia="仿宋" w:cs="仿宋"/>
          <w:sz w:val="32"/>
          <w:szCs w:val="32"/>
        </w:rPr>
        <w:t>.全县校长绩效工资项目自评得分为100分。发现的主要问题及原因：部分报账材料未能及时整理。无。</w:t>
      </w:r>
    </w:p>
    <w:p>
      <w:pPr>
        <w:ind w:firstLine="640" w:firstLineChars="200"/>
        <w:rPr>
          <w:rFonts w:ascii="仿宋" w:hAnsi="仿宋" w:eastAsia="仿宋" w:cs="仿宋"/>
          <w:sz w:val="32"/>
          <w:szCs w:val="32"/>
        </w:rPr>
      </w:pPr>
      <w:r>
        <w:rPr>
          <w:rFonts w:hint="eastAsia" w:ascii="仿宋" w:hAnsi="仿宋" w:eastAsia="仿宋" w:cs="仿宋"/>
          <w:sz w:val="32"/>
          <w:szCs w:val="32"/>
        </w:rPr>
        <w:t>12.</w:t>
      </w:r>
      <w:r>
        <w:rPr>
          <w:rFonts w:hint="eastAsia"/>
        </w:rPr>
        <w:t xml:space="preserve"> </w:t>
      </w:r>
      <w:r>
        <w:rPr>
          <w:rFonts w:hint="eastAsia" w:ascii="仿宋" w:hAnsi="仿宋" w:eastAsia="仿宋" w:cs="仿宋"/>
          <w:sz w:val="32"/>
          <w:szCs w:val="32"/>
        </w:rPr>
        <w:t>环江县第一幼儿园2022年年初预算经费(教育保育费)项目自评得分为100分。发现的主要问题及原因：无。</w:t>
      </w:r>
    </w:p>
    <w:p>
      <w:pPr>
        <w:ind w:firstLine="640" w:firstLineChars="200"/>
        <w:rPr>
          <w:rFonts w:ascii="仿宋" w:hAnsi="仿宋" w:eastAsia="仿宋" w:cs="仿宋"/>
          <w:sz w:val="32"/>
          <w:szCs w:val="32"/>
        </w:rPr>
      </w:pPr>
      <w:r>
        <w:rPr>
          <w:rFonts w:hint="eastAsia" w:ascii="仿宋" w:hAnsi="仿宋" w:eastAsia="仿宋" w:cs="仿宋"/>
          <w:sz w:val="32"/>
          <w:szCs w:val="32"/>
        </w:rPr>
        <w:t>13.</w:t>
      </w:r>
      <w:r>
        <w:rPr>
          <w:rFonts w:hint="eastAsia"/>
        </w:rPr>
        <w:t xml:space="preserve"> </w:t>
      </w:r>
      <w:r>
        <w:rPr>
          <w:rFonts w:hint="eastAsia" w:ascii="仿宋" w:hAnsi="仿宋" w:eastAsia="仿宋" w:cs="仿宋"/>
          <w:sz w:val="32"/>
          <w:szCs w:val="32"/>
        </w:rPr>
        <w:t>普惠性民办幼儿园专职保安员配备自治区补助经费项目自评得分为95分。发现的主要问题及原因：部分报账材料未能及时整理。下一步改进措施：及时整理报账材料，下年初完成年度资金进度安排。</w:t>
      </w:r>
    </w:p>
    <w:p>
      <w:pPr>
        <w:ind w:firstLine="640" w:firstLineChars="200"/>
        <w:rPr>
          <w:rFonts w:ascii="仿宋" w:hAnsi="仿宋" w:eastAsia="仿宋" w:cs="仿宋"/>
          <w:sz w:val="32"/>
          <w:szCs w:val="32"/>
        </w:rPr>
      </w:pPr>
      <w:r>
        <w:rPr>
          <w:rFonts w:hint="eastAsia" w:ascii="仿宋" w:hAnsi="仿宋" w:eastAsia="仿宋" w:cs="仿宋"/>
          <w:sz w:val="32"/>
          <w:szCs w:val="32"/>
        </w:rPr>
        <w:t>14.</w:t>
      </w:r>
      <w:r>
        <w:rPr>
          <w:rFonts w:hint="eastAsia"/>
        </w:rPr>
        <w:t xml:space="preserve"> </w:t>
      </w:r>
      <w:r>
        <w:rPr>
          <w:rFonts w:hint="eastAsia" w:ascii="仿宋" w:hAnsi="仿宋" w:eastAsia="仿宋" w:cs="仿宋"/>
          <w:sz w:val="32"/>
          <w:szCs w:val="32"/>
        </w:rPr>
        <w:t>学前教育免除保教费中央补助资金项目自评得分为</w:t>
      </w:r>
      <w:r>
        <w:rPr>
          <w:rFonts w:ascii="仿宋" w:hAnsi="仿宋" w:eastAsia="仿宋" w:cs="仿宋"/>
          <w:sz w:val="32"/>
          <w:szCs w:val="32"/>
        </w:rPr>
        <w:t>98.57</w:t>
      </w:r>
      <w:r>
        <w:rPr>
          <w:rFonts w:hint="eastAsia" w:ascii="仿宋" w:hAnsi="仿宋" w:eastAsia="仿宋" w:cs="仿宋"/>
          <w:sz w:val="32"/>
          <w:szCs w:val="32"/>
        </w:rPr>
        <w:t>分。发现的主要问题及原因：部分报账材料未能及时整理。下一步改进措施：及时整理报账材料，下年初完成年度资金进度安排。</w:t>
      </w:r>
    </w:p>
    <w:p>
      <w:pPr>
        <w:ind w:firstLine="640" w:firstLineChars="200"/>
        <w:rPr>
          <w:rFonts w:ascii="仿宋" w:hAnsi="仿宋" w:eastAsia="仿宋" w:cs="仿宋"/>
          <w:sz w:val="32"/>
          <w:szCs w:val="32"/>
        </w:rPr>
      </w:pPr>
      <w:r>
        <w:rPr>
          <w:rFonts w:hint="eastAsia" w:ascii="仿宋" w:hAnsi="仿宋" w:eastAsia="仿宋" w:cs="仿宋"/>
          <w:sz w:val="32"/>
          <w:szCs w:val="32"/>
        </w:rPr>
        <w:t>15.</w:t>
      </w:r>
      <w:r>
        <w:rPr>
          <w:rFonts w:hint="eastAsia"/>
        </w:rPr>
        <w:t xml:space="preserve"> </w:t>
      </w:r>
      <w:r>
        <w:rPr>
          <w:rFonts w:hint="eastAsia" w:ascii="仿宋" w:hAnsi="仿宋" w:eastAsia="仿宋" w:cs="仿宋"/>
          <w:sz w:val="32"/>
          <w:szCs w:val="32"/>
        </w:rPr>
        <w:t>普惠幼儿园奖补县本级奖补资金项目自评得分为80分。发现的主要问题及原因：部分报账材料未能及时整理。下一步改进措施：及时整理报账材料，下年初完成年度资金进度安排。</w:t>
      </w:r>
    </w:p>
    <w:p>
      <w:pPr>
        <w:ind w:firstLine="640" w:firstLineChars="200"/>
        <w:rPr>
          <w:rFonts w:ascii="仿宋" w:hAnsi="仿宋" w:eastAsia="仿宋" w:cs="仿宋"/>
          <w:sz w:val="32"/>
          <w:szCs w:val="32"/>
        </w:rPr>
      </w:pPr>
      <w:r>
        <w:rPr>
          <w:rFonts w:hint="eastAsia" w:ascii="仿宋" w:hAnsi="仿宋" w:eastAsia="仿宋" w:cs="仿宋"/>
          <w:sz w:val="32"/>
          <w:szCs w:val="32"/>
        </w:rPr>
        <w:t>16.</w:t>
      </w:r>
      <w:r>
        <w:rPr>
          <w:rFonts w:hint="eastAsia"/>
        </w:rPr>
        <w:t xml:space="preserve"> </w:t>
      </w:r>
      <w:r>
        <w:rPr>
          <w:rFonts w:hint="eastAsia" w:ascii="仿宋" w:hAnsi="仿宋" w:eastAsia="仿宋" w:cs="仿宋"/>
          <w:sz w:val="32"/>
          <w:szCs w:val="32"/>
        </w:rPr>
        <w:t>党建工作经费项目自评得分为83分。发现的主要问题及原因：部分报账材料未能及时整理。下一步改进措施：及时整理报账材料，下年初完成年度资金进度安排。</w:t>
      </w:r>
    </w:p>
    <w:p>
      <w:pPr>
        <w:ind w:firstLine="640" w:firstLineChars="200"/>
        <w:rPr>
          <w:rFonts w:ascii="仿宋" w:hAnsi="仿宋" w:eastAsia="仿宋" w:cs="仿宋"/>
          <w:sz w:val="32"/>
          <w:szCs w:val="32"/>
        </w:rPr>
      </w:pPr>
      <w:r>
        <w:rPr>
          <w:rFonts w:hint="eastAsia" w:ascii="仿宋" w:hAnsi="仿宋" w:eastAsia="仿宋" w:cs="仿宋"/>
          <w:sz w:val="32"/>
          <w:szCs w:val="32"/>
        </w:rPr>
        <w:t>17.</w:t>
      </w:r>
      <w:r>
        <w:rPr>
          <w:rFonts w:hint="eastAsia"/>
        </w:rPr>
        <w:t xml:space="preserve"> </w:t>
      </w:r>
      <w:r>
        <w:rPr>
          <w:rFonts w:hint="eastAsia" w:ascii="仿宋" w:hAnsi="仿宋" w:eastAsia="仿宋" w:cs="仿宋"/>
          <w:sz w:val="32"/>
          <w:szCs w:val="32"/>
        </w:rPr>
        <w:t>六一儿童节活动经费项目自评得分为81分。发现的主要问题及原因：部分报账材料未能及时整理。下一步改进措施：及时整理报账材料，下年初完成年度资金进度安排。</w:t>
      </w:r>
    </w:p>
    <w:p>
      <w:pPr>
        <w:rPr>
          <w:rFonts w:ascii="仿宋" w:hAnsi="仿宋" w:eastAsia="仿宋" w:cs="仿宋"/>
          <w:sz w:val="32"/>
          <w:szCs w:val="32"/>
        </w:rPr>
      </w:pPr>
    </w:p>
    <w:p>
      <w:pPr>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第四部分  名词解释</w:t>
      </w:r>
    </w:p>
    <w:p>
      <w:pPr>
        <w:jc w:val="left"/>
        <w:rPr>
          <w:rFonts w:ascii="仿宋" w:hAnsi="仿宋" w:eastAsia="仿宋" w:cs="仿宋"/>
          <w:sz w:val="32"/>
          <w:szCs w:val="32"/>
        </w:rPr>
      </w:pPr>
      <w:r>
        <w:rPr>
          <w:rFonts w:hint="eastAsia" w:ascii="仿宋" w:hAnsi="仿宋" w:eastAsia="仿宋" w:cs="仿宋"/>
          <w:sz w:val="32"/>
          <w:szCs w:val="32"/>
        </w:rPr>
        <w:t>一、财政拨款收入：指环江毛南族自治县环江毛南族自治县财政局门当年拨付的资金。</w:t>
      </w:r>
    </w:p>
    <w:p>
      <w:pPr>
        <w:jc w:val="left"/>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jc w:val="left"/>
        <w:rPr>
          <w:rFonts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jc w:val="left"/>
        <w:rPr>
          <w:rFonts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jc w:val="left"/>
        <w:rPr>
          <w:rFonts w:ascii="仿宋" w:hAnsi="仿宋" w:eastAsia="仿宋" w:cs="仿宋"/>
          <w:sz w:val="32"/>
          <w:szCs w:val="32"/>
        </w:rPr>
      </w:pPr>
      <w:r>
        <w:rPr>
          <w:rFonts w:hint="eastAsia" w:ascii="仿宋" w:hAnsi="仿宋" w:eastAsia="仿宋" w:cs="仿宋"/>
          <w:sz w:val="32"/>
          <w:szCs w:val="32"/>
        </w:rPr>
        <w:t>五、用事业基金弥补收支差额指事业单位在当年的“财政拨款收入”“事业收入”“经营收入”“其他收入”不足以安排当年支出的情况下，使用非财政拨款结余弥补本年度收支缺口的资金。</w:t>
      </w:r>
      <w:r>
        <w:rPr>
          <w:rFonts w:ascii="仿宋" w:hAnsi="仿宋" w:eastAsia="仿宋" w:cs="仿宋"/>
          <w:sz w:val="32"/>
          <w:szCs w:val="32"/>
        </w:rPr>
        <w:t> </w:t>
      </w:r>
    </w:p>
    <w:p>
      <w:pPr>
        <w:jc w:val="left"/>
        <w:rPr>
          <w:rFonts w:ascii="仿宋" w:hAnsi="仿宋" w:eastAsia="仿宋" w:cs="仿宋"/>
          <w:sz w:val="32"/>
          <w:szCs w:val="32"/>
        </w:rPr>
      </w:pPr>
      <w:r>
        <w:rPr>
          <w:rFonts w:hint="eastAsia" w:ascii="仿宋" w:hAnsi="仿宋" w:eastAsia="仿宋" w:cs="仿宋"/>
          <w:sz w:val="32"/>
          <w:szCs w:val="32"/>
        </w:rPr>
        <w:t>六、年初结转和结余：指以前年度尚未完成、结转到本年 按有关规定继续使用的资金。</w:t>
      </w:r>
    </w:p>
    <w:p>
      <w:pPr>
        <w:jc w:val="left"/>
        <w:rPr>
          <w:rFonts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w:t>
      </w:r>
      <w:r>
        <w:rPr>
          <w:rFonts w:ascii="仿宋" w:hAnsi="仿宋" w:eastAsia="仿宋" w:cs="仿宋"/>
          <w:sz w:val="32"/>
          <w:szCs w:val="32"/>
        </w:rPr>
        <w:t> </w:t>
      </w:r>
    </w:p>
    <w:p>
      <w:pPr>
        <w:jc w:val="left"/>
        <w:rPr>
          <w:rFonts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w:t>
      </w:r>
      <w:r>
        <w:rPr>
          <w:rFonts w:ascii="仿宋" w:hAnsi="仿宋" w:eastAsia="仿宋" w:cs="仿宋"/>
          <w:sz w:val="32"/>
          <w:szCs w:val="32"/>
        </w:rPr>
        <w:t> </w:t>
      </w:r>
    </w:p>
    <w:p>
      <w:pPr>
        <w:jc w:val="left"/>
        <w:rPr>
          <w:rFonts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w:t>
      </w:r>
      <w:r>
        <w:rPr>
          <w:rFonts w:ascii="仿宋" w:hAnsi="仿宋" w:eastAsia="仿宋" w:cs="仿宋"/>
          <w:sz w:val="32"/>
          <w:szCs w:val="32"/>
        </w:rPr>
        <w:t> </w:t>
      </w:r>
    </w:p>
    <w:p>
      <w:pPr>
        <w:jc w:val="left"/>
        <w:rPr>
          <w:rFonts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w:t>
      </w:r>
      <w:r>
        <w:rPr>
          <w:rFonts w:ascii="仿宋" w:hAnsi="仿宋" w:eastAsia="仿宋" w:cs="仿宋"/>
          <w:sz w:val="32"/>
          <w:szCs w:val="32"/>
        </w:rPr>
        <w:t> </w:t>
      </w:r>
    </w:p>
    <w:p>
      <w:pPr>
        <w:jc w:val="left"/>
        <w:rPr>
          <w:rFonts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jc w:val="left"/>
        <w:rPr>
          <w:rFonts w:ascii="仿宋" w:hAnsi="仿宋" w:eastAsia="仿宋" w:cs="仿宋"/>
          <w:sz w:val="32"/>
          <w:szCs w:val="32"/>
        </w:rPr>
      </w:pPr>
      <w:r>
        <w:rPr>
          <w:rFonts w:hint="eastAsia" w:ascii="仿宋" w:hAnsi="仿宋" w:eastAsia="仿宋" w:cs="仿宋"/>
          <w:sz w:val="32"/>
          <w:szCs w:val="32"/>
        </w:rPr>
        <w:t>十二、“三公”经费：纳入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szCs w:val="32"/>
        </w:rPr>
        <w:t> </w:t>
      </w:r>
    </w:p>
    <w:p>
      <w:pPr>
        <w:jc w:val="left"/>
        <w:rPr>
          <w:rFonts w:ascii="仿宋" w:hAnsi="仿宋" w:eastAsia="仿宋" w:cs="仿宋"/>
          <w:sz w:val="32"/>
          <w:szCs w:val="32"/>
        </w:rPr>
        <w:sectPr>
          <w:pgSz w:w="11906" w:h="16838"/>
          <w:pgMar w:top="1440" w:right="1800" w:bottom="1440" w:left="1800" w:header="851" w:footer="992" w:gutter="0"/>
          <w:cols w:space="0" w:num="1"/>
          <w:docGrid w:type="lines" w:linePitch="312" w:charSpace="0"/>
        </w:sect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仿宋" w:hAnsi="仿宋" w:eastAsia="仿宋" w:cs="仿宋"/>
          <w:color w:val="FF0000"/>
          <w:sz w:val="32"/>
          <w:szCs w:val="32"/>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iOTZkYjkwN2Q1MTBhY2U1NDI3ZmEwNzcyMDM4OGMifQ=="/>
  </w:docVars>
  <w:rsids>
    <w:rsidRoot w:val="637D7558"/>
    <w:rsid w:val="00002C84"/>
    <w:rsid w:val="00022149"/>
    <w:rsid w:val="000263BC"/>
    <w:rsid w:val="00047F6C"/>
    <w:rsid w:val="000544E4"/>
    <w:rsid w:val="000650BA"/>
    <w:rsid w:val="00093C26"/>
    <w:rsid w:val="000949EC"/>
    <w:rsid w:val="00094B91"/>
    <w:rsid w:val="000B06D8"/>
    <w:rsid w:val="000B4732"/>
    <w:rsid w:val="000C2696"/>
    <w:rsid w:val="000E4711"/>
    <w:rsid w:val="000E5855"/>
    <w:rsid w:val="000F38D5"/>
    <w:rsid w:val="00115770"/>
    <w:rsid w:val="00121584"/>
    <w:rsid w:val="001418A5"/>
    <w:rsid w:val="00143029"/>
    <w:rsid w:val="00147D40"/>
    <w:rsid w:val="00156EF2"/>
    <w:rsid w:val="00170A1C"/>
    <w:rsid w:val="00187891"/>
    <w:rsid w:val="001A226E"/>
    <w:rsid w:val="001D300C"/>
    <w:rsid w:val="001D7B97"/>
    <w:rsid w:val="001E1210"/>
    <w:rsid w:val="002061AF"/>
    <w:rsid w:val="00210E20"/>
    <w:rsid w:val="00223F38"/>
    <w:rsid w:val="002253CF"/>
    <w:rsid w:val="00233613"/>
    <w:rsid w:val="00254DBE"/>
    <w:rsid w:val="00275CAB"/>
    <w:rsid w:val="0028709C"/>
    <w:rsid w:val="0029328F"/>
    <w:rsid w:val="002B2731"/>
    <w:rsid w:val="002B35FB"/>
    <w:rsid w:val="002C4CE2"/>
    <w:rsid w:val="002E376B"/>
    <w:rsid w:val="002F655B"/>
    <w:rsid w:val="003013FA"/>
    <w:rsid w:val="00311A27"/>
    <w:rsid w:val="00332464"/>
    <w:rsid w:val="00351B06"/>
    <w:rsid w:val="003645FA"/>
    <w:rsid w:val="00382867"/>
    <w:rsid w:val="003A4973"/>
    <w:rsid w:val="003C1C96"/>
    <w:rsid w:val="003C69F8"/>
    <w:rsid w:val="003E40BA"/>
    <w:rsid w:val="003E7165"/>
    <w:rsid w:val="003F3328"/>
    <w:rsid w:val="0041579D"/>
    <w:rsid w:val="00427074"/>
    <w:rsid w:val="00434D04"/>
    <w:rsid w:val="00454A98"/>
    <w:rsid w:val="004765D8"/>
    <w:rsid w:val="00497384"/>
    <w:rsid w:val="004A7663"/>
    <w:rsid w:val="004B4FCF"/>
    <w:rsid w:val="004C4D73"/>
    <w:rsid w:val="004D7D0E"/>
    <w:rsid w:val="004E1E23"/>
    <w:rsid w:val="005167DA"/>
    <w:rsid w:val="005234F5"/>
    <w:rsid w:val="00531745"/>
    <w:rsid w:val="00573E2B"/>
    <w:rsid w:val="00574196"/>
    <w:rsid w:val="005B571E"/>
    <w:rsid w:val="005C1BC8"/>
    <w:rsid w:val="006123AD"/>
    <w:rsid w:val="00645B83"/>
    <w:rsid w:val="0066173C"/>
    <w:rsid w:val="006C492A"/>
    <w:rsid w:val="006D677A"/>
    <w:rsid w:val="00704B45"/>
    <w:rsid w:val="00733AEA"/>
    <w:rsid w:val="00753BF3"/>
    <w:rsid w:val="007553E5"/>
    <w:rsid w:val="007640BB"/>
    <w:rsid w:val="007714BF"/>
    <w:rsid w:val="00771953"/>
    <w:rsid w:val="00776E0B"/>
    <w:rsid w:val="007831C4"/>
    <w:rsid w:val="007A0641"/>
    <w:rsid w:val="007A297A"/>
    <w:rsid w:val="007C52E7"/>
    <w:rsid w:val="007C54EA"/>
    <w:rsid w:val="007C776D"/>
    <w:rsid w:val="007D7CE3"/>
    <w:rsid w:val="007E2F6C"/>
    <w:rsid w:val="007E641C"/>
    <w:rsid w:val="007F6978"/>
    <w:rsid w:val="00817C69"/>
    <w:rsid w:val="00823A94"/>
    <w:rsid w:val="00824151"/>
    <w:rsid w:val="008315A9"/>
    <w:rsid w:val="00834354"/>
    <w:rsid w:val="00837F79"/>
    <w:rsid w:val="00896377"/>
    <w:rsid w:val="008A0929"/>
    <w:rsid w:val="008F1B95"/>
    <w:rsid w:val="008F1BD5"/>
    <w:rsid w:val="008F4AE2"/>
    <w:rsid w:val="008F6882"/>
    <w:rsid w:val="00920AA1"/>
    <w:rsid w:val="00934C72"/>
    <w:rsid w:val="00946CCF"/>
    <w:rsid w:val="00952F59"/>
    <w:rsid w:val="0097286F"/>
    <w:rsid w:val="00974F6C"/>
    <w:rsid w:val="0097721B"/>
    <w:rsid w:val="009831F8"/>
    <w:rsid w:val="009A3AC7"/>
    <w:rsid w:val="009B3E00"/>
    <w:rsid w:val="009C4F7A"/>
    <w:rsid w:val="009D1667"/>
    <w:rsid w:val="009F215C"/>
    <w:rsid w:val="00A001F0"/>
    <w:rsid w:val="00A07CCE"/>
    <w:rsid w:val="00A212D5"/>
    <w:rsid w:val="00A27266"/>
    <w:rsid w:val="00A27624"/>
    <w:rsid w:val="00A358E6"/>
    <w:rsid w:val="00A73AFD"/>
    <w:rsid w:val="00A96F13"/>
    <w:rsid w:val="00AA78EE"/>
    <w:rsid w:val="00AB53E1"/>
    <w:rsid w:val="00AC318E"/>
    <w:rsid w:val="00AC37EF"/>
    <w:rsid w:val="00AD5C4D"/>
    <w:rsid w:val="00AE5706"/>
    <w:rsid w:val="00AE5F66"/>
    <w:rsid w:val="00B0643A"/>
    <w:rsid w:val="00B07A0B"/>
    <w:rsid w:val="00B11616"/>
    <w:rsid w:val="00B162DB"/>
    <w:rsid w:val="00B22F28"/>
    <w:rsid w:val="00B37453"/>
    <w:rsid w:val="00B45479"/>
    <w:rsid w:val="00B60171"/>
    <w:rsid w:val="00B837AC"/>
    <w:rsid w:val="00B95E33"/>
    <w:rsid w:val="00BB4FB8"/>
    <w:rsid w:val="00BB6917"/>
    <w:rsid w:val="00BD315D"/>
    <w:rsid w:val="00BD4E57"/>
    <w:rsid w:val="00BE7F1E"/>
    <w:rsid w:val="00C31988"/>
    <w:rsid w:val="00C31D39"/>
    <w:rsid w:val="00C3279E"/>
    <w:rsid w:val="00C34857"/>
    <w:rsid w:val="00C40982"/>
    <w:rsid w:val="00CA2E26"/>
    <w:rsid w:val="00CC4A82"/>
    <w:rsid w:val="00D00918"/>
    <w:rsid w:val="00D06370"/>
    <w:rsid w:val="00D14326"/>
    <w:rsid w:val="00D157E2"/>
    <w:rsid w:val="00D36A1F"/>
    <w:rsid w:val="00D4580E"/>
    <w:rsid w:val="00D772CC"/>
    <w:rsid w:val="00D84F30"/>
    <w:rsid w:val="00D878A6"/>
    <w:rsid w:val="00DA5FBF"/>
    <w:rsid w:val="00DE58E8"/>
    <w:rsid w:val="00DE6656"/>
    <w:rsid w:val="00DE74BD"/>
    <w:rsid w:val="00DE7D07"/>
    <w:rsid w:val="00DF33E0"/>
    <w:rsid w:val="00DF45AE"/>
    <w:rsid w:val="00E26AF9"/>
    <w:rsid w:val="00E6742A"/>
    <w:rsid w:val="00E96C99"/>
    <w:rsid w:val="00EB7822"/>
    <w:rsid w:val="00EC4D86"/>
    <w:rsid w:val="00EC50A9"/>
    <w:rsid w:val="00ED04DB"/>
    <w:rsid w:val="00EF6F0B"/>
    <w:rsid w:val="00F1723B"/>
    <w:rsid w:val="00F20373"/>
    <w:rsid w:val="00F21455"/>
    <w:rsid w:val="00F5354B"/>
    <w:rsid w:val="00F54158"/>
    <w:rsid w:val="00F541BE"/>
    <w:rsid w:val="00F722F8"/>
    <w:rsid w:val="00F95135"/>
    <w:rsid w:val="00F9658C"/>
    <w:rsid w:val="00F978FD"/>
    <w:rsid w:val="00FA2262"/>
    <w:rsid w:val="00FA306F"/>
    <w:rsid w:val="00FA738E"/>
    <w:rsid w:val="00FB40E8"/>
    <w:rsid w:val="00FC438B"/>
    <w:rsid w:val="01234E98"/>
    <w:rsid w:val="015F1951"/>
    <w:rsid w:val="020C171D"/>
    <w:rsid w:val="0216715F"/>
    <w:rsid w:val="02E0291A"/>
    <w:rsid w:val="04E54546"/>
    <w:rsid w:val="05992762"/>
    <w:rsid w:val="05CD7B66"/>
    <w:rsid w:val="07B0770E"/>
    <w:rsid w:val="0942143F"/>
    <w:rsid w:val="0D100297"/>
    <w:rsid w:val="0D202B45"/>
    <w:rsid w:val="0F0847B9"/>
    <w:rsid w:val="0F8D4C87"/>
    <w:rsid w:val="0FF17FD6"/>
    <w:rsid w:val="10505FAA"/>
    <w:rsid w:val="105F7E7E"/>
    <w:rsid w:val="11E56B5B"/>
    <w:rsid w:val="1255782F"/>
    <w:rsid w:val="125C77AB"/>
    <w:rsid w:val="14CB726E"/>
    <w:rsid w:val="174F0CF1"/>
    <w:rsid w:val="17E92249"/>
    <w:rsid w:val="18D304F1"/>
    <w:rsid w:val="19F32577"/>
    <w:rsid w:val="19F45B80"/>
    <w:rsid w:val="1B0C078D"/>
    <w:rsid w:val="1B2B31E2"/>
    <w:rsid w:val="1B4C295A"/>
    <w:rsid w:val="1B973C63"/>
    <w:rsid w:val="1BA1001E"/>
    <w:rsid w:val="1D317259"/>
    <w:rsid w:val="1E483C47"/>
    <w:rsid w:val="1E664F5B"/>
    <w:rsid w:val="1EB34BE1"/>
    <w:rsid w:val="215E639F"/>
    <w:rsid w:val="21EC3183"/>
    <w:rsid w:val="225E72CD"/>
    <w:rsid w:val="246E2F77"/>
    <w:rsid w:val="254B4E2B"/>
    <w:rsid w:val="283D7C94"/>
    <w:rsid w:val="29480E03"/>
    <w:rsid w:val="2983634D"/>
    <w:rsid w:val="2BB02055"/>
    <w:rsid w:val="2C575A56"/>
    <w:rsid w:val="2F257714"/>
    <w:rsid w:val="2F3275E5"/>
    <w:rsid w:val="30AA08EF"/>
    <w:rsid w:val="30D23D1C"/>
    <w:rsid w:val="31221CF5"/>
    <w:rsid w:val="31400178"/>
    <w:rsid w:val="321E3342"/>
    <w:rsid w:val="327759C8"/>
    <w:rsid w:val="33185FE3"/>
    <w:rsid w:val="34EE2E36"/>
    <w:rsid w:val="36777241"/>
    <w:rsid w:val="36AF4EB1"/>
    <w:rsid w:val="371E78D5"/>
    <w:rsid w:val="379D2F5B"/>
    <w:rsid w:val="37BD36D2"/>
    <w:rsid w:val="388A5575"/>
    <w:rsid w:val="38A951DB"/>
    <w:rsid w:val="38B31605"/>
    <w:rsid w:val="39003F4F"/>
    <w:rsid w:val="3C07002B"/>
    <w:rsid w:val="3D0D152A"/>
    <w:rsid w:val="3DF62756"/>
    <w:rsid w:val="3F1B7587"/>
    <w:rsid w:val="41E57B4F"/>
    <w:rsid w:val="432F26F6"/>
    <w:rsid w:val="43880F63"/>
    <w:rsid w:val="441C5A6F"/>
    <w:rsid w:val="44C44FCC"/>
    <w:rsid w:val="44CC7369"/>
    <w:rsid w:val="457F5108"/>
    <w:rsid w:val="46951B6B"/>
    <w:rsid w:val="49A34401"/>
    <w:rsid w:val="4A3E30AB"/>
    <w:rsid w:val="4AC14DAC"/>
    <w:rsid w:val="4C433C79"/>
    <w:rsid w:val="4D154C85"/>
    <w:rsid w:val="4E752F43"/>
    <w:rsid w:val="4EB35ECE"/>
    <w:rsid w:val="4EB97401"/>
    <w:rsid w:val="508F4E24"/>
    <w:rsid w:val="51461E90"/>
    <w:rsid w:val="51463753"/>
    <w:rsid w:val="52553A93"/>
    <w:rsid w:val="53521F8B"/>
    <w:rsid w:val="53E22F47"/>
    <w:rsid w:val="54522FF8"/>
    <w:rsid w:val="55450629"/>
    <w:rsid w:val="56692963"/>
    <w:rsid w:val="568B0F48"/>
    <w:rsid w:val="5786217B"/>
    <w:rsid w:val="59337A15"/>
    <w:rsid w:val="59810274"/>
    <w:rsid w:val="5CA00C74"/>
    <w:rsid w:val="5CA96A00"/>
    <w:rsid w:val="5CF730BC"/>
    <w:rsid w:val="5E5F0DCE"/>
    <w:rsid w:val="5E856373"/>
    <w:rsid w:val="5F351B48"/>
    <w:rsid w:val="5FA40A7B"/>
    <w:rsid w:val="5FD56D29"/>
    <w:rsid w:val="5FEC7F3F"/>
    <w:rsid w:val="60F74BC3"/>
    <w:rsid w:val="617D3BF8"/>
    <w:rsid w:val="61841F6A"/>
    <w:rsid w:val="623007A9"/>
    <w:rsid w:val="637D7558"/>
    <w:rsid w:val="644F19AC"/>
    <w:rsid w:val="65AA4920"/>
    <w:rsid w:val="65E31D0B"/>
    <w:rsid w:val="67694F1E"/>
    <w:rsid w:val="693E2594"/>
    <w:rsid w:val="69597934"/>
    <w:rsid w:val="69DF617A"/>
    <w:rsid w:val="6B964DDC"/>
    <w:rsid w:val="6C783074"/>
    <w:rsid w:val="6D9E65C6"/>
    <w:rsid w:val="6DA81947"/>
    <w:rsid w:val="6DAD31F1"/>
    <w:rsid w:val="6EB66DE2"/>
    <w:rsid w:val="6ED3075F"/>
    <w:rsid w:val="6F2A2D4B"/>
    <w:rsid w:val="6F8A0C1E"/>
    <w:rsid w:val="6F8E1817"/>
    <w:rsid w:val="703F45D4"/>
    <w:rsid w:val="715D6546"/>
    <w:rsid w:val="71BE069E"/>
    <w:rsid w:val="72824796"/>
    <w:rsid w:val="73953409"/>
    <w:rsid w:val="73E069A3"/>
    <w:rsid w:val="78104AA8"/>
    <w:rsid w:val="78E257C5"/>
    <w:rsid w:val="794B35BE"/>
    <w:rsid w:val="7B0A3A31"/>
    <w:rsid w:val="7B3360ED"/>
    <w:rsid w:val="7BDF037E"/>
    <w:rsid w:val="7BF50948"/>
    <w:rsid w:val="7C142DB9"/>
    <w:rsid w:val="7CE66A78"/>
    <w:rsid w:val="7D23564C"/>
    <w:rsid w:val="7D50042A"/>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hjxjyj\Desktop\&#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jxjyj\Desktop\&#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jxjyj\Desktop\&#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541.21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对个人和家庭的补助</a:t>
            </a:r>
            <a:endParaRPr lang="en-US"/>
          </a:p>
        </c:rich>
      </c:tx>
      <c:layout/>
      <c:overlay val="0"/>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35.7</c:v>
                </c:pt>
                <c:pt idx="5">
                  <c:v>0</c:v>
                </c:pt>
                <c:pt idx="6">
                  <c:v>0</c:v>
                </c:pt>
                <c:pt idx="7">
                  <c:v>0</c:v>
                </c:pt>
                <c:pt idx="8">
                  <c:v>0</c:v>
                </c:pt>
                <c:pt idx="9">
                  <c:v>0</c:v>
                </c:pt>
                <c:pt idx="10">
                  <c:v>0</c:v>
                </c:pt>
                <c:pt idx="11">
                  <c:v>0.02</c:v>
                </c:pt>
              </c:numCache>
            </c:numRef>
          </c:val>
        </c:ser>
        <c:dLbls>
          <c:showLegendKey val="0"/>
          <c:showVal val="0"/>
          <c:showCatName val="0"/>
          <c:showSerName val="0"/>
          <c:showPercent val="0"/>
          <c:showBubbleSize val="0"/>
        </c:dLbls>
        <c:gapWidth val="219"/>
        <c:overlap val="-27"/>
        <c:axId val="41900288"/>
        <c:axId val="41902080"/>
      </c:barChart>
      <c:catAx>
        <c:axId val="41900288"/>
        <c:scaling>
          <c:orientation val="minMax"/>
        </c:scaling>
        <c:delete val="0"/>
        <c:axPos val="b"/>
        <c:numFmt formatCode="General" sourceLinked="0"/>
        <c:majorTickMark val="none"/>
        <c:minorTickMark val="none"/>
        <c:tickLblPos val="nextTo"/>
        <c:txPr>
          <a:bodyPr rot="0" spcFirstLastPara="0" vertOverflow="ellipsis" vert="eaVert" wrap="square" anchor="ctr" anchorCtr="1"/>
          <a:lstStyle/>
          <a:p>
            <a:pPr>
              <a:defRPr lang="zh-CN" sz="1000" b="0" i="0" u="none" strike="noStrike" kern="1200" baseline="0">
                <a:solidFill>
                  <a:schemeClr val="tx1"/>
                </a:solidFill>
                <a:latin typeface="+mn-lt"/>
                <a:ea typeface="+mn-ea"/>
                <a:cs typeface="+mn-cs"/>
              </a:defRPr>
            </a:pPr>
          </a:p>
        </c:txPr>
        <c:crossAx val="41902080"/>
        <c:crosses val="autoZero"/>
        <c:auto val="1"/>
        <c:lblAlgn val="ctr"/>
        <c:lblOffset val="100"/>
        <c:noMultiLvlLbl val="0"/>
      </c:catAx>
      <c:valAx>
        <c:axId val="4190208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90028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41909632"/>
        <c:axId val="41927808"/>
      </c:barChart>
      <c:catAx>
        <c:axId val="419096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927808"/>
        <c:crosses val="autoZero"/>
        <c:auto val="1"/>
        <c:lblAlgn val="ctr"/>
        <c:lblOffset val="100"/>
        <c:noMultiLvlLbl val="0"/>
      </c:catAx>
      <c:valAx>
        <c:axId val="419278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909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40743680"/>
        <c:axId val="40745216"/>
      </c:barChart>
      <c:catAx>
        <c:axId val="407436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745216"/>
        <c:crosses val="autoZero"/>
        <c:auto val="1"/>
        <c:lblAlgn val="ctr"/>
        <c:lblOffset val="100"/>
        <c:noMultiLvlLbl val="0"/>
      </c:catAx>
      <c:valAx>
        <c:axId val="407452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743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42035072"/>
        <c:axId val="42036608"/>
      </c:barChart>
      <c:catAx>
        <c:axId val="420350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036608"/>
        <c:crosses val="autoZero"/>
        <c:auto val="1"/>
        <c:lblAlgn val="ctr"/>
        <c:lblOffset val="100"/>
        <c:noMultiLvlLbl val="0"/>
      </c:catAx>
      <c:valAx>
        <c:axId val="420366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0350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4.59</c:v>
                </c:pt>
                <c:pt idx="1">
                  <c:v>486.85</c:v>
                </c:pt>
                <c:pt idx="2">
                  <c:v>32.38</c:v>
                </c:pt>
                <c:pt idx="3">
                  <c:v>24.14</c:v>
                </c:pt>
                <c:pt idx="4">
                  <c:v>55.88</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4.63</c:v>
                </c:pt>
                <c:pt idx="1">
                  <c:v>430.27</c:v>
                </c:pt>
                <c:pt idx="2">
                  <c:v>35.69</c:v>
                </c:pt>
                <c:pt idx="3">
                  <c:v>26.52</c:v>
                </c:pt>
                <c:pt idx="4">
                  <c:v>44.1</c:v>
                </c:pt>
              </c:numCache>
            </c:numRef>
          </c:val>
        </c:ser>
        <c:dLbls>
          <c:showLegendKey val="0"/>
          <c:showVal val="0"/>
          <c:showCatName val="0"/>
          <c:showSerName val="0"/>
          <c:showPercent val="0"/>
          <c:showBubbleSize val="0"/>
        </c:dLbls>
        <c:gapWidth val="219"/>
        <c:overlap val="-27"/>
        <c:axId val="41530112"/>
        <c:axId val="41531648"/>
      </c:barChart>
      <c:catAx>
        <c:axId val="415301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31648"/>
        <c:crosses val="autoZero"/>
        <c:auto val="1"/>
        <c:lblAlgn val="ctr"/>
        <c:lblOffset val="100"/>
        <c:noMultiLvlLbl val="0"/>
      </c:catAx>
      <c:valAx>
        <c:axId val="415316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30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4.63</c:v>
                </c:pt>
                <c:pt idx="1">
                  <c:v>4.63</c:v>
                </c:pt>
              </c:numCache>
            </c:numRef>
          </c:val>
        </c:ser>
        <c:dLbls>
          <c:showLegendKey val="0"/>
          <c:showVal val="0"/>
          <c:showCatName val="0"/>
          <c:showSerName val="0"/>
          <c:showPercent val="0"/>
          <c:showBubbleSize val="0"/>
        </c:dLbls>
        <c:gapWidth val="219"/>
        <c:overlap val="-27"/>
        <c:axId val="41363328"/>
        <c:axId val="41364864"/>
      </c:barChart>
      <c:catAx>
        <c:axId val="413633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64864"/>
        <c:crosses val="autoZero"/>
        <c:auto val="1"/>
        <c:lblAlgn val="ctr"/>
        <c:lblOffset val="100"/>
        <c:noMultiLvlLbl val="0"/>
      </c:catAx>
      <c:valAx>
        <c:axId val="413648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63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教育支出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18572418572419"/>
          <c:y val="0.00628930817610063"/>
        </c:manualLayout>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[图表.xls]Sheet1!$D$10</c:f>
              <c:strCache>
                <c:ptCount val="1"/>
                <c:pt idx="0">
                  <c:v>科目代码</c:v>
                </c:pt>
              </c:strCache>
            </c:strRef>
          </c:tx>
          <c:spPr>
            <a:solidFill>
              <a:schemeClr val="accent1"/>
            </a:solidFill>
            <a:ln>
              <a:noFill/>
            </a:ln>
            <a:effectLst/>
          </c:spPr>
          <c:invertIfNegative val="0"/>
          <c:dLbls>
            <c:delete val="1"/>
          </c:dLbls>
          <c:cat>
            <c:strRef>
              <c:f>[图表.xls]Sheet1!$C$11:$C$13</c:f>
              <c:strCache>
                <c:ptCount val="3"/>
                <c:pt idx="0">
                  <c:v>2050201</c:v>
                </c:pt>
                <c:pt idx="1">
                  <c:v>2050299</c:v>
                </c:pt>
                <c:pt idx="2">
                  <c:v>205x</c:v>
                </c:pt>
              </c:strCache>
            </c:strRef>
          </c:cat>
          <c:val>
            <c:numRef>
              <c:f>[图表.xls]Sheet1!$D$11:$D$13</c:f>
              <c:numCache>
                <c:formatCode>General</c:formatCode>
                <c:ptCount val="3"/>
                <c:pt idx="0">
                  <c:v>429.97</c:v>
                </c:pt>
                <c:pt idx="1">
                  <c:v>0.56</c:v>
                </c:pt>
                <c:pt idx="2">
                  <c:v>430.53</c:v>
                </c:pt>
              </c:numCache>
            </c:numRef>
          </c:val>
        </c:ser>
        <c:dLbls>
          <c:showLegendKey val="0"/>
          <c:showVal val="0"/>
          <c:showCatName val="0"/>
          <c:showSerName val="0"/>
          <c:showPercent val="0"/>
          <c:showBubbleSize val="0"/>
        </c:dLbls>
        <c:gapWidth val="219"/>
        <c:overlap val="-27"/>
        <c:axId val="636359378"/>
        <c:axId val="572285334"/>
      </c:barChart>
      <c:catAx>
        <c:axId val="63635937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2285334"/>
        <c:crosses val="autoZero"/>
        <c:auto val="1"/>
        <c:lblAlgn val="ctr"/>
        <c:lblOffset val="100"/>
        <c:noMultiLvlLbl val="0"/>
      </c:catAx>
      <c:valAx>
        <c:axId val="57228533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3593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0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社会保障和就业支出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85516285516286"/>
          <c:y val="0.00628930817610063"/>
        </c:manualLayout>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[图表.xls]Sheet1!$D$10</c:f>
              <c:strCache>
                <c:ptCount val="1"/>
                <c:pt idx="0">
                  <c:v>科目代码</c:v>
                </c:pt>
              </c:strCache>
            </c:strRef>
          </c:tx>
          <c:spPr>
            <a:solidFill>
              <a:schemeClr val="accent1"/>
            </a:solidFill>
            <a:ln>
              <a:noFill/>
            </a:ln>
            <a:effectLst/>
          </c:spPr>
          <c:invertIfNegative val="0"/>
          <c:dLbls>
            <c:delete val="1"/>
          </c:dLbls>
          <c:cat>
            <c:strRef>
              <c:f>[图表.xls]Sheet1!$C$11:$C$12</c:f>
              <c:strCache>
                <c:ptCount val="2"/>
                <c:pt idx="0">
                  <c:v>2080505</c:v>
                </c:pt>
                <c:pt idx="1">
                  <c:v>208x</c:v>
                </c:pt>
              </c:strCache>
            </c:strRef>
          </c:cat>
          <c:val>
            <c:numRef>
              <c:f>[图表.xls]Sheet1!$D$11:$D$12</c:f>
              <c:numCache>
                <c:formatCode>General</c:formatCode>
                <c:ptCount val="2"/>
                <c:pt idx="0">
                  <c:v>35.69</c:v>
                </c:pt>
                <c:pt idx="1">
                  <c:v>35.69</c:v>
                </c:pt>
              </c:numCache>
            </c:numRef>
          </c:val>
        </c:ser>
        <c:dLbls>
          <c:showLegendKey val="0"/>
          <c:showVal val="0"/>
          <c:showCatName val="0"/>
          <c:showSerName val="0"/>
          <c:showPercent val="0"/>
          <c:showBubbleSize val="0"/>
        </c:dLbls>
        <c:gapWidth val="219"/>
        <c:overlap val="-27"/>
        <c:axId val="636359378"/>
        <c:axId val="572285334"/>
      </c:barChart>
      <c:catAx>
        <c:axId val="63635937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2285334"/>
        <c:crosses val="autoZero"/>
        <c:auto val="1"/>
        <c:lblAlgn val="ctr"/>
        <c:lblOffset val="100"/>
        <c:noMultiLvlLbl val="0"/>
      </c:catAx>
      <c:valAx>
        <c:axId val="57228533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3593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0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住房保障支出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4975744975745"/>
          <c:y val="0.00628930817610063"/>
        </c:manualLayout>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[图表.xls]Sheet1!$D$10</c:f>
              <c:strCache>
                <c:ptCount val="1"/>
                <c:pt idx="0">
                  <c:v>科目代码</c:v>
                </c:pt>
              </c:strCache>
            </c:strRef>
          </c:tx>
          <c:spPr>
            <a:solidFill>
              <a:schemeClr val="accent1"/>
            </a:solidFill>
            <a:ln>
              <a:noFill/>
            </a:ln>
            <a:effectLst/>
          </c:spPr>
          <c:invertIfNegative val="0"/>
          <c:dLbls>
            <c:delete val="1"/>
          </c:dLbls>
          <c:cat>
            <c:strRef>
              <c:f>[图表.xls]Sheet1!$C$11:$C$12</c:f>
              <c:strCache>
                <c:ptCount val="2"/>
                <c:pt idx="0">
                  <c:v>2210201</c:v>
                </c:pt>
                <c:pt idx="1">
                  <c:v>221x</c:v>
                </c:pt>
              </c:strCache>
            </c:strRef>
          </c:cat>
          <c:val>
            <c:numRef>
              <c:f>[图表.xls]Sheet1!$D$11:$D$12</c:f>
              <c:numCache>
                <c:formatCode>General</c:formatCode>
                <c:ptCount val="2"/>
                <c:pt idx="0">
                  <c:v>26.52</c:v>
                </c:pt>
                <c:pt idx="1">
                  <c:v>26.52</c:v>
                </c:pt>
              </c:numCache>
            </c:numRef>
          </c:val>
        </c:ser>
        <c:dLbls>
          <c:showLegendKey val="0"/>
          <c:showVal val="0"/>
          <c:showCatName val="0"/>
          <c:showSerName val="0"/>
          <c:showPercent val="0"/>
          <c:showBubbleSize val="0"/>
        </c:dLbls>
        <c:gapWidth val="219"/>
        <c:overlap val="-27"/>
        <c:axId val="636359378"/>
        <c:axId val="572285334"/>
      </c:barChart>
      <c:catAx>
        <c:axId val="63635937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2285334"/>
        <c:crosses val="autoZero"/>
        <c:auto val="1"/>
        <c:lblAlgn val="ctr"/>
        <c:lblOffset val="100"/>
        <c:noMultiLvlLbl val="0"/>
      </c:catAx>
      <c:valAx>
        <c:axId val="57228533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3593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44.1</c:v>
                </c:pt>
                <c:pt idx="1">
                  <c:v>44.1</c:v>
                </c:pt>
              </c:numCache>
            </c:numRef>
          </c:val>
        </c:ser>
        <c:dLbls>
          <c:showLegendKey val="0"/>
          <c:showVal val="0"/>
          <c:showCatName val="0"/>
          <c:showSerName val="0"/>
          <c:showPercent val="0"/>
          <c:showBubbleSize val="0"/>
        </c:dLbls>
        <c:gapWidth val="219"/>
        <c:overlap val="-27"/>
        <c:axId val="41327232"/>
        <c:axId val="41501056"/>
      </c:barChart>
      <c:catAx>
        <c:axId val="413272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01056"/>
        <c:crosses val="autoZero"/>
        <c:auto val="1"/>
        <c:lblAlgn val="ctr"/>
        <c:lblOffset val="100"/>
        <c:noMultiLvlLbl val="0"/>
      </c:catAx>
      <c:valAx>
        <c:axId val="415010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27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110.85</c:v>
                </c:pt>
                <c:pt idx="1">
                  <c:v>11.14</c:v>
                </c:pt>
                <c:pt idx="2">
                  <c:v>86.3</c:v>
                </c:pt>
                <c:pt idx="3">
                  <c:v>0</c:v>
                </c:pt>
                <c:pt idx="4">
                  <c:v>55.29</c:v>
                </c:pt>
                <c:pt idx="5">
                  <c:v>35.69</c:v>
                </c:pt>
                <c:pt idx="6">
                  <c:v>0</c:v>
                </c:pt>
                <c:pt idx="7">
                  <c:v>12.95</c:v>
                </c:pt>
                <c:pt idx="8">
                  <c:v>0</c:v>
                </c:pt>
                <c:pt idx="9">
                  <c:v>1.78</c:v>
                </c:pt>
                <c:pt idx="10">
                  <c:v>26.52</c:v>
                </c:pt>
                <c:pt idx="11">
                  <c:v>0</c:v>
                </c:pt>
                <c:pt idx="12">
                  <c:v>0</c:v>
                </c:pt>
              </c:numCache>
            </c:numRef>
          </c:val>
        </c:ser>
        <c:dLbls>
          <c:showLegendKey val="0"/>
          <c:showVal val="0"/>
          <c:showCatName val="0"/>
          <c:showSerName val="0"/>
          <c:showPercent val="0"/>
          <c:showBubbleSize val="0"/>
        </c:dLbls>
        <c:gapWidth val="219"/>
        <c:overlap val="-27"/>
        <c:axId val="207945728"/>
        <c:axId val="207947264"/>
      </c:barChart>
      <c:catAx>
        <c:axId val="2079457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947264"/>
        <c:crosses val="autoZero"/>
        <c:auto val="1"/>
        <c:lblAlgn val="ctr"/>
        <c:lblOffset val="100"/>
        <c:noMultiLvlLbl val="0"/>
      </c:catAx>
      <c:valAx>
        <c:axId val="2079472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945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4.63</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41641472"/>
        <c:axId val="41643008"/>
      </c:barChart>
      <c:catAx>
        <c:axId val="416414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643008"/>
        <c:crosses val="autoZero"/>
        <c:auto val="1"/>
        <c:lblAlgn val="ctr"/>
        <c:lblOffset val="100"/>
        <c:noMultiLvlLbl val="0"/>
      </c:catAx>
      <c:valAx>
        <c:axId val="416430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641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PC</Company>
  <Pages>37</Pages>
  <Words>1614</Words>
  <Characters>1845</Characters>
  <Lines>105</Lines>
  <Paragraphs>29</Paragraphs>
  <TotalTime>4</TotalTime>
  <ScaleCrop>false</ScaleCrop>
  <LinksUpToDate>false</LinksUpToDate>
  <CharactersWithSpaces>2050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2024-12-29T06:17:00Z</dcterms:created>
  <dc:creator>C D D</dc:creator>
  <cp:lastModifiedBy>Administrator</cp:lastModifiedBy>
  <cp:lastPrinted>2023-11-20T08:51:00Z</cp:lastPrinted>
  <dcterms:modified xsi:type="dcterms:W3CDTF">2025-01-02T01:33:39Z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y fmtid="{D5CDD505-2E9C-101B-9397-08002B2CF9AE}" pid="4" name="KSOTemplateDocerSaveRecord">
    <vt:lpwstr>eyJoZGlkIjoiMWUzMjNhYWEyMDc2Njk1MGYxMGJhZGM2Y2RiZWVjYTQiLCJ1c2VySWQiOiI0NTAwMTA3NjMifQ==</vt:lpwstr>
  </property>
</Properties>
</file>