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 xml:space="preserve"> </w:t>
      </w:r>
      <w:r>
        <w:rPr>
          <w:rFonts w:hint="eastAsia" w:ascii="黑体" w:hAnsi="黑体" w:eastAsia="黑体" w:cs="黑体"/>
          <w:b/>
          <w:bCs/>
          <w:sz w:val="52"/>
          <w:szCs w:val="52"/>
          <w:highlight w:val="none"/>
        </w:rPr>
        <w:t>环江毛南族自治县第五初级中学202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黑体" w:hAnsi="黑体" w:eastAsia="黑体" w:cs="黑体"/>
          <w:b/>
          <w:bCs/>
          <w:sz w:val="36"/>
          <w:szCs w:val="36"/>
          <w:highlight w:val="none"/>
          <w:lang w:val="en-US" w:eastAsia="zh-CN"/>
        </w:rPr>
        <w:t>单位负责人：卢永定</w:t>
      </w: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03日</w:t>
      </w:r>
    </w:p>
    <w:p>
      <w:pPr>
        <w:jc w:val="center"/>
        <w:rPr>
          <w:rFonts w:hint="eastAsia" w:ascii="黑体" w:hAnsi="黑体" w:eastAsia="黑体" w:cs="黑体"/>
          <w:b/>
          <w:bCs/>
          <w:sz w:val="36"/>
          <w:szCs w:val="36"/>
          <w:highlight w:val="none"/>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 xml:space="preserve"> </w:t>
      </w:r>
      <w:r>
        <w:rPr>
          <w:rFonts w:ascii="黑体" w:hAnsi="黑体" w:eastAsia="黑体" w:cs="黑体"/>
          <w:sz w:val="32"/>
          <w:u w:color="auto"/>
        </w:rPr>
        <w:t>环江毛南族自治县第五初级中学</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 xml:space="preserve"> </w:t>
      </w:r>
      <w:r>
        <w:rPr>
          <w:rFonts w:ascii="黑体" w:hAnsi="黑体" w:eastAsia="黑体" w:cs="黑体"/>
          <w:sz w:val="32"/>
          <w:u w:color="auto"/>
        </w:rPr>
        <w:t>环江毛南族自治县第五初级中学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 xml:space="preserve"> </w:t>
      </w:r>
      <w:r>
        <w:rPr>
          <w:rFonts w:ascii="黑体" w:hAnsi="黑体" w:eastAsia="黑体" w:cs="黑体"/>
          <w:sz w:val="32"/>
          <w:u w:color="auto"/>
        </w:rPr>
        <w:t>环江毛南族自治县第五初级中学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center"/>
        <w:rPr>
          <w:rFonts w:hint="eastAsia" w:ascii="黑体" w:hAnsi="黑体" w:eastAsia="黑体" w:cs="黑体"/>
          <w:b/>
          <w:bCs/>
          <w:sz w:val="32"/>
          <w:szCs w:val="32"/>
          <w:highlight w:val="none"/>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 xml:space="preserve"> </w:t>
      </w:r>
      <w:r>
        <w:rPr>
          <w:rFonts w:ascii="黑体" w:hAnsi="黑体" w:eastAsia="黑体" w:cs="黑体"/>
          <w:b/>
          <w:sz w:val="32"/>
          <w:u w:color="auto"/>
        </w:rPr>
        <w:t>环江毛南族自治县第五初级中学</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一、主要职能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（一）贯彻执行党和国家的教育方针、政策和法律法规；拟订初中义务教育改革与发展规划并组织实施。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（二）编制本单位教育事业发展规划并检查实施情况，向自治县人民政府和上级教育部门作出报告。</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（三）督促检查全单位贯彻执行教育方针、政策、法令、法规和上级的各项规定；评估指导本校教育教学工作。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（四）负责推进初中义务教育均衡发展和促进教育公平。</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（五）负责全校人才队伍和教师队伍建设，包括校长岗位培训、后备干部队伍建设、教师学历教育、继续教育等。</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（六）负责组织全校做好学籍管理工作。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（七）按照中央关于全面推进素质教育要求，负责教育教学管理、教育教学改革及教育教学科学研究工作，检查指导全校实施素质教育工作，并组织推广先进的教育教学经验。</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（八）检查指导学校教育教学设备的装备、管理和使用工作。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（九）检查指导全校开展电化教育和信息化教学工作。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（十）负责全校教师初级专业技术职务资格的评审，中、高级专业技术职务资格的申报工作。按照管理权限对教师进行考核、聘任、奖惩、晋升等工作。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（十一）负责监督审计全校教育经费和非税的征收、管理与使用工作。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（十二）负责指导全校学生资助管理工作。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（十三）负责语言文字和指导推广普通话工作。</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（十四）完成上级部门交办的其他工作。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auto"/>
          <w:sz w:val="32"/>
          <w:szCs w:val="32"/>
        </w:rPr>
        <w:t>我部门没有下属单位，按照部门决算编报要求，单独编制本部门决算。</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footerReference r:id="rId7" w:type="default"/>
          <w:pgSz w:w="11906" w:h="16838"/>
          <w:pgMar w:top="1440" w:right="1800" w:bottom="1440" w:left="1800" w:header="851" w:footer="992" w:gutter="0"/>
          <w:pgNumType w:start="1"/>
          <w:cols w:space="425" w:num="1"/>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 xml:space="preserve"> </w:t>
      </w:r>
      <w:r>
        <w:rPr>
          <w:rFonts w:ascii="黑体" w:hAnsi="黑体" w:eastAsia="黑体" w:cs="黑体"/>
          <w:sz w:val="32"/>
          <w:u w:color="auto"/>
        </w:rPr>
        <w:t>环江毛南族自治县第五初级中学</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5000" w:type="pct"/>
        <w:tblInd w:w="0" w:type="dxa"/>
        <w:tblLayout w:type="autofit"/>
        <w:tblCellMar>
          <w:top w:w="0" w:type="dxa"/>
          <w:left w:w="108" w:type="dxa"/>
          <w:bottom w:w="0" w:type="dxa"/>
          <w:right w:w="108" w:type="dxa"/>
        </w:tblCellMar>
      </w:tblPr>
      <w:tblGrid>
        <w:gridCol w:w="3576"/>
        <w:gridCol w:w="1940"/>
        <w:gridCol w:w="1780"/>
        <w:gridCol w:w="3516"/>
        <w:gridCol w:w="1746"/>
        <w:gridCol w:w="1616"/>
      </w:tblGrid>
      <w:tr>
        <w:tblPrEx>
          <w:tblCellMar>
            <w:top w:w="0" w:type="dxa"/>
            <w:left w:w="108" w:type="dxa"/>
            <w:bottom w:w="0" w:type="dxa"/>
            <w:right w:w="108" w:type="dxa"/>
          </w:tblCellMar>
        </w:tblPrEx>
        <w:trPr>
          <w:trHeight w:val="902" w:hRule="atLeast"/>
        </w:trPr>
        <w:tc>
          <w:tcPr>
            <w:tcW w:w="5000" w:type="pct"/>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9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0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8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2570" w:type="pct"/>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 xml:space="preserve"> </w:t>
            </w:r>
            <w:r>
              <w:rPr>
                <w:rFonts w:hint="default" w:ascii="宋体" w:hAnsi="宋体" w:eastAsia="宋体" w:cs="宋体"/>
                <w:color w:val="000000"/>
                <w:sz w:val="20"/>
                <w:u w:color="auto"/>
              </w:rPr>
              <w:t>环江毛南族自治县第五初级中学</w:t>
            </w:r>
          </w:p>
        </w:tc>
        <w:tc>
          <w:tcPr>
            <w:tcW w:w="95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8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257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24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378.31</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337.62</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23.03</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17.66</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9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c>
          <w:tcPr>
            <w:tcW w:w="9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注：1.本表反映部门本年度的总收支和年末结转结余情况。</w:t>
      </w:r>
    </w:p>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22"/>
          <w:szCs w:val="22"/>
          <w:highlight w:val="none"/>
          <w:lang w:bidi="ar"/>
        </w:rPr>
        <w:t xml:space="preserve"> 2.本套报表金额单位转换时可能存在尾数误差。</w:t>
      </w:r>
      <w:r>
        <w:rPr>
          <w:rFonts w:hint="eastAsia" w:ascii="宋体" w:hAnsi="宋体" w:eastAsia="宋体" w:cs="宋体"/>
          <w:color w:val="000000"/>
          <w:kern w:val="0"/>
          <w:sz w:val="30"/>
          <w:szCs w:val="30"/>
          <w:highlight w:val="none"/>
          <w:lang w:bidi="ar"/>
        </w:rPr>
        <w:br w:type="page"/>
      </w:r>
    </w:p>
    <w:tbl>
      <w:tblPr>
        <w:tblStyle w:val="6"/>
        <w:tblW w:w="5000" w:type="pct"/>
        <w:tblInd w:w="0" w:type="dxa"/>
        <w:tblLayout w:type="autofit"/>
        <w:tblCellMar>
          <w:top w:w="0" w:type="dxa"/>
          <w:left w:w="108" w:type="dxa"/>
          <w:bottom w:w="0" w:type="dxa"/>
          <w:right w:w="108" w:type="dxa"/>
        </w:tblCellMar>
      </w:tblPr>
      <w:tblGrid>
        <w:gridCol w:w="1436"/>
        <w:gridCol w:w="2166"/>
        <w:gridCol w:w="366"/>
        <w:gridCol w:w="368"/>
        <w:gridCol w:w="836"/>
        <w:gridCol w:w="1375"/>
        <w:gridCol w:w="1313"/>
        <w:gridCol w:w="1225"/>
        <w:gridCol w:w="1318"/>
        <w:gridCol w:w="1330"/>
        <w:gridCol w:w="1293"/>
        <w:gridCol w:w="1148"/>
      </w:tblGrid>
      <w:tr>
        <w:tblPrEx>
          <w:tblCellMar>
            <w:top w:w="0" w:type="dxa"/>
            <w:left w:w="108" w:type="dxa"/>
            <w:bottom w:w="0" w:type="dxa"/>
            <w:right w:w="108" w:type="dxa"/>
          </w:tblCellMar>
        </w:tblPrEx>
        <w:trPr>
          <w:trHeight w:val="951" w:hRule="atLeast"/>
        </w:trPr>
        <w:tc>
          <w:tcPr>
            <w:tcW w:w="5000" w:type="pct"/>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1271"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3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8"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2773" w:type="pct"/>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 xml:space="preserve"> </w:t>
            </w:r>
            <w:r>
              <w:rPr>
                <w:rFonts w:hint="default" w:ascii="宋体" w:hAnsi="宋体" w:eastAsia="宋体" w:cs="宋体"/>
                <w:color w:val="000000"/>
                <w:sz w:val="20"/>
                <w:u w:color="auto"/>
              </w:rPr>
              <w:t>环江毛南族自治县第五初级中学</w:t>
            </w:r>
          </w:p>
        </w:tc>
        <w:tc>
          <w:tcPr>
            <w:tcW w:w="43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5"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8" w:type="pct"/>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182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4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4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4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4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4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5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318"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4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5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18"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5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18"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82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182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378.31</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378.31</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2050203</w:t>
            </w:r>
          </w:p>
        </w:tc>
        <w:tc>
          <w:tcPr>
            <w:tcW w:w="13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初中教育</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332.84</w:t>
            </w:r>
          </w:p>
        </w:tc>
        <w:tc>
          <w:tcPr>
            <w:tcW w:w="13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332.84</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2050299</w:t>
            </w:r>
          </w:p>
        </w:tc>
        <w:tc>
          <w:tcPr>
            <w:tcW w:w="13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其他普通教育支出</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w:t>
            </w:r>
          </w:p>
        </w:tc>
        <w:tc>
          <w:tcPr>
            <w:tcW w:w="13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1.6</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2050701</w:t>
            </w:r>
          </w:p>
        </w:tc>
        <w:tc>
          <w:tcPr>
            <w:tcW w:w="13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特殊学校教育</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1.02</w:t>
            </w:r>
          </w:p>
        </w:tc>
        <w:tc>
          <w:tcPr>
            <w:tcW w:w="13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1.02</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2050999</w:t>
            </w:r>
          </w:p>
        </w:tc>
        <w:tc>
          <w:tcPr>
            <w:tcW w:w="13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其他教育费附加安排的支出</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2.16</w:t>
            </w:r>
          </w:p>
        </w:tc>
        <w:tc>
          <w:tcPr>
            <w:tcW w:w="13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2.16</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13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23.03</w:t>
            </w:r>
          </w:p>
        </w:tc>
        <w:tc>
          <w:tcPr>
            <w:tcW w:w="13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23.03</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13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17.66</w:t>
            </w:r>
          </w:p>
        </w:tc>
        <w:tc>
          <w:tcPr>
            <w:tcW w:w="13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17.66</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5000" w:type="pct"/>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5000" w:type="pct"/>
        <w:tblInd w:w="0" w:type="dxa"/>
        <w:tblLayout w:type="autofit"/>
        <w:tblCellMar>
          <w:top w:w="0" w:type="dxa"/>
          <w:left w:w="108" w:type="dxa"/>
          <w:bottom w:w="0" w:type="dxa"/>
          <w:right w:w="108" w:type="dxa"/>
        </w:tblCellMar>
      </w:tblPr>
      <w:tblGrid>
        <w:gridCol w:w="1025"/>
        <w:gridCol w:w="222"/>
        <w:gridCol w:w="181"/>
        <w:gridCol w:w="68"/>
        <w:gridCol w:w="3671"/>
        <w:gridCol w:w="1607"/>
        <w:gridCol w:w="1446"/>
        <w:gridCol w:w="1375"/>
        <w:gridCol w:w="1466"/>
        <w:gridCol w:w="1466"/>
        <w:gridCol w:w="1647"/>
      </w:tblGrid>
      <w:tr>
        <w:tblPrEx>
          <w:tblCellMar>
            <w:top w:w="0" w:type="dxa"/>
            <w:left w:w="108" w:type="dxa"/>
            <w:bottom w:w="0" w:type="dxa"/>
            <w:right w:w="108" w:type="dxa"/>
          </w:tblCellMar>
        </w:tblPrEx>
        <w:trPr>
          <w:trHeight w:val="623"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36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8"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9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6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9"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3385" w:type="pct"/>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 xml:space="preserve"> </w:t>
            </w:r>
            <w:r>
              <w:rPr>
                <w:rFonts w:hint="default" w:ascii="宋体" w:hAnsi="宋体" w:eastAsia="宋体" w:cs="宋体"/>
                <w:color w:val="000000"/>
                <w:sz w:val="20"/>
                <w:u w:color="auto"/>
              </w:rPr>
              <w:t>环江毛南族自治县第五初级中学</w:t>
            </w:r>
          </w:p>
        </w:tc>
        <w:tc>
          <w:tcPr>
            <w:tcW w:w="517" w:type="pct"/>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7" w:type="pct"/>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9" w:type="pct"/>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182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5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5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5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50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318"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5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504"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1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504"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1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182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182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378.31</w:t>
            </w:r>
          </w:p>
        </w:tc>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188.35</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189.96</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50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2050203</w:t>
            </w:r>
          </w:p>
        </w:tc>
        <w:tc>
          <w:tcPr>
            <w:tcW w:w="13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初中教育</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332.84</w:t>
            </w:r>
          </w:p>
        </w:tc>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147.66</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185.18</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0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2050299</w:t>
            </w:r>
          </w:p>
        </w:tc>
        <w:tc>
          <w:tcPr>
            <w:tcW w:w="13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其他普通教育支出</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w:t>
            </w:r>
          </w:p>
        </w:tc>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0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2050701</w:t>
            </w:r>
          </w:p>
        </w:tc>
        <w:tc>
          <w:tcPr>
            <w:tcW w:w="13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特殊学校教育</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1.02</w:t>
            </w:r>
          </w:p>
        </w:tc>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1.02</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0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2050999</w:t>
            </w:r>
          </w:p>
        </w:tc>
        <w:tc>
          <w:tcPr>
            <w:tcW w:w="13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其他教育费附加安排的支出</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2.16</w:t>
            </w:r>
          </w:p>
        </w:tc>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2.16</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0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13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23.03</w:t>
            </w:r>
          </w:p>
        </w:tc>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23.03</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0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13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17.66</w:t>
            </w:r>
          </w:p>
        </w:tc>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17.66</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5000" w:type="pct"/>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5000" w:type="pct"/>
        <w:tblInd w:w="0" w:type="dxa"/>
        <w:tblLayout w:type="fixed"/>
        <w:tblCellMar>
          <w:top w:w="0" w:type="dxa"/>
          <w:left w:w="108" w:type="dxa"/>
          <w:bottom w:w="0" w:type="dxa"/>
          <w:right w:w="108" w:type="dxa"/>
        </w:tblCellMar>
      </w:tblPr>
      <w:tblGrid>
        <w:gridCol w:w="3217"/>
        <w:gridCol w:w="465"/>
        <w:gridCol w:w="1040"/>
        <w:gridCol w:w="3460"/>
        <w:gridCol w:w="510"/>
        <w:gridCol w:w="1380"/>
        <w:gridCol w:w="1200"/>
        <w:gridCol w:w="1305"/>
        <w:gridCol w:w="1597"/>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113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2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6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552"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 xml:space="preserve"> </w:t>
            </w:r>
            <w:r>
              <w:rPr>
                <w:rFonts w:hint="default" w:ascii="宋体" w:hAnsi="宋体" w:eastAsia="宋体" w:cs="宋体"/>
                <w:color w:val="000000"/>
                <w:sz w:val="20"/>
                <w:u w:color="auto"/>
              </w:rPr>
              <w:t>环江毛南族自治县第五初级中学</w:t>
            </w:r>
          </w:p>
        </w:tc>
        <w:tc>
          <w:tcPr>
            <w:tcW w:w="423"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63"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6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334"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11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12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4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5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11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337.62</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337.62</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23.03</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23.03</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17.66</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17.66</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72"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政府性基金预算财政拨款</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国有资本经营预算财政拨款</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c>
          <w:tcPr>
            <w:tcW w:w="122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1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c>
          <w:tcPr>
            <w:tcW w:w="4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378.31</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436"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563"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3197"/>
        <w:gridCol w:w="2028"/>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2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 xml:space="preserve"> </w:t>
            </w:r>
            <w:r>
              <w:rPr>
                <w:rFonts w:hint="default" w:ascii="宋体" w:hAnsi="宋体" w:eastAsia="宋体" w:cs="宋体"/>
                <w:color w:val="000000"/>
                <w:sz w:val="20"/>
                <w:u w:color="auto"/>
              </w:rPr>
              <w:t>环江毛南族自治县第五初级中学</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595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0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945"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0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4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4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0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595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595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378.31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188.35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189.96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2050203</w:t>
            </w:r>
          </w:p>
        </w:tc>
        <w:tc>
          <w:tcPr>
            <w:tcW w:w="39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初中教育</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332.84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147.66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185.18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2050299</w:t>
            </w:r>
          </w:p>
        </w:tc>
        <w:tc>
          <w:tcPr>
            <w:tcW w:w="39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其他普通教育支出</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2050701</w:t>
            </w:r>
          </w:p>
        </w:tc>
        <w:tc>
          <w:tcPr>
            <w:tcW w:w="39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特殊学校教育</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1.02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1.02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2050999</w:t>
            </w:r>
          </w:p>
        </w:tc>
        <w:tc>
          <w:tcPr>
            <w:tcW w:w="39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其他教育费附加安排的支出</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2.16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2.16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2080505</w:t>
            </w:r>
          </w:p>
        </w:tc>
        <w:tc>
          <w:tcPr>
            <w:tcW w:w="39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机关事业单位基本养老保险缴费支出</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23.03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23.03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2210201</w:t>
            </w:r>
          </w:p>
        </w:tc>
        <w:tc>
          <w:tcPr>
            <w:tcW w:w="39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住房公积金</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17.66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17.66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5000" w:type="pct"/>
        <w:tblInd w:w="0" w:type="dxa"/>
        <w:tblLayout w:type="fixed"/>
        <w:tblCellMar>
          <w:top w:w="0" w:type="dxa"/>
          <w:left w:w="108" w:type="dxa"/>
          <w:bottom w:w="0" w:type="dxa"/>
          <w:right w:w="108" w:type="dxa"/>
        </w:tblCellMar>
      </w:tblPr>
      <w:tblGrid>
        <w:gridCol w:w="1315"/>
        <w:gridCol w:w="2971"/>
        <w:gridCol w:w="1121"/>
        <w:gridCol w:w="1155"/>
        <w:gridCol w:w="1497"/>
        <w:gridCol w:w="1368"/>
        <w:gridCol w:w="1140"/>
        <w:gridCol w:w="2635"/>
        <w:gridCol w:w="972"/>
      </w:tblGrid>
      <w:tr>
        <w:tblPrEx>
          <w:tblCellMar>
            <w:top w:w="0" w:type="dxa"/>
            <w:left w:w="108" w:type="dxa"/>
            <w:bottom w:w="0" w:type="dxa"/>
            <w:right w:w="108" w:type="dxa"/>
          </w:tblCellMar>
        </w:tblPrEx>
        <w:trPr>
          <w:trHeight w:val="614"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46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2842" w:type="pct"/>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 xml:space="preserve"> </w:t>
            </w:r>
            <w:r>
              <w:rPr>
                <w:rFonts w:hint="default" w:ascii="宋体" w:hAnsi="宋体" w:eastAsia="宋体" w:cs="宋体"/>
                <w:color w:val="000000"/>
                <w:sz w:val="20"/>
                <w:u w:color="auto"/>
              </w:rPr>
              <w:t>环江毛南族自治县第五初级中学</w:t>
            </w:r>
          </w:p>
        </w:tc>
        <w:tc>
          <w:tcPr>
            <w:tcW w:w="48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72" w:type="pct"/>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19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3092"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0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4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5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4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4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9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188.35</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71.33</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5.18</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26.71</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34.15</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机关事业单位基本养老保险缴费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23.03</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9.23</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物业管理费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1.06</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17.66</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维修（护）费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地上附着物和青苗补偿</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其他交通费用</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税金及附加费用</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其他商品和服务支出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104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188.35</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5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319" w:hRule="atLeast"/>
        </w:trPr>
        <w:tc>
          <w:tcPr>
            <w:tcW w:w="5000" w:type="pct"/>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 xml:space="preserve"> </w:t>
            </w:r>
            <w:r>
              <w:rPr>
                <w:rFonts w:hint="default" w:ascii="宋体" w:hAnsi="宋体" w:eastAsia="宋体" w:cs="宋体"/>
                <w:color w:val="000000"/>
                <w:sz w:val="20"/>
                <w:u w:color="auto"/>
              </w:rPr>
              <w:t>环江毛南族自治县第五初级中学</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r>
              <w:rPr>
                <w:rFonts w:hint="eastAsia" w:ascii="Times New Roman" w:hAnsi="Times New Roman" w:eastAsia="宋体"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 xml:space="preserve"> </w:t>
            </w:r>
            <w:r>
              <w:rPr>
                <w:rFonts w:hint="default" w:ascii="宋体" w:hAnsi="宋体" w:eastAsia="宋体" w:cs="宋体"/>
                <w:color w:val="000000"/>
                <w:sz w:val="20"/>
                <w:u w:color="auto"/>
              </w:rPr>
              <w:t>环江毛南族自治县第五初级中学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 xml:space="preserve"> </w:t>
            </w:r>
            <w:r>
              <w:rPr>
                <w:rFonts w:hint="default" w:ascii="宋体" w:hAnsi="宋体" w:eastAsia="宋体" w:cs="宋体"/>
                <w:color w:val="000000"/>
                <w:sz w:val="20"/>
                <w:u w:color="auto"/>
              </w:rPr>
              <w:t>环江毛南族自治县第五初级中学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 xml:space="preserve"> </w:t>
      </w:r>
      <w:r>
        <w:rPr>
          <w:rFonts w:ascii="黑体" w:hAnsi="黑体" w:eastAsia="黑体" w:cs="黑体"/>
          <w:sz w:val="32"/>
          <w:u w:color="auto"/>
        </w:rPr>
        <w:t>环江毛南族自治县第五初级中学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378.31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355.35</w:t>
      </w:r>
      <w:r>
        <w:rPr>
          <w:rFonts w:hint="eastAsia" w:ascii="仿宋" w:hAnsi="仿宋" w:eastAsia="仿宋" w:cs="仿宋"/>
          <w:sz w:val="32"/>
          <w:szCs w:val="32"/>
          <w:highlight w:val="none"/>
        </w:rPr>
        <w:t>万元，</w:t>
      </w:r>
      <w:r>
        <w:rPr>
          <w:rFonts w:hint="eastAsia" w:ascii="仿宋_GB2312" w:hAnsi="仿宋_GB2312" w:eastAsia="仿宋_GB2312" w:cs="仿宋_GB2312"/>
          <w:sz w:val="32"/>
          <w:lang w:val="en-US" w:eastAsia="zh-CN" w:bidi="ar"/>
        </w:rPr>
        <w:t>比上年增加</w:t>
      </w:r>
      <w:r>
        <w:rPr>
          <w:rFonts w:hint="eastAsia" w:ascii="仿宋_GB2312" w:hAnsi="Times New Roman" w:eastAsia="仿宋_GB2312" w:cs="仿宋_GB2312"/>
          <w:sz w:val="32"/>
          <w:szCs w:val="32"/>
          <w:lang w:val="en-US" w:eastAsia="zh-CN" w:bidi="ar"/>
        </w:rPr>
        <w:t>1547.37</w:t>
      </w:r>
      <w:r>
        <w:rPr>
          <w:rFonts w:ascii="Times New Roman" w:hAnsi="Times New Roman" w:eastAsia="Times New Roman" w:cs="Times New Roman"/>
          <w:sz w:val="32"/>
          <w:lang w:val="en-US" w:eastAsia="zh-CN" w:bidi="ar"/>
        </w:rPr>
        <w:t>%</w:t>
      </w:r>
      <w:r>
        <w:rPr>
          <w:rFonts w:hint="eastAsia" w:ascii="Times New Roman" w:hAnsi="Times New Roman" w:eastAsia="Times New Roman" w:cs="Times New Roman"/>
          <w:sz w:val="32"/>
          <w:lang w:val="en-US" w:eastAsia="zh-CN" w:bidi="ar"/>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378.31</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378.31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355.35</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主要原因：我校于</w:t>
      </w:r>
      <w:r>
        <w:rPr>
          <w:rFonts w:hint="eastAsia" w:ascii="仿宋" w:hAnsi="仿宋" w:eastAsia="仿宋" w:cs="仿宋"/>
          <w:color w:val="auto"/>
          <w:kern w:val="2"/>
          <w:sz w:val="32"/>
          <w:szCs w:val="32"/>
          <w:highlight w:val="none"/>
          <w:lang w:val="en-US" w:eastAsia="zh-CN" w:bidi="ar"/>
        </w:rPr>
        <w:t>2022年9月成立时只有19位教职工，215位在校生，且2022年所有教职工工资均由原单位发放，2023年我校教职工有39位，学生有640名，2023年5月起35位教职工工资由我校发放，加大了财政拨款收入支出。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主要原因：本单位没有</w:t>
      </w:r>
      <w:r>
        <w:rPr>
          <w:rFonts w:hint="eastAsia" w:ascii="仿宋" w:hAnsi="仿宋" w:eastAsia="仿宋" w:cs="仿宋"/>
          <w:kern w:val="2"/>
          <w:sz w:val="32"/>
          <w:szCs w:val="32"/>
          <w:highlight w:val="none"/>
          <w:lang w:val="en-US" w:eastAsia="zh-CN" w:bidi="ar"/>
        </w:rPr>
        <w:t>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kern w:val="2"/>
          <w:sz w:val="32"/>
          <w:szCs w:val="32"/>
          <w:highlight w:val="none"/>
          <w:lang w:val="en-US" w:eastAsia="zh-CN" w:bidi="ar"/>
        </w:rPr>
        <w:t>国有资本经营预算财政拨款收入</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本单位历年来都没有非财政拨款收入。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主要原因：2022年及2023年</w:t>
      </w:r>
      <w:r>
        <w:rPr>
          <w:rFonts w:hint="eastAsia" w:ascii="仿宋" w:hAnsi="仿宋" w:eastAsia="仿宋" w:cs="仿宋"/>
          <w:color w:val="auto"/>
          <w:kern w:val="2"/>
          <w:sz w:val="32"/>
          <w:szCs w:val="32"/>
          <w:highlight w:val="none"/>
          <w:lang w:val="en-US" w:eastAsia="zh-CN" w:bidi="ar"/>
        </w:rPr>
        <w:t>所有项目都在当年执行完毕，无结转和结余。</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highlight w:val="none"/>
          <w:u w:color="auto"/>
          <w:lang w:val="en-US" w:eastAsia="zh-CN"/>
        </w:rPr>
        <w:t>378.31</w:t>
      </w:r>
      <w:r>
        <w:rPr>
          <w:rFonts w:hint="eastAsia" w:ascii="仿宋" w:hAnsi="仿宋" w:eastAsia="仿宋" w:cs="仿宋"/>
          <w:sz w:val="32"/>
          <w:szCs w:val="32"/>
          <w:highlight w:val="none"/>
        </w:rPr>
        <w:t>万元，其中本年支出</w:t>
      </w:r>
      <w:r>
        <w:rPr>
          <w:rFonts w:hint="eastAsia" w:ascii="仿宋" w:hAnsi="仿宋" w:eastAsia="仿宋" w:cs="仿宋"/>
          <w:sz w:val="32"/>
          <w:highlight w:val="none"/>
          <w:u w:color="auto"/>
          <w:lang w:val="en-US" w:eastAsia="zh-CN"/>
        </w:rPr>
        <w:t>378.31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highlight w:val="none"/>
          <w:u w:color="auto"/>
        </w:rPr>
        <w:t>增加</w:t>
      </w:r>
      <w:r>
        <w:rPr>
          <w:rFonts w:hint="eastAsia" w:ascii="仿宋" w:hAnsi="仿宋" w:eastAsia="仿宋" w:cs="仿宋"/>
          <w:sz w:val="32"/>
          <w:highlight w:val="none"/>
          <w:u w:color="auto"/>
          <w:lang w:val="en-US" w:eastAsia="zh-CN"/>
        </w:rPr>
        <w:t>355.35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_GB2312" w:hAnsi="仿宋_GB2312" w:eastAsia="仿宋_GB2312" w:cs="仿宋_GB2312"/>
          <w:sz w:val="32"/>
          <w:highlight w:val="none"/>
          <w:lang w:val="en-US" w:eastAsia="zh-CN" w:bidi="ar"/>
        </w:rPr>
        <w:t>比上年增加</w:t>
      </w:r>
      <w:r>
        <w:rPr>
          <w:rFonts w:hint="eastAsia" w:ascii="仿宋_GB2312" w:hAnsi="Times New Roman" w:eastAsia="仿宋_GB2312" w:cs="仿宋_GB2312"/>
          <w:sz w:val="32"/>
          <w:szCs w:val="32"/>
          <w:highlight w:val="none"/>
          <w:lang w:val="en-US" w:eastAsia="zh-CN" w:bidi="ar"/>
        </w:rPr>
        <w:t>1547.37</w:t>
      </w:r>
      <w:r>
        <w:rPr>
          <w:rFonts w:ascii="Times New Roman" w:hAnsi="Times New Roman" w:eastAsia="Times New Roman" w:cs="Times New Roman"/>
          <w:sz w:val="32"/>
          <w:highlight w:val="none"/>
          <w:lang w:val="en-US" w:eastAsia="zh-CN" w:bidi="ar"/>
        </w:rPr>
        <w:t>%</w:t>
      </w:r>
      <w:r>
        <w:rPr>
          <w:rFonts w:hint="eastAsia" w:ascii="Times New Roman" w:hAnsi="Times New Roman" w:eastAsia="Times New Roman" w:cs="Times New Roman"/>
          <w:sz w:val="32"/>
          <w:highlight w:val="none"/>
          <w:lang w:val="en-US" w:eastAsia="zh-CN" w:bidi="ar"/>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highlight w:val="none"/>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337.62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w:t>
      </w:r>
      <w:r>
        <w:rPr>
          <w:rFonts w:hint="eastAsia" w:ascii="仿宋" w:hAnsi="仿宋" w:eastAsia="仿宋" w:cs="仿宋"/>
          <w:sz w:val="32"/>
          <w:szCs w:val="32"/>
          <w:highlight w:val="none"/>
          <w:lang w:bidi="ar"/>
        </w:rPr>
        <w:t>要用于</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主要用于</w:t>
      </w:r>
      <w:r>
        <w:rPr>
          <w:rFonts w:hint="eastAsia" w:ascii="仿宋" w:hAnsi="仿宋" w:eastAsia="仿宋" w:cs="仿宋"/>
          <w:sz w:val="32"/>
          <w:szCs w:val="32"/>
          <w:highlight w:val="none"/>
          <w:lang w:val="en-US" w:eastAsia="zh-CN" w:bidi="ar"/>
        </w:rPr>
        <w:t>工资福利支出192.85万，学生营养餐29.36万</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家庭经济困难学生生活补助52.72万，</w:t>
      </w:r>
      <w:r>
        <w:rPr>
          <w:rFonts w:hint="eastAsia" w:ascii="仿宋" w:hAnsi="仿宋" w:eastAsia="仿宋" w:cs="仿宋"/>
          <w:sz w:val="32"/>
          <w:szCs w:val="32"/>
          <w:highlight w:val="none"/>
          <w:lang w:bidi="ar"/>
        </w:rPr>
        <w:t>商品服务支出</w:t>
      </w:r>
      <w:r>
        <w:rPr>
          <w:rFonts w:hint="eastAsia" w:ascii="仿宋" w:hAnsi="仿宋" w:eastAsia="仿宋" w:cs="仿宋"/>
          <w:sz w:val="32"/>
          <w:szCs w:val="32"/>
          <w:highlight w:val="none"/>
          <w:lang w:val="en-US" w:eastAsia="zh-CN" w:bidi="ar"/>
        </w:rPr>
        <w:t>53.67万</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办公设备购置9.02万，</w:t>
      </w:r>
      <w:r>
        <w:rPr>
          <w:rFonts w:hint="eastAsia" w:ascii="仿宋" w:hAnsi="仿宋" w:eastAsia="仿宋" w:cs="仿宋"/>
          <w:sz w:val="32"/>
          <w:szCs w:val="32"/>
          <w:highlight w:val="none"/>
          <w:lang w:bidi="ar"/>
        </w:rPr>
        <w:t>较202</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年度决算数增加</w:t>
      </w:r>
      <w:r>
        <w:rPr>
          <w:rFonts w:hint="eastAsia" w:ascii="仿宋" w:hAnsi="仿宋" w:eastAsia="仿宋" w:cs="仿宋"/>
          <w:sz w:val="32"/>
          <w:szCs w:val="32"/>
          <w:highlight w:val="none"/>
          <w:lang w:val="en-US" w:eastAsia="zh-CN" w:bidi="ar"/>
        </w:rPr>
        <w:t>314.66</w:t>
      </w:r>
      <w:r>
        <w:rPr>
          <w:rFonts w:hint="eastAsia" w:ascii="仿宋" w:hAnsi="仿宋" w:eastAsia="仿宋" w:cs="仿宋"/>
          <w:sz w:val="32"/>
          <w:szCs w:val="32"/>
          <w:highlight w:val="none"/>
          <w:lang w:bidi="ar"/>
        </w:rPr>
        <w:t>万元，</w:t>
      </w:r>
      <w:r>
        <w:rPr>
          <w:rFonts w:hint="eastAsia" w:ascii="仿宋" w:hAnsi="仿宋" w:eastAsia="仿宋" w:cs="仿宋"/>
          <w:sz w:val="32"/>
          <w:szCs w:val="32"/>
          <w:highlight w:val="none"/>
          <w:lang w:val="en-US" w:eastAsia="zh-CN" w:bidi="ar"/>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我校于</w:t>
      </w:r>
      <w:r>
        <w:rPr>
          <w:rFonts w:hint="eastAsia" w:ascii="仿宋" w:hAnsi="仿宋" w:eastAsia="仿宋" w:cs="仿宋"/>
          <w:color w:val="auto"/>
          <w:kern w:val="2"/>
          <w:sz w:val="32"/>
          <w:szCs w:val="32"/>
          <w:highlight w:val="none"/>
          <w:lang w:val="en-US" w:eastAsia="zh-CN" w:bidi="ar"/>
        </w:rPr>
        <w:t>2022年9月成立时只有19位教职工，215位在校生，且2022年所有教职工工资均由原单位发放，2023年我校教职工有39位，学生有640名，2023年5月起35位教职工工资由我校发放，加大了财政拨款收入支出</w:t>
      </w:r>
      <w:r>
        <w:rPr>
          <w:rFonts w:hint="eastAsia" w:ascii="仿宋" w:hAnsi="仿宋" w:eastAsia="仿宋" w:cs="仿宋"/>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rPr>
        <w:t>2</w:t>
      </w:r>
      <w:r>
        <w:rPr>
          <w:rFonts w:ascii="仿宋" w:hAnsi="仿宋" w:eastAsia="仿宋" w:cs="仿宋"/>
          <w:sz w:val="32"/>
          <w:highlight w:val="none"/>
          <w:u w:color="auto"/>
        </w:rPr>
        <w:t>.</w:t>
      </w:r>
      <w:r>
        <w:rPr>
          <w:rFonts w:hint="eastAsia" w:ascii="仿宋" w:hAnsi="仿宋" w:eastAsia="仿宋" w:cs="仿宋"/>
          <w:sz w:val="32"/>
          <w:szCs w:val="32"/>
          <w:highlight w:val="none"/>
          <w:lang w:val="en-US" w:eastAsia="zh-CN"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23.03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主要用于机关事业单位基本养老保险缴费支出，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highlight w:val="none"/>
          <w:u w:color="auto"/>
        </w:rPr>
        <w:t>增加</w:t>
      </w:r>
      <w:r>
        <w:rPr>
          <w:rFonts w:hint="eastAsia" w:ascii="仿宋" w:hAnsi="仿宋" w:eastAsia="仿宋" w:cs="仿宋"/>
          <w:sz w:val="32"/>
          <w:highlight w:val="none"/>
          <w:u w:color="auto"/>
          <w:lang w:val="en-US" w:eastAsia="zh-CN"/>
        </w:rPr>
        <w:t>23.03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bidi="ar"/>
        </w:rPr>
        <w:t>主要原因是2022年我单位无在编人员，所有教师工资及社保都保留在原单位，2023年5月起有35位借调教师工资转入我单位发放，并由我单位缴纳五险一金。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rPr>
        <w:t>3</w:t>
      </w:r>
      <w:r>
        <w:rPr>
          <w:rFonts w:ascii="仿宋" w:hAnsi="仿宋" w:eastAsia="仿宋" w:cs="仿宋"/>
          <w:sz w:val="32"/>
          <w:highlight w:val="none"/>
          <w:u w:color="auto"/>
        </w:rPr>
        <w:t>.</w:t>
      </w:r>
      <w:r>
        <w:rPr>
          <w:rFonts w:hint="eastAsia" w:ascii="仿宋" w:hAnsi="仿宋" w:eastAsia="仿宋" w:cs="仿宋"/>
          <w:sz w:val="32"/>
          <w:szCs w:val="32"/>
          <w:highlight w:val="none"/>
          <w:lang w:val="en-US" w:eastAsia="zh-CN"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17.66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主要用于在编职工住房公积金支出，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highlight w:val="none"/>
          <w:u w:color="auto"/>
        </w:rPr>
        <w:t>增加</w:t>
      </w:r>
      <w:r>
        <w:rPr>
          <w:rFonts w:hint="eastAsia" w:ascii="仿宋" w:hAnsi="仿宋" w:eastAsia="仿宋" w:cs="仿宋"/>
          <w:sz w:val="32"/>
          <w:highlight w:val="none"/>
          <w:u w:color="auto"/>
          <w:lang w:val="en-US" w:eastAsia="zh-CN"/>
        </w:rPr>
        <w:t>17.66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bidi="ar"/>
        </w:rPr>
        <w:t>主要原因是2022年我单位无在编人员，所有教师工资及五险一金都保留在原单位，2023年5月起有35位借调教师工资转入我单位发放，并由我单位缴纳五险一金。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sz w:val="32"/>
          <w:szCs w:val="32"/>
          <w:highlight w:val="none"/>
          <w:lang w:val="en-US" w:eastAsia="zh-CN" w:bidi="ar"/>
        </w:rPr>
        <w:t>本部门不适用此项。</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bidi="ar"/>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主要原因是：2022年及2023年</w:t>
      </w:r>
      <w:r>
        <w:rPr>
          <w:rFonts w:hint="eastAsia" w:ascii="仿宋" w:hAnsi="仿宋" w:eastAsia="仿宋" w:cs="仿宋"/>
          <w:color w:val="auto"/>
          <w:kern w:val="2"/>
          <w:sz w:val="32"/>
          <w:szCs w:val="32"/>
          <w:highlight w:val="none"/>
          <w:lang w:val="en-US" w:eastAsia="zh-CN" w:bidi="ar"/>
        </w:rPr>
        <w:t>所有项目都在当年执行完毕，无结转和结余</w:t>
      </w:r>
      <w:r>
        <w:rPr>
          <w:rFonts w:hint="eastAsia" w:ascii="仿宋" w:hAnsi="仿宋" w:eastAsia="仿宋" w:cs="仿宋"/>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2540"/>
            <wp:effectExtent l="4445" t="4445" r="20955" b="1206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环江毛南族自治县第五初级中学202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378.31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355.35</w:t>
      </w:r>
      <w:r>
        <w:rPr>
          <w:rFonts w:hint="eastAsia" w:ascii="仿宋" w:hAnsi="仿宋" w:eastAsia="仿宋" w:cs="仿宋"/>
          <w:sz w:val="32"/>
          <w:szCs w:val="32"/>
          <w:highlight w:val="none"/>
        </w:rPr>
        <w:t>万元，其中：基本支出</w:t>
      </w:r>
      <w:r>
        <w:rPr>
          <w:rFonts w:hint="eastAsia" w:ascii="仿宋" w:hAnsi="仿宋" w:eastAsia="仿宋" w:cs="仿宋"/>
          <w:sz w:val="32"/>
          <w:u w:color="auto"/>
          <w:lang w:val="en-US" w:eastAsia="zh-CN"/>
        </w:rPr>
        <w:t>188.35</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189.96</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环江毛南族自治县第五初级中学202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年初预算，支出决算为</w:t>
      </w:r>
      <w:r>
        <w:rPr>
          <w:rFonts w:hint="eastAsia" w:ascii="仿宋" w:hAnsi="仿宋" w:eastAsia="仿宋" w:cs="仿宋"/>
          <w:sz w:val="32"/>
          <w:u w:color="auto"/>
          <w:lang w:val="en-US" w:eastAsia="zh-CN"/>
        </w:rPr>
        <w:t>378.31</w:t>
      </w:r>
      <w:r>
        <w:rPr>
          <w:rFonts w:hint="eastAsia" w:ascii="仿宋" w:hAnsi="仿宋" w:eastAsia="仿宋" w:cs="仿宋"/>
          <w:sz w:val="32"/>
          <w:szCs w:val="32"/>
          <w:highlight w:val="none"/>
        </w:rPr>
        <w:t>万元。</w:t>
      </w:r>
    </w:p>
    <w:p>
      <w:pPr>
        <w:ind w:firstLine="640"/>
        <w:jc w:val="left"/>
        <w:rPr>
          <w:rFonts w:hint="eastAsia" w:ascii="仿宋" w:hAnsi="仿宋" w:eastAsia="仿宋" w:cs="仿宋"/>
          <w:sz w:val="32"/>
          <w:szCs w:val="32"/>
          <w:highlight w:val="none"/>
          <w:lang w:val="en-US" w:eastAsia="zh-CN" w:bidi="ar"/>
        </w:rPr>
      </w:pPr>
      <w:bookmarkStart w:id="3" w:name="OLE_LINK2"/>
      <w:bookmarkEnd w:id="3"/>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337.62</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sz w:val="32"/>
          <w:szCs w:val="32"/>
          <w:highlight w:val="none"/>
          <w:lang w:val="en-US" w:eastAsia="zh-CN" w:bidi="ar"/>
        </w:rPr>
        <w:t>本部门是2022年9月新成立单位，2023年5月之前所有教职工工资保留在原单位，2022年和2023年均无部门年初预算。</w:t>
      </w:r>
    </w:p>
    <w:p>
      <w:pPr>
        <w:ind w:firstLine="640"/>
        <w:jc w:val="left"/>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社会保障和就业支出（基本</w:t>
      </w:r>
      <w:bookmarkStart w:id="5" w:name="_GoBack"/>
      <w:bookmarkEnd w:id="5"/>
      <w:r>
        <w:rPr>
          <w:rFonts w:hint="eastAsia" w:ascii="仿宋" w:hAnsi="仿宋" w:eastAsia="仿宋" w:cs="仿宋"/>
          <w:sz w:val="32"/>
          <w:szCs w:val="32"/>
          <w:highlight w:val="none"/>
          <w:lang w:val="en-US" w:eastAsia="zh-CN" w:bidi="ar"/>
        </w:rPr>
        <w:t>养老保险）</w:t>
      </w:r>
      <w:r>
        <w:rPr>
          <w:rFonts w:hint="eastAsia" w:ascii="仿宋" w:hAnsi="仿宋" w:eastAsia="仿宋"/>
          <w:sz w:val="32"/>
          <w:szCs w:val="32"/>
          <w:highlight w:val="none"/>
        </w:rPr>
        <w:t>年初预算为</w:t>
      </w:r>
      <w:r>
        <w:rPr>
          <w:rFonts w:ascii="仿宋" w:hAnsi="仿宋" w:eastAsia="仿宋"/>
          <w:color w:val="auto"/>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23.03</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sz w:val="32"/>
          <w:szCs w:val="32"/>
          <w:highlight w:val="none"/>
          <w:lang w:val="en-US" w:eastAsia="zh-CN" w:bidi="ar"/>
        </w:rPr>
        <w:t>本部门是2022年9月新成立单位，2023年5月之前所有教职工工资保留在原单位，2022年和2023年均无部门年初预算。</w:t>
      </w:r>
    </w:p>
    <w:p>
      <w:pPr>
        <w:ind w:firstLine="640"/>
        <w:jc w:val="left"/>
        <w:rPr>
          <w:rFonts w:hint="default"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住房公积金支出</w:t>
      </w:r>
      <w:r>
        <w:rPr>
          <w:rFonts w:hint="eastAsia" w:ascii="仿宋" w:hAnsi="仿宋" w:eastAsia="仿宋"/>
          <w:sz w:val="32"/>
          <w:szCs w:val="32"/>
          <w:highlight w:val="none"/>
        </w:rPr>
        <w:t>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17.66</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sz w:val="32"/>
          <w:szCs w:val="32"/>
          <w:highlight w:val="none"/>
          <w:lang w:val="en-US" w:eastAsia="zh-CN" w:bidi="ar"/>
        </w:rPr>
        <w:t>本部门是2022年9月新成立单位，2023年5月之前所有教职工工资保留在原单位，2022年和2023年均无部门年初预算。</w:t>
      </w: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p>
    <w:p>
      <w:pPr>
        <w:jc w:val="left"/>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（一）支出具体情况如下</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单位：万元</w:t>
      </w:r>
    </w:p>
    <w:tbl>
      <w:tblPr>
        <w:tblStyle w:val="6"/>
        <w:tblW w:w="81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560"/>
        <w:gridCol w:w="870"/>
        <w:gridCol w:w="885"/>
        <w:gridCol w:w="1095"/>
        <w:gridCol w:w="192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5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5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332.84</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9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工资福利支出</w:t>
            </w: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5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9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商品和服务支出</w:t>
            </w: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5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1.02</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9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办公设备购置</w:t>
            </w: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5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其他特殊教育费附加安排的支出</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2.16</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9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校园安全保卫经费</w:t>
            </w: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5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23.03</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9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基本养老保险</w:t>
            </w: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5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17.66</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9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住房公积金</w:t>
            </w: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56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378.31</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9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5102225" cy="4204970"/>
            <wp:effectExtent l="4445" t="4445" r="17780" b="1968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环江毛南族自治县第五初级中学202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188.35</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188.35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188.35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0万元</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由于编制2023年部门预算的时候我单位无在编教师，所有教师编制在原单位，工资也在原单位发放，所有人员经费由原单位编制部门预算。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5005070"/>
            <wp:effectExtent l="4445" t="4445" r="16510" b="19685"/>
            <wp:docPr id="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主要原因是：2023年我单位</w:t>
      </w: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用的是项目支出经费</w:t>
      </w:r>
      <w:r>
        <w:rPr>
          <w:rFonts w:hint="eastAsia" w:ascii="仿宋" w:hAnsi="仿宋" w:eastAsia="仿宋" w:cs="仿宋"/>
          <w:sz w:val="32"/>
          <w:szCs w:val="32"/>
          <w:highlight w:val="none"/>
          <w:lang w:val="en-US" w:eastAsia="zh-CN" w:bidi="ar"/>
        </w:rPr>
        <w:t>。</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82.08</w:t>
      </w:r>
      <w:r>
        <w:rPr>
          <w:rFonts w:ascii="仿宋" w:hAnsi="仿宋" w:eastAsia="仿宋" w:cs="仿宋"/>
          <w:sz w:val="32"/>
          <w:u w:color="auto"/>
        </w:rPr>
        <w:t>万元</w:t>
      </w:r>
      <w:r>
        <w:rPr>
          <w:rFonts w:hint="eastAsia" w:ascii="仿宋" w:hAnsi="仿宋" w:eastAsia="仿宋" w:cs="仿宋"/>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30308助学金（营养餐）29.36万元，30308助学金（家庭经济困难学生生活补助）52.72万元。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bidi="ar"/>
        </w:rPr>
        <w:t>本部门2023年无</w:t>
      </w:r>
      <w:r>
        <w:rPr>
          <w:rFonts w:hint="eastAsia" w:ascii="仿宋" w:hAnsi="仿宋" w:eastAsia="仿宋" w:cs="仿宋"/>
          <w:sz w:val="32"/>
          <w:szCs w:val="32"/>
          <w:highlight w:val="none"/>
        </w:rPr>
        <w:t>债务</w:t>
      </w:r>
      <w:r>
        <w:rPr>
          <w:rFonts w:hint="eastAsia" w:ascii="仿宋" w:hAnsi="仿宋" w:eastAsia="仿宋" w:cs="仿宋"/>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9.02</w:t>
      </w:r>
      <w:r>
        <w:rPr>
          <w:rFonts w:ascii="仿宋" w:hAnsi="仿宋" w:eastAsia="仿宋" w:cs="仿宋"/>
          <w:sz w:val="32"/>
          <w:u w:color="auto"/>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主要为办公设备购置</w:t>
      </w:r>
      <w:r>
        <w:rPr>
          <w:rFonts w:hint="eastAsia" w:ascii="仿宋" w:hAnsi="仿宋" w:eastAsia="仿宋" w:cs="仿宋"/>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4013200"/>
            <wp:effectExtent l="4445" t="4445" r="16510" b="2095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bidi="ar"/>
        </w:rPr>
        <w:t>本部门2023年无其他支出。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25725"/>
            <wp:effectExtent l="4445" t="4445" r="16510" b="1778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hint="eastAsia" w:ascii="仿宋" w:hAnsi="仿宋" w:eastAsia="仿宋" w:cs="仿宋"/>
          <w:sz w:val="32"/>
          <w:szCs w:val="32"/>
          <w:highlight w:val="none"/>
        </w:rPr>
      </w:pPr>
      <w:r>
        <w:rPr>
          <w:rFonts w:hint="eastAsia" w:ascii="仿宋_GB2312" w:hAnsi="Times New Roman" w:eastAsia="仿宋_GB2312" w:cs="Times New Roman"/>
          <w:color w:val="auto"/>
          <w:sz w:val="32"/>
          <w:szCs w:val="32"/>
          <w:lang w:eastAsia="zh-CN"/>
        </w:rPr>
        <w:t xml:space="preserve"> </w:t>
      </w:r>
      <w:r>
        <w:rPr>
          <w:rFonts w:hint="eastAsia" w:ascii="仿宋_GB2312" w:hAnsi="Times New Roman" w:eastAsia="仿宋_GB2312" w:cs="Times New Roman"/>
          <w:color w:val="auto"/>
          <w:sz w:val="32"/>
          <w:szCs w:val="32"/>
        </w:rPr>
        <w:t>环江毛南族自治县第五初级中学</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jc w:val="left"/>
        <w:rPr>
          <w:rFonts w:hint="eastAsia"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_GB2312" w:hAnsi="Times New Roman" w:eastAsia="仿宋_GB2312" w:cs="Times New Roman"/>
          <w:color w:val="FF0000"/>
          <w:sz w:val="32"/>
          <w:szCs w:val="32"/>
          <w:lang w:eastAsia="zh-CN"/>
        </w:rPr>
        <w:t xml:space="preserve"> </w:t>
      </w:r>
      <w:r>
        <w:rPr>
          <w:rFonts w:hint="eastAsia" w:ascii="仿宋_GB2312" w:hAnsi="Times New Roman" w:eastAsia="仿宋_GB2312" w:cs="Times New Roman"/>
          <w:color w:val="auto"/>
          <w:sz w:val="32"/>
          <w:szCs w:val="32"/>
        </w:rPr>
        <w:t>环江毛南族自治县第五初级中学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bidi="ar"/>
        </w:rPr>
        <w:t>本部门无</w:t>
      </w:r>
      <w:r>
        <w:rPr>
          <w:rFonts w:hint="eastAsia" w:ascii="仿宋" w:hAnsi="仿宋" w:eastAsia="仿宋" w:cs="仿宋"/>
          <w:sz w:val="32"/>
          <w:szCs w:val="32"/>
          <w:highlight w:val="none"/>
        </w:rPr>
        <w:t>财政拨款安排的“三公”经费</w:t>
      </w:r>
      <w:r>
        <w:rPr>
          <w:rFonts w:hint="eastAsia" w:ascii="仿宋" w:hAnsi="仿宋" w:eastAsia="仿宋" w:cs="仿宋"/>
          <w:sz w:val="32"/>
          <w:szCs w:val="32"/>
          <w:highlight w:val="none"/>
          <w:lang w:val="en-US" w:eastAsia="zh-CN"/>
        </w:rPr>
        <w:t>预算</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val="en-US" w:eastAsia="zh-CN"/>
        </w:rPr>
        <w:t>属于全额拨款事业单位，无</w:t>
      </w:r>
      <w:r>
        <w:rPr>
          <w:rFonts w:hint="eastAsia" w:ascii="仿宋" w:hAnsi="仿宋" w:eastAsia="仿宋" w:cs="仿宋"/>
          <w:sz w:val="32"/>
          <w:szCs w:val="32"/>
          <w:highlight w:val="none"/>
        </w:rPr>
        <w:t>机关运行经费支出</w:t>
      </w:r>
      <w:r>
        <w:rPr>
          <w:rFonts w:hint="eastAsia" w:ascii="仿宋" w:hAnsi="仿宋" w:eastAsia="仿宋" w:cs="仿宋"/>
          <w:color w:val="auto"/>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三等项目1个，</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353.52</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自治区公用经费</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353.52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万元。从评价情况来看，本部门推进预算支出绩效评价管理,提高资金使用效率。按时完成各个项目年度绩效目标，提高服务对象的满意度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我单位绩效管理情况较为理想，达到了年初设定的各项绩效目标</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组织对本单位开展整体支出绩效评价试点，涉及一般公共预算支出353.52万元，政府性基金预算支出0万元。从评价情况来看，我部门绩效管理情况较为理想，达到了年初设定的各项绩效目标。所有资金使用严格按审批程序办理、操作规范，会计核算结果真实、准确，各项支出严格按照各项制度执行。</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义务教育中央级公用经费自评得分96.98分（一等）、自治区公用经费自评得分95分（一等），班主任津贴自评得分100分（一等），全县校园安全保卫经费自评得分100分（一等），教师节经费自评得分100分（一等），基础性绩效工资增量自评得分100分（一等），义务教育阶段家庭经济困难学生生活中央补助资金自评得分100分（一等），义务教育阶段家庭经济困难学生生活县级补助资金项目自评得分为100分（一等），全县校长绩效工资自评得分100分（一等），党建工作经费自评得分90分（一等），营养改善计划膳食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86.62</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（二等）</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因2023年12月份营养餐货款于下个月支付，实际上学生都能按时享受到营养餐补助</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城乡义务教育公用经费县级配套资金项目评分均为83.82分（二等），</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未及时结账并交材料报账。</w:t>
      </w:r>
      <w:r>
        <w:rPr>
          <w:rFonts w:hint="eastAsia" w:ascii="仿宋" w:hAnsi="仿宋" w:eastAsia="仿宋" w:cs="仿宋"/>
          <w:color w:val="000000" w:themeColor="text1"/>
          <w:sz w:val="32"/>
          <w:szCs w:val="32"/>
          <w14:textFill>
            <w14:solidFill>
              <w14:schemeClr w14:val="tx1"/>
            </w14:solidFill>
          </w14:textFill>
        </w:rPr>
        <w:t>下一步改进措施：及时整理报账材料，完成年度资金进度安排。</w:t>
      </w:r>
      <w:r>
        <w:rPr>
          <w:rFonts w:hint="eastAsia" w:ascii="仿宋" w:hAnsi="仿宋" w:eastAsia="仿宋" w:cs="仿宋"/>
          <w:color w:val="000000" w:themeColor="text1"/>
          <w:sz w:val="32"/>
          <w:szCs w:val="32"/>
          <w:lang w:val="en-US" w:eastAsia="zh-CN"/>
          <w14:textFill>
            <w14:solidFill>
              <w14:schemeClr w14:val="tx1"/>
            </w14:solidFill>
          </w14:textFill>
        </w:rPr>
        <w:t>公用经费（特教）自治区补助项目评分为65.56分（三等），</w:t>
      </w:r>
      <w:r>
        <w:rPr>
          <w:rFonts w:hint="eastAsia" w:ascii="仿宋" w:hAnsi="仿宋" w:eastAsia="仿宋" w:cs="仿宋"/>
          <w:color w:val="000000" w:themeColor="text1"/>
          <w:sz w:val="32"/>
          <w:szCs w:val="32"/>
          <w14:textFill>
            <w14:solidFill>
              <w14:schemeClr w14:val="tx1"/>
            </w14:solidFill>
          </w14:textFill>
        </w:rPr>
        <w:t>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未及时结账并交材料报账。</w:t>
      </w:r>
      <w:r>
        <w:rPr>
          <w:rFonts w:hint="eastAsia" w:ascii="仿宋" w:hAnsi="仿宋" w:eastAsia="仿宋" w:cs="仿宋"/>
          <w:color w:val="000000" w:themeColor="text1"/>
          <w:sz w:val="32"/>
          <w:szCs w:val="32"/>
          <w14:textFill>
            <w14:solidFill>
              <w14:schemeClr w14:val="tx1"/>
            </w14:solidFill>
          </w14:textFill>
        </w:rPr>
        <w:t>下一步改进措施：及时整理报账材料，完成年度资金进度安排。</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xNWY3ODc5OWRlYTY0OTIxNTA3M2UzNGU5ODIyNzc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A23DA7"/>
    <w:rsid w:val="02E0291A"/>
    <w:rsid w:val="03920A67"/>
    <w:rsid w:val="04E54546"/>
    <w:rsid w:val="05500BDA"/>
    <w:rsid w:val="05992762"/>
    <w:rsid w:val="07B0770E"/>
    <w:rsid w:val="07E92F24"/>
    <w:rsid w:val="0942143F"/>
    <w:rsid w:val="09CB6A81"/>
    <w:rsid w:val="0B5A7BE7"/>
    <w:rsid w:val="0BB27EF8"/>
    <w:rsid w:val="0D100297"/>
    <w:rsid w:val="0D202B45"/>
    <w:rsid w:val="0DCC3810"/>
    <w:rsid w:val="0F6F7A29"/>
    <w:rsid w:val="0F8D4C87"/>
    <w:rsid w:val="10482BD9"/>
    <w:rsid w:val="10505FAA"/>
    <w:rsid w:val="105F7E7E"/>
    <w:rsid w:val="110E3CC6"/>
    <w:rsid w:val="11E56B5B"/>
    <w:rsid w:val="125C77AB"/>
    <w:rsid w:val="12F232D0"/>
    <w:rsid w:val="14847F58"/>
    <w:rsid w:val="14CB726E"/>
    <w:rsid w:val="17E92249"/>
    <w:rsid w:val="187C3EBF"/>
    <w:rsid w:val="18D304F1"/>
    <w:rsid w:val="19D574F4"/>
    <w:rsid w:val="19F32577"/>
    <w:rsid w:val="19F45B80"/>
    <w:rsid w:val="1AEB0D31"/>
    <w:rsid w:val="1B0C078D"/>
    <w:rsid w:val="1B2B31E2"/>
    <w:rsid w:val="1B4C295A"/>
    <w:rsid w:val="1B973C63"/>
    <w:rsid w:val="1BA1001E"/>
    <w:rsid w:val="1CF0262F"/>
    <w:rsid w:val="1D317259"/>
    <w:rsid w:val="1E664F5B"/>
    <w:rsid w:val="1EB34BE1"/>
    <w:rsid w:val="1ECD2AE0"/>
    <w:rsid w:val="215E639F"/>
    <w:rsid w:val="21EC3183"/>
    <w:rsid w:val="225E72CD"/>
    <w:rsid w:val="246138DC"/>
    <w:rsid w:val="246E2F77"/>
    <w:rsid w:val="254B4E2B"/>
    <w:rsid w:val="25DF5936"/>
    <w:rsid w:val="263947F6"/>
    <w:rsid w:val="283D7C94"/>
    <w:rsid w:val="29480E03"/>
    <w:rsid w:val="2983634D"/>
    <w:rsid w:val="2B830B12"/>
    <w:rsid w:val="2BB02055"/>
    <w:rsid w:val="2C575A56"/>
    <w:rsid w:val="2C93781B"/>
    <w:rsid w:val="2E586286"/>
    <w:rsid w:val="2F257714"/>
    <w:rsid w:val="2F3275E5"/>
    <w:rsid w:val="2FA31782"/>
    <w:rsid w:val="30A955C8"/>
    <w:rsid w:val="30AA08EF"/>
    <w:rsid w:val="30CD2F5B"/>
    <w:rsid w:val="30D23D1C"/>
    <w:rsid w:val="31221CF5"/>
    <w:rsid w:val="31400178"/>
    <w:rsid w:val="318F6462"/>
    <w:rsid w:val="321E3342"/>
    <w:rsid w:val="327759C8"/>
    <w:rsid w:val="33185FE3"/>
    <w:rsid w:val="3321133C"/>
    <w:rsid w:val="34EE2E36"/>
    <w:rsid w:val="34FA1E45"/>
    <w:rsid w:val="35E65007"/>
    <w:rsid w:val="363B699B"/>
    <w:rsid w:val="36777241"/>
    <w:rsid w:val="371E78D5"/>
    <w:rsid w:val="38A951DB"/>
    <w:rsid w:val="38B31605"/>
    <w:rsid w:val="39003F4F"/>
    <w:rsid w:val="393D67A4"/>
    <w:rsid w:val="3C07002B"/>
    <w:rsid w:val="3CF950D8"/>
    <w:rsid w:val="3D0D152A"/>
    <w:rsid w:val="3DF62756"/>
    <w:rsid w:val="3F1B7587"/>
    <w:rsid w:val="3F466EF3"/>
    <w:rsid w:val="3F724CCD"/>
    <w:rsid w:val="41E57B4F"/>
    <w:rsid w:val="432F26F6"/>
    <w:rsid w:val="43880F63"/>
    <w:rsid w:val="43FB7987"/>
    <w:rsid w:val="441C5A6F"/>
    <w:rsid w:val="44C44FCC"/>
    <w:rsid w:val="44CC7369"/>
    <w:rsid w:val="457F5108"/>
    <w:rsid w:val="46951B6B"/>
    <w:rsid w:val="4702569B"/>
    <w:rsid w:val="49A34401"/>
    <w:rsid w:val="4A3E30AB"/>
    <w:rsid w:val="4AC14DAC"/>
    <w:rsid w:val="4D154C85"/>
    <w:rsid w:val="4EB35ECE"/>
    <w:rsid w:val="508F4E24"/>
    <w:rsid w:val="50EE0914"/>
    <w:rsid w:val="50F973B5"/>
    <w:rsid w:val="51461E90"/>
    <w:rsid w:val="51463753"/>
    <w:rsid w:val="52553A93"/>
    <w:rsid w:val="527D3114"/>
    <w:rsid w:val="53521F8B"/>
    <w:rsid w:val="53E22F47"/>
    <w:rsid w:val="54522FF8"/>
    <w:rsid w:val="55450629"/>
    <w:rsid w:val="55B33C1E"/>
    <w:rsid w:val="56356D29"/>
    <w:rsid w:val="56460AE1"/>
    <w:rsid w:val="56692963"/>
    <w:rsid w:val="568B0F48"/>
    <w:rsid w:val="5786217B"/>
    <w:rsid w:val="59097FF9"/>
    <w:rsid w:val="59337A15"/>
    <w:rsid w:val="59810274"/>
    <w:rsid w:val="5A3D00FA"/>
    <w:rsid w:val="5B8A5421"/>
    <w:rsid w:val="5CA96A00"/>
    <w:rsid w:val="5CF730BC"/>
    <w:rsid w:val="5E5F0DCE"/>
    <w:rsid w:val="5E766130"/>
    <w:rsid w:val="5F9745B0"/>
    <w:rsid w:val="5FA40A7B"/>
    <w:rsid w:val="5FD56D29"/>
    <w:rsid w:val="5FEC7F3F"/>
    <w:rsid w:val="60E76E71"/>
    <w:rsid w:val="60F74BC3"/>
    <w:rsid w:val="61722BDF"/>
    <w:rsid w:val="617D3BF8"/>
    <w:rsid w:val="61841F6A"/>
    <w:rsid w:val="623007A9"/>
    <w:rsid w:val="632B573B"/>
    <w:rsid w:val="637D7558"/>
    <w:rsid w:val="644F19AC"/>
    <w:rsid w:val="65AA4920"/>
    <w:rsid w:val="65E31D0B"/>
    <w:rsid w:val="666864B8"/>
    <w:rsid w:val="67694F1E"/>
    <w:rsid w:val="688C36C1"/>
    <w:rsid w:val="69597934"/>
    <w:rsid w:val="6A55309E"/>
    <w:rsid w:val="6A587F92"/>
    <w:rsid w:val="6B964DDC"/>
    <w:rsid w:val="6BA652CF"/>
    <w:rsid w:val="6C783074"/>
    <w:rsid w:val="6D9E65C6"/>
    <w:rsid w:val="6DA81947"/>
    <w:rsid w:val="6EB66DE2"/>
    <w:rsid w:val="6ED3075F"/>
    <w:rsid w:val="6F2A2D4B"/>
    <w:rsid w:val="6F8A0C1E"/>
    <w:rsid w:val="703F45D4"/>
    <w:rsid w:val="709C6DAA"/>
    <w:rsid w:val="715D6546"/>
    <w:rsid w:val="718E079D"/>
    <w:rsid w:val="71BE069E"/>
    <w:rsid w:val="723033F0"/>
    <w:rsid w:val="72637876"/>
    <w:rsid w:val="73233067"/>
    <w:rsid w:val="73953409"/>
    <w:rsid w:val="73E069A3"/>
    <w:rsid w:val="75CD66A7"/>
    <w:rsid w:val="78104AA8"/>
    <w:rsid w:val="78E257C5"/>
    <w:rsid w:val="794B35BE"/>
    <w:rsid w:val="79A16564"/>
    <w:rsid w:val="7B0A3A31"/>
    <w:rsid w:val="7B3360ED"/>
    <w:rsid w:val="7BDF037E"/>
    <w:rsid w:val="7BF50948"/>
    <w:rsid w:val="7CE66A78"/>
    <w:rsid w:val="7D0355C4"/>
    <w:rsid w:val="7D23564C"/>
    <w:rsid w:val="7D5E062D"/>
    <w:rsid w:val="7DF76CD8"/>
    <w:rsid w:val="7ED20C64"/>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378.31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378.31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Sheet1!$A$2:$A$4</c:f>
              <c:strCache>
                <c:ptCount val="3"/>
                <c:pt idx="0">
                  <c:v>教育支出</c:v>
                </c:pt>
                <c:pt idx="1">
                  <c:v>社会保障和就业支出</c:v>
                </c:pt>
                <c:pt idx="2">
                  <c:v>住房保障支出</c:v>
                </c:pt>
              </c:strCache>
            </c:strRef>
          </c:cat>
          <c:val>
            <c:numRef>
              <c:f>Sheet1!$B$2:$B$4</c:f>
              <c:numCache>
                <c:formatCode>General</c:formatCode>
                <c:ptCount val="3"/>
                <c:pt idx="0">
                  <c:v>22.96</c:v>
                </c:pt>
                <c:pt idx="1">
                  <c:v>0</c:v>
                </c:pt>
                <c:pt idx="2">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Sheet1!$A$2:$A$4</c:f>
              <c:strCache>
                <c:ptCount val="3"/>
                <c:pt idx="0">
                  <c:v>教育支出</c:v>
                </c:pt>
                <c:pt idx="1">
                  <c:v>社会保障和就业支出</c:v>
                </c:pt>
                <c:pt idx="2">
                  <c:v>住房保障支出</c:v>
                </c:pt>
              </c:strCache>
            </c:strRef>
          </c:cat>
          <c:val>
            <c:numRef>
              <c:f>Sheet1!$C$2:$C$4</c:f>
              <c:numCache>
                <c:formatCode>General</c:formatCode>
                <c:ptCount val="3"/>
                <c:pt idx="0">
                  <c:v>337.62</c:v>
                </c:pt>
                <c:pt idx="1">
                  <c:v>23.03</c:v>
                </c:pt>
                <c:pt idx="2">
                  <c:v>17.66</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一般公共预算财政拨款支出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Sheet1!$A$2:$A$9</c:f>
              <c:strCache>
                <c:ptCount val="8"/>
                <c:pt idx="0">
                  <c:v>2050203 初中教育</c:v>
                </c:pt>
                <c:pt idx="1">
                  <c:v>2050299 其他普通教育支出</c:v>
                </c:pt>
                <c:pt idx="2">
                  <c:v>2050701 特殊学校教育</c:v>
                </c:pt>
                <c:pt idx="3">
                  <c:v>2050999 其他教育费附加安排的支出</c:v>
                </c:pt>
                <c:pt idx="4">
                  <c:v>2080505机关事业单位基本养老保险</c:v>
                </c:pt>
                <c:pt idx="5">
                  <c:v>2210201 住房公积金</c:v>
                </c:pt>
              </c:strCache>
            </c:strRef>
          </c:cat>
          <c:val>
            <c:numRef>
              <c:f>Sheet1!$B$2:$B$9</c:f>
              <c:numCache>
                <c:formatCode>General</c:formatCode>
                <c:ptCount val="8"/>
                <c:pt idx="0">
                  <c:v>332.84</c:v>
                </c:pt>
                <c:pt idx="1">
                  <c:v>1.6</c:v>
                </c:pt>
                <c:pt idx="2">
                  <c:v>1.02</c:v>
                </c:pt>
                <c:pt idx="3">
                  <c:v>2.16</c:v>
                </c:pt>
                <c:pt idx="4">
                  <c:v>23.03</c:v>
                </c:pt>
                <c:pt idx="5">
                  <c:v>17.66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Sheet1!$A$2:$A$9</c:f>
              <c:strCache>
                <c:ptCount val="8"/>
                <c:pt idx="0">
                  <c:v>30101 基本工资</c:v>
                </c:pt>
                <c:pt idx="1">
                  <c:v>30102 津贴补贴</c:v>
                </c:pt>
                <c:pt idx="2">
                  <c:v>30103 奖金</c:v>
                </c:pt>
                <c:pt idx="3">
                  <c:v>30107 绩效工资</c:v>
                </c:pt>
                <c:pt idx="4">
                  <c:v>30108 基本养老保险</c:v>
                </c:pt>
                <c:pt idx="5">
                  <c:v>30110 医疗保险</c:v>
                </c:pt>
                <c:pt idx="6">
                  <c:v>30112 其他社会保障费</c:v>
                </c:pt>
                <c:pt idx="7">
                  <c:v>30113 住房公积金</c:v>
                </c:pt>
              </c:strCache>
            </c:strRef>
          </c:cat>
          <c:val>
            <c:numRef>
              <c:f>Sheet1!$B$2:$B$9</c:f>
              <c:numCache>
                <c:formatCode>General</c:formatCode>
                <c:ptCount val="8"/>
                <c:pt idx="0">
                  <c:v>71.33</c:v>
                </c:pt>
                <c:pt idx="1">
                  <c:v>5.18</c:v>
                </c:pt>
                <c:pt idx="2">
                  <c:v>26.71</c:v>
                </c:pt>
                <c:pt idx="3">
                  <c:v>34.15</c:v>
                </c:pt>
                <c:pt idx="4">
                  <c:v>23.03</c:v>
                </c:pt>
                <c:pt idx="5">
                  <c:v>9.23</c:v>
                </c:pt>
                <c:pt idx="6">
                  <c:v>1.06</c:v>
                </c:pt>
                <c:pt idx="7">
                  <c:v>17.66</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科目代码2</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 助学金</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c:v>
                </c:pt>
                <c:pt idx="5">
                  <c:v>0</c:v>
                </c:pt>
                <c:pt idx="6">
                  <c:v>0</c:v>
                </c:pt>
                <c:pt idx="7">
                  <c:v>82.08</c:v>
                </c:pt>
                <c:pt idx="8">
                  <c:v>0</c:v>
                </c:pt>
                <c:pt idx="9">
                  <c:v>0</c:v>
                </c:pt>
                <c:pt idx="10">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manualLayout>
          <c:layoutTarget val="inner"/>
          <c:xMode val="edge"/>
          <c:yMode val="edge"/>
          <c:x val="0.0506030935149709"/>
          <c:y val="0.157836294416244"/>
          <c:w val="0.730796236569291"/>
          <c:h val="0.40583756345177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Sheet1!$A$2:$A$15</c:f>
              <c:strCache>
                <c:ptCount val="14"/>
                <c:pt idx="0">
                  <c:v>31001 房屋建筑物构建</c:v>
                </c:pt>
                <c:pt idx="1">
                  <c:v>31002 办公设备购置</c:v>
                </c:pt>
                <c:pt idx="2">
                  <c:v>31003 专用设备购置</c:v>
                </c:pt>
                <c:pt idx="3">
                  <c:v>31005 基础设施建设</c:v>
                </c:pt>
                <c:pt idx="4">
                  <c:v>31006 大型修缮</c:v>
                </c:pt>
                <c:pt idx="5">
                  <c:v>31007 信息网络及软件购置更新</c:v>
                </c:pt>
                <c:pt idx="6">
                  <c:v>31008 物资储备</c:v>
                </c:pt>
                <c:pt idx="7">
                  <c:v>31009 土地补偿</c:v>
                </c:pt>
                <c:pt idx="8">
                  <c:v>31010 安置补助</c:v>
                </c:pt>
                <c:pt idx="9">
                  <c:v>31011 地上附着物和青苗补偿</c:v>
                </c:pt>
                <c:pt idx="10">
                  <c:v>31012 拆迁补偿</c:v>
                </c:pt>
                <c:pt idx="11">
                  <c:v>31019 其他交通工具购置</c:v>
                </c:pt>
                <c:pt idx="12">
                  <c:v>31022 无形资产购置</c:v>
                </c:pt>
                <c:pt idx="13">
                  <c:v>31099 其他资本性支出</c:v>
                </c:pt>
              </c:strCache>
            </c:strRef>
          </c:cat>
          <c:val>
            <c:numRef>
              <c:f>Sheet1!$B$2:$B$15</c:f>
              <c:numCache>
                <c:formatCode>General</c:formatCode>
                <c:ptCount val="14"/>
                <c:pt idx="0">
                  <c:v>0</c:v>
                </c:pt>
                <c:pt idx="1">
                  <c:v>7.67</c:v>
                </c:pt>
                <c:pt idx="2">
                  <c:v>1.35</c:v>
                </c:pt>
                <c:pt idx="3">
                  <c:v>0</c:v>
                </c:pt>
                <c:pt idx="4">
                  <c:v>0</c:v>
                </c:pt>
                <c:pt idx="5">
                  <c:v>0</c:v>
                </c:pt>
                <c:pt idx="6">
                  <c:v>0</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1071</Words>
  <Characters>1104</Characters>
  <Lines>90</Lines>
  <Paragraphs>25</Paragraphs>
  <TotalTime>25</TotalTime>
  <ScaleCrop>false</ScaleCrop>
  <LinksUpToDate>false</LinksUpToDate>
  <CharactersWithSpaces>1130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2024-12-30T02:34:00Z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2D407D078CDE497A8983158386602F0B_13</vt:lpwstr>
  </property>
  <property fmtid="{D5CDD505-2E9C-101B-9397-08002B2CF9AE}" pid="4" name="KSOTemplateDocerSaveRecord">
    <vt:lpwstr>eyJoZGlkIjoiMzMxNWY3ODc5OWRlYTY0OTIxNTA3M2UzNGU5ODIyNzciLCJ1c2VySWQiOiIzOTUxMzQxNjMifQ==</vt:lpwstr>
  </property>
</Properties>
</file>