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环江毛南族自治县第四幼儿园202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ind w:firstLine="2640" w:firstLineChars="600"/>
        <w:jc w:val="left"/>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单位负责人：郭静</w:t>
      </w:r>
    </w:p>
    <w:p>
      <w:pPr>
        <w:jc w:val="center"/>
        <w:rPr>
          <w:rFonts w:hint="default" w:ascii="黑体" w:hAnsi="黑体" w:eastAsia="黑体" w:cs="黑体"/>
          <w:b/>
          <w:bCs/>
          <w:sz w:val="36"/>
          <w:szCs w:val="36"/>
          <w:highlight w:val="none"/>
          <w:lang w:val="en-US" w:eastAsia="zh-CN"/>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r>
        <w:rPr>
          <w:rFonts w:hint="eastAsia" w:ascii="黑体" w:hAnsi="黑体" w:eastAsia="黑体" w:cs="黑体"/>
          <w:b/>
          <w:bCs/>
          <w:sz w:val="36"/>
          <w:szCs w:val="36"/>
          <w:highlight w:val="none"/>
          <w:lang w:val="en-US" w:eastAsia="zh-CN"/>
        </w:rPr>
        <w:t>3日</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环江毛南族自治县第四幼儿园</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环江毛南族自治县第四幼儿园</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环江毛南族自治县第四幼儿园</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环江毛南族自治县第四幼儿园</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一、主要职能</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（一）贯彻执行党和国家的教育方针、政策和法律法规；拟订全园教育改革与发展规划并组织实施。</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（二）编制本园教育事业发展规划并检查实施情况，向自治县人民政府和上级教育部门作出报告。</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（三）督促检查全园贯彻执行教育方针、政策、法令、法规和上级的各项规定；评估指导全园教育教学工作。</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（四）负责推进幼儿教育均衡发展和促进教育公平。</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（五）负责全园人才队伍和教师队伍建设，包括园长岗位培训、后备干部队伍建设、教师学历教育、继续教育等。</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（六）负责组织全园做好学籍管理工作。</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（七）按照中央关于全面推进素质教育要求，负责教育教学管理、教育教学改革及教育教学科学研究工作，检查指导全园实施素质教育工作，并组织推广先进的教育教学经验。</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（八）检查指导学校教育教学设备的装备、管理和使用工作。</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（九）负责全园教师初级专业技术职务资格的评审，中、高级专业技术职务资格的申报工作。按照管理权限对教师进行考核、聘任、奖惩、晋升等工作。</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是</w:t>
      </w:r>
      <w:r>
        <w:rPr>
          <w:rFonts w:hint="eastAsia" w:ascii="Times New Roman" w:hAnsi="Times New Roman" w:eastAsia="仿宋_GB2312" w:cs="Times New Roman"/>
          <w:sz w:val="32"/>
          <w:szCs w:val="32"/>
        </w:rPr>
        <w:t>）负责监督审计全园教育经费和教育基建经费拨付及教育附加费和教育费附加的征收、管理与使用工作。</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rPr>
        <w:t>）负责指导全园学生资助管理工作。</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rPr>
        <w:t>）负责语言文字和指导推广普通话工作。</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rPr>
        <w:t>）完成上级部门交办的其他工作。</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我部门没有下属单位，按照部门决算编报要求，单独编制本部门决算。</w:t>
      </w: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ind w:firstLine="1600" w:firstLineChars="500"/>
        <w:jc w:val="both"/>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环江毛南族自治县第四幼儿园</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tbl>
      <w:tblPr>
        <w:tblStyle w:val="6"/>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widowControl/>
              <w:suppressLineNumbers w:val="0"/>
              <w:spacing w:before="0" w:beforeAutospacing="0" w:after="0" w:afterAutospacing="0"/>
              <w:ind w:left="0" w:right="0"/>
              <w:jc w:val="both"/>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环江毛南族自治县第四幼儿园</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default" w:ascii="宋体" w:hAnsi="宋体" w:eastAsia="宋体" w:cs="宋体"/>
                <w:color w:val="000000"/>
                <w:kern w:val="0"/>
                <w:sz w:val="22"/>
                <w:szCs w:val="22"/>
                <w:highlight w:val="none"/>
                <w:lang w:bidi="ar"/>
              </w:rPr>
              <w:t>365</w:t>
            </w:r>
            <w:r>
              <w:rPr>
                <w:rFonts w:hint="eastAsia" w:ascii="宋体" w:hAnsi="宋体" w:eastAsia="宋体" w:cs="宋体"/>
                <w:color w:val="000000"/>
                <w:kern w:val="0"/>
                <w:sz w:val="22"/>
                <w:szCs w:val="22"/>
                <w:highlight w:val="none"/>
                <w:lang w:val="en-US" w:eastAsia="zh-CN" w:bidi="ar"/>
              </w:rPr>
              <w:t>.</w:t>
            </w:r>
            <w:r>
              <w:rPr>
                <w:rFonts w:hint="default" w:ascii="宋体" w:hAnsi="宋体" w:eastAsia="宋体" w:cs="宋体"/>
                <w:color w:val="000000"/>
                <w:kern w:val="0"/>
                <w:sz w:val="22"/>
                <w:szCs w:val="22"/>
                <w:highlight w:val="none"/>
                <w:lang w:bidi="ar"/>
              </w:rPr>
              <w:t>2</w:t>
            </w:r>
            <w:r>
              <w:rPr>
                <w:rFonts w:hint="eastAsia" w:ascii="宋体" w:hAnsi="宋体" w:eastAsia="宋体" w:cs="宋体"/>
                <w:color w:val="000000"/>
                <w:kern w:val="0"/>
                <w:sz w:val="22"/>
                <w:szCs w:val="22"/>
                <w:highlight w:val="none"/>
                <w:lang w:val="en-US" w:eastAsia="zh-CN" w:bidi="ar"/>
              </w:rPr>
              <w:t>6</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2.85</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308.49</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18.71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13.76</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21.45</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365.26</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365.26</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365.26</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365.26</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4894" w:type="dxa"/>
        <w:tblInd w:w="93" w:type="dxa"/>
        <w:tblLayout w:type="fixed"/>
        <w:tblCellMar>
          <w:top w:w="0" w:type="dxa"/>
          <w:left w:w="108" w:type="dxa"/>
          <w:bottom w:w="0" w:type="dxa"/>
          <w:right w:w="108" w:type="dxa"/>
        </w:tblCellMar>
      </w:tblPr>
      <w:tblGrid>
        <w:gridCol w:w="3"/>
        <w:gridCol w:w="1887"/>
        <w:gridCol w:w="1075"/>
        <w:gridCol w:w="236"/>
        <w:gridCol w:w="236"/>
        <w:gridCol w:w="524"/>
        <w:gridCol w:w="252"/>
        <w:gridCol w:w="1268"/>
        <w:gridCol w:w="428"/>
        <w:gridCol w:w="1025"/>
        <w:gridCol w:w="1006"/>
        <w:gridCol w:w="367"/>
        <w:gridCol w:w="1225"/>
        <w:gridCol w:w="242"/>
        <w:gridCol w:w="981"/>
        <w:gridCol w:w="499"/>
        <w:gridCol w:w="770"/>
        <w:gridCol w:w="1477"/>
        <w:gridCol w:w="1350"/>
        <w:gridCol w:w="46"/>
      </w:tblGrid>
      <w:tr>
        <w:tblPrEx>
          <w:tblCellMar>
            <w:top w:w="0" w:type="dxa"/>
            <w:left w:w="108" w:type="dxa"/>
            <w:bottom w:w="0" w:type="dxa"/>
            <w:right w:w="108" w:type="dxa"/>
          </w:tblCellMar>
        </w:tblPrEx>
        <w:trPr>
          <w:gridBefore w:val="1"/>
          <w:wBefore w:w="3" w:type="dxa"/>
          <w:trHeight w:val="951" w:hRule="atLeast"/>
        </w:trPr>
        <w:tc>
          <w:tcPr>
            <w:tcW w:w="14894" w:type="dxa"/>
            <w:gridSpan w:val="19"/>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widowControl/>
              <w:suppressLineNumbers w:val="0"/>
              <w:spacing w:before="0" w:beforeAutospacing="0" w:after="0" w:afterAutospacing="0"/>
              <w:ind w:left="0" w:right="0" w:firstLine="7680" w:firstLineChars="2400"/>
              <w:jc w:val="both"/>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gridBefore w:val="1"/>
          <w:wBefore w:w="3" w:type="dxa"/>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43" w:type="dxa"/>
            <w:gridSpan w:val="4"/>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gridBefore w:val="1"/>
          <w:wBefore w:w="3" w:type="dxa"/>
          <w:trHeight w:val="317" w:hRule="atLeast"/>
        </w:trPr>
        <w:tc>
          <w:tcPr>
            <w:tcW w:w="6931" w:type="dxa"/>
            <w:gridSpan w:val="9"/>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环江毛南族自治县第四幼儿园</w:t>
            </w:r>
          </w:p>
        </w:tc>
        <w:tc>
          <w:tcPr>
            <w:tcW w:w="1373"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43" w:type="dxa"/>
            <w:gridSpan w:val="4"/>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 w:type="dxa"/>
          <w:trHeight w:val="560" w:hRule="atLeast"/>
        </w:trPr>
        <w:tc>
          <w:tcPr>
            <w:tcW w:w="4213"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96"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2031"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592"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223"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269"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47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 w:type="dxa"/>
          <w:trHeight w:val="560" w:hRule="atLeast"/>
        </w:trPr>
        <w:tc>
          <w:tcPr>
            <w:tcW w:w="189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323" w:type="dxa"/>
            <w:gridSpan w:val="5"/>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96"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031"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92"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2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69"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 w:type="dxa"/>
          <w:trHeight w:val="560" w:hRule="atLeast"/>
        </w:trPr>
        <w:tc>
          <w:tcPr>
            <w:tcW w:w="189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23" w:type="dxa"/>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96"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031"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92"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2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69"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 w:type="dxa"/>
          <w:trHeight w:val="569" w:hRule="atLeast"/>
        </w:trPr>
        <w:tc>
          <w:tcPr>
            <w:tcW w:w="189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23" w:type="dxa"/>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96"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031"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92"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2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69"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 w:type="dxa"/>
          <w:trHeight w:val="560" w:hRule="atLeast"/>
        </w:trPr>
        <w:tc>
          <w:tcPr>
            <w:tcW w:w="4213"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77"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 w:type="dxa"/>
          <w:trHeight w:val="560" w:hRule="atLeast"/>
        </w:trPr>
        <w:tc>
          <w:tcPr>
            <w:tcW w:w="4213"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365.26</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365.26</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 w:type="dxa"/>
          <w:trHeight w:val="560" w:hRule="atLeast"/>
        </w:trPr>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232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2.852</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2.852</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 w:type="dxa"/>
          <w:trHeight w:val="560" w:hRule="atLeast"/>
        </w:trPr>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232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308.32</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308.32</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 w:type="dxa"/>
          <w:trHeight w:val="560" w:hRule="atLeast"/>
        </w:trPr>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232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0.17</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 w:type="dxa"/>
          <w:trHeight w:val="1440" w:hRule="atLeast"/>
        </w:trPr>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32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18.71</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18.71</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 w:type="dxa"/>
          <w:trHeight w:val="560" w:hRule="atLeast"/>
        </w:trPr>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32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13.76</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13.76</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 w:type="dxa"/>
          <w:trHeight w:val="560" w:hRule="atLeast"/>
        </w:trPr>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232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21.45</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21.45</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bl>
    <w:p>
      <w:pPr>
        <w:jc w:val="left"/>
        <w:rPr>
          <w:rFonts w:hint="eastAsia" w:ascii="仿宋" w:hAnsi="仿宋" w:eastAsia="仿宋" w:cs="仿宋"/>
          <w:sz w:val="24"/>
          <w:highlight w:val="none"/>
        </w:rPr>
      </w:pPr>
      <w:r>
        <w:rPr>
          <w:rFonts w:hint="eastAsia" w:ascii="宋体" w:hAnsi="宋体" w:eastAsia="宋体" w:cs="宋体"/>
          <w:color w:val="000000"/>
          <w:kern w:val="0"/>
          <w:sz w:val="22"/>
          <w:szCs w:val="22"/>
          <w:highlight w:val="none"/>
          <w:lang w:bidi="ar"/>
        </w:rPr>
        <w:t>注：本表反映部门本年度取得的各项收入情况。</w:t>
      </w: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059"/>
        <w:gridCol w:w="83"/>
        <w:gridCol w:w="237"/>
        <w:gridCol w:w="303"/>
        <w:gridCol w:w="2222"/>
        <w:gridCol w:w="1627"/>
        <w:gridCol w:w="1680"/>
        <w:gridCol w:w="1760"/>
        <w:gridCol w:w="1653"/>
        <w:gridCol w:w="1654"/>
        <w:gridCol w:w="1702"/>
      </w:tblGrid>
      <w:tr>
        <w:tblPrEx>
          <w:tblCellMar>
            <w:top w:w="0" w:type="dxa"/>
            <w:left w:w="108" w:type="dxa"/>
            <w:bottom w:w="0" w:type="dxa"/>
            <w:right w:w="108" w:type="dxa"/>
          </w:tblCellMar>
        </w:tblPrEx>
        <w:trPr>
          <w:trHeight w:val="40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环江毛南族自治县第四幼儿园</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CellMar>
            <w:top w:w="0" w:type="dxa"/>
            <w:left w:w="108" w:type="dxa"/>
            <w:bottom w:w="0" w:type="dxa"/>
            <w:right w:w="108" w:type="dxa"/>
          </w:tblCellMar>
        </w:tblPrEx>
        <w:trPr>
          <w:trHeight w:val="322" w:hRule="atLeast"/>
        </w:trPr>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2845"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45"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45"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2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rPr>
            </w:pPr>
            <w:r>
              <w:rPr>
                <w:rFonts w:hint="eastAsia" w:ascii="宋体" w:hAnsi="宋体" w:eastAsia="宋体" w:cs="宋体"/>
                <w:b/>
                <w:bCs/>
                <w:i w:val="0"/>
                <w:iCs w:val="0"/>
                <w:color w:val="000000"/>
                <w:kern w:val="0"/>
                <w:sz w:val="22"/>
                <w:szCs w:val="22"/>
                <w:u w:val="none"/>
                <w:lang w:val="en-US" w:eastAsia="zh-CN" w:bidi="ar"/>
              </w:rPr>
              <w:t>365.26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rPr>
            </w:pPr>
            <w:r>
              <w:rPr>
                <w:rFonts w:hint="eastAsia" w:ascii="宋体" w:hAnsi="宋体" w:eastAsia="宋体" w:cs="宋体"/>
                <w:b/>
                <w:bCs/>
                <w:i w:val="0"/>
                <w:iCs w:val="0"/>
                <w:color w:val="000000"/>
                <w:kern w:val="0"/>
                <w:sz w:val="22"/>
                <w:szCs w:val="22"/>
                <w:u w:val="none"/>
                <w:lang w:val="en-US" w:eastAsia="zh-CN" w:bidi="ar"/>
              </w:rPr>
              <w:t>201.18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rPr>
            </w:pPr>
            <w:r>
              <w:rPr>
                <w:rFonts w:hint="eastAsia" w:ascii="宋体" w:hAnsi="宋体" w:eastAsia="宋体" w:cs="宋体"/>
                <w:b/>
                <w:bCs/>
                <w:i w:val="0"/>
                <w:iCs w:val="0"/>
                <w:color w:val="000000"/>
                <w:kern w:val="0"/>
                <w:sz w:val="22"/>
                <w:szCs w:val="22"/>
                <w:u w:val="none"/>
                <w:lang w:val="en-US" w:eastAsia="zh-CN" w:bidi="ar"/>
              </w:rPr>
              <w:t>164.07</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28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2.85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2.85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2050201</w:t>
            </w:r>
          </w:p>
        </w:tc>
        <w:tc>
          <w:tcPr>
            <w:tcW w:w="28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学前教育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308.32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144.25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164.07</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2050299</w:t>
            </w:r>
          </w:p>
        </w:tc>
        <w:tc>
          <w:tcPr>
            <w:tcW w:w="28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其他普通教育支出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0.17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0.17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8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18.71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18.71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28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13.76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13.76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2299999</w:t>
            </w:r>
          </w:p>
        </w:tc>
        <w:tc>
          <w:tcPr>
            <w:tcW w:w="28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21.45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21.45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4966" w:type="pct"/>
        <w:tblInd w:w="0" w:type="dxa"/>
        <w:tblLayout w:type="fixed"/>
        <w:tblCellMar>
          <w:top w:w="0" w:type="dxa"/>
          <w:left w:w="108" w:type="dxa"/>
          <w:bottom w:w="0" w:type="dxa"/>
          <w:right w:w="108" w:type="dxa"/>
        </w:tblCellMar>
      </w:tblPr>
      <w:tblGrid>
        <w:gridCol w:w="2444"/>
        <w:gridCol w:w="867"/>
        <w:gridCol w:w="1443"/>
        <w:gridCol w:w="2606"/>
        <w:gridCol w:w="941"/>
        <w:gridCol w:w="1202"/>
        <w:gridCol w:w="1957"/>
        <w:gridCol w:w="1991"/>
        <w:gridCol w:w="2092"/>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环江毛南族自治县第四幼儿园</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365.26</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2.85</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2.85</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308.49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308.49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18.71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18.71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13.76</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13.76</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21.45</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21.45</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365.26</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365.26</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365.26</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365.26</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365.26</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365.26</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3451"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2283"/>
        <w:gridCol w:w="238"/>
        <w:gridCol w:w="238"/>
        <w:gridCol w:w="849"/>
        <w:gridCol w:w="1203"/>
        <w:gridCol w:w="2842"/>
        <w:gridCol w:w="331"/>
        <w:gridCol w:w="2435"/>
        <w:gridCol w:w="672"/>
        <w:gridCol w:w="2889"/>
      </w:tblGrid>
      <w:tr>
        <w:tblPrEx>
          <w:tblCellMar>
            <w:top w:w="0" w:type="dxa"/>
            <w:left w:w="108" w:type="dxa"/>
            <w:bottom w:w="0" w:type="dxa"/>
            <w:right w:w="108" w:type="dxa"/>
          </w:tblCellMar>
        </w:tblPrEx>
        <w:trPr>
          <w:trHeight w:val="693" w:hRule="atLeast"/>
        </w:trPr>
        <w:tc>
          <w:tcPr>
            <w:tcW w:w="13980" w:type="dxa"/>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环江毛南族自治县第四幼儿园</w:t>
            </w:r>
          </w:p>
        </w:tc>
        <w:tc>
          <w:tcPr>
            <w:tcW w:w="3107"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916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本年支出</w:t>
            </w:r>
          </w:p>
        </w:tc>
      </w:tr>
      <w:tr>
        <w:tblPrEx>
          <w:tblCellMar>
            <w:top w:w="0" w:type="dxa"/>
            <w:left w:w="108" w:type="dxa"/>
            <w:bottom w:w="0" w:type="dxa"/>
            <w:right w:w="108" w:type="dxa"/>
          </w:tblCellMar>
        </w:tblPrEx>
        <w:trPr>
          <w:trHeight w:val="353" w:hRule="atLeast"/>
        </w:trPr>
        <w:tc>
          <w:tcPr>
            <w:tcW w:w="3608"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120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28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小计</w:t>
            </w:r>
          </w:p>
        </w:tc>
        <w:tc>
          <w:tcPr>
            <w:tcW w:w="276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基本支出</w:t>
            </w:r>
          </w:p>
        </w:tc>
        <w:tc>
          <w:tcPr>
            <w:tcW w:w="356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项目支出</w:t>
            </w:r>
          </w:p>
        </w:tc>
      </w:tr>
      <w:tr>
        <w:tblPrEx>
          <w:tblCellMar>
            <w:top w:w="0" w:type="dxa"/>
            <w:left w:w="108" w:type="dxa"/>
            <w:bottom w:w="0" w:type="dxa"/>
            <w:right w:w="108" w:type="dxa"/>
          </w:tblCellMar>
        </w:tblPrEx>
        <w:trPr>
          <w:trHeight w:val="319" w:hRule="atLeast"/>
        </w:trPr>
        <w:tc>
          <w:tcPr>
            <w:tcW w:w="0" w:type="auto"/>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0" w:type="auto"/>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28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2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35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28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rPr>
            </w:pPr>
            <w:r>
              <w:rPr>
                <w:rFonts w:hint="eastAsia" w:ascii="宋体" w:hAnsi="宋体" w:eastAsia="宋体" w:cs="宋体"/>
                <w:b/>
                <w:bCs/>
                <w:i w:val="0"/>
                <w:iCs w:val="0"/>
                <w:color w:val="000000"/>
                <w:kern w:val="0"/>
                <w:sz w:val="22"/>
                <w:szCs w:val="22"/>
                <w:u w:val="none"/>
                <w:lang w:val="en-US" w:eastAsia="zh-CN" w:bidi="ar"/>
              </w:rPr>
              <w:t>365.26</w:t>
            </w:r>
          </w:p>
        </w:tc>
        <w:tc>
          <w:tcPr>
            <w:tcW w:w="2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rPr>
            </w:pPr>
            <w:r>
              <w:rPr>
                <w:rFonts w:hint="eastAsia" w:ascii="宋体" w:hAnsi="宋体" w:eastAsia="宋体" w:cs="宋体"/>
                <w:b/>
                <w:bCs/>
                <w:i w:val="0"/>
                <w:iCs w:val="0"/>
                <w:color w:val="000000"/>
                <w:kern w:val="0"/>
                <w:sz w:val="22"/>
                <w:szCs w:val="22"/>
                <w:u w:val="none"/>
                <w:lang w:val="en-US" w:eastAsia="zh-CN" w:bidi="ar"/>
              </w:rPr>
              <w:t>201.18</w:t>
            </w:r>
          </w:p>
        </w:tc>
        <w:tc>
          <w:tcPr>
            <w:tcW w:w="35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rPr>
            </w:pPr>
            <w:r>
              <w:rPr>
                <w:rFonts w:hint="eastAsia" w:ascii="宋体" w:hAnsi="宋体" w:eastAsia="宋体" w:cs="宋体"/>
                <w:b/>
                <w:bCs/>
                <w:i w:val="0"/>
                <w:iCs w:val="0"/>
                <w:color w:val="000000"/>
                <w:kern w:val="0"/>
                <w:sz w:val="22"/>
                <w:szCs w:val="22"/>
                <w:u w:val="none"/>
                <w:lang w:val="en-US" w:eastAsia="zh-CN" w:bidi="ar"/>
              </w:rPr>
              <w:t>164.07</w:t>
            </w:r>
          </w:p>
        </w:tc>
      </w:tr>
      <w:tr>
        <w:tblPrEx>
          <w:tblCellMar>
            <w:top w:w="0" w:type="dxa"/>
            <w:left w:w="108" w:type="dxa"/>
            <w:bottom w:w="0" w:type="dxa"/>
            <w:right w:w="108" w:type="dxa"/>
          </w:tblCellMar>
        </w:tblPrEx>
        <w:trPr>
          <w:trHeight w:val="358" w:hRule="atLeast"/>
        </w:trPr>
        <w:tc>
          <w:tcPr>
            <w:tcW w:w="360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2012999</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28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2.85</w:t>
            </w:r>
          </w:p>
        </w:tc>
        <w:tc>
          <w:tcPr>
            <w:tcW w:w="2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2.85</w:t>
            </w:r>
          </w:p>
        </w:tc>
        <w:tc>
          <w:tcPr>
            <w:tcW w:w="35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360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2050201</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学前教育</w:t>
            </w:r>
          </w:p>
        </w:tc>
        <w:tc>
          <w:tcPr>
            <w:tcW w:w="28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308.32</w:t>
            </w:r>
          </w:p>
        </w:tc>
        <w:tc>
          <w:tcPr>
            <w:tcW w:w="2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144.25</w:t>
            </w:r>
          </w:p>
        </w:tc>
        <w:tc>
          <w:tcPr>
            <w:tcW w:w="35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164.07</w:t>
            </w:r>
          </w:p>
        </w:tc>
      </w:tr>
      <w:tr>
        <w:tblPrEx>
          <w:tblCellMar>
            <w:top w:w="0" w:type="dxa"/>
            <w:left w:w="108" w:type="dxa"/>
            <w:bottom w:w="0" w:type="dxa"/>
            <w:right w:w="108" w:type="dxa"/>
          </w:tblCellMar>
        </w:tblPrEx>
        <w:trPr>
          <w:trHeight w:val="358" w:hRule="atLeast"/>
        </w:trPr>
        <w:tc>
          <w:tcPr>
            <w:tcW w:w="360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2050299</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28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0.17</w:t>
            </w:r>
          </w:p>
        </w:tc>
        <w:tc>
          <w:tcPr>
            <w:tcW w:w="2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0.17</w:t>
            </w:r>
          </w:p>
        </w:tc>
        <w:tc>
          <w:tcPr>
            <w:tcW w:w="35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360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2080505</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8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18.71</w:t>
            </w:r>
          </w:p>
        </w:tc>
        <w:tc>
          <w:tcPr>
            <w:tcW w:w="2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18.71</w:t>
            </w:r>
          </w:p>
        </w:tc>
        <w:tc>
          <w:tcPr>
            <w:tcW w:w="35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360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2210201</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住房公积金</w:t>
            </w:r>
          </w:p>
        </w:tc>
        <w:tc>
          <w:tcPr>
            <w:tcW w:w="28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13.76</w:t>
            </w:r>
          </w:p>
        </w:tc>
        <w:tc>
          <w:tcPr>
            <w:tcW w:w="2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13.76</w:t>
            </w:r>
          </w:p>
        </w:tc>
        <w:tc>
          <w:tcPr>
            <w:tcW w:w="35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360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2299999</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28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21.45</w:t>
            </w:r>
          </w:p>
        </w:tc>
        <w:tc>
          <w:tcPr>
            <w:tcW w:w="2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21.45</w:t>
            </w:r>
          </w:p>
        </w:tc>
        <w:tc>
          <w:tcPr>
            <w:tcW w:w="35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13980" w:type="dxa"/>
            <w:gridSpan w:val="10"/>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环江毛南族自治县第四幼儿园</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90"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97"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3"/>
            <w:bookmarkStart w:id="1" w:name="OLE_LINK4"/>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198.16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3.02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51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68.36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497"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6.77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51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71.48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481"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498"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10.59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18.71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497"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0.17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581"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7.57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430"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0.93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497"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13.76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547"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0.01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2.85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0.01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198.17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3.02</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环江毛南族自治县第四幼儿园</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default"/>
                <w:color w:val="000000" w:themeColor="text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2023年</w:t>
            </w:r>
            <w:r>
              <w:rPr>
                <w:rFonts w:hint="eastAsia" w:ascii="宋体" w:hAnsi="宋体" w:eastAsia="宋体" w:cs="宋体"/>
                <w:color w:val="000000" w:themeColor="text1"/>
                <w:kern w:val="2"/>
                <w:sz w:val="21"/>
                <w:szCs w:val="21"/>
                <w:lang w:val="en-US" w:eastAsia="zh-CN" w:bidi="ar"/>
                <w14:textFill>
                  <w14:solidFill>
                    <w14:schemeClr w14:val="tx1"/>
                  </w14:solidFill>
                </w14:textFill>
              </w:rPr>
              <w:t>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环江毛南族自治县第四幼儿园</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2023年</w:t>
      </w:r>
      <w:r>
        <w:rPr>
          <w:rFonts w:hint="eastAsia" w:ascii="宋体" w:hAnsi="宋体" w:eastAsia="宋体" w:cs="宋体"/>
          <w:color w:val="000000" w:themeColor="text1"/>
          <w:kern w:val="2"/>
          <w:sz w:val="21"/>
          <w:szCs w:val="21"/>
          <w:lang w:val="en-US" w:eastAsia="zh-CN" w:bidi="ar"/>
          <w14:textFill>
            <w14:solidFill>
              <w14:schemeClr w14:val="tx1"/>
            </w14:solidFill>
          </w14:textFill>
        </w:rPr>
        <w:t>度没有国有资本经营预算财政拨款收入，也没有国有资本经营预算财政拨款安排的支出，故本表无数据。</w:t>
      </w: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环江毛南族自治县第四幼儿园</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2023年</w:t>
            </w:r>
            <w:r>
              <w:rPr>
                <w:rFonts w:hint="eastAsia" w:ascii="宋体" w:hAnsi="宋体" w:eastAsia="宋体" w:cs="宋体"/>
                <w:color w:val="000000" w:themeColor="text1"/>
                <w:kern w:val="2"/>
                <w:sz w:val="21"/>
                <w:szCs w:val="21"/>
                <w:lang w:val="en-US" w:eastAsia="zh-CN" w:bidi="ar"/>
                <w14:textFill>
                  <w14:solidFill>
                    <w14:schemeClr w14:val="tx1"/>
                  </w14:solidFill>
                </w14:textFill>
              </w:rPr>
              <w:t>度没有财政拨款“三公”经费收入，也没有财政拨款“三公”经费安排的支出，故本表无数据。</w:t>
            </w:r>
          </w:p>
        </w:tc>
      </w:tr>
    </w:tbl>
    <w:p>
      <w:pPr>
        <w:ind w:firstLine="420" w:firstLineChars="0"/>
        <w:jc w:val="left"/>
        <w:rPr>
          <w:rFonts w:ascii="仿宋" w:hAnsi="仿宋" w:eastAsia="仿宋" w:cs="仿宋"/>
          <w:sz w:val="24"/>
          <w:highlight w:val="none"/>
        </w:rPr>
        <w:sectPr>
          <w:pgSz w:w="16838" w:h="11906" w:orient="landscape"/>
          <w:pgMar w:top="442" w:right="703" w:bottom="442" w:left="703" w:header="851" w:footer="992" w:gutter="0"/>
          <w:cols w:space="0" w:num="1"/>
          <w:rtlGutter w:val="0"/>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环江毛南族自治县第四幼儿园</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年度总收入</w:t>
      </w:r>
      <w:r>
        <w:rPr>
          <w:rFonts w:hint="eastAsia" w:ascii="仿宋" w:hAnsi="仿宋" w:eastAsia="仿宋" w:cs="仿宋"/>
          <w:sz w:val="32"/>
          <w:highlight w:val="none"/>
          <w:u w:color="auto"/>
          <w:lang w:val="en-US" w:eastAsia="zh-CN"/>
        </w:rPr>
        <w:t>365.26</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highlight w:val="none"/>
          <w:u w:color="auto"/>
        </w:rPr>
        <w:t>增加</w:t>
      </w:r>
      <w:r>
        <w:rPr>
          <w:rFonts w:hint="eastAsia" w:ascii="仿宋" w:hAnsi="仿宋" w:eastAsia="仿宋" w:cs="仿宋"/>
          <w:sz w:val="32"/>
          <w:highlight w:val="none"/>
          <w:u w:color="auto"/>
          <w:lang w:val="en-US" w:eastAsia="zh-CN"/>
        </w:rPr>
        <w:t>85.54</w:t>
      </w:r>
      <w:r>
        <w:rPr>
          <w:rFonts w:hint="eastAsia" w:ascii="仿宋" w:hAnsi="仿宋" w:eastAsia="仿宋" w:cs="仿宋"/>
          <w:sz w:val="32"/>
          <w:szCs w:val="32"/>
          <w:highlight w:val="none"/>
        </w:rPr>
        <w:t>万元，</w:t>
      </w:r>
      <w:r>
        <w:rPr>
          <w:rFonts w:ascii="仿宋" w:hAnsi="仿宋" w:eastAsia="仿宋" w:cs="仿宋"/>
          <w:sz w:val="32"/>
          <w:highlight w:val="none"/>
          <w:u w:color="auto"/>
        </w:rPr>
        <w:t>增长</w:t>
      </w:r>
      <w:r>
        <w:rPr>
          <w:rFonts w:hint="eastAsia" w:ascii="仿宋" w:hAnsi="仿宋" w:eastAsia="仿宋" w:cs="仿宋"/>
          <w:sz w:val="32"/>
          <w:highlight w:val="none"/>
          <w:u w:color="auto"/>
          <w:lang w:val="en-US" w:eastAsia="zh-CN"/>
        </w:rPr>
        <w:t>30.58</w:t>
      </w:r>
      <w:r>
        <w:rPr>
          <w:rFonts w:ascii="仿宋" w:hAnsi="仿宋" w:eastAsia="仿宋" w:cs="仿宋"/>
          <w:sz w:val="32"/>
          <w:highlight w:val="none"/>
          <w:u w:color="auto"/>
        </w:rPr>
        <w:t>%</w:t>
      </w:r>
      <w:r>
        <w:rPr>
          <w:rFonts w:hint="eastAsia" w:ascii="仿宋" w:hAnsi="仿宋" w:eastAsia="仿宋" w:cs="仿宋"/>
          <w:sz w:val="32"/>
          <w:szCs w:val="32"/>
          <w:highlight w:val="none"/>
        </w:rPr>
        <w:t>，其中本年收入</w:t>
      </w:r>
      <w:r>
        <w:rPr>
          <w:rFonts w:hint="eastAsia" w:ascii="仿宋" w:hAnsi="仿宋" w:eastAsia="仿宋" w:cs="仿宋"/>
          <w:sz w:val="32"/>
          <w:highlight w:val="none"/>
          <w:u w:color="auto"/>
          <w:lang w:val="en-US" w:eastAsia="zh-CN"/>
        </w:rPr>
        <w:t>365.26</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sz w:val="32"/>
          <w:szCs w:val="32"/>
          <w:highlight w:val="none"/>
          <w:lang w:val="en-US"/>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highlight w:val="none"/>
          <w:u w:color="auto"/>
          <w:lang w:val="en-US" w:eastAsia="zh-CN"/>
        </w:rPr>
        <w:t>365.26</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highlight w:val="none"/>
          <w:u w:color="auto"/>
        </w:rPr>
        <w:t>增加</w:t>
      </w:r>
      <w:r>
        <w:rPr>
          <w:rFonts w:hint="eastAsia" w:ascii="仿宋" w:hAnsi="仿宋" w:eastAsia="仿宋" w:cs="仿宋"/>
          <w:sz w:val="32"/>
          <w:highlight w:val="none"/>
          <w:u w:color="auto"/>
          <w:lang w:val="en-US" w:eastAsia="zh-CN"/>
        </w:rPr>
        <w:t>85.54</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highlight w:val="none"/>
          <w:u w:color="auto"/>
        </w:rPr>
        <w:t>增长</w:t>
      </w:r>
      <w:r>
        <w:rPr>
          <w:rFonts w:hint="eastAsia" w:ascii="仿宋" w:hAnsi="仿宋" w:eastAsia="仿宋" w:cs="仿宋"/>
          <w:sz w:val="32"/>
          <w:highlight w:val="none"/>
          <w:u w:color="auto"/>
          <w:lang w:val="en-US" w:eastAsia="zh-CN"/>
        </w:rPr>
        <w:t>30.58</w:t>
      </w:r>
      <w:r>
        <w:rPr>
          <w:rFonts w:ascii="仿宋" w:hAnsi="仿宋" w:eastAsia="仿宋" w:cs="仿宋"/>
          <w:sz w:val="32"/>
          <w:highlight w:val="none"/>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_GB2312" w:hAnsi="仿宋_GB2312" w:eastAsia="仿宋_GB2312" w:cs="仿宋_GB2312"/>
          <w:kern w:val="0"/>
          <w:sz w:val="32"/>
          <w:szCs w:val="32"/>
          <w:highlight w:val="none"/>
          <w:lang w:val="en-US" w:eastAsia="zh-CN"/>
        </w:rPr>
        <w:t>人员变动工资福利增加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u w:color="auto"/>
          <w:lang w:eastAsia="zh-CN"/>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sz w:val="32"/>
          <w:u w:color="auto"/>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sz w:val="32"/>
          <w:u w:color="auto"/>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sz w:val="32"/>
          <w:u w:color="auto"/>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eastAsia="zh-CN"/>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sz w:val="32"/>
          <w:u w:color="auto"/>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6.经营收入0.00万,为事业单位在业务活动之外开展非独立核算经营活动取得的收入。较2022年度决算数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sz w:val="32"/>
          <w:u w:color="auto"/>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sz w:val="32"/>
          <w:u w:color="auto"/>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u w:color="auto"/>
          <w:lang w:eastAsia="zh-CN"/>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sz w:val="32"/>
          <w:u w:color="auto"/>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u w:color="auto"/>
          <w:lang w:eastAsia="zh-CN"/>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sz w:val="32"/>
          <w:u w:color="auto"/>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万元，为以前年度支出预算因客观条件变化未执行完毕、结转到本年度按有关规定继续使用的资金。较2022年度决算数</w:t>
      </w:r>
      <w:r>
        <w:rPr>
          <w:rFonts w:ascii="仿宋" w:hAnsi="仿宋" w:eastAsia="仿宋" w:cs="仿宋"/>
          <w:sz w:val="32"/>
          <w:u w:color="auto"/>
        </w:rPr>
        <w:t>减少40.57</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下降100.00%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部分项目已在本年执行完毕，不需要结转至下年继续执行。</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sz w:val="32"/>
          <w:szCs w:val="32"/>
          <w:highlight w:val="none"/>
        </w:rPr>
        <w:drawing>
          <wp:inline distT="0" distB="0" distL="114300" distR="114300">
            <wp:extent cx="5080000" cy="2390775"/>
            <wp:effectExtent l="4445" t="4445" r="20955" b="5080"/>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365.26</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365.26</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85.54</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30.58</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kern w:val="0"/>
          <w:sz w:val="32"/>
          <w:szCs w:val="32"/>
          <w:lang w:val="en-US" w:eastAsia="zh-CN"/>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2.85</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kern w:val="0"/>
          <w:sz w:val="32"/>
          <w:szCs w:val="32"/>
        </w:rPr>
        <w:t>主要用于</w:t>
      </w:r>
      <w:r>
        <w:rPr>
          <w:rFonts w:hint="eastAsia" w:ascii="Times New Roman" w:hAnsi="Times New Roman" w:eastAsia="仿宋_GB2312" w:cs="Times New Roman"/>
          <w:kern w:val="0"/>
          <w:sz w:val="32"/>
          <w:szCs w:val="32"/>
          <w:lang w:val="en-US" w:eastAsia="zh-CN"/>
        </w:rPr>
        <w:t>群众团体事务</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1.45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103.57</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kern w:val="0"/>
          <w:sz w:val="32"/>
          <w:szCs w:val="32"/>
          <w:lang w:val="en-US" w:eastAsia="zh-CN"/>
        </w:rPr>
        <w:t>人员变动。</w:t>
      </w:r>
    </w:p>
    <w:p>
      <w:pPr>
        <w:autoSpaceDE w:val="0"/>
        <w:autoSpaceDN w:val="0"/>
        <w:adjustRightInd w:val="0"/>
        <w:spacing w:line="560" w:lineRule="exact"/>
        <w:ind w:firstLine="640" w:firstLineChars="200"/>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308.49</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kern w:val="0"/>
          <w:sz w:val="32"/>
          <w:szCs w:val="32"/>
        </w:rPr>
        <w:t>主要用于</w:t>
      </w:r>
      <w:r>
        <w:rPr>
          <w:rFonts w:hint="eastAsia" w:ascii="Times New Roman" w:hAnsi="Times New Roman" w:eastAsia="仿宋_GB2312" w:cs="Times New Roman"/>
          <w:kern w:val="0"/>
          <w:sz w:val="32"/>
          <w:szCs w:val="32"/>
        </w:rPr>
        <w:t>人员基本工资，商品服务支出</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59.38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23.84</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ascii="Times New Roman" w:hAnsi="Times New Roman" w:eastAsia="仿宋_GB2312" w:cs="Times New Roman"/>
          <w:kern w:val="0"/>
          <w:sz w:val="32"/>
          <w:szCs w:val="32"/>
        </w:rPr>
        <w:t>是</w:t>
      </w:r>
      <w:r>
        <w:rPr>
          <w:rFonts w:hint="eastAsia" w:ascii="Times New Roman" w:hAnsi="Times New Roman" w:eastAsia="仿宋_GB2312" w:cs="Times New Roman"/>
          <w:kern w:val="0"/>
          <w:sz w:val="32"/>
          <w:szCs w:val="32"/>
          <w:lang w:eastAsia="zh-CN"/>
        </w:rPr>
        <w:t>2023</w:t>
      </w:r>
      <w:r>
        <w:rPr>
          <w:rFonts w:hint="eastAsia" w:ascii="Times New Roman" w:hAnsi="Times New Roman" w:eastAsia="仿宋_GB2312" w:cs="Times New Roman"/>
          <w:kern w:val="0"/>
          <w:sz w:val="32"/>
          <w:szCs w:val="32"/>
        </w:rPr>
        <w:t>年公招新进</w:t>
      </w:r>
      <w:r>
        <w:rPr>
          <w:rFonts w:hint="eastAsia" w:ascii="Times New Roman" w:hAnsi="Times New Roman" w:eastAsia="仿宋_GB2312" w:cs="Times New Roman"/>
          <w:kern w:val="0"/>
          <w:sz w:val="32"/>
          <w:szCs w:val="32"/>
          <w:lang w:val="en-US" w:eastAsia="zh-CN"/>
        </w:rPr>
        <w:t>7</w:t>
      </w:r>
      <w:r>
        <w:rPr>
          <w:rFonts w:hint="eastAsia" w:ascii="Times New Roman" w:hAnsi="Times New Roman" w:eastAsia="仿宋_GB2312" w:cs="Times New Roman"/>
          <w:kern w:val="0"/>
          <w:sz w:val="32"/>
          <w:szCs w:val="32"/>
        </w:rPr>
        <w:t>人</w:t>
      </w:r>
    </w:p>
    <w:p>
      <w:pPr>
        <w:keepNext w:val="0"/>
        <w:keepLines w:val="0"/>
        <w:widowControl w:val="0"/>
        <w:suppressLineNumbers w:val="0"/>
        <w:spacing w:before="0" w:beforeAutospacing="0" w:after="0" w:afterAutospacing="0"/>
        <w:ind w:left="0" w:right="0" w:firstLine="640" w:firstLineChars="200"/>
        <w:jc w:val="left"/>
        <w:rPr>
          <w:rFonts w:hint="eastAsia" w:ascii="Times New Roman" w:hAnsi="Times New Roman" w:eastAsia="仿宋_GB2312" w:cs="Times New Roman"/>
          <w:kern w:val="0"/>
          <w:sz w:val="32"/>
          <w:szCs w:val="32"/>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18.71</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kern w:val="0"/>
          <w:sz w:val="32"/>
          <w:szCs w:val="32"/>
        </w:rPr>
        <w:t>主要用于</w:t>
      </w:r>
      <w:r>
        <w:rPr>
          <w:rFonts w:hint="eastAsia" w:ascii="Times New Roman" w:hAnsi="Times New Roman" w:eastAsia="仿宋_GB2312" w:cs="Times New Roman"/>
          <w:kern w:val="0"/>
          <w:sz w:val="32"/>
          <w:szCs w:val="32"/>
          <w:lang w:val="en-US" w:eastAsia="zh-CN"/>
        </w:rPr>
        <w:t>社保费用</w:t>
      </w:r>
      <w:r>
        <w:rPr>
          <w:rFonts w:hint="eastAsia" w:ascii="Times New Roman" w:hAnsi="Times New Roman" w:eastAsia="仿宋_GB2312" w:cs="Times New Roman"/>
          <w:kern w:val="0"/>
          <w:sz w:val="32"/>
          <w:szCs w:val="32"/>
        </w:rPr>
        <w:t>缴费</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9.13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104.93</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Times New Roman" w:hAnsi="Times New Roman" w:eastAsia="仿宋_GB2312" w:cs="Times New Roman"/>
          <w:kern w:val="0"/>
          <w:sz w:val="32"/>
          <w:szCs w:val="32"/>
        </w:rPr>
        <w:t>主要用于单位</w:t>
      </w:r>
      <w:r>
        <w:rPr>
          <w:rFonts w:hint="eastAsia" w:ascii="Times New Roman" w:hAnsi="Times New Roman" w:eastAsia="仿宋_GB2312" w:cs="Times New Roman"/>
          <w:kern w:val="0"/>
          <w:sz w:val="32"/>
          <w:szCs w:val="32"/>
          <w:lang w:val="en-US" w:eastAsia="zh-CN"/>
        </w:rPr>
        <w:t>社保费用</w:t>
      </w:r>
      <w:r>
        <w:rPr>
          <w:rFonts w:hint="eastAsia" w:ascii="Times New Roman" w:hAnsi="Times New Roman" w:eastAsia="仿宋_GB2312" w:cs="Times New Roman"/>
          <w:kern w:val="0"/>
          <w:sz w:val="32"/>
          <w:szCs w:val="32"/>
        </w:rPr>
        <w:t>缴费</w:t>
      </w:r>
    </w:p>
    <w:p>
      <w:pPr>
        <w:keepNext w:val="0"/>
        <w:keepLines w:val="0"/>
        <w:widowControl w:val="0"/>
        <w:suppressLineNumbers w:val="0"/>
        <w:spacing w:before="0" w:beforeAutospacing="0" w:after="0" w:afterAutospacing="0"/>
        <w:ind w:left="0" w:right="0" w:firstLine="640" w:firstLineChars="200"/>
        <w:jc w:val="left"/>
        <w:rPr>
          <w:rFonts w:hint="eastAsia" w:ascii="Times New Roman" w:hAnsi="Times New Roman" w:eastAsia="仿宋_GB2312" w:cs="Times New Roman"/>
          <w:kern w:val="0"/>
          <w:sz w:val="32"/>
          <w:szCs w:val="32"/>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13.76</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kern w:val="0"/>
          <w:sz w:val="32"/>
          <w:szCs w:val="32"/>
        </w:rPr>
        <w:t>主要用于住房公积金缴费</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7.11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93.53</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Times New Roman" w:hAnsi="Times New Roman" w:eastAsia="仿宋_GB2312" w:cs="Times New Roman"/>
          <w:kern w:val="0"/>
          <w:sz w:val="32"/>
          <w:szCs w:val="32"/>
          <w:lang w:eastAsia="zh-CN"/>
        </w:rPr>
        <w:t>2023</w:t>
      </w:r>
      <w:r>
        <w:rPr>
          <w:rFonts w:hint="eastAsia" w:ascii="Times New Roman" w:hAnsi="Times New Roman" w:eastAsia="仿宋_GB2312" w:cs="Times New Roman"/>
          <w:kern w:val="0"/>
          <w:sz w:val="32"/>
          <w:szCs w:val="32"/>
        </w:rPr>
        <w:t>年公招新进</w:t>
      </w:r>
      <w:r>
        <w:rPr>
          <w:rFonts w:hint="eastAsia" w:ascii="Times New Roman" w:hAnsi="Times New Roman" w:eastAsia="仿宋_GB2312" w:cs="Times New Roman"/>
          <w:kern w:val="0"/>
          <w:sz w:val="32"/>
          <w:szCs w:val="32"/>
          <w:lang w:val="en-US" w:eastAsia="zh-CN"/>
        </w:rPr>
        <w:t>7</w:t>
      </w:r>
      <w:r>
        <w:rPr>
          <w:rFonts w:hint="eastAsia" w:ascii="Times New Roman" w:hAnsi="Times New Roman" w:eastAsia="仿宋_GB2312" w:cs="Times New Roman"/>
          <w:kern w:val="0"/>
          <w:sz w:val="32"/>
          <w:szCs w:val="32"/>
        </w:rPr>
        <w:t>人</w:t>
      </w:r>
    </w:p>
    <w:p>
      <w:pPr>
        <w:autoSpaceDE w:val="0"/>
        <w:autoSpaceDN w:val="0"/>
        <w:adjustRightInd w:val="0"/>
        <w:spacing w:line="560" w:lineRule="exact"/>
        <w:ind w:firstLine="640" w:firstLineChars="200"/>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21.45</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kern w:val="0"/>
          <w:sz w:val="32"/>
          <w:szCs w:val="32"/>
        </w:rPr>
        <w:t>人员工资福利</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8.46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65.13</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Times New Roman" w:hAnsi="Times New Roman" w:eastAsia="仿宋_GB2312" w:cs="Times New Roman"/>
          <w:kern w:val="0"/>
          <w:sz w:val="32"/>
          <w:szCs w:val="32"/>
          <w:lang w:eastAsia="zh-CN"/>
        </w:rPr>
        <w:t>2023</w:t>
      </w:r>
      <w:r>
        <w:rPr>
          <w:rFonts w:hint="eastAsia" w:ascii="Times New Roman" w:hAnsi="Times New Roman" w:eastAsia="仿宋_GB2312" w:cs="Times New Roman"/>
          <w:kern w:val="0"/>
          <w:sz w:val="32"/>
          <w:szCs w:val="32"/>
        </w:rPr>
        <w:t>年公招新进</w:t>
      </w:r>
      <w:r>
        <w:rPr>
          <w:rFonts w:hint="eastAsia" w:ascii="Times New Roman" w:hAnsi="Times New Roman" w:eastAsia="仿宋_GB2312" w:cs="Times New Roman"/>
          <w:kern w:val="0"/>
          <w:sz w:val="32"/>
          <w:szCs w:val="32"/>
          <w:lang w:val="en-US" w:eastAsia="zh-CN"/>
        </w:rPr>
        <w:t>7</w:t>
      </w:r>
      <w:r>
        <w:rPr>
          <w:rFonts w:hint="eastAsia" w:ascii="Times New Roman" w:hAnsi="Times New Roman" w:eastAsia="仿宋_GB2312" w:cs="Times New Roman"/>
          <w:kern w:val="0"/>
          <w:sz w:val="32"/>
          <w:szCs w:val="32"/>
        </w:rPr>
        <w:t>人。</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2022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eastAsia" w:ascii="仿宋_GB2312" w:hAnsi="微软雅黑" w:eastAsia="仿宋_GB2312" w:cs="仿宋_GB2312"/>
          <w:color w:val="000000"/>
          <w:sz w:val="31"/>
          <w:szCs w:val="31"/>
          <w:highlight w:val="none"/>
          <w:shd w:val="clear" w:color="auto" w:fill="FFFFFF"/>
          <w:lang w:eastAsia="zh-CN"/>
        </w:rPr>
        <w:t>。</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u w:color="auto"/>
          <w:lang w:eastAsia="zh-CN"/>
        </w:rPr>
        <w:t>。</w:t>
      </w:r>
      <w:r>
        <w:rPr>
          <w:rFonts w:hint="eastAsia" w:ascii="仿宋" w:hAnsi="仿宋" w:eastAsia="仿宋" w:cs="仿宋"/>
          <w:sz w:val="32"/>
          <w:szCs w:val="32"/>
          <w:highlight w:val="none"/>
        </w:rPr>
        <w:drawing>
          <wp:inline distT="0" distB="0" distL="114300" distR="114300">
            <wp:extent cx="5080000" cy="3022600"/>
            <wp:effectExtent l="4445" t="4445" r="20955" b="2095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firstLine="640" w:firstLineChars="200"/>
        <w:jc w:val="center"/>
        <w:rPr>
          <w:rFonts w:ascii="仿宋" w:hAnsi="仿宋" w:eastAsia="仿宋" w:cs="仿宋"/>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 xml:space="preserve"> 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环江毛南族自治县第四幼儿园</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u w:color="auto"/>
          <w:lang w:val="en-US" w:eastAsia="zh-CN"/>
        </w:rPr>
        <w:t>365.26</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85.54</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30.58</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201.18</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164.07</w:t>
      </w:r>
      <w:r>
        <w:rPr>
          <w:rFonts w:hint="eastAsia" w:ascii="仿宋" w:hAnsi="仿宋" w:eastAsia="仿宋" w:cs="仿宋"/>
          <w:sz w:val="32"/>
          <w:szCs w:val="32"/>
          <w:highlight w:val="none"/>
        </w:rPr>
        <w:t>万元。</w:t>
      </w:r>
    </w:p>
    <w:p>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rPr>
        <w:t>环江毛南族自治县第四幼儿园</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 xml:space="preserve"> 年度一般公共预算财政拨款支出年初预算为</w:t>
      </w:r>
      <w:r>
        <w:rPr>
          <w:rFonts w:hint="eastAsia" w:ascii="仿宋" w:hAnsi="仿宋" w:eastAsia="仿宋" w:cs="仿宋"/>
          <w:sz w:val="32"/>
          <w:u w:color="auto"/>
          <w:lang w:val="en-US" w:eastAsia="zh-CN"/>
        </w:rPr>
        <w:t>241.03</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365.26</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51.54</w:t>
      </w:r>
      <w:r>
        <w:rPr>
          <w:rFonts w:ascii="仿宋" w:hAnsi="仿宋" w:eastAsia="仿宋" w:cs="仿宋"/>
          <w:sz w:val="32"/>
          <w:u w:color="auto"/>
        </w:rPr>
        <w:t>%</w:t>
      </w:r>
      <w:r>
        <w:rPr>
          <w:rFonts w:hint="eastAsia" w:ascii="仿宋" w:hAnsi="仿宋" w:eastAsia="仿宋" w:cs="仿宋"/>
          <w:sz w:val="32"/>
          <w:szCs w:val="32"/>
          <w:highlight w:val="none"/>
        </w:rPr>
        <w:t>。</w:t>
      </w:r>
      <w:bookmarkStart w:id="3" w:name="OLE_LINK2"/>
      <w:bookmarkEnd w:id="3"/>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2.85</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2.85</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无差异。</w:t>
      </w:r>
    </w:p>
    <w:p>
      <w:pPr>
        <w:keepNext w:val="0"/>
        <w:keepLines w:val="0"/>
        <w:widowControl w:val="0"/>
        <w:numPr>
          <w:ilvl w:val="0"/>
          <w:numId w:val="0"/>
        </w:numPr>
        <w:suppressLineNumbers w:val="0"/>
        <w:spacing w:before="0" w:beforeAutospacing="0" w:after="0" w:afterAutospacing="0"/>
        <w:ind w:right="0" w:rightChars="0" w:firstLine="420" w:firstLineChars="200"/>
        <w:jc w:val="left"/>
        <w:rPr>
          <w:rFonts w:hint="default" w:eastAsia="仿宋"/>
          <w:color w:val="FF0000"/>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2.85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2.85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18"/>
                <w:szCs w:val="18"/>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工会经费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2.85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2.85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18"/>
                <w:szCs w:val="18"/>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工会经费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eastAsia="仿宋"/>
          <w:color w:val="FF0000"/>
          <w:sz w:val="32"/>
          <w:szCs w:val="32"/>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二</w:t>
      </w:r>
      <w:r>
        <w:rPr>
          <w:rFonts w:hint="eastAsia" w:ascii="仿宋" w:hAnsi="仿宋" w:eastAsia="仿宋"/>
          <w:sz w:val="32"/>
          <w:szCs w:val="32"/>
          <w:highlight w:val="none"/>
          <w:lang w:eastAsia="zh-CN"/>
        </w:rPr>
        <w:t>）</w:t>
      </w:r>
      <w:r>
        <w:rPr>
          <w:rFonts w:hint="eastAsia" w:ascii="仿宋" w:hAnsi="仿宋" w:eastAsia="仿宋"/>
          <w:sz w:val="32"/>
          <w:szCs w:val="32"/>
          <w:highlight w:val="none"/>
        </w:rPr>
        <w:t>教育支出</w:t>
      </w:r>
      <w:r>
        <w:rPr>
          <w:rFonts w:ascii="仿宋" w:hAnsi="仿宋" w:eastAsia="仿宋"/>
          <w:sz w:val="32"/>
          <w:u w:color="auto"/>
        </w:rPr>
        <w:t>（205</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196.90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308.49</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156.67</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bCs/>
          <w:kern w:val="0"/>
          <w:sz w:val="32"/>
          <w:szCs w:val="32"/>
          <w:highlight w:val="none"/>
          <w:lang w:val="en-US" w:eastAsia="zh-CN"/>
        </w:rPr>
        <w:t>该类支出部分资金由上级部门做预算直接下达，本部门无需预算。</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学前教育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196.90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308.32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156.58%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imes New Roman" w:hAnsi="Times New Roman" w:eastAsia="仿宋_GB2312" w:cs="Times New Roman"/>
                <w:bCs/>
                <w:kern w:val="0"/>
                <w:sz w:val="18"/>
                <w:szCs w:val="18"/>
              </w:rPr>
              <w:t>人员基本工资，商品服务支出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仿宋_GB2312" w:cs="宋体"/>
                <w:i w:val="0"/>
                <w:iCs w:val="0"/>
                <w:color w:val="auto"/>
                <w:sz w:val="18"/>
                <w:szCs w:val="18"/>
                <w:highlight w:val="none"/>
                <w:u w:val="none"/>
                <w:lang w:val="en-US" w:eastAsia="zh-CN"/>
              </w:rPr>
            </w:pPr>
            <w:r>
              <w:rPr>
                <w:rFonts w:hint="eastAsia" w:ascii="Times New Roman" w:hAnsi="Times New Roman" w:eastAsia="仿宋_GB2312" w:cs="Times New Roman"/>
                <w:bCs/>
                <w:kern w:val="0"/>
                <w:sz w:val="18"/>
                <w:szCs w:val="18"/>
                <w:highlight w:val="none"/>
                <w:lang w:val="en-US" w:eastAsia="zh-CN"/>
              </w:rPr>
              <w:t>该类支出部分资金由上级部门做预算直接下达，本部门无需预算。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其他普通教育支出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0.17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imes New Roman" w:hAnsi="Times New Roman" w:eastAsia="仿宋_GB2312" w:cs="Times New Roman"/>
                <w:bCs/>
                <w:kern w:val="0"/>
                <w:sz w:val="18"/>
                <w:szCs w:val="18"/>
                <w:lang w:val="en-US" w:eastAsia="zh-CN"/>
              </w:rPr>
              <w:t>用于办公经费支出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年中预算直接调整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196.9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308.49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156.67%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both"/>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2606675"/>
            <wp:effectExtent l="4445" t="4445" r="16510" b="17780"/>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autoSpaceDE w:val="0"/>
        <w:autoSpaceDN w:val="0"/>
        <w:adjustRightInd w:val="0"/>
        <w:spacing w:line="560" w:lineRule="exact"/>
        <w:ind w:firstLine="640" w:firstLineChars="200"/>
        <w:rPr>
          <w:rFonts w:hint="eastAsia" w:ascii="Times New Roman" w:hAnsi="Times New Roman" w:eastAsia="仿宋_GB2312" w:cs="Times New Roman"/>
          <w:bCs/>
          <w:kern w:val="0"/>
          <w:sz w:val="32"/>
          <w:szCs w:val="32"/>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三</w:t>
      </w:r>
      <w:r>
        <w:rPr>
          <w:rFonts w:hint="eastAsia" w:ascii="仿宋" w:hAnsi="仿宋" w:eastAsia="仿宋"/>
          <w:sz w:val="32"/>
          <w:szCs w:val="32"/>
          <w:highlight w:val="none"/>
          <w:lang w:eastAsia="zh-CN"/>
        </w:rPr>
        <w:t>）</w:t>
      </w:r>
      <w:r>
        <w:rPr>
          <w:rFonts w:hint="eastAsia" w:ascii="仿宋" w:hAnsi="仿宋" w:eastAsia="仿宋"/>
          <w:sz w:val="32"/>
          <w:szCs w:val="32"/>
          <w:highlight w:val="none"/>
        </w:rPr>
        <w:t>社会保障和就业支出</w:t>
      </w:r>
      <w:r>
        <w:rPr>
          <w:rFonts w:ascii="仿宋" w:hAnsi="仿宋" w:eastAsia="仿宋"/>
          <w:sz w:val="32"/>
          <w:highlight w:val="none"/>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23.59</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18.71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79.31</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sz w:val="32"/>
          <w:szCs w:val="32"/>
          <w:highlight w:val="none"/>
          <w:lang w:val="en-US" w:eastAsia="zh-CN"/>
          <w14:textFill>
            <w14:solidFill>
              <w14:schemeClr w14:val="tx1"/>
            </w14:solidFill>
          </w14:textFill>
        </w:rPr>
        <w:t>基数预算过高</w:t>
      </w:r>
      <w:r>
        <w:rPr>
          <w:rFonts w:hint="eastAsia" w:ascii="Times New Roman" w:hAnsi="Times New Roman" w:eastAsia="仿宋_GB2312" w:cs="Times New Roman"/>
          <w:bCs/>
          <w:kern w:val="0"/>
          <w:sz w:val="32"/>
          <w:szCs w:val="32"/>
          <w:highlight w:val="none"/>
          <w:lang w:val="en-US" w:eastAsia="zh-CN"/>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23.59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18.71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79.31%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仿宋_GB2312" w:cs="宋体"/>
                <w:i w:val="0"/>
                <w:iCs w:val="0"/>
                <w:color w:val="auto"/>
                <w:sz w:val="18"/>
                <w:szCs w:val="18"/>
                <w:highlight w:val="none"/>
                <w:u w:val="none"/>
                <w:lang w:val="en-US" w:eastAsia="zh-CN"/>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缴纳职工基本养老保险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auto"/>
                <w:sz w:val="18"/>
                <w:szCs w:val="18"/>
                <w:highlight w:val="none"/>
                <w:u w:val="none"/>
                <w:lang w:val="en-US" w:eastAsia="zh-CN"/>
              </w:rPr>
            </w:pPr>
            <w:r>
              <w:rPr>
                <w:rFonts w:hint="eastAsia" w:asciiTheme="minorEastAsia" w:hAnsiTheme="minorEastAsia" w:cstheme="minorEastAsia"/>
                <w:color w:val="000000" w:themeColor="text1"/>
                <w:sz w:val="18"/>
                <w:szCs w:val="18"/>
                <w:highlight w:val="none"/>
                <w:lang w:val="en-US" w:eastAsia="zh-CN"/>
                <w14:textFill>
                  <w14:solidFill>
                    <w14:schemeClr w14:val="tx1"/>
                  </w14:solidFill>
                </w14:textFill>
              </w:rPr>
              <w:t>基数预算过高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23.59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18.71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79.31%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cstheme="minorEastAsia"/>
                <w:color w:val="000000" w:themeColor="text1"/>
                <w:sz w:val="18"/>
                <w:szCs w:val="18"/>
                <w:highlight w:val="none"/>
                <w:lang w:val="en-US" w:eastAsia="zh-CN"/>
                <w14:textFill>
                  <w14:solidFill>
                    <w14:schemeClr w14:val="tx1"/>
                  </w14:solidFill>
                </w14:textFill>
              </w:rPr>
              <w:t>缴纳职工基本养老缴费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18"/>
                <w:szCs w:val="18"/>
                <w:highlight w:val="none"/>
                <w:u w:val="none"/>
                <w:lang w:val="en-US" w:eastAsia="zh-CN"/>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基数调整未加1-9月基础性绩效工资增量补发部分</w:t>
            </w:r>
          </w:p>
        </w:tc>
      </w:tr>
    </w:tbl>
    <w:p>
      <w:pPr>
        <w:jc w:val="both"/>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2616835"/>
            <wp:effectExtent l="4445" t="4445" r="16510" b="7620"/>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autoSpaceDE w:val="0"/>
        <w:autoSpaceDN w:val="0"/>
        <w:adjustRightInd w:val="0"/>
        <w:spacing w:line="560" w:lineRule="exact"/>
        <w:ind w:firstLine="640" w:firstLineChars="200"/>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四</w:t>
      </w:r>
      <w:r>
        <w:rPr>
          <w:rFonts w:hint="eastAsia" w:ascii="仿宋" w:hAnsi="仿宋" w:eastAsia="仿宋"/>
          <w:sz w:val="32"/>
          <w:szCs w:val="32"/>
          <w:highlight w:val="none"/>
          <w:lang w:eastAsia="zh-CN"/>
        </w:rPr>
        <w:t>）</w:t>
      </w: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17.69</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13.76</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77.78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sz w:val="32"/>
          <w:szCs w:val="32"/>
          <w:highlight w:val="none"/>
          <w:lang w:val="en-US" w:eastAsia="zh-CN"/>
          <w14:textFill>
            <w14:solidFill>
              <w14:schemeClr w14:val="tx1"/>
            </w14:solidFill>
          </w14:textFill>
        </w:rPr>
        <w:t>基数预算过高</w:t>
      </w:r>
      <w:r>
        <w:rPr>
          <w:rFonts w:hint="eastAsia" w:ascii="Times New Roman" w:hAnsi="Times New Roman" w:eastAsia="仿宋_GB2312" w:cs="Times New Roman"/>
          <w:bCs/>
          <w:kern w:val="0"/>
          <w:sz w:val="32"/>
          <w:szCs w:val="32"/>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17.69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13.76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77.78%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缴纳职工住房公积金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cstheme="minorEastAsia"/>
                <w:color w:val="000000" w:themeColor="text1"/>
                <w:sz w:val="18"/>
                <w:szCs w:val="18"/>
                <w:highlight w:val="none"/>
                <w:lang w:val="en-US" w:eastAsia="zh-CN"/>
                <w14:textFill>
                  <w14:solidFill>
                    <w14:schemeClr w14:val="tx1"/>
                  </w14:solidFill>
                </w14:textFill>
              </w:rPr>
              <w:t>基数预算过高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17.69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13.76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77.78%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缴纳职工住房公积金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基数调整未加1-9月基础性绩效工资增量补发部分</w:t>
            </w:r>
          </w:p>
        </w:tc>
      </w:tr>
    </w:tbl>
    <w:p>
      <w:pPr>
        <w:jc w:val="left"/>
        <w:rPr>
          <w:rFonts w:hint="eastAsia"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center"/>
        <w:rPr>
          <w:rFonts w:ascii="仿宋" w:hAnsi="仿宋" w:eastAsia="仿宋"/>
          <w:sz w:val="32"/>
          <w:szCs w:val="32"/>
          <w:highlight w:val="none"/>
        </w:rPr>
      </w:pP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五</w:t>
      </w:r>
      <w:r>
        <w:rPr>
          <w:rFonts w:hint="eastAsia" w:ascii="仿宋" w:hAnsi="仿宋" w:eastAsia="仿宋"/>
          <w:sz w:val="32"/>
          <w:szCs w:val="32"/>
          <w:highlight w:val="none"/>
          <w:lang w:eastAsia="zh-CN"/>
        </w:rPr>
        <w:t>）</w:t>
      </w: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21.45</w:t>
      </w:r>
      <w:r>
        <w:rPr>
          <w:rFonts w:hint="eastAsia" w:ascii="仿宋" w:hAnsi="仿宋" w:eastAsia="仿宋"/>
          <w:sz w:val="32"/>
          <w:szCs w:val="32"/>
          <w:highlight w:val="none"/>
        </w:rPr>
        <w:t>万</w:t>
      </w:r>
      <w:bookmarkStart w:id="6" w:name="_GoBack"/>
      <w:bookmarkEnd w:id="6"/>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bCs/>
          <w:kern w:val="0"/>
          <w:sz w:val="32"/>
          <w:szCs w:val="32"/>
          <w:highlight w:val="none"/>
          <w:lang w:val="en-US" w:eastAsia="zh-CN"/>
        </w:rPr>
        <w:t>此部分资金由上级资金直接拨款，无需本级本部门预算</w:t>
      </w:r>
      <w:r>
        <w:rPr>
          <w:rFonts w:hint="eastAsia" w:ascii="Times New Roman" w:hAnsi="Times New Roman" w:eastAsia="仿宋_GB2312" w:cs="Times New Roman"/>
          <w:bCs/>
          <w:kern w:val="0"/>
          <w:sz w:val="32"/>
          <w:szCs w:val="32"/>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21.45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green"/>
                <w:u w:val="none"/>
                <w:lang w:val="en-US" w:eastAsia="zh-CN"/>
              </w:rPr>
            </w:pPr>
            <w:r>
              <w:rPr>
                <w:rFonts w:hint="eastAsia" w:ascii="宋体" w:hAnsi="宋体" w:eastAsia="宋体" w:cs="宋体"/>
                <w:i w:val="0"/>
                <w:iCs w:val="0"/>
                <w:color w:val="000000"/>
                <w:sz w:val="20"/>
                <w:szCs w:val="20"/>
                <w:highlight w:val="none"/>
                <w:u w:val="none"/>
                <w:lang w:val="en-US" w:eastAsia="zh-CN"/>
              </w:rPr>
              <w:t>发放奖励性补贴</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imes New Roman" w:hAnsi="Times New Roman" w:eastAsia="仿宋_GB2312" w:cs="Times New Roman"/>
                <w:bCs/>
                <w:kern w:val="0"/>
                <w:sz w:val="18"/>
                <w:szCs w:val="18"/>
                <w:highlight w:val="none"/>
                <w:lang w:val="en-US" w:eastAsia="zh-CN"/>
              </w:rPr>
              <w:t>此部分资金由上级资金直接拨款，无需本级本部门预算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21.45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green"/>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环江毛南族自治县第四幼儿园</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lang w:val="en-US" w:eastAsia="zh-CN"/>
        </w:rPr>
        <w:t>201.19</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198.17</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3.02</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198.16</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14.52</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Times New Roman" w:hAnsi="Times New Roman" w:eastAsia="仿宋_GB2312" w:cs="Times New Roman"/>
          <w:bCs/>
          <w:kern w:val="0"/>
          <w:sz w:val="32"/>
          <w:szCs w:val="32"/>
          <w:lang w:eastAsia="zh-CN"/>
        </w:rPr>
        <w:t>2023</w:t>
      </w:r>
      <w:r>
        <w:rPr>
          <w:rFonts w:hint="eastAsia" w:ascii="Times New Roman" w:hAnsi="Times New Roman" w:eastAsia="仿宋_GB2312" w:cs="Times New Roman"/>
          <w:bCs/>
          <w:kern w:val="0"/>
          <w:sz w:val="32"/>
          <w:szCs w:val="32"/>
        </w:rPr>
        <w:t>年公招新进</w:t>
      </w:r>
      <w:r>
        <w:rPr>
          <w:rFonts w:hint="eastAsia" w:ascii="Times New Roman" w:hAnsi="Times New Roman" w:eastAsia="仿宋_GB2312" w:cs="Times New Roman"/>
          <w:bCs/>
          <w:kern w:val="0"/>
          <w:sz w:val="32"/>
          <w:szCs w:val="32"/>
          <w:lang w:val="en-US" w:eastAsia="zh-CN"/>
        </w:rPr>
        <w:t>7</w:t>
      </w:r>
      <w:r>
        <w:rPr>
          <w:rFonts w:hint="eastAsia" w:ascii="Times New Roman" w:hAnsi="Times New Roman" w:eastAsia="仿宋_GB2312" w:cs="Times New Roman"/>
          <w:bCs/>
          <w:kern w:val="0"/>
          <w:sz w:val="32"/>
          <w:szCs w:val="32"/>
        </w:rPr>
        <w:t>人</w:t>
      </w:r>
      <w:r>
        <w:rPr>
          <w:rFonts w:hint="eastAsia" w:ascii="Times New Roman" w:hAnsi="Times New Roman" w:eastAsia="仿宋_GB2312" w:cs="Times New Roman"/>
          <w:bCs/>
          <w:kern w:val="0"/>
          <w:sz w:val="32"/>
          <w:szCs w:val="32"/>
          <w:lang w:eastAsia="zh-CN"/>
        </w:rPr>
        <w:t>。</w:t>
      </w:r>
    </w:p>
    <w:p>
      <w:pPr>
        <w:jc w:val="left"/>
        <w:rPr>
          <w:rFonts w:hint="eastAsia"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68.36万元，30102津贴补贴6.77万元，30103奖金71.48万元，30107绩效工资10.59万元，30108机关事业单位基本养老保险缴费18.71万元，30110职工基本医疗保险缴费7.57万元，30112其他社会保障缴费0.93万元，30113住房公积金13.76万元，30199其他工资福利支出0.00万元。303对个人和家庭的补助0.01万元。30309奖励金0.01万元。</w:t>
      </w:r>
    </w:p>
    <w:p>
      <w:pPr>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center"/>
        <w:rPr>
          <w:rFonts w:hint="eastAsia" w:ascii="仿宋" w:hAnsi="仿宋" w:eastAsia="仿宋" w:cs="仿宋"/>
          <w:sz w:val="32"/>
          <w:szCs w:val="32"/>
          <w:highlight w:val="none"/>
          <w:lang w:eastAsia="zh-CN"/>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2.85</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100%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Times New Roman" w:hAnsi="Times New Roman" w:eastAsia="仿宋_GB2312" w:cs="Times New Roman"/>
          <w:bCs/>
          <w:kern w:val="0"/>
          <w:sz w:val="32"/>
          <w:szCs w:val="32"/>
          <w:lang w:eastAsia="zh-CN"/>
        </w:rPr>
        <w:t>2023</w:t>
      </w:r>
      <w:r>
        <w:rPr>
          <w:rFonts w:hint="eastAsia" w:ascii="Times New Roman" w:hAnsi="Times New Roman" w:eastAsia="仿宋_GB2312" w:cs="Times New Roman"/>
          <w:bCs/>
          <w:kern w:val="0"/>
          <w:sz w:val="32"/>
          <w:szCs w:val="32"/>
        </w:rPr>
        <w:t>年公招新进</w:t>
      </w:r>
      <w:r>
        <w:rPr>
          <w:rFonts w:hint="eastAsia" w:ascii="Times New Roman" w:hAnsi="Times New Roman" w:eastAsia="仿宋_GB2312" w:cs="Times New Roman"/>
          <w:bCs/>
          <w:kern w:val="0"/>
          <w:sz w:val="32"/>
          <w:szCs w:val="32"/>
          <w:lang w:val="en-US" w:eastAsia="zh-CN"/>
        </w:rPr>
        <w:t>7</w:t>
      </w:r>
      <w:r>
        <w:rPr>
          <w:rFonts w:hint="eastAsia" w:ascii="Times New Roman" w:hAnsi="Times New Roman" w:eastAsia="仿宋_GB2312" w:cs="Times New Roman"/>
          <w:bCs/>
          <w:kern w:val="0"/>
          <w:sz w:val="32"/>
          <w:szCs w:val="32"/>
        </w:rPr>
        <w:t>人</w:t>
      </w:r>
      <w:r>
        <w:rPr>
          <w:rFonts w:hint="eastAsia" w:ascii="Times New Roman" w:hAnsi="Times New Roman" w:eastAsia="仿宋_GB2312" w:cs="Times New Roman"/>
          <w:bCs/>
          <w:kern w:val="0"/>
          <w:sz w:val="32"/>
          <w:szCs w:val="32"/>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30228工会经费2.85万元。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szCs w:val="32"/>
          <w:highlight w:val="none"/>
          <w:lang w:val="en-US" w:eastAsia="zh-CN"/>
        </w:rPr>
        <w:t>0.01</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100%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主要原因是：享受独生子女补助</w:t>
      </w:r>
      <w:r>
        <w:rPr>
          <w:rFonts w:hint="eastAsia" w:ascii="Times New Roman" w:hAnsi="Times New Roman" w:eastAsia="仿宋_GB2312" w:cs="Times New Roman"/>
          <w:bCs/>
          <w:kern w:val="0"/>
          <w:sz w:val="32"/>
          <w:szCs w:val="32"/>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30305生活补助0.00万元。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682875"/>
            <wp:effectExtent l="4445" t="4445" r="16510" b="17780"/>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sz w:val="32"/>
          <w:szCs w:val="32"/>
          <w:highlight w:val="none"/>
          <w:lang w:val="en-US" w:eastAsia="zh-CN"/>
        </w:rPr>
        <w:t>主要原因是：无。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9870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sz w:val="32"/>
          <w:szCs w:val="32"/>
          <w:highlight w:val="none"/>
          <w:lang w:val="en-US" w:eastAsia="zh-CN"/>
        </w:rPr>
        <w:t>主要原因是：无。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center"/>
        <w:rPr>
          <w:rFonts w:ascii="仿宋" w:hAnsi="仿宋" w:eastAsia="仿宋" w:cs="仿宋"/>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环江毛南族自治县第四幼儿园</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环江毛南族自治县第四幼儿园</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r>
        <w:rPr>
          <w:rFonts w:hint="eastAsia" w:ascii="仿宋_GB2312" w:hAnsi="Times New Roman" w:eastAsia="仿宋_GB2312" w:cs="Times New Roman"/>
          <w:color w:val="auto"/>
          <w:sz w:val="32"/>
          <w:szCs w:val="32"/>
        </w:rPr>
        <w:t>环江毛南族自治县第四幼儿园</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环江毛南族自治县第四幼儿园</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环江毛南族自治县第四幼儿园</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sz w:val="32"/>
          <w:szCs w:val="32"/>
          <w:highlight w:val="none"/>
        </w:rPr>
      </w:pPr>
      <w:bookmarkStart w:id="4" w:name="PO_part3A5B1C1DiffReason1"/>
      <w:r>
        <w:rPr>
          <w:rFonts w:hint="eastAsia" w:ascii="仿宋_GB2312" w:hAnsi="Times New Roman" w:eastAsia="仿宋_GB2312" w:cs="Times New Roman"/>
          <w:color w:val="auto"/>
          <w:sz w:val="32"/>
          <w:szCs w:val="32"/>
        </w:rPr>
        <w:t>环江毛南族自治县第四幼儿园</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rPr>
        <w:t>安排的支出。</w:t>
      </w:r>
      <w:bookmarkEnd w:id="4"/>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年预算财政拨款安排的“三公”经费支出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ascii="Times New Roman" w:hAnsi="Times New Roman" w:eastAsia="仿宋_GB2312" w:cs="Times New Roman"/>
          <w:kern w:val="0"/>
          <w:sz w:val="32"/>
          <w:szCs w:val="32"/>
        </w:rPr>
        <w:t>是</w:t>
      </w:r>
      <w:r>
        <w:rPr>
          <w:rFonts w:hint="eastAsia" w:ascii="Times New Roman" w:hAnsi="Times New Roman" w:eastAsia="仿宋_GB2312" w:cs="Times New Roman"/>
          <w:kern w:val="0"/>
          <w:sz w:val="32"/>
          <w:szCs w:val="32"/>
        </w:rPr>
        <w:t>本部门</w:t>
      </w:r>
      <w:r>
        <w:rPr>
          <w:rFonts w:hint="eastAsia" w:ascii="Times New Roman" w:hAnsi="Times New Roman" w:eastAsia="仿宋_GB2312" w:cs="Times New Roman"/>
          <w:kern w:val="0"/>
          <w:sz w:val="32"/>
          <w:szCs w:val="32"/>
          <w:lang w:eastAsia="zh-CN"/>
        </w:rPr>
        <w:t>2023</w:t>
      </w:r>
      <w:r>
        <w:rPr>
          <w:rFonts w:hint="eastAsia" w:ascii="Times New Roman" w:hAnsi="Times New Roman" w:eastAsia="仿宋_GB2312" w:cs="Times New Roman"/>
          <w:kern w:val="0"/>
          <w:sz w:val="32"/>
          <w:szCs w:val="32"/>
        </w:rPr>
        <w:t>年度没有“三公”经费资金收入，也没有“三公”经费资金安排的支出。</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numPr>
          <w:ilvl w:val="0"/>
          <w:numId w:val="3"/>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原因是：无。</w:t>
      </w:r>
      <w:r>
        <w:rPr>
          <w:rFonts w:hint="eastAsia" w:ascii="仿宋" w:hAnsi="仿宋" w:eastAsia="仿宋" w:cs="仿宋"/>
          <w:sz w:val="32"/>
          <w:szCs w:val="32"/>
          <w:highlight w:val="none"/>
        </w:rPr>
        <w:t>全年因公出国（境）团组共计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p>
    <w:p>
      <w:pPr>
        <w:numPr>
          <w:ilvl w:val="0"/>
          <w:numId w:val="3"/>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000000" w:themeColor="text1"/>
          <w:sz w:val="32"/>
          <w:szCs w:val="32"/>
          <w:highlight w:val="none"/>
          <w:lang w:val="en-US" w:eastAsia="zh-CN"/>
          <w14:textFill>
            <w14:solidFill>
              <w14:schemeClr w14:val="tx1"/>
            </w14:solidFill>
          </w14:textFill>
        </w:rPr>
        <w:t>无。</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w:t>
      </w:r>
      <w:r>
        <w:rPr>
          <w:rFonts w:hint="eastAsia" w:ascii="仿宋" w:hAnsi="仿宋" w:eastAsia="仿宋" w:cs="仿宋"/>
          <w:sz w:val="32"/>
          <w:u w:color="auto"/>
          <w:lang w:val="en-US" w:eastAsia="zh-CN"/>
        </w:rPr>
        <w:t>本部门</w:t>
      </w:r>
      <w:r>
        <w:rPr>
          <w:rFonts w:hint="eastAsia" w:ascii="仿宋" w:hAnsi="仿宋" w:eastAsia="仿宋" w:cs="仿宋"/>
          <w:sz w:val="32"/>
          <w:szCs w:val="32"/>
          <w:highlight w:val="none"/>
        </w:rPr>
        <w:t>及</w:t>
      </w:r>
      <w:r>
        <w:rPr>
          <w:rFonts w:hint="eastAsia" w:ascii="仿宋" w:hAnsi="仿宋" w:eastAsia="仿宋" w:cs="仿宋"/>
          <w:color w:val="000000" w:themeColor="text1"/>
          <w:sz w:val="32"/>
          <w:szCs w:val="32"/>
          <w:highlight w:val="none"/>
          <w:lang w:val="en-US" w:eastAsia="zh-CN"/>
          <w14:textFill>
            <w14:solidFill>
              <w14:schemeClr w14:val="tx1"/>
            </w14:solidFill>
          </w14:textFill>
        </w:rPr>
        <w:t>0个</w:t>
      </w:r>
      <w:r>
        <w:rPr>
          <w:rFonts w:hint="eastAsia" w:ascii="仿宋" w:hAnsi="仿宋" w:eastAsia="仿宋" w:cs="仿宋"/>
          <w:color w:val="000000" w:themeColor="text1"/>
          <w:sz w:val="32"/>
          <w:szCs w:val="32"/>
          <w:highlight w:val="none"/>
          <w14:textFill>
            <w14:solidFill>
              <w14:schemeClr w14:val="tx1"/>
            </w14:solidFill>
          </w14:textFill>
        </w:rPr>
        <w:t>所属</w:t>
      </w:r>
      <w:r>
        <w:rPr>
          <w:rFonts w:hint="eastAsia" w:ascii="仿宋" w:hAnsi="仿宋" w:eastAsia="仿宋" w:cs="仿宋"/>
          <w:sz w:val="32"/>
          <w:szCs w:val="32"/>
          <w:highlight w:val="none"/>
        </w:rPr>
        <w:t>单位开支财政拨款的公务用车保有量为</w:t>
      </w:r>
      <w:r>
        <w:rPr>
          <w:rFonts w:ascii="仿宋" w:hAnsi="仿宋" w:eastAsia="仿宋" w:cs="仿宋"/>
          <w:sz w:val="32"/>
          <w:u w:color="auto"/>
        </w:rPr>
        <w:t>0</w:t>
      </w:r>
      <w:r>
        <w:rPr>
          <w:rFonts w:hint="eastAsia" w:ascii="仿宋" w:hAnsi="仿宋" w:eastAsia="仿宋" w:cs="仿宋"/>
          <w:sz w:val="32"/>
          <w:szCs w:val="32"/>
          <w:highlight w:val="none"/>
        </w:rPr>
        <w:t>辆，全年运行费支出</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平均每辆</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p>
    <w:p>
      <w:pPr>
        <w:keepNext w:val="0"/>
        <w:keepLines w:val="0"/>
        <w:widowControl w:val="0"/>
        <w:suppressLineNumbers w:val="0"/>
        <w:spacing w:before="0" w:beforeAutospacing="0" w:after="0" w:afterAutospacing="0"/>
        <w:ind w:left="0" w:right="0" w:firstLine="640" w:firstLineChars="200"/>
        <w:jc w:val="left"/>
        <w:rPr>
          <w:rFonts w:ascii="Times New Roman" w:hAnsi="Times New Roman" w:eastAsia="仿宋_GB2312" w:cs="Times New Roman"/>
          <w:kern w:val="0"/>
          <w:sz w:val="32"/>
          <w:szCs w:val="32"/>
        </w:rPr>
      </w:pPr>
      <w:r>
        <w:rPr>
          <w:rFonts w:hint="eastAsia" w:ascii="仿宋" w:hAnsi="仿宋" w:eastAsia="仿宋" w:cs="仿宋"/>
          <w:sz w:val="32"/>
          <w:szCs w:val="32"/>
          <w:highlight w:val="none"/>
        </w:rPr>
        <w:t>（三）公务接待费支出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widowControl/>
        <w:spacing w:line="560" w:lineRule="exact"/>
        <w:ind w:firstLine="640"/>
        <w:rPr>
          <w:rFonts w:hint="eastAsia" w:ascii="仿宋" w:hAnsi="仿宋" w:eastAsia="仿宋" w:cs="仿宋"/>
          <w:color w:val="FF0000"/>
          <w:sz w:val="32"/>
          <w:szCs w:val="32"/>
          <w:highlight w:val="none"/>
        </w:rPr>
      </w:pPr>
      <w:r>
        <w:rPr>
          <w:rFonts w:hint="eastAsia" w:ascii="仿宋" w:hAnsi="仿宋" w:eastAsia="仿宋" w:cs="仿宋"/>
          <w:b w:val="0"/>
          <w:bCs w:val="0"/>
          <w:sz w:val="32"/>
          <w:szCs w:val="32"/>
          <w:highlight w:val="none"/>
        </w:rPr>
        <w:t>本部门</w:t>
      </w:r>
      <w:r>
        <w:rPr>
          <w:rFonts w:hint="eastAsia" w:ascii="仿宋" w:hAnsi="仿宋" w:eastAsia="仿宋" w:cs="仿宋"/>
          <w:b w:val="0"/>
          <w:bCs w:val="0"/>
          <w:sz w:val="32"/>
          <w:szCs w:val="32"/>
          <w:highlight w:val="none"/>
          <w:lang w:eastAsia="zh-CN"/>
        </w:rPr>
        <w:t>2023</w:t>
      </w:r>
      <w:r>
        <w:rPr>
          <w:rFonts w:hint="eastAsia" w:ascii="仿宋" w:hAnsi="仿宋" w:eastAsia="仿宋" w:cs="仿宋"/>
          <w:b w:val="0"/>
          <w:bCs w:val="0"/>
          <w:sz w:val="32"/>
          <w:szCs w:val="32"/>
          <w:highlight w:val="none"/>
        </w:rPr>
        <w:t>年度机关运行经费支出</w:t>
      </w:r>
      <w:r>
        <w:rPr>
          <w:rFonts w:ascii="仿宋" w:hAnsi="仿宋" w:eastAsia="仿宋" w:cs="仿宋"/>
          <w:b w:val="0"/>
          <w:bCs w:val="0"/>
          <w:sz w:val="32"/>
          <w:szCs w:val="32"/>
          <w:highlight w:val="none"/>
        </w:rPr>
        <w:t>0.00</w:t>
      </w:r>
      <w:r>
        <w:rPr>
          <w:rFonts w:hint="eastAsia" w:ascii="仿宋" w:hAnsi="仿宋" w:eastAsia="仿宋" w:cs="仿宋"/>
          <w:b w:val="0"/>
          <w:bCs w:val="0"/>
          <w:sz w:val="32"/>
          <w:szCs w:val="32"/>
          <w:highlight w:val="none"/>
        </w:rPr>
        <w:t>万元，比年初预算数</w:t>
      </w:r>
      <w:r>
        <w:rPr>
          <w:rFonts w:ascii="仿宋" w:hAnsi="仿宋" w:eastAsia="仿宋" w:cs="仿宋"/>
          <w:b w:val="0"/>
          <w:bCs w:val="0"/>
          <w:sz w:val="32"/>
          <w:szCs w:val="32"/>
          <w:highlight w:val="none"/>
        </w:rPr>
        <w:t>减少</w:t>
      </w:r>
      <w:r>
        <w:rPr>
          <w:rFonts w:hint="default" w:ascii="仿宋" w:hAnsi="仿宋" w:eastAsia="仿宋" w:cs="仿宋"/>
          <w:b w:val="0"/>
          <w:bCs w:val="0"/>
          <w:sz w:val="32"/>
          <w:szCs w:val="32"/>
          <w:highlight w:val="none"/>
          <w:lang w:val="en"/>
        </w:rPr>
        <w:t>0</w:t>
      </w:r>
      <w:r>
        <w:rPr>
          <w:rFonts w:hint="eastAsia" w:ascii="仿宋" w:hAnsi="仿宋" w:eastAsia="仿宋" w:cs="仿宋"/>
          <w:b w:val="0"/>
          <w:bCs w:val="0"/>
          <w:sz w:val="32"/>
          <w:szCs w:val="32"/>
          <w:highlight w:val="none"/>
        </w:rPr>
        <w:t>万元，</w:t>
      </w:r>
      <w:r>
        <w:rPr>
          <w:rFonts w:ascii="仿宋" w:hAnsi="仿宋" w:eastAsia="仿宋" w:cs="仿宋"/>
          <w:b w:val="0"/>
          <w:bCs w:val="0"/>
          <w:sz w:val="32"/>
          <w:szCs w:val="32"/>
          <w:highlight w:val="none"/>
        </w:rPr>
        <w:t>下降</w:t>
      </w:r>
      <w:r>
        <w:rPr>
          <w:rFonts w:hint="default" w:ascii="仿宋" w:hAnsi="仿宋" w:eastAsia="仿宋" w:cs="仿宋"/>
          <w:b w:val="0"/>
          <w:bCs w:val="0"/>
          <w:sz w:val="32"/>
          <w:szCs w:val="32"/>
          <w:highlight w:val="none"/>
          <w:lang w:val="en"/>
        </w:rPr>
        <w:t>0</w:t>
      </w:r>
      <w:r>
        <w:rPr>
          <w:rFonts w:ascii="仿宋" w:hAnsi="仿宋" w:eastAsia="仿宋" w:cs="仿宋"/>
          <w:b w:val="0"/>
          <w:bCs w:val="0"/>
          <w:sz w:val="32"/>
          <w:szCs w:val="32"/>
          <w:highlight w:val="none"/>
        </w:rPr>
        <w:t>%</w:t>
      </w:r>
      <w:r>
        <w:rPr>
          <w:rFonts w:hint="eastAsia" w:ascii="仿宋" w:hAnsi="仿宋" w:eastAsia="仿宋" w:cs="仿宋"/>
          <w:b w:val="0"/>
          <w:bCs w:val="0"/>
          <w:sz w:val="32"/>
          <w:szCs w:val="32"/>
          <w:highlight w:val="none"/>
        </w:rPr>
        <w:t>，比上年决算数</w:t>
      </w:r>
      <w:r>
        <w:rPr>
          <w:rFonts w:ascii="仿宋" w:hAnsi="仿宋" w:eastAsia="仿宋" w:cs="仿宋"/>
          <w:b w:val="0"/>
          <w:bCs w:val="0"/>
          <w:sz w:val="32"/>
          <w:szCs w:val="32"/>
          <w:highlight w:val="none"/>
        </w:rPr>
        <w:t>增加0.00</w:t>
      </w:r>
      <w:r>
        <w:rPr>
          <w:rFonts w:hint="eastAsia" w:ascii="仿宋" w:hAnsi="仿宋" w:eastAsia="仿宋" w:cs="仿宋"/>
          <w:b w:val="0"/>
          <w:bCs w:val="0"/>
          <w:sz w:val="32"/>
          <w:szCs w:val="32"/>
          <w:highlight w:val="none"/>
        </w:rPr>
        <w:t>万元，</w:t>
      </w:r>
      <w:r>
        <w:rPr>
          <w:rFonts w:ascii="仿宋" w:hAnsi="仿宋" w:eastAsia="仿宋" w:cs="仿宋"/>
          <w:b w:val="0"/>
          <w:bCs w:val="0"/>
          <w:sz w:val="32"/>
          <w:szCs w:val="32"/>
          <w:highlight w:val="none"/>
        </w:rPr>
        <w:t>增长0%</w:t>
      </w:r>
      <w:r>
        <w:rPr>
          <w:rFonts w:hint="eastAsia" w:ascii="仿宋" w:hAnsi="仿宋" w:eastAsia="仿宋" w:cs="仿宋"/>
          <w:b w:val="0"/>
          <w:bCs w:val="0"/>
          <w:sz w:val="32"/>
          <w:szCs w:val="32"/>
          <w:highlight w:val="none"/>
        </w:rPr>
        <w:t>。</w:t>
      </w:r>
      <w:r>
        <w:rPr>
          <w:rFonts w:ascii="Times New Roman" w:hAnsi="Times New Roman" w:eastAsia="仿宋_GB2312" w:cs="Times New Roman"/>
          <w:b w:val="0"/>
          <w:bCs w:val="0"/>
          <w:kern w:val="0"/>
          <w:sz w:val="32"/>
          <w:szCs w:val="32"/>
          <w:highlight w:val="none"/>
        </w:rPr>
        <w:t>本部门无机关运行经费</w:t>
      </w:r>
      <w:r>
        <w:rPr>
          <w:rFonts w:ascii="Times New Roman" w:hAnsi="Times New Roman" w:eastAsia="仿宋_GB2312" w:cs="Times New Roman"/>
          <w:b w:val="0"/>
          <w:bCs w:val="0"/>
          <w:kern w:val="0"/>
          <w:sz w:val="32"/>
          <w:szCs w:val="32"/>
        </w:rPr>
        <w:t>支出。</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widowControl/>
        <w:spacing w:line="560" w:lineRule="exact"/>
        <w:ind w:firstLine="640"/>
        <w:rPr>
          <w:rFonts w:ascii="Times New Roman" w:hAnsi="Times New Roman" w:eastAsia="仿宋_GB2312" w:cs="Times New Roman"/>
          <w:b w:val="0"/>
          <w:bCs w:val="0"/>
          <w:kern w:val="0"/>
          <w:sz w:val="32"/>
          <w:szCs w:val="32"/>
        </w:rPr>
      </w:pPr>
      <w:r>
        <w:rPr>
          <w:rFonts w:hint="eastAsia" w:ascii="仿宋" w:hAnsi="仿宋" w:eastAsia="仿宋" w:cs="仿宋"/>
          <w:b w:val="0"/>
          <w:bCs w:val="0"/>
          <w:sz w:val="32"/>
          <w:szCs w:val="32"/>
          <w:highlight w:val="none"/>
        </w:rPr>
        <w:t>本部门</w:t>
      </w:r>
      <w:r>
        <w:rPr>
          <w:rFonts w:hint="eastAsia" w:ascii="仿宋" w:hAnsi="仿宋" w:eastAsia="仿宋" w:cs="仿宋"/>
          <w:b w:val="0"/>
          <w:bCs w:val="0"/>
          <w:sz w:val="32"/>
          <w:szCs w:val="32"/>
          <w:highlight w:val="none"/>
          <w:lang w:eastAsia="zh-CN"/>
        </w:rPr>
        <w:t>2023</w:t>
      </w:r>
      <w:r>
        <w:rPr>
          <w:rFonts w:hint="eastAsia" w:ascii="仿宋" w:hAnsi="仿宋" w:eastAsia="仿宋" w:cs="仿宋"/>
          <w:b w:val="0"/>
          <w:bCs w:val="0"/>
          <w:sz w:val="32"/>
          <w:szCs w:val="32"/>
          <w:highlight w:val="none"/>
        </w:rPr>
        <w:t>年度政府采购支出总额</w:t>
      </w:r>
      <w:r>
        <w:rPr>
          <w:rFonts w:ascii="仿宋" w:hAnsi="仿宋" w:eastAsia="仿宋" w:cs="仿宋"/>
          <w:b w:val="0"/>
          <w:bCs w:val="0"/>
          <w:sz w:val="32"/>
          <w:szCs w:val="32"/>
          <w:highlight w:val="none"/>
        </w:rPr>
        <w:t>0.00</w:t>
      </w:r>
      <w:r>
        <w:rPr>
          <w:rFonts w:hint="eastAsia" w:ascii="仿宋" w:hAnsi="仿宋" w:eastAsia="仿宋" w:cs="仿宋"/>
          <w:b w:val="0"/>
          <w:bCs w:val="0"/>
          <w:sz w:val="32"/>
          <w:szCs w:val="32"/>
          <w:highlight w:val="none"/>
        </w:rPr>
        <w:t>万元，其中：政府采购货物支出</w:t>
      </w:r>
      <w:r>
        <w:rPr>
          <w:rFonts w:ascii="仿宋" w:hAnsi="仿宋" w:eastAsia="仿宋" w:cs="仿宋"/>
          <w:b w:val="0"/>
          <w:bCs w:val="0"/>
          <w:sz w:val="32"/>
          <w:szCs w:val="32"/>
          <w:highlight w:val="none"/>
        </w:rPr>
        <w:t>0.00</w:t>
      </w:r>
      <w:r>
        <w:rPr>
          <w:rFonts w:hint="eastAsia" w:ascii="仿宋" w:hAnsi="仿宋" w:eastAsia="仿宋" w:cs="仿宋"/>
          <w:b w:val="0"/>
          <w:bCs w:val="0"/>
          <w:sz w:val="32"/>
          <w:szCs w:val="32"/>
          <w:highlight w:val="none"/>
        </w:rPr>
        <w:t>万元、政府采购工程支出</w:t>
      </w:r>
      <w:r>
        <w:rPr>
          <w:rFonts w:ascii="仿宋" w:hAnsi="仿宋" w:eastAsia="仿宋" w:cs="仿宋"/>
          <w:b w:val="0"/>
          <w:bCs w:val="0"/>
          <w:sz w:val="32"/>
          <w:szCs w:val="32"/>
          <w:highlight w:val="none"/>
        </w:rPr>
        <w:t>0.00</w:t>
      </w:r>
      <w:r>
        <w:rPr>
          <w:rFonts w:hint="eastAsia" w:ascii="仿宋" w:hAnsi="仿宋" w:eastAsia="仿宋" w:cs="仿宋"/>
          <w:b w:val="0"/>
          <w:bCs w:val="0"/>
          <w:sz w:val="32"/>
          <w:szCs w:val="32"/>
          <w:highlight w:val="none"/>
        </w:rPr>
        <w:t>万元、政府采购服务支出</w:t>
      </w:r>
      <w:r>
        <w:rPr>
          <w:rFonts w:ascii="仿宋" w:hAnsi="仿宋" w:eastAsia="仿宋" w:cs="仿宋"/>
          <w:b w:val="0"/>
          <w:bCs w:val="0"/>
          <w:sz w:val="32"/>
          <w:szCs w:val="32"/>
          <w:highlight w:val="none"/>
        </w:rPr>
        <w:t>0.00</w:t>
      </w:r>
      <w:r>
        <w:rPr>
          <w:rFonts w:hint="eastAsia" w:ascii="仿宋" w:hAnsi="仿宋" w:eastAsia="仿宋" w:cs="仿宋"/>
          <w:b w:val="0"/>
          <w:bCs w:val="0"/>
          <w:sz w:val="32"/>
          <w:szCs w:val="32"/>
          <w:highlight w:val="none"/>
        </w:rPr>
        <w:t>万元。授予中小企业合同金额</w:t>
      </w:r>
      <w:r>
        <w:rPr>
          <w:rFonts w:ascii="仿宋" w:hAnsi="仿宋" w:eastAsia="仿宋" w:cs="仿宋"/>
          <w:b w:val="0"/>
          <w:bCs w:val="0"/>
          <w:sz w:val="32"/>
          <w:szCs w:val="32"/>
          <w:highlight w:val="none"/>
        </w:rPr>
        <w:t>0.00</w:t>
      </w:r>
      <w:r>
        <w:rPr>
          <w:rFonts w:hint="eastAsia" w:ascii="仿宋" w:hAnsi="仿宋" w:eastAsia="仿宋" w:cs="仿宋"/>
          <w:b w:val="0"/>
          <w:bCs w:val="0"/>
          <w:sz w:val="32"/>
          <w:szCs w:val="32"/>
          <w:highlight w:val="none"/>
        </w:rPr>
        <w:t>万元，占政府采购支出总额的</w:t>
      </w:r>
      <w:r>
        <w:rPr>
          <w:rFonts w:ascii="仿宋" w:hAnsi="仿宋" w:eastAsia="仿宋" w:cs="仿宋"/>
          <w:b w:val="0"/>
          <w:bCs w:val="0"/>
          <w:sz w:val="32"/>
          <w:szCs w:val="32"/>
          <w:highlight w:val="none"/>
        </w:rPr>
        <w:t>0%</w:t>
      </w:r>
      <w:r>
        <w:rPr>
          <w:rFonts w:hint="eastAsia" w:ascii="仿宋" w:hAnsi="仿宋" w:eastAsia="仿宋" w:cs="仿宋"/>
          <w:b w:val="0"/>
          <w:bCs w:val="0"/>
          <w:sz w:val="32"/>
          <w:szCs w:val="32"/>
          <w:highlight w:val="none"/>
        </w:rPr>
        <w:t>，其中：授予小微企业合同金额</w:t>
      </w:r>
      <w:r>
        <w:rPr>
          <w:rFonts w:ascii="仿宋" w:hAnsi="仿宋" w:eastAsia="仿宋" w:cs="仿宋"/>
          <w:b w:val="0"/>
          <w:bCs w:val="0"/>
          <w:sz w:val="32"/>
          <w:szCs w:val="32"/>
          <w:highlight w:val="none"/>
        </w:rPr>
        <w:t>0.00</w:t>
      </w:r>
      <w:r>
        <w:rPr>
          <w:rFonts w:hint="eastAsia" w:ascii="仿宋" w:hAnsi="仿宋" w:eastAsia="仿宋" w:cs="仿宋"/>
          <w:b w:val="0"/>
          <w:bCs w:val="0"/>
          <w:sz w:val="32"/>
          <w:szCs w:val="32"/>
          <w:highlight w:val="none"/>
        </w:rPr>
        <w:t>万元，占授予中小企业合同金额的</w:t>
      </w:r>
      <w:r>
        <w:rPr>
          <w:rFonts w:ascii="仿宋" w:hAnsi="仿宋" w:eastAsia="仿宋" w:cs="仿宋"/>
          <w:b w:val="0"/>
          <w:bCs w:val="0"/>
          <w:sz w:val="32"/>
          <w:szCs w:val="32"/>
          <w:highlight w:val="none"/>
        </w:rPr>
        <w:t>0%</w:t>
      </w:r>
      <w:r>
        <w:rPr>
          <w:rFonts w:hint="eastAsia" w:ascii="仿宋" w:hAnsi="仿宋" w:eastAsia="仿宋" w:cs="仿宋"/>
          <w:b w:val="0"/>
          <w:bCs w:val="0"/>
          <w:sz w:val="32"/>
          <w:szCs w:val="32"/>
          <w:highlight w:val="none"/>
        </w:rPr>
        <w:t>。</w:t>
      </w:r>
      <w:r>
        <w:rPr>
          <w:rFonts w:ascii="Times New Roman" w:hAnsi="Times New Roman" w:eastAsia="仿宋_GB2312" w:cs="Times New Roman"/>
          <w:b w:val="0"/>
          <w:bCs w:val="0"/>
          <w:kern w:val="0"/>
          <w:sz w:val="32"/>
          <w:szCs w:val="32"/>
        </w:rPr>
        <w:t>本部门无政府采购支出</w:t>
      </w:r>
      <w:r>
        <w:rPr>
          <w:rFonts w:hint="eastAsia" w:ascii="Times New Roman" w:hAnsi="Times New Roman" w:eastAsia="仿宋_GB2312" w:cs="Times New Roman"/>
          <w:b w:val="0"/>
          <w:bCs w:val="0"/>
          <w:kern w:val="0"/>
          <w:sz w:val="32"/>
          <w:szCs w:val="32"/>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13</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color w:val="000000" w:themeColor="text1"/>
          <w:sz w:val="32"/>
          <w:szCs w:val="32"/>
          <w:lang w:val="en-US" w:eastAsia="zh-CN"/>
          <w14:textFill>
            <w14:solidFill>
              <w14:schemeClr w14:val="tx1"/>
            </w14:solidFill>
          </w14:textFill>
        </w:rPr>
        <w:t>三等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162.80</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99.23</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组织对</w:t>
      </w:r>
      <w:r>
        <w:rPr>
          <w:rFonts w:hint="eastAsia" w:ascii="仿宋" w:hAnsi="仿宋" w:eastAsia="仿宋" w:cs="仿宋"/>
          <w:sz w:val="32"/>
          <w:szCs w:val="32"/>
          <w:lang w:eastAsia="zh-CN"/>
        </w:rPr>
        <w:t>2023</w:t>
      </w:r>
      <w:r>
        <w:rPr>
          <w:rFonts w:hint="eastAsia" w:ascii="仿宋" w:hAnsi="仿宋" w:eastAsia="仿宋" w:cs="仿宋"/>
          <w:sz w:val="32"/>
          <w:szCs w:val="32"/>
        </w:rPr>
        <w:t>年度等0个政府性基金预算项目支出开展绩效自评，共涉及资金0万元，占政府性基金预算项目支出总额的0%。组织对</w:t>
      </w:r>
      <w:r>
        <w:rPr>
          <w:rFonts w:hint="eastAsia" w:ascii="仿宋" w:hAnsi="仿宋" w:eastAsia="仿宋" w:cs="仿宋"/>
          <w:sz w:val="32"/>
          <w:szCs w:val="32"/>
          <w:lang w:eastAsia="zh-CN"/>
        </w:rPr>
        <w:t>2023</w:t>
      </w:r>
      <w:r>
        <w:rPr>
          <w:rFonts w:hint="eastAsia" w:ascii="仿宋" w:hAnsi="仿宋" w:eastAsia="仿宋" w:cs="仿宋"/>
          <w:sz w:val="32"/>
          <w:szCs w:val="32"/>
        </w:rPr>
        <w:t>年度等0个国有资本经营预算项目支出开展绩效自评，共涉及资金0万元，占国有资本经营预算项目支出总额的0%。</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组织对“学前生均公用经费”等</w:t>
      </w:r>
      <w:r>
        <w:rPr>
          <w:rFonts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162.80</w:t>
      </w:r>
      <w:r>
        <w:rPr>
          <w:rFonts w:hint="eastAsia" w:ascii="仿宋" w:hAnsi="仿宋" w:eastAsia="仿宋" w:cs="仿宋"/>
          <w:sz w:val="32"/>
          <w:szCs w:val="32"/>
        </w:rPr>
        <w:t>万元，政府性基金预算支出</w:t>
      </w:r>
      <w:r>
        <w:rPr>
          <w:rFonts w:ascii="仿宋" w:hAnsi="仿宋" w:eastAsia="仿宋" w:cs="仿宋"/>
          <w:sz w:val="32"/>
          <w:szCs w:val="32"/>
        </w:rPr>
        <w:t>0</w:t>
      </w:r>
      <w:r>
        <w:rPr>
          <w:rFonts w:hint="eastAsia" w:ascii="仿宋" w:hAnsi="仿宋" w:eastAsia="仿宋" w:cs="仿宋"/>
          <w:sz w:val="32"/>
          <w:szCs w:val="32"/>
        </w:rPr>
        <w:t>万元，国有资本经营预算支出</w:t>
      </w:r>
      <w:r>
        <w:rPr>
          <w:rFonts w:ascii="仿宋" w:hAnsi="仿宋" w:eastAsia="仿宋" w:cs="仿宋"/>
          <w:sz w:val="32"/>
          <w:szCs w:val="32"/>
        </w:rPr>
        <w:t>0</w:t>
      </w:r>
      <w:r>
        <w:rPr>
          <w:rFonts w:hint="eastAsia" w:ascii="仿宋" w:hAnsi="仿宋" w:eastAsia="仿宋" w:cs="仿宋"/>
          <w:sz w:val="32"/>
          <w:szCs w:val="32"/>
        </w:rPr>
        <w:t>万元。从评价情况来看，本部门推进预算支出绩效评价管理,提高资金使用效率。按时完成各个项目年度绩效目标，提高服务对象的满意度。</w:t>
      </w:r>
    </w:p>
    <w:p>
      <w:pPr>
        <w:jc w:val="left"/>
        <w:rPr>
          <w:rFonts w:ascii="仿宋" w:hAnsi="仿宋" w:eastAsia="仿宋" w:cs="仿宋"/>
          <w:sz w:val="32"/>
          <w:szCs w:val="32"/>
        </w:rPr>
      </w:pPr>
      <w:r>
        <w:rPr>
          <w:rFonts w:hint="eastAsia" w:ascii="仿宋" w:hAnsi="仿宋" w:eastAsia="仿宋" w:cs="仿宋"/>
          <w:sz w:val="32"/>
          <w:szCs w:val="32"/>
        </w:rPr>
        <w:t>从评价情况来看，我单位绩效管理情况较为理想，达到了年初设定的各项绩效目标。</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组织对本单位开展整体支出绩效评价试点，涉及一般公共预算支出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232.42</w:t>
      </w:r>
      <w:r>
        <w:rPr>
          <w:rFonts w:hint="eastAsia" w:ascii="仿宋" w:hAnsi="仿宋" w:eastAsia="仿宋" w:cs="仿宋"/>
          <w:sz w:val="32"/>
          <w:szCs w:val="32"/>
        </w:rPr>
        <w:t>万元，政府性基金预算支出0万元。从评价情况来看，我部门绩效管理情况较为理想，达到了年初设定的各项绩效目标。所有资金使用严格按审批程序办理、操作规范，会计核算结果真实、准确，各项支出严格按照各项制度执行。</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p>
    <w:p>
      <w:pPr>
        <w:jc w:val="left"/>
        <w:rPr>
          <w:rFonts w:hint="eastAsia" w:ascii="仿宋" w:hAnsi="仿宋" w:eastAsia="仿宋" w:cs="仿宋"/>
          <w:sz w:val="32"/>
          <w:szCs w:val="32"/>
          <w:lang w:val="en-US" w:eastAsia="zh-CN"/>
        </w:rPr>
      </w:pPr>
      <w:r>
        <w:rPr>
          <w:rFonts w:hint="eastAsia" w:ascii="仿宋" w:hAnsi="仿宋" w:eastAsia="仿宋" w:cs="仿宋"/>
          <w:sz w:val="32"/>
          <w:szCs w:val="32"/>
        </w:rPr>
        <w:t>我部门根据年初设定的绩效目标，</w:t>
      </w:r>
      <w:bookmarkStart w:id="5" w:name="_Hlk151217930"/>
      <w:r>
        <w:rPr>
          <w:rFonts w:hint="eastAsia" w:ascii="仿宋" w:hAnsi="仿宋" w:eastAsia="仿宋" w:cs="仿宋"/>
          <w:sz w:val="32"/>
          <w:szCs w:val="32"/>
        </w:rPr>
        <w:t>奖励性补贴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奖励性绩效（非三保）</w:t>
      </w:r>
      <w:r>
        <w:rPr>
          <w:rFonts w:hint="eastAsia" w:ascii="仿宋" w:hAnsi="仿宋" w:eastAsia="仿宋" w:cs="仿宋"/>
          <w:sz w:val="32"/>
          <w:szCs w:val="32"/>
        </w:rPr>
        <w:t>、环江县第四幼儿园2022年年初经费预算(保育教育费)</w:t>
      </w:r>
      <w:r>
        <w:rPr>
          <w:rFonts w:hint="eastAsia" w:ascii="仿宋" w:hAnsi="仿宋" w:eastAsia="仿宋" w:cs="仿宋"/>
          <w:sz w:val="32"/>
          <w:szCs w:val="32"/>
          <w:lang w:eastAsia="zh-CN"/>
        </w:rPr>
        <w:t>、班主任津贴、教师节经费</w:t>
      </w:r>
      <w:r>
        <w:rPr>
          <w:rFonts w:hint="eastAsia" w:ascii="仿宋" w:hAnsi="仿宋" w:eastAsia="仿宋" w:cs="仿宋"/>
          <w:sz w:val="32"/>
          <w:szCs w:val="32"/>
        </w:rPr>
        <w:t>这</w:t>
      </w:r>
      <w:r>
        <w:rPr>
          <w:rFonts w:hint="eastAsia" w:ascii="仿宋" w:hAnsi="仿宋" w:eastAsia="仿宋" w:cs="仿宋"/>
          <w:sz w:val="32"/>
          <w:szCs w:val="32"/>
          <w:lang w:val="en-US" w:eastAsia="zh-CN"/>
        </w:rPr>
        <w:t>5</w:t>
      </w:r>
      <w:r>
        <w:rPr>
          <w:rFonts w:hint="eastAsia" w:ascii="仿宋" w:hAnsi="仿宋" w:eastAsia="仿宋" w:cs="仿宋"/>
          <w:sz w:val="32"/>
          <w:szCs w:val="32"/>
        </w:rPr>
        <w:t>个项目都能按时完成支付，自评得分均为100分。</w:t>
      </w:r>
      <w:r>
        <w:rPr>
          <w:rFonts w:hint="eastAsia" w:ascii="仿宋" w:hAnsi="仿宋" w:eastAsia="仿宋" w:cs="仿宋"/>
          <w:sz w:val="32"/>
          <w:szCs w:val="32"/>
          <w:lang w:val="en-US" w:eastAsia="zh-CN"/>
        </w:rPr>
        <w:t>全县校长绩效工资项目评分为99.82。</w:t>
      </w:r>
      <w:r>
        <w:rPr>
          <w:rFonts w:hint="eastAsia" w:ascii="仿宋" w:hAnsi="仿宋" w:eastAsia="仿宋" w:cs="仿宋"/>
          <w:sz w:val="32"/>
          <w:szCs w:val="32"/>
        </w:rPr>
        <w:t>发现的主要问题及原因：部分报账材料未能及时整理。下一步改进措施：及时整理报账材料，完成年度资金进度安排。</w:t>
      </w:r>
      <w:r>
        <w:rPr>
          <w:rFonts w:hint="eastAsia" w:ascii="仿宋" w:hAnsi="仿宋" w:eastAsia="仿宋" w:cs="仿宋"/>
          <w:sz w:val="32"/>
          <w:szCs w:val="32"/>
          <w:lang w:val="en-US" w:eastAsia="zh-CN"/>
        </w:rPr>
        <w:t>六一儿童节慰问金</w:t>
      </w:r>
      <w:r>
        <w:rPr>
          <w:rFonts w:hint="eastAsia" w:ascii="仿宋" w:hAnsi="仿宋" w:eastAsia="仿宋" w:cs="仿宋"/>
          <w:sz w:val="32"/>
          <w:szCs w:val="32"/>
        </w:rPr>
        <w:t>项目自评得分为</w:t>
      </w:r>
      <w:r>
        <w:rPr>
          <w:rFonts w:hint="eastAsia" w:ascii="仿宋" w:hAnsi="仿宋" w:eastAsia="仿宋" w:cs="仿宋"/>
          <w:sz w:val="32"/>
          <w:szCs w:val="32"/>
          <w:lang w:val="en-US" w:eastAsia="zh-CN"/>
        </w:rPr>
        <w:t>90</w:t>
      </w:r>
      <w:r>
        <w:rPr>
          <w:rFonts w:hint="eastAsia" w:ascii="仿宋" w:hAnsi="仿宋" w:eastAsia="仿宋" w:cs="仿宋"/>
          <w:sz w:val="32"/>
          <w:szCs w:val="32"/>
        </w:rPr>
        <w:t>分。发现的主要问题及原因：部分报账材料未能及时整理。下一步改进措施：及时整理报账材料，完成年度资金进度安排。</w:t>
      </w:r>
      <w:r>
        <w:rPr>
          <w:rFonts w:hint="eastAsia" w:ascii="仿宋" w:hAnsi="仿宋" w:eastAsia="仿宋" w:cs="仿宋"/>
          <w:sz w:val="32"/>
          <w:szCs w:val="32"/>
          <w:lang w:val="en-US" w:eastAsia="zh-CN"/>
        </w:rPr>
        <w:t>学前教育质量提升资金</w:t>
      </w:r>
      <w:r>
        <w:rPr>
          <w:rFonts w:hint="eastAsia" w:ascii="仿宋" w:hAnsi="仿宋" w:eastAsia="仿宋" w:cs="仿宋"/>
          <w:sz w:val="32"/>
          <w:szCs w:val="32"/>
        </w:rPr>
        <w:t>项目自评得分为</w:t>
      </w:r>
      <w:r>
        <w:rPr>
          <w:rFonts w:hint="eastAsia" w:ascii="仿宋" w:hAnsi="仿宋" w:eastAsia="仿宋" w:cs="仿宋"/>
          <w:sz w:val="32"/>
          <w:szCs w:val="32"/>
          <w:lang w:val="en-US" w:eastAsia="zh-CN"/>
        </w:rPr>
        <w:t>95.33</w:t>
      </w:r>
      <w:r>
        <w:rPr>
          <w:rFonts w:hint="eastAsia" w:ascii="仿宋" w:hAnsi="仿宋" w:eastAsia="仿宋" w:cs="仿宋"/>
          <w:sz w:val="32"/>
          <w:szCs w:val="32"/>
        </w:rPr>
        <w:t>分。发现的主要问题及原因：未能及时整理报账材料。下一步改进措施：一是做好幼儿园整理报账材料的</w:t>
      </w:r>
      <w:r>
        <w:rPr>
          <w:rFonts w:hint="eastAsia" w:ascii="仿宋" w:hAnsi="仿宋" w:eastAsia="仿宋" w:cs="仿宋"/>
          <w:sz w:val="32"/>
          <w:szCs w:val="32"/>
          <w:lang w:val="en-US" w:eastAsia="zh-CN"/>
        </w:rPr>
        <w:t>整理</w:t>
      </w:r>
      <w:r>
        <w:rPr>
          <w:rFonts w:hint="eastAsia" w:ascii="仿宋" w:hAnsi="仿宋" w:eastAsia="仿宋" w:cs="仿宋"/>
          <w:sz w:val="32"/>
          <w:szCs w:val="32"/>
        </w:rPr>
        <w:t>；二是加快资金进度安排</w:t>
      </w:r>
      <w:r>
        <w:rPr>
          <w:rFonts w:hint="eastAsia" w:ascii="仿宋" w:hAnsi="仿宋" w:eastAsia="仿宋" w:cs="仿宋"/>
          <w:color w:val="0000FF"/>
          <w:sz w:val="32"/>
          <w:szCs w:val="32"/>
          <w:highlight w:val="none"/>
        </w:rPr>
        <w:t>。</w:t>
      </w:r>
      <w:r>
        <w:rPr>
          <w:rFonts w:hint="eastAsia" w:ascii="仿宋" w:hAnsi="仿宋" w:eastAsia="仿宋" w:cs="仿宋"/>
          <w:sz w:val="32"/>
          <w:szCs w:val="32"/>
          <w:lang w:val="en-US" w:eastAsia="zh-CN"/>
        </w:rPr>
        <w:t>环江县第四幼儿园年初预算经费</w:t>
      </w:r>
      <w:r>
        <w:rPr>
          <w:rFonts w:hint="eastAsia" w:ascii="仿宋" w:hAnsi="仿宋" w:eastAsia="仿宋" w:cs="仿宋"/>
          <w:sz w:val="32"/>
          <w:szCs w:val="32"/>
        </w:rPr>
        <w:t>项目自评得分为</w:t>
      </w:r>
      <w:r>
        <w:rPr>
          <w:rFonts w:hint="eastAsia" w:ascii="仿宋" w:hAnsi="仿宋" w:eastAsia="仿宋" w:cs="仿宋"/>
          <w:sz w:val="32"/>
          <w:szCs w:val="32"/>
          <w:lang w:val="en-US" w:eastAsia="zh-CN"/>
        </w:rPr>
        <w:t>97.23</w:t>
      </w:r>
      <w:r>
        <w:rPr>
          <w:rFonts w:hint="eastAsia" w:ascii="仿宋" w:hAnsi="仿宋" w:eastAsia="仿宋" w:cs="仿宋"/>
          <w:sz w:val="32"/>
          <w:szCs w:val="32"/>
        </w:rPr>
        <w:t>分。发现的主要问题及原因：未能及时整理报账材料。下一步改进措施：一是做好幼儿园整理报账材料的</w:t>
      </w:r>
      <w:r>
        <w:rPr>
          <w:rFonts w:hint="eastAsia" w:ascii="仿宋" w:hAnsi="仿宋" w:eastAsia="仿宋" w:cs="仿宋"/>
          <w:sz w:val="32"/>
          <w:szCs w:val="32"/>
          <w:lang w:val="en-US" w:eastAsia="zh-CN"/>
        </w:rPr>
        <w:t>整理</w:t>
      </w:r>
      <w:r>
        <w:rPr>
          <w:rFonts w:hint="eastAsia" w:ascii="仿宋" w:hAnsi="仿宋" w:eastAsia="仿宋" w:cs="仿宋"/>
          <w:sz w:val="32"/>
          <w:szCs w:val="32"/>
        </w:rPr>
        <w:t>；二是加快资金进度安排。</w:t>
      </w:r>
      <w:r>
        <w:rPr>
          <w:rFonts w:hint="eastAsia" w:ascii="仿宋" w:hAnsi="仿宋" w:eastAsia="仿宋" w:cs="仿宋"/>
          <w:sz w:val="32"/>
          <w:szCs w:val="32"/>
          <w:lang w:val="en-US" w:eastAsia="zh-CN"/>
        </w:rPr>
        <w:t>学前教育免保教费县本级补助资金</w:t>
      </w:r>
      <w:r>
        <w:rPr>
          <w:rFonts w:hint="eastAsia" w:ascii="仿宋" w:hAnsi="仿宋" w:eastAsia="仿宋" w:cs="仿宋"/>
          <w:sz w:val="32"/>
          <w:szCs w:val="32"/>
        </w:rPr>
        <w:t>项目自评得分为</w:t>
      </w:r>
      <w:r>
        <w:rPr>
          <w:rFonts w:hint="eastAsia" w:ascii="仿宋" w:hAnsi="仿宋" w:eastAsia="仿宋" w:cs="仿宋"/>
          <w:sz w:val="32"/>
          <w:szCs w:val="32"/>
          <w:lang w:val="en-US" w:eastAsia="zh-CN"/>
        </w:rPr>
        <w:t>99.11</w:t>
      </w:r>
      <w:r>
        <w:rPr>
          <w:rFonts w:hint="eastAsia" w:ascii="仿宋" w:hAnsi="仿宋" w:eastAsia="仿宋" w:cs="仿宋"/>
          <w:sz w:val="32"/>
          <w:szCs w:val="32"/>
        </w:rPr>
        <w:t>分。发现的主要问题及原因：未能及时整理报账材料。下一步改进措施：一是做好幼儿园整理报账材料的</w:t>
      </w:r>
      <w:r>
        <w:rPr>
          <w:rFonts w:hint="eastAsia" w:ascii="仿宋" w:hAnsi="仿宋" w:eastAsia="仿宋" w:cs="仿宋"/>
          <w:sz w:val="32"/>
          <w:szCs w:val="32"/>
          <w:lang w:val="en-US" w:eastAsia="zh-CN"/>
        </w:rPr>
        <w:t>整理</w:t>
      </w:r>
      <w:r>
        <w:rPr>
          <w:rFonts w:hint="eastAsia" w:ascii="仿宋" w:hAnsi="仿宋" w:eastAsia="仿宋" w:cs="仿宋"/>
          <w:sz w:val="32"/>
          <w:szCs w:val="32"/>
        </w:rPr>
        <w:t>；二是加快资金进度安排。</w:t>
      </w:r>
    </w:p>
    <w:p>
      <w:pPr>
        <w:jc w:val="left"/>
        <w:rPr>
          <w:rFonts w:ascii="仿宋" w:hAnsi="仿宋" w:eastAsia="仿宋" w:cs="仿宋"/>
          <w:sz w:val="32"/>
          <w:szCs w:val="32"/>
        </w:rPr>
      </w:pPr>
      <w:r>
        <w:rPr>
          <w:rFonts w:hint="eastAsia" w:ascii="仿宋" w:hAnsi="仿宋" w:eastAsia="仿宋" w:cs="仿宋"/>
          <w:sz w:val="32"/>
          <w:szCs w:val="32"/>
          <w:lang w:val="en-US" w:eastAsia="zh-CN"/>
        </w:rPr>
        <w:t>学前生均公用经费</w:t>
      </w:r>
      <w:r>
        <w:rPr>
          <w:rFonts w:hint="eastAsia" w:ascii="仿宋" w:hAnsi="仿宋" w:eastAsia="仿宋" w:cs="仿宋"/>
          <w:sz w:val="32"/>
          <w:szCs w:val="32"/>
        </w:rPr>
        <w:t>自评得分为</w:t>
      </w:r>
      <w:r>
        <w:rPr>
          <w:rFonts w:hint="eastAsia" w:ascii="仿宋" w:hAnsi="仿宋" w:eastAsia="仿宋" w:cs="仿宋"/>
          <w:sz w:val="32"/>
          <w:szCs w:val="32"/>
          <w:lang w:val="en-US" w:eastAsia="zh-CN"/>
        </w:rPr>
        <w:t>94.64</w:t>
      </w:r>
      <w:r>
        <w:rPr>
          <w:rFonts w:hint="eastAsia" w:ascii="仿宋" w:hAnsi="仿宋" w:eastAsia="仿宋" w:cs="仿宋"/>
          <w:sz w:val="32"/>
          <w:szCs w:val="32"/>
        </w:rPr>
        <w:t>分。发现的主要问题及原因：未能及时整理报账材料。下一步改进措施：一是做好幼儿园整理报账材料；二是加快资金进度安排。</w:t>
      </w:r>
      <w:r>
        <w:rPr>
          <w:rFonts w:hint="eastAsia" w:ascii="仿宋" w:hAnsi="仿宋" w:eastAsia="仿宋" w:cs="仿宋"/>
          <w:sz w:val="32"/>
          <w:szCs w:val="32"/>
          <w:lang w:val="en-US" w:eastAsia="zh-CN"/>
        </w:rPr>
        <w:t>学前教育免保教费自治区级补助资金</w:t>
      </w:r>
      <w:r>
        <w:rPr>
          <w:rFonts w:hint="eastAsia" w:ascii="仿宋" w:hAnsi="仿宋" w:eastAsia="仿宋" w:cs="仿宋"/>
          <w:sz w:val="32"/>
          <w:szCs w:val="32"/>
        </w:rPr>
        <w:t>项目自评得分为</w:t>
      </w:r>
      <w:r>
        <w:rPr>
          <w:rFonts w:hint="eastAsia" w:ascii="仿宋" w:hAnsi="仿宋" w:eastAsia="仿宋" w:cs="仿宋"/>
          <w:sz w:val="32"/>
          <w:szCs w:val="32"/>
          <w:lang w:val="en-US" w:eastAsia="zh-CN"/>
        </w:rPr>
        <w:t>92.85</w:t>
      </w:r>
      <w:r>
        <w:rPr>
          <w:rFonts w:hint="eastAsia" w:ascii="仿宋" w:hAnsi="仿宋" w:eastAsia="仿宋" w:cs="仿宋"/>
          <w:sz w:val="32"/>
          <w:szCs w:val="32"/>
        </w:rPr>
        <w:t>。发现的主要问题及原因：部分报账材料未能及时整理。下一步改进措施：及时整理报账材料，完成年度资金进度安排。</w:t>
      </w:r>
      <w:bookmarkEnd w:id="5"/>
      <w:r>
        <w:rPr>
          <w:rFonts w:hint="eastAsia" w:ascii="仿宋" w:hAnsi="仿宋" w:eastAsia="仿宋" w:cs="仿宋"/>
          <w:sz w:val="32"/>
          <w:szCs w:val="32"/>
          <w:lang w:val="en-US" w:eastAsia="zh-CN"/>
        </w:rPr>
        <w:t>学前教育免除保教费中央补助资金</w:t>
      </w:r>
      <w:r>
        <w:rPr>
          <w:rFonts w:hint="eastAsia" w:ascii="仿宋" w:hAnsi="仿宋" w:eastAsia="仿宋" w:cs="仿宋"/>
          <w:sz w:val="32"/>
          <w:szCs w:val="32"/>
        </w:rPr>
        <w:t>项目自评得分为</w:t>
      </w:r>
      <w:r>
        <w:rPr>
          <w:rFonts w:hint="eastAsia" w:ascii="仿宋" w:hAnsi="仿宋" w:eastAsia="仿宋" w:cs="仿宋"/>
          <w:sz w:val="32"/>
          <w:szCs w:val="32"/>
          <w:lang w:val="en-US" w:eastAsia="zh-CN"/>
        </w:rPr>
        <w:t>98.16</w:t>
      </w:r>
      <w:r>
        <w:rPr>
          <w:rFonts w:hint="eastAsia" w:ascii="仿宋" w:hAnsi="仿宋" w:eastAsia="仿宋" w:cs="仿宋"/>
          <w:sz w:val="32"/>
          <w:szCs w:val="32"/>
        </w:rPr>
        <w:t>分。发现的主要问题及原因：未能及时整理报账材料。下一步改进措施：一是做好幼儿园整理报账材料；二是加快资金进度安排。党建工作经费项目自评得分为</w:t>
      </w:r>
      <w:r>
        <w:rPr>
          <w:rFonts w:hint="eastAsia" w:ascii="仿宋" w:hAnsi="仿宋" w:eastAsia="仿宋" w:cs="仿宋"/>
          <w:sz w:val="32"/>
          <w:szCs w:val="32"/>
          <w:lang w:val="en-US" w:eastAsia="zh-CN"/>
        </w:rPr>
        <w:t>79.84</w:t>
      </w:r>
      <w:r>
        <w:rPr>
          <w:rFonts w:hint="eastAsia" w:ascii="仿宋" w:hAnsi="仿宋" w:eastAsia="仿宋" w:cs="仿宋"/>
          <w:sz w:val="32"/>
          <w:szCs w:val="32"/>
        </w:rPr>
        <w:t>分。发现的主要问题及原因：未能及时整理报账材料。下一步改进措施：一是做好幼儿园整理报账材料；二是加快资金进度安排。</w:t>
      </w:r>
    </w:p>
    <w:p>
      <w:pPr>
        <w:jc w:val="center"/>
        <w:rPr>
          <w:rFonts w:hint="eastAsia" w:ascii="黑体" w:hAnsi="黑体" w:eastAsia="黑体" w:cs="黑体"/>
          <w:sz w:val="32"/>
          <w:szCs w:val="32"/>
          <w:highlight w:val="none"/>
        </w:rPr>
      </w:pPr>
    </w:p>
    <w:p>
      <w:pPr>
        <w:ind w:firstLine="3200" w:firstLineChars="1000"/>
        <w:jc w:val="both"/>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270" w:right="1800" w:bottom="1440"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CBF64D0A"/>
    <w:multiLevelType w:val="singleLevel"/>
    <w:tmpl w:val="CBF64D0A"/>
    <w:lvl w:ilvl="0" w:tentative="0">
      <w:start w:val="1"/>
      <w:numFmt w:val="chineseCounting"/>
      <w:suff w:val="nothing"/>
      <w:lvlText w:val="（%1）"/>
      <w:lvlJc w:val="left"/>
      <w:rPr>
        <w:rFonts w:hint="eastAsia"/>
      </w:r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zOGY0Y2ExYjM1MWMzYjkyMjY5NmI1NWMwODNiNGU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53F09"/>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18A1427"/>
    <w:rsid w:val="01A050EF"/>
    <w:rsid w:val="020C171D"/>
    <w:rsid w:val="0216715F"/>
    <w:rsid w:val="02E0291A"/>
    <w:rsid w:val="03B76677"/>
    <w:rsid w:val="04A10F62"/>
    <w:rsid w:val="04A42800"/>
    <w:rsid w:val="04E54546"/>
    <w:rsid w:val="05135C68"/>
    <w:rsid w:val="05992762"/>
    <w:rsid w:val="05CE3ED6"/>
    <w:rsid w:val="06BD5DFB"/>
    <w:rsid w:val="07B0770E"/>
    <w:rsid w:val="08236132"/>
    <w:rsid w:val="0942143F"/>
    <w:rsid w:val="0A953041"/>
    <w:rsid w:val="0AF1129B"/>
    <w:rsid w:val="0BA2646D"/>
    <w:rsid w:val="0BB069F0"/>
    <w:rsid w:val="0D100297"/>
    <w:rsid w:val="0D202B45"/>
    <w:rsid w:val="0EE83C31"/>
    <w:rsid w:val="0F127094"/>
    <w:rsid w:val="0F8D4C87"/>
    <w:rsid w:val="0F8E2261"/>
    <w:rsid w:val="10505FAA"/>
    <w:rsid w:val="105F7E7E"/>
    <w:rsid w:val="10B85FB1"/>
    <w:rsid w:val="11E03822"/>
    <w:rsid w:val="11E56B5B"/>
    <w:rsid w:val="125C77AB"/>
    <w:rsid w:val="137D5290"/>
    <w:rsid w:val="13CA1B57"/>
    <w:rsid w:val="14CB726E"/>
    <w:rsid w:val="150B5F52"/>
    <w:rsid w:val="15DD5B72"/>
    <w:rsid w:val="1780534F"/>
    <w:rsid w:val="17E92249"/>
    <w:rsid w:val="18D304F1"/>
    <w:rsid w:val="19F32577"/>
    <w:rsid w:val="19F45B80"/>
    <w:rsid w:val="1B0C078D"/>
    <w:rsid w:val="1B200270"/>
    <w:rsid w:val="1B2B31E2"/>
    <w:rsid w:val="1B4C295A"/>
    <w:rsid w:val="1B973C63"/>
    <w:rsid w:val="1BA1001E"/>
    <w:rsid w:val="1D317259"/>
    <w:rsid w:val="1E664F5B"/>
    <w:rsid w:val="1EB34BE1"/>
    <w:rsid w:val="1F9B6B16"/>
    <w:rsid w:val="215E639F"/>
    <w:rsid w:val="21EC3183"/>
    <w:rsid w:val="22196184"/>
    <w:rsid w:val="225E72CD"/>
    <w:rsid w:val="23AD1279"/>
    <w:rsid w:val="246E2F77"/>
    <w:rsid w:val="254B4E2B"/>
    <w:rsid w:val="26C836FD"/>
    <w:rsid w:val="27FE6A94"/>
    <w:rsid w:val="27FF406E"/>
    <w:rsid w:val="283D7C94"/>
    <w:rsid w:val="29480E03"/>
    <w:rsid w:val="2983634D"/>
    <w:rsid w:val="2BB02055"/>
    <w:rsid w:val="2C575A56"/>
    <w:rsid w:val="2CAD4762"/>
    <w:rsid w:val="2F257714"/>
    <w:rsid w:val="2F3275E5"/>
    <w:rsid w:val="30AA08EF"/>
    <w:rsid w:val="30D23D1C"/>
    <w:rsid w:val="31221CF5"/>
    <w:rsid w:val="31400178"/>
    <w:rsid w:val="314F41C3"/>
    <w:rsid w:val="31B25CAD"/>
    <w:rsid w:val="321E3342"/>
    <w:rsid w:val="327759C8"/>
    <w:rsid w:val="330864CC"/>
    <w:rsid w:val="33185FE3"/>
    <w:rsid w:val="34C401D1"/>
    <w:rsid w:val="34EE2E36"/>
    <w:rsid w:val="3627310D"/>
    <w:rsid w:val="36777241"/>
    <w:rsid w:val="371E78D5"/>
    <w:rsid w:val="374C0952"/>
    <w:rsid w:val="37661A13"/>
    <w:rsid w:val="387C17C2"/>
    <w:rsid w:val="38A951DB"/>
    <w:rsid w:val="38B31605"/>
    <w:rsid w:val="39003F4F"/>
    <w:rsid w:val="39FF1CAB"/>
    <w:rsid w:val="3C07002B"/>
    <w:rsid w:val="3D0D152A"/>
    <w:rsid w:val="3D485717"/>
    <w:rsid w:val="3DF62756"/>
    <w:rsid w:val="3EA454EE"/>
    <w:rsid w:val="3F1B7587"/>
    <w:rsid w:val="3FB5178A"/>
    <w:rsid w:val="41E57B4F"/>
    <w:rsid w:val="423D15C3"/>
    <w:rsid w:val="432F26F6"/>
    <w:rsid w:val="437B6846"/>
    <w:rsid w:val="43880F63"/>
    <w:rsid w:val="441C5A6F"/>
    <w:rsid w:val="446E0159"/>
    <w:rsid w:val="44C44FCC"/>
    <w:rsid w:val="44CC7369"/>
    <w:rsid w:val="4530540F"/>
    <w:rsid w:val="453749EF"/>
    <w:rsid w:val="457F5108"/>
    <w:rsid w:val="46951B6B"/>
    <w:rsid w:val="46BF20A1"/>
    <w:rsid w:val="46E841F3"/>
    <w:rsid w:val="46FE11F8"/>
    <w:rsid w:val="482B2CBB"/>
    <w:rsid w:val="496D4E83"/>
    <w:rsid w:val="49A34401"/>
    <w:rsid w:val="4A3E30AB"/>
    <w:rsid w:val="4AC14DAC"/>
    <w:rsid w:val="4C7B3413"/>
    <w:rsid w:val="4D0F2800"/>
    <w:rsid w:val="4D154C85"/>
    <w:rsid w:val="4EB35ECE"/>
    <w:rsid w:val="50016951"/>
    <w:rsid w:val="5067669B"/>
    <w:rsid w:val="508F4E24"/>
    <w:rsid w:val="51461E90"/>
    <w:rsid w:val="51463753"/>
    <w:rsid w:val="51551D8C"/>
    <w:rsid w:val="521A7719"/>
    <w:rsid w:val="52553A93"/>
    <w:rsid w:val="53521F8B"/>
    <w:rsid w:val="53E22F47"/>
    <w:rsid w:val="54522FF8"/>
    <w:rsid w:val="55450629"/>
    <w:rsid w:val="56692963"/>
    <w:rsid w:val="568B0F48"/>
    <w:rsid w:val="56AD4E03"/>
    <w:rsid w:val="5786217B"/>
    <w:rsid w:val="58831FCD"/>
    <w:rsid w:val="59337A15"/>
    <w:rsid w:val="59644CBC"/>
    <w:rsid w:val="59810274"/>
    <w:rsid w:val="5AAB6FEB"/>
    <w:rsid w:val="5ACD5782"/>
    <w:rsid w:val="5C3D6123"/>
    <w:rsid w:val="5CA96A00"/>
    <w:rsid w:val="5CAE3391"/>
    <w:rsid w:val="5CF730BC"/>
    <w:rsid w:val="5DEB1AE1"/>
    <w:rsid w:val="5E5F0DCE"/>
    <w:rsid w:val="5F053010"/>
    <w:rsid w:val="5FA40A7B"/>
    <w:rsid w:val="5FD56D29"/>
    <w:rsid w:val="5FEC7F3F"/>
    <w:rsid w:val="60114363"/>
    <w:rsid w:val="60803296"/>
    <w:rsid w:val="60961895"/>
    <w:rsid w:val="60F74BC3"/>
    <w:rsid w:val="617D3BF8"/>
    <w:rsid w:val="61841F6A"/>
    <w:rsid w:val="61A27114"/>
    <w:rsid w:val="61B743B9"/>
    <w:rsid w:val="61E0223F"/>
    <w:rsid w:val="623007A9"/>
    <w:rsid w:val="637D7558"/>
    <w:rsid w:val="639636D7"/>
    <w:rsid w:val="644F19AC"/>
    <w:rsid w:val="64803865"/>
    <w:rsid w:val="65493C57"/>
    <w:rsid w:val="65AA4920"/>
    <w:rsid w:val="65E31D0B"/>
    <w:rsid w:val="6650370B"/>
    <w:rsid w:val="67694F1E"/>
    <w:rsid w:val="68A81D68"/>
    <w:rsid w:val="69597934"/>
    <w:rsid w:val="6B6766A5"/>
    <w:rsid w:val="6B964DDC"/>
    <w:rsid w:val="6C783074"/>
    <w:rsid w:val="6D9E65C6"/>
    <w:rsid w:val="6DA81947"/>
    <w:rsid w:val="6E34121C"/>
    <w:rsid w:val="6EB66DE2"/>
    <w:rsid w:val="6ED3075F"/>
    <w:rsid w:val="6F2A2D4B"/>
    <w:rsid w:val="6F502086"/>
    <w:rsid w:val="6F8A0C1E"/>
    <w:rsid w:val="703F45D4"/>
    <w:rsid w:val="715D6546"/>
    <w:rsid w:val="71BE069E"/>
    <w:rsid w:val="7212235A"/>
    <w:rsid w:val="727662A7"/>
    <w:rsid w:val="7393506D"/>
    <w:rsid w:val="73953409"/>
    <w:rsid w:val="73E069A3"/>
    <w:rsid w:val="73E84F83"/>
    <w:rsid w:val="742B4AA4"/>
    <w:rsid w:val="744277F3"/>
    <w:rsid w:val="751E1B30"/>
    <w:rsid w:val="754E52B9"/>
    <w:rsid w:val="75A151D2"/>
    <w:rsid w:val="769D5B18"/>
    <w:rsid w:val="76AD7DBE"/>
    <w:rsid w:val="76E33F4F"/>
    <w:rsid w:val="76F6623C"/>
    <w:rsid w:val="773D3837"/>
    <w:rsid w:val="77727E69"/>
    <w:rsid w:val="77AB77FF"/>
    <w:rsid w:val="78104AA8"/>
    <w:rsid w:val="78CB70BB"/>
    <w:rsid w:val="78E257C5"/>
    <w:rsid w:val="79006481"/>
    <w:rsid w:val="794B35BE"/>
    <w:rsid w:val="79C54C19"/>
    <w:rsid w:val="7B0A3A31"/>
    <w:rsid w:val="7B3360ED"/>
    <w:rsid w:val="7B6A46AF"/>
    <w:rsid w:val="7BDF037E"/>
    <w:rsid w:val="7BF50948"/>
    <w:rsid w:val="7C5E4473"/>
    <w:rsid w:val="7CE66A78"/>
    <w:rsid w:val="7D23564C"/>
    <w:rsid w:val="7D5E062D"/>
    <w:rsid w:val="7D965A4F"/>
    <w:rsid w:val="7DF76CD8"/>
    <w:rsid w:val="7F695C26"/>
    <w:rsid w:val="7FC66F0F"/>
    <w:rsid w:val="7FCF62D3"/>
    <w:rsid w:val="E7F7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决算收入支出图表</c:v>
                </c:pt>
              </c:strCache>
            </c:strRef>
          </c:tx>
          <c:spPr/>
          <c:explosion val="0"/>
          <c:dPt>
            <c:idx val="0"/>
            <c:bubble3D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365.26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Sheet1!$A$3:$A$14</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Sheet1!$B$3:$B$14</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30701</c:v>
                </c:pt>
                <c:pt idx="1">
                  <c:v>30702</c:v>
                </c:pt>
              </c:numCache>
            </c:num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Sheet1!$A$2:$A$17</c:f>
              <c:numCache>
                <c:formatCode>General</c:formatCod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numCache>
            </c:num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Sheet1!$A$2:$A$6</c:f>
              <c:numCache>
                <c:formatCode>General</c:formatCode>
                <c:ptCount val="5"/>
                <c:pt idx="0">
                  <c:v>39907</c:v>
                </c:pt>
                <c:pt idx="1">
                  <c:v>39908</c:v>
                </c:pt>
                <c:pt idx="2">
                  <c:v>39909</c:v>
                </c:pt>
                <c:pt idx="3">
                  <c:v>39910</c:v>
                </c:pt>
                <c:pt idx="4">
                  <c:v>39999</c:v>
                </c:pt>
              </c:numCache>
            </c:num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1.4</c:v>
                </c:pt>
                <c:pt idx="1">
                  <c:v>249.11</c:v>
                </c:pt>
                <c:pt idx="2">
                  <c:v>9.58</c:v>
                </c:pt>
                <c:pt idx="3">
                  <c:v>6.65</c:v>
                </c:pt>
                <c:pt idx="4">
                  <c:v>12.99</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2.85</c:v>
                </c:pt>
                <c:pt idx="1">
                  <c:v>308.49</c:v>
                </c:pt>
                <c:pt idx="2">
                  <c:v>18.71</c:v>
                </c:pt>
                <c:pt idx="3">
                  <c:v>13.76</c:v>
                </c:pt>
                <c:pt idx="4">
                  <c:v>21.45</c:v>
                </c:pt>
              </c:numCache>
            </c:numRef>
          </c:val>
        </c:ser>
        <c:dLbls>
          <c:showLegendKey val="0"/>
          <c:showVal val="0"/>
          <c:showCatName val="0"/>
          <c:showSerName val="0"/>
          <c:showPercent val="0"/>
          <c:showBubbleSize val="0"/>
        </c:dLbls>
        <c:gapWidth val="150"/>
        <c:overlap val="-25"/>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1"/>
        <c:axPos val="l"/>
        <c:numFmt formatCode="General" sourceLinked="1"/>
        <c:majorTickMark val="none"/>
        <c:minorTickMark val="none"/>
        <c:tickLblPos val="nextTo"/>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2.85</c:v>
                </c:pt>
                <c:pt idx="1">
                  <c:v>2.85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2050201</c:v>
                </c:pt>
                <c:pt idx="1">
                  <c:v>2050299</c:v>
                </c:pt>
                <c:pt idx="2">
                  <c:v>205x</c:v>
                </c:pt>
              </c:strCache>
            </c:strRef>
          </c:cat>
          <c:val>
            <c:numRef>
              <c:f>Sheet1!$B$2:$B$4</c:f>
              <c:numCache>
                <c:formatCode>General</c:formatCode>
                <c:ptCount val="3"/>
                <c:pt idx="0">
                  <c:v>308.32</c:v>
                </c:pt>
                <c:pt idx="1">
                  <c:v>0.17</c:v>
                </c:pt>
                <c:pt idx="2">
                  <c:v>308.49</c:v>
                </c:pt>
              </c:numCache>
            </c:numRef>
          </c:val>
        </c:ser>
        <c:dLbls>
          <c:showLegendKey val="0"/>
          <c:showVal val="0"/>
          <c:showCatName val="0"/>
          <c:showSerName val="0"/>
          <c:showPercent val="0"/>
          <c:showBubbleSize val="0"/>
        </c:dLbls>
        <c:gapWidth val="75"/>
        <c:overlap val="0"/>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18.71</c:v>
                </c:pt>
                <c:pt idx="1">
                  <c:v>18.71</c:v>
                </c:pt>
              </c:numCache>
            </c:numRef>
          </c:val>
        </c:ser>
        <c:dLbls>
          <c:showLegendKey val="0"/>
          <c:showVal val="0"/>
          <c:showCatName val="0"/>
          <c:showSerName val="0"/>
          <c:showPercent val="0"/>
          <c:showBubbleSize val="0"/>
        </c:dLbls>
        <c:gapWidth val="150"/>
        <c:overlap val="0"/>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2210201</c:v>
                </c:pt>
                <c:pt idx="1">
                  <c:v>221x</c:v>
                </c:pt>
              </c:strCache>
            </c:strRef>
          </c:cat>
          <c:val>
            <c:numRef>
              <c:f>Sheet1!$B$2:$B$3</c:f>
              <c:numCache>
                <c:formatCode>General</c:formatCode>
                <c:ptCount val="2"/>
                <c:pt idx="0">
                  <c:v>13.76</c:v>
                </c:pt>
                <c:pt idx="1">
                  <c:v>13.76</c:v>
                </c:pt>
              </c:numCache>
            </c:numRef>
          </c:val>
        </c:ser>
        <c:dLbls>
          <c:showLegendKey val="0"/>
          <c:showVal val="0"/>
          <c:showCatName val="0"/>
          <c:showSerName val="0"/>
          <c:showPercent val="0"/>
          <c:showBubbleSize val="0"/>
        </c:dLbls>
        <c:gapWidth val="75"/>
        <c:overlap val="0"/>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2299999</c:v>
                </c:pt>
                <c:pt idx="1">
                  <c:v>229x</c:v>
                </c:pt>
              </c:strCache>
            </c:strRef>
          </c:cat>
          <c:val>
            <c:numRef>
              <c:f>Sheet1!$B$2:$B$3</c:f>
              <c:numCache>
                <c:formatCode>General</c:formatCode>
                <c:ptCount val="2"/>
                <c:pt idx="0">
                  <c:v>21.45</c:v>
                </c:pt>
                <c:pt idx="1">
                  <c:v>21.45</c:v>
                </c:pt>
              </c:numCache>
            </c:numRef>
          </c:val>
        </c:ser>
        <c:dLbls>
          <c:showLegendKey val="0"/>
          <c:showVal val="0"/>
          <c:showCatName val="0"/>
          <c:showSerName val="0"/>
          <c:showPercent val="0"/>
          <c:showBubbleSize val="0"/>
        </c:dLbls>
        <c:gapWidth val="75"/>
        <c:overlap val="0"/>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68.36</c:v>
                </c:pt>
                <c:pt idx="1">
                  <c:v>6.77</c:v>
                </c:pt>
                <c:pt idx="2">
                  <c:v>71.48</c:v>
                </c:pt>
                <c:pt idx="3">
                  <c:v>0</c:v>
                </c:pt>
                <c:pt idx="4">
                  <c:v>10.59</c:v>
                </c:pt>
                <c:pt idx="5">
                  <c:v>18.71</c:v>
                </c:pt>
                <c:pt idx="6">
                  <c:v>0</c:v>
                </c:pt>
                <c:pt idx="7">
                  <c:v>7.57</c:v>
                </c:pt>
                <c:pt idx="8">
                  <c:v>0</c:v>
                </c:pt>
                <c:pt idx="9">
                  <c:v>0.93</c:v>
                </c:pt>
                <c:pt idx="10">
                  <c:v>13.76</c:v>
                </c:pt>
                <c:pt idx="11">
                  <c:v>0</c:v>
                </c:pt>
                <c:pt idx="12">
                  <c:v>0.04</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2.85</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3309</Words>
  <Characters>4750</Characters>
  <Lines>90</Lines>
  <Paragraphs>25</Paragraphs>
  <TotalTime>2</TotalTime>
  <ScaleCrop>false</ScaleCrop>
  <LinksUpToDate>false</LinksUpToDate>
  <CharactersWithSpaces>4873</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2023-08-17T10:06:00Z</dcterms:created>
  <dc:creator>C D D</dc:creator>
  <cp:lastModifiedBy>hjxjyj</cp:lastModifiedBy>
  <cp:lastPrinted>2023-11-21T10:19:00Z</cp:lastPrinted>
  <dcterms:modified xsi:type="dcterms:W3CDTF">2024-12-31T10:11:36Z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384A943813144145972FC887191937F1_13</vt:lpwstr>
  </property>
  <property fmtid="{D5CDD505-2E9C-101B-9397-08002B2CF9AE}" pid="4" name="KSOTemplateDocerSaveRecord">
    <vt:lpwstr>eyJoZGlkIjoiYTllM2U0NGQ5Y2JlYTljZTczZGMyNDVjNzkwMTE2NjIiLCJ1c2VySWQiOiIxMDUzMTk2MjY3In0=</vt:lpwstr>
  </property>
</Properties>
</file>