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环江毛南族自治县第四初级中学</w:t>
      </w:r>
      <w:r>
        <w:rPr>
          <w:rFonts w:hint="eastAsia" w:ascii="黑体" w:hAnsi="黑体" w:eastAsia="黑体" w:cs="黑体"/>
          <w:b/>
          <w:bCs/>
          <w:sz w:val="52"/>
          <w:szCs w:val="52"/>
          <w:highlight w:val="none"/>
          <w:lang w:eastAsia="zh-CN"/>
        </w:rPr>
        <w:t>2023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2200" w:firstLineChars="500"/>
        <w:jc w:val="left"/>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单位负责人：覃 偶</w:t>
      </w: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广西河池市环江毛南族自治县第四初级中学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广西河池市环江毛南族自治县第四初级中学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广西河池市环江毛南族自治县第四初级中学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广西河池市环江毛南族自治县第四初级中学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6"/>
        <w:rPr>
          <w:rFonts w:hint="eastAsia" w:ascii="仿宋_GB2312" w:eastAsia="仿宋_GB2312"/>
          <w:b/>
          <w:bCs/>
          <w:sz w:val="32"/>
          <w:szCs w:val="32"/>
        </w:rPr>
      </w:pPr>
      <w:r>
        <w:rPr>
          <w:rFonts w:hint="eastAsia" w:ascii="仿宋_GB2312" w:eastAsia="仿宋_GB2312"/>
          <w:b/>
          <w:bCs/>
          <w:sz w:val="32"/>
          <w:szCs w:val="32"/>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（一）贯彻执行党和国家的教育方针、政策和法律法规；</w:t>
      </w:r>
      <w:r>
        <w:rPr>
          <w:rFonts w:hint="eastAsia" w:ascii="仿宋_GB2312" w:eastAsia="仿宋_GB2312" w:cs="仿宋_GB2312"/>
          <w:kern w:val="0"/>
          <w:sz w:val="32"/>
          <w:szCs w:val="32"/>
          <w:lang w:val="en-US" w:eastAsia="zh-CN"/>
        </w:rPr>
        <w:t>推进</w:t>
      </w:r>
      <w:r>
        <w:rPr>
          <w:rFonts w:hint="eastAsia" w:ascii="仿宋_GB2312" w:eastAsia="仿宋_GB2312" w:cs="仿宋_GB2312"/>
          <w:kern w:val="0"/>
          <w:sz w:val="32"/>
          <w:szCs w:val="32"/>
        </w:rPr>
        <w:t>教育</w:t>
      </w:r>
      <w:r>
        <w:rPr>
          <w:rFonts w:hint="eastAsia" w:ascii="仿宋_GB2312" w:eastAsia="仿宋_GB2312" w:cs="仿宋_GB2312"/>
          <w:kern w:val="0"/>
          <w:sz w:val="32"/>
          <w:szCs w:val="32"/>
          <w:lang w:val="en-US" w:eastAsia="zh-CN"/>
        </w:rPr>
        <w:t>教学</w:t>
      </w:r>
      <w:r>
        <w:rPr>
          <w:rFonts w:hint="eastAsia" w:ascii="仿宋_GB2312" w:eastAsia="仿宋_GB2312" w:cs="仿宋_GB2312"/>
          <w:kern w:val="0"/>
          <w:sz w:val="32"/>
          <w:szCs w:val="32"/>
        </w:rPr>
        <w:t>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（二）编制本</w:t>
      </w:r>
      <w:r>
        <w:rPr>
          <w:rFonts w:hint="eastAsia" w:ascii="仿宋_GB2312" w:eastAsia="仿宋_GB2312" w:cs="仿宋_GB2312"/>
          <w:kern w:val="0"/>
          <w:sz w:val="32"/>
          <w:szCs w:val="32"/>
          <w:lang w:val="en-US" w:eastAsia="zh-CN"/>
        </w:rPr>
        <w:t>校</w:t>
      </w:r>
      <w:r>
        <w:rPr>
          <w:rFonts w:hint="eastAsia" w:ascii="仿宋_GB2312" w:eastAsia="仿宋_GB2312" w:cs="仿宋_GB2312"/>
          <w:kern w:val="0"/>
          <w:sz w:val="32"/>
          <w:szCs w:val="32"/>
        </w:rPr>
        <w:t>教育事业发展规划并检查实施情况，向上级教育部门作出报告。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（三）贯彻执行教育方针、政策、法令、法规和上级的各项规定；评估指导</w:t>
      </w:r>
      <w:r>
        <w:rPr>
          <w:rFonts w:hint="eastAsia" w:ascii="仿宋_GB2312" w:eastAsia="仿宋_GB2312" w:cs="仿宋_GB2312"/>
          <w:kern w:val="0"/>
          <w:sz w:val="32"/>
          <w:szCs w:val="32"/>
          <w:lang w:val="en-US" w:eastAsia="zh-CN"/>
        </w:rPr>
        <w:t>学校</w:t>
      </w:r>
      <w:r>
        <w:rPr>
          <w:rFonts w:hint="eastAsia" w:ascii="仿宋_GB2312" w:eastAsia="仿宋_GB2312" w:cs="仿宋_GB2312"/>
          <w:kern w:val="0"/>
          <w:sz w:val="32"/>
          <w:szCs w:val="32"/>
        </w:rPr>
        <w:t>教育教学工作。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  （四）负责推进义务教育均衡发展和促进教育公平，负责</w:t>
      </w:r>
      <w:r>
        <w:rPr>
          <w:rFonts w:hint="eastAsia" w:ascii="仿宋_GB2312" w:eastAsia="仿宋_GB2312" w:cs="仿宋_GB2312"/>
          <w:kern w:val="0"/>
          <w:sz w:val="32"/>
          <w:szCs w:val="32"/>
          <w:lang w:val="en-US" w:eastAsia="zh-CN"/>
        </w:rPr>
        <w:t>学校执行义务</w:t>
      </w:r>
      <w:r>
        <w:rPr>
          <w:rFonts w:hint="eastAsia" w:ascii="仿宋_GB2312" w:eastAsia="仿宋_GB2312" w:cs="仿宋_GB2312"/>
          <w:kern w:val="0"/>
          <w:sz w:val="32"/>
          <w:szCs w:val="32"/>
        </w:rPr>
        <w:t>教育的宏观指导与协调</w:t>
      </w:r>
      <w:r>
        <w:rPr>
          <w:rFonts w:hint="eastAsia" w:asci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（五）负责全</w:t>
      </w:r>
      <w:r>
        <w:rPr>
          <w:rFonts w:hint="eastAsia" w:ascii="仿宋_GB2312" w:eastAsia="仿宋_GB2312" w:cs="仿宋_GB2312"/>
          <w:kern w:val="0"/>
          <w:sz w:val="32"/>
          <w:szCs w:val="32"/>
          <w:lang w:val="en-US" w:eastAsia="zh-CN"/>
        </w:rPr>
        <w:t>校</w:t>
      </w:r>
      <w:r>
        <w:rPr>
          <w:rFonts w:hint="eastAsia" w:ascii="仿宋_GB2312" w:eastAsia="仿宋_GB2312" w:cs="仿宋_GB2312"/>
          <w:kern w:val="0"/>
          <w:sz w:val="32"/>
          <w:szCs w:val="32"/>
        </w:rPr>
        <w:t>教师队伍建设，包括</w:t>
      </w:r>
      <w:r>
        <w:rPr>
          <w:rFonts w:hint="eastAsia" w:ascii="仿宋_GB2312" w:eastAsia="仿宋_GB2312" w:cs="仿宋_GB2312"/>
          <w:kern w:val="0"/>
          <w:sz w:val="32"/>
          <w:szCs w:val="32"/>
          <w:lang w:val="en-US" w:eastAsia="zh-CN"/>
        </w:rPr>
        <w:t>教师业务</w:t>
      </w:r>
      <w:r>
        <w:rPr>
          <w:rFonts w:hint="eastAsia" w:ascii="仿宋_GB2312" w:eastAsia="仿宋_GB2312" w:cs="仿宋_GB2312"/>
          <w:kern w:val="0"/>
          <w:sz w:val="32"/>
          <w:szCs w:val="32"/>
        </w:rPr>
        <w:t>培训、</w:t>
      </w:r>
      <w:r>
        <w:rPr>
          <w:rFonts w:hint="eastAsia" w:ascii="仿宋_GB2312" w:eastAsia="仿宋_GB2312" w:cs="仿宋_GB2312"/>
          <w:kern w:val="0"/>
          <w:sz w:val="32"/>
          <w:szCs w:val="32"/>
          <w:lang w:val="en-US" w:eastAsia="zh-CN"/>
        </w:rPr>
        <w:t>队</w:t>
      </w:r>
      <w:r>
        <w:rPr>
          <w:rFonts w:hint="eastAsia" w:ascii="仿宋_GB2312" w:eastAsia="仿宋_GB2312" w:cs="仿宋_GB2312"/>
          <w:kern w:val="0"/>
          <w:sz w:val="32"/>
          <w:szCs w:val="32"/>
        </w:rPr>
        <w:t>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（六）负责组织</w:t>
      </w:r>
      <w:r>
        <w:rPr>
          <w:rFonts w:hint="eastAsia" w:ascii="仿宋_GB2312" w:eastAsia="仿宋_GB2312" w:cs="仿宋_GB2312"/>
          <w:kern w:val="0"/>
          <w:sz w:val="32"/>
          <w:szCs w:val="32"/>
          <w:lang w:val="en-US" w:eastAsia="zh-CN"/>
        </w:rPr>
        <w:t>做好学生各期考试、</w:t>
      </w:r>
      <w:r>
        <w:rPr>
          <w:rFonts w:hint="eastAsia" w:ascii="仿宋_GB2312" w:eastAsia="仿宋_GB2312" w:cs="仿宋_GB2312"/>
          <w:kern w:val="0"/>
          <w:sz w:val="32"/>
          <w:szCs w:val="32"/>
        </w:rPr>
        <w:t>招生录取工作和学</w:t>
      </w:r>
      <w:r>
        <w:rPr>
          <w:rFonts w:hint="eastAsia" w:ascii="仿宋_GB2312" w:eastAsia="仿宋_GB2312" w:cs="仿宋_GB2312"/>
          <w:kern w:val="0"/>
          <w:sz w:val="32"/>
          <w:szCs w:val="32"/>
          <w:lang w:val="en-US" w:eastAsia="zh-CN"/>
        </w:rPr>
        <w:t>生</w:t>
      </w:r>
      <w:r>
        <w:rPr>
          <w:rFonts w:hint="eastAsia" w:ascii="仿宋_GB2312" w:eastAsia="仿宋_GB2312" w:cs="仿宋_GB2312"/>
          <w:kern w:val="0"/>
          <w:sz w:val="32"/>
          <w:szCs w:val="32"/>
        </w:rPr>
        <w:t>学籍管理工作。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（七）按照中央关于全面推进素质教育要求，负责</w:t>
      </w:r>
      <w:r>
        <w:rPr>
          <w:rFonts w:hint="eastAsia" w:ascii="仿宋_GB2312" w:eastAsia="仿宋_GB2312" w:cs="仿宋_GB2312"/>
          <w:kern w:val="0"/>
          <w:sz w:val="32"/>
          <w:szCs w:val="32"/>
          <w:lang w:val="en-US" w:eastAsia="zh-CN"/>
        </w:rPr>
        <w:t>全校</w:t>
      </w:r>
      <w:r>
        <w:rPr>
          <w:rFonts w:hint="eastAsia" w:ascii="仿宋_GB2312" w:eastAsia="仿宋_GB2312" w:cs="仿宋_GB2312"/>
          <w:kern w:val="0"/>
          <w:sz w:val="32"/>
          <w:szCs w:val="32"/>
        </w:rPr>
        <w:t>教育教学管理、教育教学改革及教育教学工作，检查指导</w:t>
      </w:r>
      <w:r>
        <w:rPr>
          <w:rFonts w:hint="eastAsia" w:ascii="仿宋_GB2312" w:eastAsia="仿宋_GB2312" w:cs="仿宋_GB2312"/>
          <w:kern w:val="0"/>
          <w:sz w:val="32"/>
          <w:szCs w:val="32"/>
          <w:lang w:val="en-US" w:eastAsia="zh-CN"/>
        </w:rPr>
        <w:t>学校</w:t>
      </w:r>
      <w:r>
        <w:rPr>
          <w:rFonts w:hint="eastAsia" w:ascii="仿宋_GB2312" w:eastAsia="仿宋_GB2312" w:cs="仿宋_GB2312"/>
          <w:kern w:val="0"/>
          <w:sz w:val="32"/>
          <w:szCs w:val="32"/>
        </w:rPr>
        <w:t>实施素质教育工作，并组织推广先进的教育教学经验。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（八）检查指导学校教育教学设备的装备、管理和使用工作。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（九）检查指导</w:t>
      </w:r>
      <w:r>
        <w:rPr>
          <w:rFonts w:hint="eastAsia" w:ascii="仿宋_GB2312" w:eastAsia="仿宋_GB2312" w:cs="仿宋_GB2312"/>
          <w:kern w:val="0"/>
          <w:sz w:val="32"/>
          <w:szCs w:val="32"/>
          <w:lang w:val="en-US" w:eastAsia="zh-CN"/>
        </w:rPr>
        <w:t>本单位</w:t>
      </w:r>
      <w:r>
        <w:rPr>
          <w:rFonts w:hint="eastAsia" w:ascii="仿宋_GB2312" w:eastAsia="仿宋_GB2312" w:cs="仿宋_GB2312"/>
          <w:kern w:val="0"/>
          <w:sz w:val="32"/>
          <w:szCs w:val="32"/>
        </w:rPr>
        <w:t>开展电化教育和信息化教学工作。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  （十）负责</w:t>
      </w:r>
      <w:r>
        <w:rPr>
          <w:rFonts w:hint="eastAsia" w:ascii="仿宋_GB2312" w:eastAsia="仿宋_GB2312" w:cs="仿宋_GB2312"/>
          <w:kern w:val="0"/>
          <w:sz w:val="32"/>
          <w:szCs w:val="32"/>
          <w:lang w:val="en-US" w:eastAsia="zh-CN"/>
        </w:rPr>
        <w:t>组织学校</w:t>
      </w:r>
      <w:r>
        <w:rPr>
          <w:rFonts w:hint="eastAsia" w:ascii="仿宋_GB2312" w:eastAsia="仿宋_GB2312" w:cs="仿宋_GB2312"/>
          <w:kern w:val="0"/>
          <w:sz w:val="32"/>
          <w:szCs w:val="32"/>
        </w:rPr>
        <w:t>教师初级专业技术职务资格的评审，中、高级专业技术职务资格的申报工作。按照管理权限对教师进行考核、聘任、奖惩、晋升等工作。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一</w:t>
      </w:r>
      <w:r>
        <w:rPr>
          <w:rFonts w:hint="eastAsia" w:ascii="仿宋_GB2312" w:eastAsia="仿宋_GB2312" w:cs="仿宋_GB2312"/>
          <w:kern w:val="0"/>
          <w:sz w:val="32"/>
          <w:szCs w:val="32"/>
        </w:rPr>
        <w:t>）负责指导</w:t>
      </w:r>
      <w:r>
        <w:rPr>
          <w:rFonts w:hint="eastAsia" w:ascii="仿宋_GB2312" w:eastAsia="仿宋_GB2312" w:cs="仿宋_GB2312"/>
          <w:kern w:val="0"/>
          <w:sz w:val="32"/>
          <w:szCs w:val="32"/>
          <w:lang w:val="en-US" w:eastAsia="zh-CN"/>
        </w:rPr>
        <w:t>学校</w:t>
      </w:r>
      <w:r>
        <w:rPr>
          <w:rFonts w:hint="eastAsia" w:ascii="仿宋_GB2312" w:eastAsia="仿宋_GB2312" w:cs="仿宋_GB2312"/>
          <w:kern w:val="0"/>
          <w:sz w:val="32"/>
          <w:szCs w:val="32"/>
        </w:rPr>
        <w:t>德育、体育、卫生、艺术、安全工作以及团组织</w:t>
      </w:r>
      <w:r>
        <w:rPr>
          <w:rFonts w:hint="eastAsia" w:ascii="仿宋_GB2312" w:eastAsia="仿宋_GB2312" w:cs="仿宋_GB2312"/>
          <w:kern w:val="0"/>
          <w:sz w:val="32"/>
          <w:szCs w:val="32"/>
          <w:lang w:val="en-US" w:eastAsia="zh-CN"/>
        </w:rPr>
        <w:t>共青团工作。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）负责指导学生资助管理工作。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三</w:t>
      </w:r>
      <w:r>
        <w:rPr>
          <w:rFonts w:hint="eastAsia" w:ascii="仿宋_GB2312" w:eastAsia="仿宋_GB2312" w:cs="仿宋_GB2312"/>
          <w:kern w:val="0"/>
          <w:sz w:val="32"/>
          <w:szCs w:val="32"/>
        </w:rPr>
        <w:t>）负责语言文字和指导推广普通话工作。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 （十</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rPr>
        <w:t>）完成自治县</w:t>
      </w:r>
      <w:r>
        <w:rPr>
          <w:rFonts w:hint="eastAsia" w:ascii="仿宋_GB2312" w:eastAsia="仿宋_GB2312" w:cs="仿宋_GB2312"/>
          <w:kern w:val="0"/>
          <w:sz w:val="32"/>
          <w:szCs w:val="32"/>
          <w:lang w:val="en-US" w:eastAsia="zh-CN"/>
        </w:rPr>
        <w:t>教育局和各级</w:t>
      </w:r>
      <w:r>
        <w:rPr>
          <w:rFonts w:hint="eastAsia" w:ascii="仿宋_GB2312" w:eastAsia="仿宋_GB2312" w:cs="仿宋_GB2312"/>
          <w:kern w:val="0"/>
          <w:sz w:val="32"/>
          <w:szCs w:val="32"/>
        </w:rPr>
        <w:t>政府</w:t>
      </w:r>
      <w:r>
        <w:rPr>
          <w:rFonts w:hint="eastAsia" w:ascii="仿宋_GB2312" w:eastAsia="仿宋_GB2312" w:cs="仿宋_GB2312"/>
          <w:kern w:val="0"/>
          <w:sz w:val="32"/>
          <w:szCs w:val="32"/>
          <w:lang w:val="en-US" w:eastAsia="zh-CN"/>
        </w:rPr>
        <w:t>部门</w:t>
      </w:r>
      <w:r>
        <w:rPr>
          <w:rFonts w:hint="eastAsia" w:ascii="仿宋_GB2312" w:eastAsia="仿宋_GB2312" w:cs="仿宋_GB2312"/>
          <w:kern w:val="0"/>
          <w:sz w:val="32"/>
          <w:szCs w:val="32"/>
        </w:rPr>
        <w:t>交办的其他工作。</w:t>
      </w:r>
    </w:p>
    <w:p>
      <w:pPr>
        <w:ind w:firstLine="640" w:firstLineChars="200"/>
        <w:jc w:val="left"/>
        <w:rPr>
          <w:rFonts w:hint="eastAsia" w:ascii="仿宋" w:hAnsi="仿宋" w:eastAsia="仿宋" w:cs="仿宋"/>
          <w:color w:val="FF0000"/>
          <w:sz w:val="32"/>
          <w:szCs w:val="32"/>
          <w:lang w:val="en-US" w:eastAsia="zh-CN"/>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_GB2312" w:eastAsia="仿宋_GB2312" w:cs="仿宋_GB2312"/>
          <w:color w:val="auto"/>
          <w:kern w:val="0"/>
          <w:sz w:val="32"/>
          <w:szCs w:val="32"/>
          <w:lang w:val="en-US" w:eastAsia="zh-CN"/>
        </w:rPr>
        <w:t>环江四中内设政教处、教务处、总务处。</w:t>
      </w:r>
      <w:r>
        <w:rPr>
          <w:rFonts w:hint="eastAsia" w:ascii="仿宋" w:hAnsi="仿宋" w:eastAsia="仿宋" w:cs="仿宋"/>
          <w:color w:val="auto"/>
          <w:sz w:val="32"/>
          <w:szCs w:val="32"/>
        </w:rPr>
        <w:t>我部门没有下属单位，按照部门决算编报要求，单独编制本部门决算。</w:t>
      </w:r>
    </w:p>
    <w:p>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广西河池市环江毛南族自治县第四初级中学</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814"/>
        <w:gridCol w:w="453"/>
        <w:gridCol w:w="1126"/>
        <w:gridCol w:w="2231"/>
        <w:gridCol w:w="2669"/>
        <w:gridCol w:w="503"/>
        <w:gridCol w:w="429"/>
        <w:gridCol w:w="123"/>
        <w:gridCol w:w="1147"/>
        <w:gridCol w:w="1902"/>
      </w:tblGrid>
      <w:tr>
        <w:tblPrEx>
          <w:tblCellMar>
            <w:top w:w="0" w:type="dxa"/>
            <w:left w:w="108" w:type="dxa"/>
            <w:bottom w:w="0" w:type="dxa"/>
            <w:right w:w="108" w:type="dxa"/>
          </w:tblCellMar>
        </w:tblPrEx>
        <w:trPr>
          <w:trHeight w:val="902" w:hRule="atLeast"/>
        </w:trPr>
        <w:tc>
          <w:tcPr>
            <w:tcW w:w="13940" w:type="dxa"/>
            <w:gridSpan w:val="11"/>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gridSpan w:val="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4"/>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5"/>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2669"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gridSpan w:val="4"/>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15" w:hRule="atLeast"/>
        </w:trPr>
        <w:tc>
          <w:tcPr>
            <w:tcW w:w="71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收入</w:t>
            </w:r>
          </w:p>
        </w:tc>
        <w:tc>
          <w:tcPr>
            <w:tcW w:w="67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108" w:type="dxa"/>
            <w:bottom w:w="0" w:type="dxa"/>
            <w:right w:w="108" w:type="dxa"/>
          </w:tblCellMar>
        </w:tblPrEx>
        <w:trPr>
          <w:trHeight w:val="315"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行次</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金额</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行次</w:t>
            </w:r>
          </w:p>
        </w:tc>
        <w:tc>
          <w:tcPr>
            <w:tcW w:w="31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315"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栏次</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栏次</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一、一般公共服务支出</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32</w:t>
            </w:r>
          </w:p>
        </w:tc>
        <w:tc>
          <w:tcPr>
            <w:tcW w:w="31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15.79</w:t>
            </w: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二、外交支出</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33</w:t>
            </w:r>
          </w:p>
        </w:tc>
        <w:tc>
          <w:tcPr>
            <w:tcW w:w="31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三、国防支出</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34</w:t>
            </w:r>
          </w:p>
        </w:tc>
        <w:tc>
          <w:tcPr>
            <w:tcW w:w="31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四、上级补助收入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四、公共安全支出</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35</w:t>
            </w:r>
          </w:p>
        </w:tc>
        <w:tc>
          <w:tcPr>
            <w:tcW w:w="31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五、事业收入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五、教育支出</w:t>
            </w:r>
          </w:p>
        </w:tc>
        <w:tc>
          <w:tcPr>
            <w:tcW w:w="4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36</w:t>
            </w:r>
          </w:p>
        </w:tc>
        <w:tc>
          <w:tcPr>
            <w:tcW w:w="31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1608.09</w:t>
            </w: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六、经营收入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六、科学技术支出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37</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七、附属单位上缴收入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7</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38</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八、其他收入</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8</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39</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140.68</w:t>
            </w: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9</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九、卫生健康支出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40</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十、节能环保支出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41</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11</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十一、城乡社区支出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42</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十二、农林水支出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43</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13</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十三、交通运输支出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44</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45</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46</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十六、金融支出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47</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17</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48</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18</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49</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十九、住房保障支出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50</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104.00</w:t>
            </w: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51</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21</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52</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53</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23</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二十三、其他支出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54</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120.13</w:t>
            </w: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0"/>
                <w:szCs w:val="20"/>
                <w:u w:val="none"/>
                <w:lang w:val="en-US" w:eastAsia="zh-CN" w:bidi="ar"/>
              </w:rPr>
              <w:t>24</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二十四、债务还本支出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55</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0"/>
                <w:szCs w:val="20"/>
                <w:u w:val="none"/>
                <w:lang w:val="en-US" w:eastAsia="zh-CN" w:bidi="ar"/>
              </w:rPr>
              <w:t>25</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二十五、债务付息支出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56</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0"/>
                <w:szCs w:val="20"/>
                <w:u w:val="none"/>
                <w:lang w:val="en-US" w:eastAsia="zh-CN" w:bidi="ar"/>
              </w:rPr>
              <w:t>26</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57</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i w:val="0"/>
                <w:color w:val="000000"/>
                <w:kern w:val="0"/>
                <w:sz w:val="22"/>
                <w:szCs w:val="22"/>
                <w:u w:val="none"/>
                <w:lang w:val="en-US" w:eastAsia="zh-CN" w:bidi="ar"/>
              </w:rPr>
              <w:t>本年收入合计</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27</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本年支出合计</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58</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28</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结余分配</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59</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ascii="宋体" w:hAnsi="宋体" w:eastAsia="宋体" w:cs="宋体"/>
                <w:i w:val="0"/>
                <w:color w:val="000000"/>
                <w:kern w:val="0"/>
                <w:sz w:val="22"/>
                <w:szCs w:val="22"/>
                <w:u w:val="none"/>
                <w:lang w:val="en-US" w:eastAsia="zh-CN" w:bidi="ar"/>
              </w:rPr>
              <w:t>年初结转和结余</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29</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年末结转和结余</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60</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highlight w:val="none"/>
              </w:rPr>
            </w:pP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30</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61</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highlight w:val="none"/>
              </w:rPr>
            </w:pPr>
            <w:r>
              <w:rPr>
                <w:rFonts w:hint="eastAsia" w:ascii="宋体" w:hAnsi="宋体" w:eastAsia="宋体" w:cs="宋体"/>
                <w:b/>
                <w:i w:val="0"/>
                <w:color w:val="000000"/>
                <w:kern w:val="0"/>
                <w:sz w:val="22"/>
                <w:szCs w:val="22"/>
                <w:u w:val="none"/>
                <w:lang w:val="en-US" w:eastAsia="zh-CN" w:bidi="ar"/>
              </w:rPr>
              <w:t>总计</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31</w:t>
            </w:r>
          </w:p>
        </w:tc>
        <w:tc>
          <w:tcPr>
            <w:tcW w:w="3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总计</w:t>
            </w:r>
          </w:p>
        </w:tc>
        <w:tc>
          <w:tcPr>
            <w:tcW w:w="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62</w:t>
            </w:r>
          </w:p>
        </w:tc>
        <w:tc>
          <w:tcPr>
            <w:tcW w:w="30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214"/>
        <w:gridCol w:w="174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13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color w:val="000000"/>
                <w:kern w:val="0"/>
                <w:sz w:val="22"/>
                <w:szCs w:val="22"/>
                <w:u w:val="none"/>
                <w:lang w:val="en-US" w:eastAsia="zh-CN"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color w:val="000000"/>
                <w:kern w:val="0"/>
                <w:sz w:val="22"/>
                <w:szCs w:val="22"/>
                <w:u w:val="none"/>
                <w:lang w:val="en-US" w:eastAsia="zh-CN"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color w:val="000000"/>
                <w:kern w:val="0"/>
                <w:sz w:val="22"/>
                <w:szCs w:val="22"/>
                <w:u w:val="none"/>
                <w:lang w:val="en-US" w:eastAsia="zh-CN"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color w:val="000000"/>
                <w:kern w:val="0"/>
                <w:sz w:val="22"/>
                <w:szCs w:val="22"/>
                <w:u w:val="none"/>
                <w:lang w:val="en-US" w:eastAsia="zh-CN"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color w:val="000000"/>
                <w:kern w:val="0"/>
                <w:sz w:val="22"/>
                <w:szCs w:val="22"/>
                <w:u w:val="none"/>
                <w:lang w:val="en-US" w:eastAsia="zh-CN"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color w:val="000000"/>
                <w:kern w:val="0"/>
                <w:sz w:val="22"/>
                <w:szCs w:val="22"/>
                <w:u w:val="none"/>
                <w:lang w:val="en-US" w:eastAsia="zh-CN"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327" w:hRule="atLeast"/>
        </w:trPr>
        <w:tc>
          <w:tcPr>
            <w:tcW w:w="1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科目代码</w:t>
            </w:r>
          </w:p>
        </w:tc>
        <w:tc>
          <w:tcPr>
            <w:tcW w:w="274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4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4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color w:val="000000"/>
                <w:kern w:val="0"/>
                <w:sz w:val="22"/>
                <w:szCs w:val="22"/>
                <w:u w:val="none"/>
                <w:lang w:val="en-US" w:eastAsia="zh-CN" w:bidi="ar"/>
              </w:rPr>
              <w:t>1988.69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color w:val="000000"/>
                <w:kern w:val="0"/>
                <w:sz w:val="22"/>
                <w:szCs w:val="22"/>
                <w:u w:val="none"/>
                <w:lang w:val="en-US" w:eastAsia="zh-CN" w:bidi="ar"/>
              </w:rPr>
              <w:t>1988.69</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7" w:hRule="atLeast"/>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2012999</w:t>
            </w:r>
          </w:p>
        </w:tc>
        <w:tc>
          <w:tcPr>
            <w:tcW w:w="27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15.79</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15.79</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2050203</w:t>
            </w:r>
          </w:p>
        </w:tc>
        <w:tc>
          <w:tcPr>
            <w:tcW w:w="27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初中教育</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1590.13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1590.13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2050299</w:t>
            </w:r>
          </w:p>
        </w:tc>
        <w:tc>
          <w:tcPr>
            <w:tcW w:w="27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17.96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17.96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90" w:hRule="atLeast"/>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2080505</w:t>
            </w:r>
          </w:p>
        </w:tc>
        <w:tc>
          <w:tcPr>
            <w:tcW w:w="27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140.68</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140.68</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2210201</w:t>
            </w:r>
          </w:p>
        </w:tc>
        <w:tc>
          <w:tcPr>
            <w:tcW w:w="27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2299999</w:t>
            </w:r>
          </w:p>
        </w:tc>
        <w:tc>
          <w:tcPr>
            <w:tcW w:w="27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120.13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120.13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56"/>
        <w:gridCol w:w="181"/>
        <w:gridCol w:w="303"/>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1653"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22" w:hRule="atLeast"/>
        </w:trPr>
        <w:tc>
          <w:tcPr>
            <w:tcW w:w="119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科目代码</w:t>
            </w:r>
          </w:p>
        </w:tc>
        <w:tc>
          <w:tcPr>
            <w:tcW w:w="270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1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0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1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0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color w:val="000000"/>
                <w:kern w:val="0"/>
                <w:sz w:val="22"/>
                <w:szCs w:val="22"/>
                <w:u w:val="none"/>
                <w:lang w:val="en-US" w:eastAsia="zh-CN" w:bidi="ar"/>
              </w:rPr>
              <w:t>1988.69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1421.00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567.69</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2" w:hRule="atLeast"/>
        </w:trPr>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2012999</w:t>
            </w:r>
          </w:p>
        </w:tc>
        <w:tc>
          <w:tcPr>
            <w:tcW w:w="27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15.79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15.79</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2050203</w:t>
            </w:r>
          </w:p>
        </w:tc>
        <w:tc>
          <w:tcPr>
            <w:tcW w:w="27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初中教育</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1590.13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1040.40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549.73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2050299</w:t>
            </w:r>
          </w:p>
        </w:tc>
        <w:tc>
          <w:tcPr>
            <w:tcW w:w="27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17.96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17.96</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2080505</w:t>
            </w:r>
          </w:p>
        </w:tc>
        <w:tc>
          <w:tcPr>
            <w:tcW w:w="27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140.68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140.68</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2210201</w:t>
            </w:r>
          </w:p>
        </w:tc>
        <w:tc>
          <w:tcPr>
            <w:tcW w:w="27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1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2299999</w:t>
            </w:r>
          </w:p>
        </w:tc>
        <w:tc>
          <w:tcPr>
            <w:tcW w:w="27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120.13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120.13</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14077" w:type="dxa"/>
        <w:tblInd w:w="0" w:type="dxa"/>
        <w:tblLayout w:type="fixed"/>
        <w:tblCellMar>
          <w:top w:w="0" w:type="dxa"/>
          <w:left w:w="108" w:type="dxa"/>
          <w:bottom w:w="0" w:type="dxa"/>
          <w:right w:w="108" w:type="dxa"/>
        </w:tblCellMar>
      </w:tblPr>
      <w:tblGrid>
        <w:gridCol w:w="2214"/>
        <w:gridCol w:w="545"/>
        <w:gridCol w:w="240"/>
        <w:gridCol w:w="271"/>
        <w:gridCol w:w="1036"/>
        <w:gridCol w:w="681"/>
        <w:gridCol w:w="1679"/>
        <w:gridCol w:w="437"/>
        <w:gridCol w:w="416"/>
        <w:gridCol w:w="265"/>
        <w:gridCol w:w="823"/>
        <w:gridCol w:w="430"/>
        <w:gridCol w:w="633"/>
        <w:gridCol w:w="710"/>
        <w:gridCol w:w="473"/>
        <w:gridCol w:w="600"/>
        <w:gridCol w:w="730"/>
        <w:gridCol w:w="404"/>
        <w:gridCol w:w="750"/>
        <w:gridCol w:w="740"/>
      </w:tblGrid>
      <w:tr>
        <w:tblPrEx>
          <w:tblCellMar>
            <w:top w:w="0" w:type="dxa"/>
            <w:left w:w="108" w:type="dxa"/>
            <w:bottom w:w="0" w:type="dxa"/>
            <w:right w:w="108" w:type="dxa"/>
          </w:tblCellMar>
        </w:tblPrEx>
        <w:trPr>
          <w:trHeight w:val="520" w:hRule="atLeast"/>
        </w:trPr>
        <w:tc>
          <w:tcPr>
            <w:tcW w:w="14077" w:type="dxa"/>
            <w:gridSpan w:val="20"/>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221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5"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7"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8"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73" w:type="dxa"/>
            <w:gridSpan w:val="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3" w:type="dxa"/>
            <w:gridSpan w:val="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94" w:type="dxa"/>
            <w:gridSpan w:val="3"/>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8607" w:type="dxa"/>
            <w:gridSpan w:val="11"/>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1773" w:type="dxa"/>
            <w:gridSpan w:val="3"/>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3" w:type="dxa"/>
            <w:gridSpan w:val="3"/>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94" w:type="dxa"/>
            <w:gridSpan w:val="3"/>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268" w:hRule="atLeast"/>
        </w:trPr>
        <w:tc>
          <w:tcPr>
            <w:tcW w:w="49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909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275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w:t>
            </w:r>
          </w:p>
        </w:tc>
        <w:tc>
          <w:tcPr>
            <w:tcW w:w="5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行次</w:t>
            </w:r>
          </w:p>
        </w:tc>
        <w:tc>
          <w:tcPr>
            <w:tcW w:w="17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金额</w:t>
            </w:r>
          </w:p>
        </w:tc>
        <w:tc>
          <w:tcPr>
            <w:tcW w:w="211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w:t>
            </w:r>
          </w:p>
        </w:tc>
        <w:tc>
          <w:tcPr>
            <w:tcW w:w="6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行次</w:t>
            </w:r>
          </w:p>
        </w:tc>
        <w:tc>
          <w:tcPr>
            <w:tcW w:w="18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178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一般公共预算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财政拨款</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政府性基金预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算财政拨款</w:t>
            </w:r>
          </w:p>
        </w:tc>
        <w:tc>
          <w:tcPr>
            <w:tcW w:w="14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国有资本经营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预算财政拨款</w:t>
            </w:r>
          </w:p>
        </w:tc>
      </w:tr>
      <w:tr>
        <w:tblPrEx>
          <w:tblCellMar>
            <w:top w:w="0" w:type="dxa"/>
            <w:left w:w="108" w:type="dxa"/>
            <w:bottom w:w="0" w:type="dxa"/>
            <w:right w:w="108" w:type="dxa"/>
          </w:tblCellMar>
        </w:tblPrEx>
        <w:trPr>
          <w:trHeight w:val="312" w:hRule="atLeast"/>
        </w:trPr>
        <w:tc>
          <w:tcPr>
            <w:tcW w:w="275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8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8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栏次</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栏次</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w:t>
            </w: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一、一般公共预算财政拨款</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一、一般公共服务支出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33</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15.79</w:t>
            </w: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15.79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二、政府性基金预算财政拨款</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二、外交支出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34</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三、国防支出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35</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四、公共安全支出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36</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五、教育支出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37</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1608.09</w:t>
            </w: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1608.09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六、科学技术支出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38</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7</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七、文化旅游体育与传媒支出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39</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8</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40</w:t>
            </w:r>
          </w:p>
        </w:tc>
        <w:tc>
          <w:tcPr>
            <w:tcW w:w="18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140.68</w:t>
            </w:r>
          </w:p>
        </w:tc>
        <w:tc>
          <w:tcPr>
            <w:tcW w:w="1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140.68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9</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九、卫生健康支出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41</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10</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十、节能环保支出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42</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11</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十一、城乡社区支出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43</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12</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十二、农林水支出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44</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13</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十三、交通运输支出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45</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14</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46</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十五、商业服务业等支出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47</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16</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十六、金融支出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48</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17</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十七、援助其他地区支出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49</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18</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50</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19</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十九、住房保障支出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51</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104.00</w:t>
            </w: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104.00</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二十、粮油物资储备支出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52</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21</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53</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54</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23</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二十三、其他支出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55</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120.13</w:t>
            </w: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120.13</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24</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二十四、债务还本支出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56</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25</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二十五、债务付息支出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57</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26</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58</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本年收入合计</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27</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本年支出合计</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59</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年初财政拨款结转和结余</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28</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年末财政拨款结转和结余</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60</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29</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61</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62</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63</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27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总计</w:t>
            </w:r>
          </w:p>
        </w:tc>
        <w:tc>
          <w:tcPr>
            <w:tcW w:w="5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32</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2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i w:val="0"/>
                <w:color w:val="000000"/>
                <w:kern w:val="0"/>
                <w:sz w:val="22"/>
                <w:szCs w:val="22"/>
                <w:u w:val="none"/>
                <w:lang w:val="en-US" w:eastAsia="zh-CN" w:bidi="ar"/>
              </w:rPr>
              <w:t>总计</w:t>
            </w:r>
          </w:p>
        </w:tc>
        <w:tc>
          <w:tcPr>
            <w:tcW w:w="1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64</w:t>
            </w:r>
          </w:p>
        </w:tc>
        <w:tc>
          <w:tcPr>
            <w:tcW w:w="18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1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color w:val="000000"/>
                <w:kern w:val="0"/>
                <w:sz w:val="22"/>
                <w:szCs w:val="22"/>
                <w:u w:val="none"/>
                <w:lang w:val="en-US" w:eastAsia="zh-CN" w:bidi="ar"/>
              </w:rPr>
              <w:t>1988.69</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68" w:hRule="atLeast"/>
        </w:trPr>
        <w:tc>
          <w:tcPr>
            <w:tcW w:w="13337" w:type="dxa"/>
            <w:gridSpan w:val="19"/>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740"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476"/>
        <w:gridCol w:w="807"/>
        <w:gridCol w:w="238"/>
        <w:gridCol w:w="238"/>
        <w:gridCol w:w="2052"/>
        <w:gridCol w:w="2795"/>
        <w:gridCol w:w="378"/>
        <w:gridCol w:w="2305"/>
        <w:gridCol w:w="802"/>
        <w:gridCol w:w="2889"/>
      </w:tblGrid>
      <w:tr>
        <w:tblPrEx>
          <w:tblCellMar>
            <w:top w:w="0" w:type="dxa"/>
            <w:left w:w="108" w:type="dxa"/>
            <w:bottom w:w="0" w:type="dxa"/>
            <w:right w:w="108" w:type="dxa"/>
          </w:tblCellMar>
        </w:tblPrEx>
        <w:trPr>
          <w:trHeight w:val="693" w:hRule="atLeast"/>
        </w:trPr>
        <w:tc>
          <w:tcPr>
            <w:tcW w:w="13980" w:type="dxa"/>
            <w:gridSpan w:val="10"/>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3107" w:type="dxa"/>
            <w:gridSpan w:val="2"/>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w:t>
            </w:r>
          </w:p>
        </w:tc>
        <w:tc>
          <w:tcPr>
            <w:tcW w:w="91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53" w:hRule="atLeast"/>
        </w:trPr>
        <w:tc>
          <w:tcPr>
            <w:tcW w:w="1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科目代码</w:t>
            </w:r>
          </w:p>
        </w:tc>
        <w:tc>
          <w:tcPr>
            <w:tcW w:w="333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科目名称</w:t>
            </w:r>
          </w:p>
        </w:tc>
        <w:tc>
          <w:tcPr>
            <w:tcW w:w="2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小计</w:t>
            </w:r>
          </w:p>
        </w:tc>
        <w:tc>
          <w:tcPr>
            <w:tcW w:w="268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基本支出</w:t>
            </w:r>
          </w:p>
        </w:tc>
        <w:tc>
          <w:tcPr>
            <w:tcW w:w="369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319" w:hRule="atLeast"/>
        </w:trPr>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3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9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3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69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栏次</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合计</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color w:val="000000"/>
                <w:kern w:val="0"/>
                <w:sz w:val="22"/>
                <w:szCs w:val="22"/>
                <w:u w:val="none"/>
                <w:lang w:val="en-US" w:eastAsia="zh-CN" w:bidi="ar"/>
              </w:rPr>
              <w:t>1988.69</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i w:val="0"/>
                <w:color w:val="000000"/>
                <w:kern w:val="0"/>
                <w:sz w:val="22"/>
                <w:szCs w:val="22"/>
                <w:u w:val="none"/>
                <w:lang w:val="en-US" w:eastAsia="zh-CN" w:bidi="ar"/>
              </w:rPr>
              <w:t>1421.00</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color w:val="000000"/>
                <w:kern w:val="0"/>
                <w:sz w:val="22"/>
                <w:szCs w:val="22"/>
                <w:u w:val="none"/>
                <w:lang w:val="en-US" w:eastAsia="zh-CN" w:bidi="ar"/>
              </w:rPr>
              <w:t>549.73</w:t>
            </w:r>
          </w:p>
        </w:tc>
      </w:tr>
      <w:tr>
        <w:tblPrEx>
          <w:tblCellMar>
            <w:top w:w="0" w:type="dxa"/>
            <w:left w:w="108" w:type="dxa"/>
            <w:bottom w:w="0" w:type="dxa"/>
            <w:right w:w="108" w:type="dxa"/>
          </w:tblCellMar>
        </w:tblPrEx>
        <w:trPr>
          <w:trHeight w:val="358"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2012999</w:t>
            </w:r>
          </w:p>
        </w:tc>
        <w:tc>
          <w:tcPr>
            <w:tcW w:w="3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15.79</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15.79</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2050203</w:t>
            </w:r>
          </w:p>
        </w:tc>
        <w:tc>
          <w:tcPr>
            <w:tcW w:w="3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初中教育</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1590.13</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1040.40</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549.73</w:t>
            </w:r>
          </w:p>
        </w:tc>
      </w:tr>
      <w:tr>
        <w:tblPrEx>
          <w:tblCellMar>
            <w:top w:w="0" w:type="dxa"/>
            <w:left w:w="108" w:type="dxa"/>
            <w:bottom w:w="0" w:type="dxa"/>
            <w:right w:w="108" w:type="dxa"/>
          </w:tblCellMar>
        </w:tblPrEx>
        <w:trPr>
          <w:trHeight w:val="358"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2050299</w:t>
            </w:r>
          </w:p>
        </w:tc>
        <w:tc>
          <w:tcPr>
            <w:tcW w:w="3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其他普通教育支出</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17.96</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17.96</w:t>
            </w:r>
          </w:p>
        </w:tc>
      </w:tr>
      <w:tr>
        <w:tblPrEx>
          <w:tblCellMar>
            <w:top w:w="0" w:type="dxa"/>
            <w:left w:w="108" w:type="dxa"/>
            <w:bottom w:w="0" w:type="dxa"/>
            <w:right w:w="108" w:type="dxa"/>
          </w:tblCellMar>
        </w:tblPrEx>
        <w:trPr>
          <w:trHeight w:val="358"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2080505</w:t>
            </w:r>
          </w:p>
        </w:tc>
        <w:tc>
          <w:tcPr>
            <w:tcW w:w="3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140.68</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140.68</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2210201</w:t>
            </w:r>
          </w:p>
        </w:tc>
        <w:tc>
          <w:tcPr>
            <w:tcW w:w="3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住房公积金</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104.00</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104.00</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2299999</w:t>
            </w:r>
          </w:p>
        </w:tc>
        <w:tc>
          <w:tcPr>
            <w:tcW w:w="3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其他支出</w:t>
            </w:r>
          </w:p>
        </w:tc>
        <w:tc>
          <w:tcPr>
            <w:tcW w:w="2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120.13</w:t>
            </w:r>
          </w:p>
        </w:tc>
        <w:tc>
          <w:tcPr>
            <w:tcW w:w="2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120.13</w:t>
            </w:r>
          </w:p>
        </w:tc>
        <w:tc>
          <w:tcPr>
            <w:tcW w:w="36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10"/>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100"/>
        <w:gridCol w:w="271"/>
        <w:gridCol w:w="1106"/>
        <w:gridCol w:w="673"/>
        <w:gridCol w:w="607"/>
        <w:gridCol w:w="160"/>
        <w:gridCol w:w="2187"/>
        <w:gridCol w:w="1160"/>
        <w:gridCol w:w="170"/>
        <w:gridCol w:w="1003"/>
        <w:gridCol w:w="2147"/>
        <w:gridCol w:w="1309"/>
      </w:tblGrid>
      <w:tr>
        <w:tblPrEx>
          <w:tblCellMar>
            <w:top w:w="0" w:type="dxa"/>
            <w:left w:w="108" w:type="dxa"/>
            <w:bottom w:w="0" w:type="dxa"/>
            <w:right w:w="108" w:type="dxa"/>
          </w:tblCellMar>
        </w:tblPrEx>
        <w:trPr>
          <w:trHeight w:val="614" w:hRule="atLeast"/>
        </w:trPr>
        <w:tc>
          <w:tcPr>
            <w:tcW w:w="14000" w:type="dxa"/>
            <w:gridSpan w:val="13"/>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0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7"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8"/>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116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19" w:hRule="atLeast"/>
        </w:trPr>
        <w:tc>
          <w:tcPr>
            <w:tcW w:w="52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87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科目代码</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科目名称</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决算数</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科目代码</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科目名称</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决算数</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科目代码</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科目名称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工资福利支出</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105.21</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商品和服务支出</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15.79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30101</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4"/>
            <w:bookmarkStart w:id="1" w:name="OLE_LINK3"/>
            <w:r>
              <w:rPr>
                <w:rFonts w:hint="eastAsia" w:ascii="宋体" w:hAnsi="宋体" w:eastAsia="宋体" w:cs="宋体"/>
                <w:i w:val="0"/>
                <w:color w:val="000000"/>
                <w:kern w:val="0"/>
                <w:sz w:val="22"/>
                <w:szCs w:val="22"/>
                <w:u w:val="none"/>
                <w:lang w:val="en-US" w:eastAsia="zh-CN" w:bidi="ar"/>
              </w:rPr>
              <w:t xml:space="preserve">  基本工资</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429.96</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30201</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办公费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30102</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56.11</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30202</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印刷费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30103</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奖金</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402.82</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30203</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咨询费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30106</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30204</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手续费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30107</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208.08</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30205</w:t>
            </w:r>
          </w:p>
        </w:tc>
        <w:tc>
          <w:tcPr>
            <w:tcW w:w="23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水费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30108</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140.68</w:t>
            </w: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30206</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电费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30109</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30207</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邮电费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30110</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56.58</w:t>
            </w: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30208</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取暖费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30111</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30209</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30112</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6.97</w:t>
            </w: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30211</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差旅费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30113</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104.00</w:t>
            </w: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30212</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30114</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医疗费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30213</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30199</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30214</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租赁费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对个人和家庭的补助</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30215</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会议费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30301</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离休费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30216</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培训费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30302</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退休费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30217</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30303</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30218</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30304</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抚恤金</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30224</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30305</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30225</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30306</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救济费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30226</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劳务费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30307</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30227</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30308</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助学金</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30228</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15.79</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30309</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奖励金</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30229</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福利费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30310</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30231</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30311</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30239</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30399</w:t>
            </w: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30240</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3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30299</w:t>
            </w:r>
          </w:p>
        </w:tc>
        <w:tc>
          <w:tcPr>
            <w:tcW w:w="21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3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34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人员经费合计</w:t>
            </w:r>
          </w:p>
        </w:tc>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1405.21</w:t>
            </w:r>
          </w:p>
        </w:tc>
        <w:tc>
          <w:tcPr>
            <w:tcW w:w="743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color w:val="000000"/>
                <w:kern w:val="0"/>
                <w:sz w:val="22"/>
                <w:szCs w:val="22"/>
                <w:u w:val="none"/>
                <w:lang w:val="en-US" w:eastAsia="zh-CN" w:bidi="ar"/>
              </w:rPr>
              <w:t>15.79</w:t>
            </w:r>
          </w:p>
        </w:tc>
      </w:tr>
      <w:bookmarkEnd w:id="0"/>
      <w:bookmarkEnd w:id="1"/>
      <w:tr>
        <w:tblPrEx>
          <w:tblCellMar>
            <w:top w:w="0" w:type="dxa"/>
            <w:left w:w="108" w:type="dxa"/>
            <w:bottom w:w="0" w:type="dxa"/>
            <w:right w:w="108" w:type="dxa"/>
          </w:tblCellMar>
        </w:tblPrEx>
        <w:trPr>
          <w:trHeight w:val="319" w:hRule="atLeast"/>
        </w:trPr>
        <w:tc>
          <w:tcPr>
            <w:tcW w:w="14000" w:type="dxa"/>
            <w:gridSpan w:val="13"/>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168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本部门2022年度没有政府性基金预算财政拨款收入，也没有政府性基金预算财政拨款安排的支出，故本表无数据。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r>
        <w:rPr>
          <w:rFonts w:hint="eastAsia" w:ascii="宋体" w:hAnsi="宋体" w:eastAsia="宋体" w:cs="宋体"/>
          <w:color w:val="auto"/>
          <w:kern w:val="2"/>
          <w:sz w:val="21"/>
          <w:szCs w:val="21"/>
          <w:highlight w:val="none"/>
          <w:lang w:val="en-US" w:eastAsia="zh-CN" w:bidi="ar"/>
        </w:rPr>
        <w:t>本部门</w:t>
      </w:r>
      <w:r>
        <w:rPr>
          <w:rFonts w:hint="eastAsia" w:ascii="Times New Roman" w:hAnsi="Times New Roman" w:eastAsia="宋体" w:cs="Times New Roman"/>
          <w:color w:val="auto"/>
          <w:kern w:val="2"/>
          <w:sz w:val="21"/>
          <w:szCs w:val="21"/>
          <w:highlight w:val="none"/>
          <w:lang w:val="en-US" w:eastAsia="zh-CN" w:bidi="ar"/>
        </w:rPr>
        <w:t>2023</w:t>
      </w:r>
      <w:r>
        <w:rPr>
          <w:rFonts w:hint="eastAsia" w:ascii="宋体" w:hAnsi="宋体" w:eastAsia="宋体" w:cs="宋体"/>
          <w:color w:val="auto"/>
          <w:kern w:val="2"/>
          <w:sz w:val="21"/>
          <w:szCs w:val="21"/>
          <w:highlight w:val="none"/>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p>
      <w:pPr>
        <w:bidi w:val="0"/>
        <w:jc w:val="left"/>
        <w:rPr>
          <w:rFonts w:hint="eastAsia" w:asciiTheme="minorHAnsi" w:hAnsiTheme="minorHAnsi" w:eastAsiaTheme="minorEastAsia" w:cstheme="minorBidi"/>
          <w:kern w:val="2"/>
          <w:sz w:val="21"/>
          <w:szCs w:val="24"/>
          <w:lang w:val="en-US" w:eastAsia="zh-CN" w:bidi="ar-SA"/>
        </w:rPr>
      </w:pP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广西河池市环江毛南族自治县第四初级中学</w:t>
            </w: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val="en-US"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auto"/>
                <w:kern w:val="2"/>
                <w:sz w:val="21"/>
                <w:szCs w:val="21"/>
                <w:lang w:val="en-US" w:eastAsia="zh-CN" w:bidi="ar"/>
              </w:rPr>
              <w:t>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广西河池市环江毛南族自治县第四初级中学</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u w:color="auto"/>
          <w:lang w:eastAsia="zh-CN"/>
        </w:rPr>
        <w:t>1988.69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eastAsia="zh-CN"/>
        </w:rPr>
        <w:t>466.34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eastAsia="zh-CN"/>
        </w:rPr>
        <w:t>30.63</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eastAsia="zh-CN"/>
        </w:rPr>
        <w:t>1988.69</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eastAsia="zh-CN"/>
        </w:rPr>
        <w:t>1988.69</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466.34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30.63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学生人数增加，教师人数增加，拨款资金相对增加。</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主要原因：本单位无此项收入。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主要原因是：本单位无此项收入。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本单位无经营性收入。</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下降0</w:t>
      </w:r>
      <w:r>
        <w:rPr>
          <w:rFonts w:hint="eastAsia" w:ascii="仿宋" w:hAnsi="仿宋" w:eastAsia="仿宋" w:cs="仿宋"/>
          <w:sz w:val="32"/>
          <w:u w:color="auto"/>
          <w:lang w:val="en-US" w:eastAsia="zh-CN"/>
        </w:rPr>
        <w:t>.00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841875" cy="2972435"/>
            <wp:effectExtent l="4445" t="4445" r="11430" b="1397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auto"/>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二）本部门</w:t>
      </w:r>
      <w:r>
        <w:rPr>
          <w:rFonts w:hint="eastAsia" w:ascii="仿宋" w:hAnsi="仿宋" w:eastAsia="仿宋" w:cs="仿宋"/>
          <w:color w:val="000000" w:themeColor="text1"/>
          <w:sz w:val="32"/>
          <w:szCs w:val="32"/>
          <w:highlight w:val="none"/>
          <w:lang w:eastAsia="zh-CN"/>
          <w14:textFill>
            <w14:solidFill>
              <w14:schemeClr w14:val="tx1"/>
            </w14:solidFill>
          </w14:textFill>
        </w:rPr>
        <w:t>2023</w:t>
      </w:r>
      <w:r>
        <w:rPr>
          <w:rFonts w:hint="eastAsia" w:ascii="仿宋" w:hAnsi="仿宋" w:eastAsia="仿宋" w:cs="仿宋"/>
          <w:color w:val="000000" w:themeColor="text1"/>
          <w:sz w:val="32"/>
          <w:szCs w:val="32"/>
          <w:highlight w:val="none"/>
          <w14:textFill>
            <w14:solidFill>
              <w14:schemeClr w14:val="tx1"/>
            </w14:solidFill>
          </w14:textFill>
        </w:rPr>
        <w:t>年度总支出</w:t>
      </w:r>
      <w:r>
        <w:rPr>
          <w:rFonts w:hint="eastAsia" w:ascii="仿宋" w:hAnsi="仿宋" w:eastAsia="仿宋" w:cs="仿宋"/>
          <w:color w:val="000000" w:themeColor="text1"/>
          <w:sz w:val="32"/>
          <w:u w:color="auto"/>
          <w:lang w:eastAsia="zh-CN"/>
          <w14:textFill>
            <w14:solidFill>
              <w14:schemeClr w14:val="tx1"/>
            </w14:solidFill>
          </w14:textFill>
        </w:rPr>
        <w:t>1988.69</w:t>
      </w:r>
      <w:r>
        <w:rPr>
          <w:rFonts w:hint="eastAsia" w:ascii="仿宋" w:hAnsi="仿宋" w:eastAsia="仿宋" w:cs="仿宋"/>
          <w:color w:val="000000" w:themeColor="text1"/>
          <w:sz w:val="32"/>
          <w:szCs w:val="32"/>
          <w:highlight w:val="none"/>
          <w14:textFill>
            <w14:solidFill>
              <w14:schemeClr w14:val="tx1"/>
            </w14:solidFill>
          </w14:textFill>
        </w:rPr>
        <w:t>万元，其中本年支出</w:t>
      </w:r>
      <w:r>
        <w:rPr>
          <w:rFonts w:hint="eastAsia" w:ascii="仿宋" w:hAnsi="仿宋" w:eastAsia="仿宋" w:cs="仿宋"/>
          <w:color w:val="000000" w:themeColor="text1"/>
          <w:sz w:val="32"/>
          <w:u w:color="auto"/>
          <w:lang w:eastAsia="zh-CN"/>
          <w14:textFill>
            <w14:solidFill>
              <w14:schemeClr w14:val="tx1"/>
            </w14:solidFill>
          </w14:textFill>
        </w:rPr>
        <w:t>1988.69</w:t>
      </w:r>
      <w:r>
        <w:rPr>
          <w:rFonts w:hint="eastAsia" w:ascii="仿宋" w:hAnsi="仿宋" w:eastAsia="仿宋" w:cs="仿宋"/>
          <w:color w:val="000000" w:themeColor="text1"/>
          <w:sz w:val="32"/>
          <w:szCs w:val="32"/>
          <w:highlight w:val="none"/>
          <w14:textFill>
            <w14:solidFill>
              <w14:schemeClr w14:val="tx1"/>
            </w14:solidFill>
          </w14:textFill>
        </w:rPr>
        <w:t>万元，较</w:t>
      </w:r>
      <w:r>
        <w:rPr>
          <w:rFonts w:hint="eastAsia" w:ascii="仿宋" w:hAnsi="仿宋" w:eastAsia="仿宋" w:cs="仿宋"/>
          <w:color w:val="000000" w:themeColor="text1"/>
          <w:sz w:val="32"/>
          <w:szCs w:val="32"/>
          <w:highlight w:val="none"/>
          <w:lang w:eastAsia="zh-CN"/>
          <w14:textFill>
            <w14:solidFill>
              <w14:schemeClr w14:val="tx1"/>
            </w14:solidFill>
          </w14:textFill>
        </w:rPr>
        <w:t>2022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ascii="仿宋" w:hAnsi="仿宋" w:eastAsia="仿宋" w:cs="仿宋"/>
          <w:color w:val="000000" w:themeColor="text1"/>
          <w:sz w:val="32"/>
          <w:u w:color="auto"/>
          <w14:textFill>
            <w14:solidFill>
              <w14:schemeClr w14:val="tx1"/>
            </w14:solidFill>
          </w14:textFill>
        </w:rPr>
        <w:t>增加</w:t>
      </w:r>
      <w:r>
        <w:rPr>
          <w:rFonts w:hint="eastAsia" w:ascii="仿宋" w:hAnsi="仿宋" w:eastAsia="仿宋" w:cs="仿宋"/>
          <w:color w:val="000000" w:themeColor="text1"/>
          <w:sz w:val="32"/>
          <w:u w:color="auto"/>
          <w:lang w:eastAsia="zh-CN"/>
          <w14:textFill>
            <w14:solidFill>
              <w14:schemeClr w14:val="tx1"/>
            </w14:solidFill>
          </w14:textFill>
        </w:rPr>
        <w:t>466.34</w:t>
      </w:r>
      <w:r>
        <w:rPr>
          <w:rFonts w:hint="eastAsia" w:ascii="仿宋" w:hAnsi="仿宋" w:eastAsia="仿宋" w:cs="仿宋"/>
          <w:color w:val="000000" w:themeColor="text1"/>
          <w:sz w:val="32"/>
          <w:szCs w:val="32"/>
          <w:highlight w:val="none"/>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w:t>
      </w:r>
      <w:r>
        <w:rPr>
          <w:rFonts w:hint="eastAsia" w:ascii="仿宋" w:hAnsi="仿宋" w:eastAsia="仿宋" w:cs="仿宋"/>
          <w:color w:val="000000" w:themeColor="text1"/>
          <w:sz w:val="32"/>
          <w:u w:color="auto"/>
          <w:lang w:eastAsia="zh-CN"/>
          <w14:textFill>
            <w14:solidFill>
              <w14:schemeClr w14:val="tx1"/>
            </w14:solidFill>
          </w14:textFill>
        </w:rPr>
        <w:t>30.63</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000000" w:themeColor="text1"/>
          <w:sz w:val="32"/>
          <w:szCs w:val="32"/>
          <w:highlight w:val="none"/>
          <w14:textFill>
            <w14:solidFill>
              <w14:schemeClr w14:val="tx1"/>
            </w14:solidFill>
          </w14:textFill>
        </w:rPr>
        <w:t>1</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一般公共服务支出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201</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eastAsia="zh-CN" w:bidi="ar"/>
          <w14:textFill>
            <w14:solidFill>
              <w14:schemeClr w14:val="tx1"/>
            </w14:solidFill>
          </w14:textFill>
        </w:rPr>
        <w:t>15.79</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olor w:val="000000" w:themeColor="text1"/>
          <w:sz w:val="32"/>
          <w:szCs w:val="32"/>
          <w:highlight w:val="none"/>
          <w:u w:val="none"/>
          <w:lang w:val="en-US" w:eastAsia="zh-CN"/>
          <w14:textFill>
            <w14:solidFill>
              <w14:schemeClr w14:val="tx1"/>
            </w14:solidFill>
          </w14:textFill>
        </w:rPr>
        <w:t>工会组织活动开支</w:t>
      </w:r>
      <w:r>
        <w:rPr>
          <w:rFonts w:hint="eastAsia" w:ascii="仿宋" w:hAnsi="仿宋" w:eastAsia="仿宋" w:cs="仿宋"/>
          <w:color w:val="000000" w:themeColor="text1"/>
          <w:sz w:val="32"/>
          <w:szCs w:val="32"/>
          <w:highlight w:val="none"/>
          <w14:textFill>
            <w14:solidFill>
              <w14:schemeClr w14:val="tx1"/>
            </w14:solidFill>
          </w14:textFill>
        </w:rPr>
        <w:t>。较</w:t>
      </w:r>
      <w:r>
        <w:rPr>
          <w:rFonts w:hint="eastAsia" w:ascii="仿宋" w:hAnsi="仿宋" w:eastAsia="仿宋" w:cs="仿宋"/>
          <w:color w:val="000000" w:themeColor="text1"/>
          <w:sz w:val="32"/>
          <w:szCs w:val="32"/>
          <w:highlight w:val="none"/>
          <w:lang w:eastAsia="zh-CN"/>
          <w14:textFill>
            <w14:solidFill>
              <w14:schemeClr w14:val="tx1"/>
            </w14:solidFill>
          </w14:textFill>
        </w:rPr>
        <w:t>2022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hint="eastAsia" w:ascii="仿宋" w:hAnsi="仿宋" w:eastAsia="仿宋" w:cs="仿宋"/>
          <w:color w:val="000000" w:themeColor="text1"/>
          <w:sz w:val="32"/>
          <w:szCs w:val="32"/>
          <w:highlight w:val="none"/>
          <w:lang w:bidi="ar"/>
          <w14:textFill>
            <w14:solidFill>
              <w14:schemeClr w14:val="tx1"/>
            </w14:solidFill>
          </w14:textFill>
        </w:rPr>
        <w:t>增加</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3.40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增长</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27.44</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主要原因是：教职工人数增加，教职工活动经费相应增加。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2</w:t>
      </w:r>
      <w:r>
        <w:rPr>
          <w:rFonts w:ascii="仿宋" w:hAnsi="仿宋" w:eastAsia="仿宋" w:cs="仿宋"/>
          <w:color w:val="auto"/>
          <w:sz w:val="32"/>
          <w:highlight w:val="none"/>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eastAsia="zh-CN" w:bidi="ar"/>
        </w:rPr>
        <w:t>1608.09</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华文仿宋" w:hAnsi="华文仿宋" w:eastAsia="华文仿宋" w:cs="华文仿宋"/>
          <w:color w:val="auto"/>
          <w:kern w:val="0"/>
          <w:sz w:val="32"/>
          <w:szCs w:val="32"/>
          <w:highlight w:val="none"/>
        </w:rPr>
        <w:t>主要用于全</w:t>
      </w:r>
      <w:r>
        <w:rPr>
          <w:rFonts w:hint="eastAsia" w:ascii="华文仿宋" w:hAnsi="华文仿宋" w:eastAsia="华文仿宋" w:cs="华文仿宋"/>
          <w:color w:val="auto"/>
          <w:kern w:val="0"/>
          <w:sz w:val="32"/>
          <w:szCs w:val="32"/>
          <w:highlight w:val="none"/>
          <w:lang w:val="en-US" w:eastAsia="zh-CN"/>
        </w:rPr>
        <w:t>校</w:t>
      </w:r>
      <w:r>
        <w:rPr>
          <w:rFonts w:hint="eastAsia" w:ascii="华文仿宋" w:hAnsi="华文仿宋" w:eastAsia="华文仿宋" w:cs="华文仿宋"/>
          <w:color w:val="auto"/>
          <w:kern w:val="0"/>
          <w:sz w:val="32"/>
          <w:szCs w:val="32"/>
          <w:highlight w:val="none"/>
        </w:rPr>
        <w:t>教</w:t>
      </w:r>
      <w:r>
        <w:rPr>
          <w:rFonts w:hint="eastAsia" w:ascii="华文仿宋" w:hAnsi="华文仿宋" w:eastAsia="华文仿宋" w:cs="华文仿宋"/>
          <w:color w:val="auto"/>
          <w:kern w:val="0"/>
          <w:sz w:val="32"/>
          <w:szCs w:val="32"/>
          <w:highlight w:val="none"/>
          <w:lang w:val="en-US" w:eastAsia="zh-CN"/>
        </w:rPr>
        <w:t>职工</w:t>
      </w:r>
      <w:r>
        <w:rPr>
          <w:rFonts w:hint="eastAsia" w:ascii="华文仿宋" w:hAnsi="华文仿宋" w:eastAsia="华文仿宋" w:cs="华文仿宋"/>
          <w:color w:val="auto"/>
          <w:kern w:val="0"/>
          <w:sz w:val="32"/>
          <w:szCs w:val="32"/>
          <w:highlight w:val="none"/>
        </w:rPr>
        <w:t>工资及为开展教育教学活动的支出。</w:t>
      </w:r>
      <w:r>
        <w:rPr>
          <w:rFonts w:hint="eastAsia" w:ascii="仿宋" w:hAnsi="仿宋" w:eastAsia="仿宋" w:cs="仿宋"/>
          <w:color w:val="auto"/>
          <w:sz w:val="32"/>
          <w:szCs w:val="32"/>
          <w:highlight w:val="none"/>
        </w:rPr>
        <w:t>较</w:t>
      </w: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增加454.32</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32.96</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华文仿宋" w:hAnsi="华文仿宋" w:eastAsia="华文仿宋" w:cs="华文仿宋"/>
          <w:color w:val="auto"/>
          <w:kern w:val="0"/>
          <w:sz w:val="32"/>
          <w:szCs w:val="32"/>
          <w:highlight w:val="none"/>
          <w:lang w:eastAsia="zh-CN"/>
        </w:rPr>
        <w:t>学生</w:t>
      </w:r>
      <w:r>
        <w:rPr>
          <w:rFonts w:hint="eastAsia" w:ascii="华文仿宋" w:hAnsi="华文仿宋" w:eastAsia="华文仿宋" w:cs="华文仿宋"/>
          <w:color w:val="auto"/>
          <w:kern w:val="0"/>
          <w:sz w:val="32"/>
          <w:szCs w:val="32"/>
          <w:highlight w:val="none"/>
          <w:lang w:val="en-US" w:eastAsia="zh-CN"/>
        </w:rPr>
        <w:t>及教师人</w:t>
      </w:r>
      <w:r>
        <w:rPr>
          <w:rFonts w:hint="eastAsia" w:ascii="华文仿宋" w:hAnsi="华文仿宋" w:eastAsia="华文仿宋" w:cs="华文仿宋"/>
          <w:color w:val="auto"/>
          <w:kern w:val="0"/>
          <w:sz w:val="32"/>
          <w:szCs w:val="32"/>
          <w:highlight w:val="none"/>
          <w:lang w:eastAsia="zh-CN"/>
        </w:rPr>
        <w:t>数</w:t>
      </w:r>
      <w:r>
        <w:rPr>
          <w:rFonts w:hint="eastAsia" w:ascii="华文仿宋" w:hAnsi="华文仿宋" w:eastAsia="华文仿宋" w:cs="华文仿宋"/>
          <w:color w:val="auto"/>
          <w:kern w:val="0"/>
          <w:sz w:val="32"/>
          <w:szCs w:val="32"/>
          <w:highlight w:val="none"/>
          <w:lang w:val="en-US" w:eastAsia="zh-CN"/>
        </w:rPr>
        <w:t>增加</w:t>
      </w:r>
      <w:r>
        <w:rPr>
          <w:rFonts w:hint="eastAsia" w:ascii="华文仿宋" w:hAnsi="华文仿宋" w:eastAsia="华文仿宋" w:cs="华文仿宋"/>
          <w:color w:val="auto"/>
          <w:kern w:val="0"/>
          <w:sz w:val="32"/>
          <w:szCs w:val="32"/>
          <w:highlight w:val="none"/>
          <w:lang w:eastAsia="zh-CN"/>
        </w:rPr>
        <w:t>，</w:t>
      </w:r>
      <w:r>
        <w:rPr>
          <w:rFonts w:hint="eastAsia" w:ascii="华文仿宋" w:hAnsi="华文仿宋" w:eastAsia="华文仿宋" w:cs="华文仿宋"/>
          <w:color w:val="auto"/>
          <w:kern w:val="0"/>
          <w:sz w:val="32"/>
          <w:szCs w:val="32"/>
          <w:highlight w:val="none"/>
          <w:lang w:val="en-US" w:eastAsia="zh-CN"/>
        </w:rPr>
        <w:t>各项支出相应有所增加</w:t>
      </w:r>
      <w:r>
        <w:rPr>
          <w:rFonts w:hint="eastAsia" w:ascii="华文仿宋" w:hAnsi="华文仿宋" w:eastAsia="华文仿宋" w:cs="华文仿宋"/>
          <w:color w:val="auto"/>
          <w:kern w:val="0"/>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140.68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rPr>
        <w:t>缴纳教职工</w:t>
      </w:r>
      <w:r>
        <w:rPr>
          <w:rFonts w:hint="eastAsia" w:ascii="华文仿宋" w:hAnsi="华文仿宋" w:eastAsia="华文仿宋" w:cs="华文仿宋"/>
          <w:kern w:val="0"/>
          <w:sz w:val="32"/>
          <w:szCs w:val="32"/>
          <w:lang w:val="en-US" w:eastAsia="zh-CN"/>
        </w:rPr>
        <w:t>养老保险费</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eastAsia="zh-CN" w:bidi="ar"/>
        </w:rPr>
        <w:t>47.06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50.27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主要原因是：公招</w:t>
      </w:r>
      <w:r>
        <w:rPr>
          <w:rFonts w:hint="eastAsia" w:ascii="仿宋" w:hAnsi="仿宋" w:eastAsia="仿宋" w:cs="仿宋"/>
          <w:color w:val="auto"/>
          <w:kern w:val="2"/>
          <w:sz w:val="32"/>
          <w:szCs w:val="32"/>
          <w:highlight w:val="none"/>
          <w:lang w:val="en-US" w:eastAsia="zh-CN" w:bidi="ar"/>
        </w:rPr>
        <w:t>教师调进，人员增加</w:t>
      </w:r>
      <w:r>
        <w:rPr>
          <w:rFonts w:hint="eastAsia" w:ascii="仿宋" w:hAnsi="仿宋" w:eastAsia="仿宋" w:cs="仿宋"/>
          <w:color w:val="0000FF"/>
          <w:kern w:val="2"/>
          <w:sz w:val="32"/>
          <w:szCs w:val="32"/>
          <w:highlight w:val="none"/>
          <w:lang w:val="en-US" w:eastAsia="zh-CN" w:bidi="ar"/>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lang w:eastAsia="zh-CN" w:bidi="ar"/>
        </w:rPr>
        <w:t>就</w:t>
      </w:r>
      <w:r>
        <w:rPr>
          <w:rFonts w:hint="eastAsia" w:ascii="仿宋" w:hAnsi="仿宋" w:eastAsia="仿宋" w:cs="仿宋"/>
          <w:sz w:val="32"/>
          <w:szCs w:val="32"/>
          <w:highlight w:val="none"/>
          <w:lang w:val="en-US" w:eastAsia="zh-CN" w:bidi="ar"/>
        </w:rPr>
        <w:t>增加</w:t>
      </w:r>
      <w:r>
        <w:rPr>
          <w:rFonts w:hint="eastAsia" w:ascii="仿宋" w:hAnsi="仿宋" w:eastAsia="仿宋" w:cs="仿宋"/>
          <w:sz w:val="32"/>
          <w:szCs w:val="32"/>
          <w:highlight w:val="none"/>
          <w:lang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104.00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缴纳教职工</w:t>
      </w:r>
      <w:r>
        <w:rPr>
          <w:rFonts w:hint="eastAsia" w:ascii="Times New Roman" w:hAnsi="Times New Roman" w:eastAsia="仿宋_GB2312" w:cs="Times New Roman"/>
          <w:kern w:val="0"/>
          <w:sz w:val="32"/>
          <w:szCs w:val="32"/>
        </w:rPr>
        <w:t>住房公积金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29.04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38.74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主要原因是：公招</w:t>
      </w:r>
      <w:r>
        <w:rPr>
          <w:rFonts w:hint="eastAsia" w:ascii="仿宋" w:hAnsi="仿宋" w:eastAsia="仿宋" w:cs="仿宋"/>
          <w:color w:val="auto"/>
          <w:kern w:val="2"/>
          <w:sz w:val="32"/>
          <w:szCs w:val="32"/>
          <w:highlight w:val="none"/>
          <w:lang w:val="en-US" w:eastAsia="zh-CN" w:bidi="ar"/>
        </w:rPr>
        <w:t>教师调进，人员增加，公积金缴纳增长</w:t>
      </w:r>
      <w:r>
        <w:rPr>
          <w:rFonts w:hint="eastAsia" w:ascii="仿宋" w:hAnsi="仿宋" w:eastAsia="仿宋" w:cs="仿宋"/>
          <w:color w:val="auto"/>
          <w:sz w:val="32"/>
          <w:szCs w:val="32"/>
          <w:highlight w:val="none"/>
          <w:lang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bidi="ar"/>
        </w:rPr>
        <w:t>120.13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kern w:val="0"/>
          <w:sz w:val="32"/>
          <w:szCs w:val="32"/>
        </w:rPr>
        <w:t>主要用于人员工资福利</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减少11.82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-8.96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主要原因是：部分绩效考评奖励金在2022年度预发和有部分到2024年度才清算发放。</w:t>
      </w:r>
      <w:bookmarkStart w:id="6" w:name="_GoBack"/>
      <w:bookmarkEnd w:id="6"/>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2022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：本单位无结余分配。</w:t>
      </w:r>
    </w:p>
    <w:p>
      <w:pPr>
        <w:keepNext w:val="0"/>
        <w:keepLines w:val="0"/>
        <w:widowControl w:val="0"/>
        <w:suppressLineNumbers w:val="0"/>
        <w:spacing w:before="0" w:beforeAutospacing="0" w:after="0" w:afterAutospacing="0"/>
        <w:ind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highlight w:val="none"/>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主要原因是：本单位年末无</w:t>
      </w:r>
      <w:r>
        <w:rPr>
          <w:rFonts w:hint="eastAsia" w:ascii="仿宋" w:hAnsi="仿宋" w:eastAsia="仿宋" w:cs="仿宋"/>
          <w:sz w:val="32"/>
          <w:szCs w:val="32"/>
          <w:highlight w:val="none"/>
        </w:rPr>
        <w:t>结转和结余</w:t>
      </w:r>
      <w:r>
        <w:rPr>
          <w:rFonts w:hint="eastAsia" w:ascii="仿宋" w:hAnsi="仿宋" w:eastAsia="仿宋" w:cs="仿宋"/>
          <w:sz w:val="32"/>
          <w:szCs w:val="32"/>
          <w:highlight w:val="none"/>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889500" cy="2594610"/>
            <wp:effectExtent l="4445" t="4445" r="20955" b="1079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广西河池市环江毛南族自治县第四初级中学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eastAsia="zh-CN"/>
        </w:rPr>
        <w:t>1988.69</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eastAsia="zh-CN"/>
        </w:rPr>
        <w:t>466.34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eastAsia="zh-CN"/>
        </w:rPr>
        <w:t>30.63</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eastAsia="zh-CN"/>
        </w:rPr>
        <w:t>1421.00</w:t>
      </w:r>
      <w:r>
        <w:rPr>
          <w:rFonts w:hint="eastAsia" w:ascii="仿宋" w:hAnsi="仿宋" w:eastAsia="仿宋" w:cs="仿宋"/>
          <w:sz w:val="32"/>
          <w:szCs w:val="32"/>
          <w:highlight w:val="none"/>
        </w:rPr>
        <w:t>万元，项目支出</w:t>
      </w:r>
      <w:r>
        <w:rPr>
          <w:rFonts w:hint="eastAsia" w:ascii="仿宋" w:hAnsi="仿宋" w:eastAsia="仿宋" w:cs="仿宋"/>
          <w:sz w:val="32"/>
          <w:u w:color="auto"/>
          <w:lang w:eastAsia="zh-CN"/>
        </w:rPr>
        <w:t>567.69</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广西河池市环江毛南族自治县第四初级中学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color w:val="auto"/>
          <w:sz w:val="32"/>
          <w:u w:color="auto"/>
          <w:lang w:val="en-US" w:eastAsia="zh-CN"/>
        </w:rPr>
        <w:t>1009.48</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eastAsia="zh-CN"/>
        </w:rPr>
        <w:t>1988.69</w:t>
      </w:r>
      <w:r>
        <w:rPr>
          <w:rFonts w:hint="eastAsia" w:ascii="仿宋" w:hAnsi="仿宋" w:eastAsia="仿宋" w:cs="仿宋"/>
          <w:sz w:val="32"/>
          <w:szCs w:val="32"/>
          <w:highlight w:val="none"/>
        </w:rPr>
        <w:t>万元，完成年初预算的</w:t>
      </w:r>
      <w:r>
        <w:rPr>
          <w:rFonts w:hint="eastAsia" w:ascii="仿宋" w:hAnsi="仿宋" w:eastAsia="仿宋" w:cs="仿宋"/>
          <w:color w:val="auto"/>
          <w:sz w:val="32"/>
          <w:u w:color="auto"/>
          <w:lang w:val="en-US" w:eastAsia="zh-CN"/>
        </w:rPr>
        <w:t>979.21</w:t>
      </w:r>
      <w:r>
        <w:rPr>
          <w:rFonts w:ascii="仿宋" w:hAnsi="仿宋" w:eastAsia="仿宋" w:cs="仿宋"/>
          <w:color w:val="auto"/>
          <w:sz w:val="32"/>
          <w:u w:color="auto"/>
        </w:rPr>
        <w:t>%</w:t>
      </w:r>
      <w:r>
        <w:rPr>
          <w:rFonts w:hint="eastAsia" w:ascii="仿宋" w:hAnsi="仿宋" w:eastAsia="仿宋" w:cs="仿宋"/>
          <w:sz w:val="32"/>
          <w:szCs w:val="32"/>
          <w:highlight w:val="none"/>
        </w:rPr>
        <w:t>。</w:t>
      </w:r>
    </w:p>
    <w:p>
      <w:pPr>
        <w:jc w:val="left"/>
        <w:rPr>
          <w:rFonts w:hint="eastAsia" w:eastAsia="仿宋"/>
          <w:color w:val="FF0000"/>
          <w:highlight w:val="none"/>
          <w:lang w:val="en-US" w:eastAsia="zh-CN"/>
        </w:rPr>
      </w:pPr>
      <w:bookmarkStart w:id="3" w:name="OLE_LINK2"/>
      <w:bookmarkEnd w:id="3"/>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eastAsia="zh-CN"/>
        </w:rPr>
        <w:t>15.79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eastAsia="zh-CN"/>
        </w:rPr>
        <w:t>15.79</w:t>
      </w:r>
      <w:r>
        <w:rPr>
          <w:rFonts w:hint="eastAsia" w:ascii="仿宋" w:hAnsi="仿宋" w:eastAsia="仿宋"/>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没有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15.79</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15.79</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主要用于工会组织活动开支</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15.79</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15.79</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主要用于工会组织活动开支。</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color w:val="auto"/>
          <w:sz w:val="32"/>
          <w:szCs w:val="32"/>
          <w:highlight w:val="none"/>
          <w:lang w:val="en-US" w:eastAsia="zh-CN"/>
        </w:rPr>
        <w:t>812.5</w:t>
      </w:r>
      <w:r>
        <w:rPr>
          <w:rFonts w:hint="eastAsia" w:ascii="仿宋" w:hAnsi="仿宋" w:eastAsia="仿宋"/>
          <w:color w:val="auto"/>
          <w:sz w:val="32"/>
          <w:szCs w:val="32"/>
          <w:highlight w:val="none"/>
        </w:rPr>
        <w:t>万元，</w:t>
      </w:r>
      <w:r>
        <w:rPr>
          <w:rFonts w:hint="eastAsia" w:ascii="仿宋" w:hAnsi="仿宋" w:eastAsia="仿宋"/>
          <w:sz w:val="32"/>
          <w:szCs w:val="32"/>
          <w:highlight w:val="none"/>
        </w:rPr>
        <w:t>支出决算为</w:t>
      </w:r>
      <w:r>
        <w:rPr>
          <w:rFonts w:hint="eastAsia" w:ascii="仿宋" w:hAnsi="仿宋" w:eastAsia="仿宋"/>
          <w:sz w:val="32"/>
          <w:szCs w:val="32"/>
          <w:highlight w:val="none"/>
          <w:lang w:eastAsia="zh-CN"/>
        </w:rPr>
        <w:t>1608.09</w:t>
      </w:r>
      <w:r>
        <w:rPr>
          <w:rFonts w:hint="eastAsia" w:ascii="仿宋" w:hAnsi="仿宋" w:eastAsia="仿宋"/>
          <w:sz w:val="32"/>
          <w:szCs w:val="32"/>
          <w:highlight w:val="none"/>
        </w:rPr>
        <w:t>万元，完成年初预算的</w:t>
      </w:r>
      <w:r>
        <w:rPr>
          <w:rFonts w:hint="eastAsia" w:ascii="仿宋" w:hAnsi="仿宋" w:eastAsia="仿宋"/>
          <w:color w:val="auto"/>
          <w:sz w:val="32"/>
          <w:szCs w:val="32"/>
          <w:highlight w:val="none"/>
          <w:lang w:val="en-US" w:eastAsia="zh-CN"/>
        </w:rPr>
        <w:t>759.59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原因是：一是该类支出部分资金上级部门每年都有预算，直接下达，本部门无需做预算，二是教职工调入人员增加，支出增加</w:t>
      </w:r>
      <w:r>
        <w:rPr>
          <w:rFonts w:hint="eastAsia" w:ascii="仿宋" w:hAnsi="仿宋" w:eastAsia="仿宋" w:cs="仿宋"/>
          <w:b/>
          <w:bCs/>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00"/>
        <w:gridCol w:w="855"/>
        <w:gridCol w:w="2175"/>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0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8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17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58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FF0000"/>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764.40</w:t>
            </w:r>
          </w:p>
        </w:tc>
        <w:tc>
          <w:tcPr>
            <w:tcW w:w="90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1590.98</w:t>
            </w:r>
          </w:p>
        </w:tc>
        <w:tc>
          <w:tcPr>
            <w:tcW w:w="8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FF0000"/>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208.13%</w:t>
            </w:r>
          </w:p>
        </w:tc>
        <w:tc>
          <w:tcPr>
            <w:tcW w:w="217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华文仿宋" w:hAnsi="华文仿宋" w:eastAsia="华文仿宋" w:cs="华文仿宋"/>
                <w:kern w:val="0"/>
                <w:sz w:val="21"/>
                <w:szCs w:val="21"/>
              </w:rPr>
              <w:t>人员工资及为开展教育教学活动的支出</w:t>
            </w:r>
          </w:p>
        </w:tc>
        <w:tc>
          <w:tcPr>
            <w:tcW w:w="158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一是该类支出部分资金上级部门每年都有预算，直接下达，本部门无需做预算，二是教职工调入人员增加，支出增</w:t>
            </w:r>
            <w:r>
              <w:rPr>
                <w:rFonts w:hint="eastAsia" w:ascii="仿宋" w:hAnsi="仿宋" w:eastAsia="仿宋"/>
                <w:color w:val="000000" w:themeColor="text1"/>
                <w:sz w:val="21"/>
                <w:szCs w:val="21"/>
                <w:highlight w:val="none"/>
                <w:lang w:val="en-US" w:eastAsia="zh-CN"/>
                <w14:textFill>
                  <w14:solidFill>
                    <w14:schemeClr w14:val="tx1"/>
                  </w14:solidFill>
                </w14:textFill>
              </w:rPr>
              <w:t>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90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17.96</w:t>
            </w:r>
          </w:p>
        </w:tc>
        <w:tc>
          <w:tcPr>
            <w:tcW w:w="8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17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华文仿宋" w:hAnsi="华文仿宋" w:eastAsia="华文仿宋" w:cs="华文仿宋"/>
                <w:kern w:val="0"/>
                <w:sz w:val="21"/>
                <w:szCs w:val="21"/>
              </w:rPr>
              <w:t>要用于人员工资及为开展教育教学活动的支出</w:t>
            </w:r>
          </w:p>
        </w:tc>
        <w:tc>
          <w:tcPr>
            <w:tcW w:w="158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此部分资金上级部门每年都有预算直接下达，本部门无需预算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812.5</w:t>
            </w:r>
          </w:p>
        </w:tc>
        <w:tc>
          <w:tcPr>
            <w:tcW w:w="900"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1608.09</w:t>
            </w:r>
          </w:p>
        </w:tc>
        <w:tc>
          <w:tcPr>
            <w:tcW w:w="8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17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华文仿宋" w:hAnsi="华文仿宋" w:eastAsia="华文仿宋" w:cs="华文仿宋"/>
                <w:kern w:val="0"/>
                <w:sz w:val="18"/>
                <w:szCs w:val="18"/>
              </w:rPr>
              <w:t>要用于人员工资及为开展教育教学活动的支出</w:t>
            </w:r>
          </w:p>
        </w:tc>
        <w:tc>
          <w:tcPr>
            <w:tcW w:w="1581"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666615" cy="3304540"/>
            <wp:effectExtent l="4445" t="5080" r="15240" b="5080"/>
            <wp:docPr id="103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color w:val="auto"/>
          <w:sz w:val="32"/>
          <w:szCs w:val="32"/>
          <w:highlight w:val="none"/>
          <w:lang w:val="en-US" w:eastAsia="zh-CN"/>
        </w:rPr>
        <w:t>131.02</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eastAsia="zh-CN"/>
        </w:rPr>
        <w:t>140.68</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109.66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原因是：教职工调入人员增加。</w:t>
      </w: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131.02</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140.68</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109.66%</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color w:val="auto"/>
                <w:sz w:val="21"/>
                <w:szCs w:val="21"/>
                <w:highlight w:val="none"/>
                <w:lang w:val="en-US" w:eastAsia="zh-CN"/>
              </w:rPr>
              <w:t>用于教师</w:t>
            </w:r>
            <w:r>
              <w:rPr>
                <w:rFonts w:hint="eastAsia" w:ascii="宋体" w:hAnsi="宋体" w:eastAsia="宋体" w:cs="宋体"/>
                <w:b w:val="0"/>
                <w:bCs w:val="0"/>
                <w:i w:val="0"/>
                <w:iCs w:val="0"/>
                <w:color w:val="auto"/>
                <w:sz w:val="20"/>
                <w:szCs w:val="20"/>
                <w:highlight w:val="none"/>
                <w:u w:val="none"/>
                <w:lang w:val="en-US" w:eastAsia="zh-CN"/>
              </w:rPr>
              <w:t>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教职工调入人员增加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FF0000"/>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131.02</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140.68</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color w:val="auto"/>
                <w:sz w:val="21"/>
                <w:szCs w:val="21"/>
                <w:highlight w:val="none"/>
                <w:lang w:val="en-US" w:eastAsia="zh-CN"/>
              </w:rPr>
              <w:t>用于教师</w:t>
            </w:r>
            <w:r>
              <w:rPr>
                <w:rFonts w:hint="eastAsia" w:ascii="宋体" w:hAnsi="宋体" w:eastAsia="宋体" w:cs="宋体"/>
                <w:b w:val="0"/>
                <w:bCs w:val="0"/>
                <w:i w:val="0"/>
                <w:iCs w:val="0"/>
                <w:color w:val="auto"/>
                <w:sz w:val="20"/>
                <w:szCs w:val="20"/>
                <w:highlight w:val="none"/>
                <w:u w:val="none"/>
                <w:lang w:val="en-US" w:eastAsia="zh-CN"/>
              </w:rPr>
              <w:t>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教职工调入人员增</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color w:val="auto"/>
          <w:sz w:val="32"/>
          <w:szCs w:val="32"/>
          <w:highlight w:val="none"/>
          <w:lang w:val="en-US" w:eastAsia="zh-CN"/>
        </w:rPr>
        <w:t>98.27</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eastAsia="zh-CN"/>
        </w:rPr>
        <w:t>104.00</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105.3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原因是：人为增加工资基数，年初预算数据偏大。</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98.27</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104.00</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105.3%</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用于缴纳教师住房公积金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教职工调入人员增加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98.27</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104.00</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用于缴纳教师住房公积金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教职工调入人员增加</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color w:val="auto"/>
          <w:sz w:val="32"/>
          <w:szCs w:val="32"/>
          <w:highlight w:val="none"/>
        </w:rPr>
        <w:t>0.00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eastAsia="zh-CN"/>
        </w:rPr>
        <w:t>120.13</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120.13</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原因是：政府加大投资力度，学校严格按</w:t>
      </w:r>
      <w:r>
        <w:rPr>
          <w:rFonts w:hint="eastAsia" w:ascii="仿宋" w:hAnsi="仿宋" w:eastAsia="仿宋"/>
          <w:color w:val="000000" w:themeColor="text1"/>
          <w:sz w:val="32"/>
          <w:szCs w:val="32"/>
          <w:highlight w:val="none"/>
          <w:lang w:val="en-US" w:eastAsia="zh-CN"/>
          <w14:textFill>
            <w14:solidFill>
              <w14:schemeClr w14:val="tx1"/>
            </w14:solidFill>
          </w14:textFill>
        </w:rPr>
        <w:t>照资金管理办法使用。</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120.13</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用于支付人员奖励性补贴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此部分资金上级部门每年都有预算直接下达，本部门无需预算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120.13</w:t>
            </w:r>
          </w:p>
        </w:tc>
        <w:tc>
          <w:tcPr>
            <w:tcW w:w="1097"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用于支付人员奖励性补贴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此部分资金上级部门每年都有预算直接下达，本部门无需预算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广西河池市环江毛南族自治县第四初级中学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eastAsia="zh-CN"/>
        </w:rPr>
        <w:t>1421.00</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eastAsia="zh-CN"/>
        </w:rPr>
        <w:t>1405.21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15.79</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eastAsia="zh-CN"/>
        </w:rPr>
        <w:t>1405.21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144.56</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主要原因是：教师工资提高及奖励性绩效工资的发放。</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429.96万元，30102津贴补贴56.11万元，30103奖金402.82万元，30107绩效工资208.08万元，30108机关事业单位基本养老保险缴费140.68万元，30110职工基本医疗保险缴费56.58万元，30112其他社会保障缴费6.97万元，30113住房公积金104.00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商品和服务支出</w:t>
      </w:r>
      <w:r>
        <w:rPr>
          <w:rFonts w:hint="eastAsia" w:ascii="仿宋" w:hAnsi="仿宋" w:eastAsia="仿宋" w:cs="仿宋"/>
          <w:color w:val="auto"/>
          <w:sz w:val="32"/>
          <w:u w:color="auto"/>
          <w:lang w:val="en-US" w:eastAsia="zh-CN"/>
        </w:rPr>
        <w:t>15.79万</w:t>
      </w:r>
      <w:r>
        <w:rPr>
          <w:rFonts w:ascii="仿宋" w:hAnsi="仿宋" w:eastAsia="仿宋" w:cs="仿宋"/>
          <w:color w:val="auto"/>
          <w:sz w:val="32"/>
          <w:u w:color="auto"/>
        </w:rPr>
        <w:t>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30228工会经费15.79万元。</w:t>
      </w:r>
    </w:p>
    <w:p>
      <w:pPr>
        <w:jc w:val="center"/>
        <w:rPr>
          <w:rFonts w:hint="eastAsia" w:ascii="仿宋" w:hAnsi="仿宋" w:eastAsia="仿宋" w:cs="仿宋"/>
          <w:color w:val="FF0000"/>
          <w:sz w:val="32"/>
          <w:szCs w:val="32"/>
          <w:highlight w:val="none"/>
        </w:rPr>
      </w:pPr>
      <w:r>
        <w:rPr>
          <w:rFonts w:hint="eastAsia" w:ascii="仿宋" w:hAnsi="仿宋" w:eastAsia="仿宋" w:cs="仿宋"/>
          <w:color w:val="FF0000"/>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color w:val="FF0000"/>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eastAsia="zh-CN"/>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szCs w:val="32"/>
          <w:highlight w:val="none"/>
          <w:lang w:val="en-US" w:eastAsia="zh-CN"/>
        </w:rPr>
        <w:t>0.00</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主要原因是：本单位无债务。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主要原因是：本年度本单位无</w:t>
      </w:r>
      <w:r>
        <w:rPr>
          <w:rFonts w:hint="eastAsia" w:ascii="仿宋" w:hAnsi="仿宋" w:eastAsia="仿宋" w:cs="仿宋"/>
          <w:sz w:val="32"/>
          <w:szCs w:val="32"/>
          <w:highlight w:val="none"/>
        </w:rPr>
        <w:t>资本性支出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主要原因是：本年度本单位无</w:t>
      </w:r>
      <w:r>
        <w:rPr>
          <w:rFonts w:hint="eastAsia" w:ascii="仿宋" w:hAnsi="仿宋" w:eastAsia="仿宋" w:cs="仿宋"/>
          <w:sz w:val="32"/>
          <w:szCs w:val="32"/>
          <w:highlight w:val="none"/>
        </w:rPr>
        <w:t>其他支出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广西河池市环江毛南族自治县第四初级中学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w:t>
      </w:r>
      <w:r>
        <w:rPr>
          <w:rFonts w:hint="eastAsia" w:ascii="仿宋" w:hAnsi="仿宋" w:eastAsia="仿宋" w:cs="仿宋"/>
          <w:sz w:val="32"/>
          <w:szCs w:val="32"/>
          <w:highlight w:val="none"/>
          <w:lang w:eastAsia="zh-CN"/>
        </w:rPr>
        <w:t>2022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广西河池市环江毛南族自治县第四初级中学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广西河池市环江毛南族自治县第四初级中学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广西河池市环江毛南族自治县第四初级中学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广西河池市环江毛南族自治县第四初级中学</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广西河池市环江毛南族自治县第四初级中学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numPr>
          <w:ilvl w:val="0"/>
          <w:numId w:val="2"/>
        </w:numPr>
        <w:ind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本单位没有三公经费收入和支出。</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2"/>
        </w:numPr>
        <w:ind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本单位没有三公经费收入和支出。</w:t>
      </w:r>
    </w:p>
    <w:p>
      <w:pPr>
        <w:ind w:firstLine="640" w:firstLineChars="200"/>
        <w:jc w:val="left"/>
        <w:rPr>
          <w:rFonts w:hint="eastAsia" w:ascii="仿宋" w:hAnsi="仿宋" w:eastAsia="仿宋_GB2312" w:cs="仿宋"/>
          <w:sz w:val="32"/>
          <w:szCs w:val="32"/>
          <w:highlight w:val="none"/>
          <w:lang w:eastAsia="zh-CN"/>
        </w:rPr>
      </w:pP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numPr>
          <w:ilvl w:val="0"/>
          <w:numId w:val="0"/>
        </w:num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sz w:val="32"/>
          <w:szCs w:val="32"/>
          <w:highlight w:val="none"/>
        </w:rPr>
        <w:t>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bookmarkStart w:id="5" w:name="PO_part3A6B2IncReason1"/>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5"/>
      <w:r>
        <w:rPr>
          <w:rFonts w:hint="eastAsia" w:ascii="仿宋" w:hAnsi="仿宋" w:eastAsia="仿宋" w:cs="仿宋"/>
          <w:color w:val="auto"/>
          <w:sz w:val="32"/>
          <w:szCs w:val="32"/>
        </w:rPr>
        <w:t>。</w:t>
      </w: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w:t>
      </w:r>
      <w:r>
        <w:rPr>
          <w:rFonts w:hint="eastAsia" w:ascii="仿宋" w:hAnsi="仿宋" w:eastAsia="仿宋" w:cs="仿宋"/>
          <w:color w:val="auto"/>
          <w:sz w:val="32"/>
          <w:szCs w:val="32"/>
          <w:lang w:eastAsia="zh-CN"/>
        </w:rPr>
        <w:t>。</w:t>
      </w:r>
    </w:p>
    <w:p>
      <w:pPr>
        <w:numPr>
          <w:ilvl w:val="0"/>
          <w:numId w:val="0"/>
        </w:num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w:t>
      </w:r>
      <w:r>
        <w:rPr>
          <w:rFonts w:hint="eastAsia" w:ascii="仿宋" w:hAnsi="仿宋" w:eastAsia="仿宋" w:cs="仿宋"/>
          <w:color w:val="auto"/>
          <w:sz w:val="32"/>
          <w:szCs w:val="32"/>
          <w:lang w:val="en-US" w:eastAsia="zh-CN"/>
        </w:rPr>
        <w:t>接待</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0.00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528.163</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67</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449.582</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万元。从评价情况来看，该项目目标明确，组织管理到位，执行项目有力，资金管理规范，综合评价结果为优</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528.163</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eastAsia="zh-CN"/>
          <w14:textFill>
            <w14:solidFill>
              <w14:schemeClr w14:val="tx1"/>
            </w14:solidFill>
          </w14:textFill>
        </w:rPr>
        <w:t>本单位</w:t>
      </w:r>
      <w:r>
        <w:rPr>
          <w:rFonts w:hint="eastAsia" w:ascii="仿宋" w:hAnsi="仿宋" w:eastAsia="仿宋" w:cs="仿宋"/>
          <w:color w:val="000000" w:themeColor="text1"/>
          <w:sz w:val="32"/>
          <w:szCs w:val="32"/>
          <w14:textFill>
            <w14:solidFill>
              <w14:schemeClr w14:val="tx1"/>
            </w14:solidFill>
          </w14:textFill>
        </w:rPr>
        <w:t>项目目标明确，组织管理到位，执行项目有力，资金管理规范，</w:t>
      </w:r>
      <w:r>
        <w:rPr>
          <w:rFonts w:hint="eastAsia" w:ascii="仿宋" w:hAnsi="仿宋" w:eastAsia="仿宋" w:cs="仿宋"/>
          <w:color w:val="000000" w:themeColor="text1"/>
          <w:sz w:val="32"/>
          <w:szCs w:val="32"/>
          <w:lang w:eastAsia="zh-CN"/>
          <w14:textFill>
            <w14:solidFill>
              <w14:schemeClr w14:val="tx1"/>
            </w14:solidFill>
          </w14:textFill>
        </w:rPr>
        <w:t>进一步提高了我单位的绩效管理水平，更加认识到了绩效管理对部门综合管理提升的重要性，自评结果将用于2023年及以后年度编制部门预算的重要参考和日常管理的标靶，吸取经验，改进工作，让工作与绩效目标匹配，让成果与工作推进互动，以经得起上级、服务对象及社会大众的肯定和满意为准绳，继续开展财政部门预算的绩效评价工作。</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1个</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分。发现的主要问题及原因：一是学校报账材料整理比</w:t>
      </w:r>
      <w:r>
        <w:rPr>
          <w:rFonts w:hint="eastAsia" w:ascii="仿宋" w:hAnsi="仿宋" w:eastAsia="仿宋" w:cs="仿宋"/>
          <w:color w:val="000000" w:themeColor="text1"/>
          <w:sz w:val="32"/>
          <w:szCs w:val="32"/>
          <w:lang w:val="en-US" w:eastAsia="zh-CN"/>
          <w14:textFill>
            <w14:solidFill>
              <w14:schemeClr w14:val="tx1"/>
            </w14:solidFill>
          </w14:textFill>
        </w:rPr>
        <w:t>较</w:t>
      </w:r>
      <w:r>
        <w:rPr>
          <w:rFonts w:hint="eastAsia" w:ascii="仿宋" w:hAnsi="仿宋" w:eastAsia="仿宋" w:cs="仿宋"/>
          <w:color w:val="000000" w:themeColor="text1"/>
          <w:sz w:val="32"/>
          <w:szCs w:val="32"/>
          <w14:textFill>
            <w14:solidFill>
              <w14:schemeClr w14:val="tx1"/>
            </w14:solidFill>
          </w14:textFill>
        </w:rPr>
        <w:t>慢。下一步改进措施：一是</w:t>
      </w:r>
      <w:r>
        <w:rPr>
          <w:rFonts w:hint="eastAsia" w:ascii="仿宋" w:hAnsi="仿宋" w:eastAsia="仿宋" w:cs="仿宋"/>
          <w:color w:val="000000" w:themeColor="text1"/>
          <w:sz w:val="32"/>
          <w:szCs w:val="32"/>
          <w:lang w:eastAsia="zh-CN"/>
          <w14:textFill>
            <w14:solidFill>
              <w14:schemeClr w14:val="tx1"/>
            </w14:solidFill>
          </w14:textFill>
        </w:rPr>
        <w:t>及时整理报账材料</w:t>
      </w:r>
      <w:r>
        <w:rPr>
          <w:rFonts w:hint="eastAsia" w:ascii="仿宋" w:hAnsi="仿宋" w:eastAsia="仿宋" w:cs="仿宋"/>
          <w:color w:val="000000" w:themeColor="text1"/>
          <w:sz w:val="32"/>
          <w:szCs w:val="32"/>
          <w14:textFill>
            <w14:solidFill>
              <w14:schemeClr w14:val="tx1"/>
            </w14:solidFill>
          </w14:textFill>
        </w:rPr>
        <w:t>；二是与财政沟通第二年</w:t>
      </w:r>
      <w:r>
        <w:rPr>
          <w:rFonts w:hint="eastAsia" w:ascii="仿宋" w:hAnsi="仿宋" w:eastAsia="仿宋" w:cs="仿宋"/>
          <w:color w:val="000000" w:themeColor="text1"/>
          <w:sz w:val="32"/>
          <w:szCs w:val="32"/>
          <w:lang w:eastAsia="zh-CN"/>
          <w14:textFill>
            <w14:solidFill>
              <w14:schemeClr w14:val="tx1"/>
            </w14:solidFill>
          </w14:textFill>
        </w:rPr>
        <w:t>继续</w:t>
      </w:r>
      <w:r>
        <w:rPr>
          <w:rFonts w:hint="eastAsia" w:ascii="仿宋" w:hAnsi="仿宋" w:eastAsia="仿宋" w:cs="仿宋"/>
          <w:color w:val="000000" w:themeColor="text1"/>
          <w:sz w:val="32"/>
          <w:szCs w:val="32"/>
          <w14:textFill>
            <w14:solidFill>
              <w14:schemeClr w14:val="tx1"/>
            </w14:solidFill>
          </w14:textFill>
        </w:rPr>
        <w:t>支付</w:t>
      </w:r>
      <w:r>
        <w:rPr>
          <w:rFonts w:hint="eastAsia" w:ascii="仿宋" w:hAnsi="仿宋" w:eastAsia="仿宋" w:cs="仿宋"/>
          <w:color w:val="000000" w:themeColor="text1"/>
          <w:sz w:val="32"/>
          <w:szCs w:val="32"/>
          <w:lang w:val="en-US" w:eastAsia="zh-CN"/>
          <w14:textFill>
            <w14:solidFill>
              <w14:schemeClr w14:val="tx1"/>
            </w14:solidFill>
          </w14:textFill>
        </w:rPr>
        <w:t>该项金额；三是完善项目相关管理制度，并依照制度办事，为项目的实施提供有效的保障。</w:t>
      </w:r>
    </w:p>
    <w:p>
      <w:pPr>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3E0B2D27"/>
    <w:multiLevelType w:val="singleLevel"/>
    <w:tmpl w:val="3E0B2D2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YTA0ZWQ1N2YwNDE3NzVkYWRkZjQyNWE1NjliOT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22E90"/>
    <w:rsid w:val="01234E98"/>
    <w:rsid w:val="015E0632"/>
    <w:rsid w:val="015F1951"/>
    <w:rsid w:val="020C171D"/>
    <w:rsid w:val="0216715F"/>
    <w:rsid w:val="02E0291A"/>
    <w:rsid w:val="030C3475"/>
    <w:rsid w:val="03966E45"/>
    <w:rsid w:val="04185410"/>
    <w:rsid w:val="04806B11"/>
    <w:rsid w:val="04E54546"/>
    <w:rsid w:val="05856AD5"/>
    <w:rsid w:val="05992762"/>
    <w:rsid w:val="05B52F84"/>
    <w:rsid w:val="062067FE"/>
    <w:rsid w:val="0700284C"/>
    <w:rsid w:val="079A524B"/>
    <w:rsid w:val="07B0770E"/>
    <w:rsid w:val="0840235A"/>
    <w:rsid w:val="08CB522A"/>
    <w:rsid w:val="0942143F"/>
    <w:rsid w:val="09B96D4E"/>
    <w:rsid w:val="0ACB17D8"/>
    <w:rsid w:val="0B9D61FB"/>
    <w:rsid w:val="0BBF2615"/>
    <w:rsid w:val="0D100297"/>
    <w:rsid w:val="0D202B45"/>
    <w:rsid w:val="0DF51D40"/>
    <w:rsid w:val="0E1E3346"/>
    <w:rsid w:val="0E6F1883"/>
    <w:rsid w:val="0F8D4C87"/>
    <w:rsid w:val="10505FAA"/>
    <w:rsid w:val="105F7E7E"/>
    <w:rsid w:val="10FF60D8"/>
    <w:rsid w:val="11706C4F"/>
    <w:rsid w:val="11E56B5B"/>
    <w:rsid w:val="125C77AB"/>
    <w:rsid w:val="126B1C4D"/>
    <w:rsid w:val="13A256FD"/>
    <w:rsid w:val="140D6969"/>
    <w:rsid w:val="14825A2E"/>
    <w:rsid w:val="14C96EB3"/>
    <w:rsid w:val="14CB726E"/>
    <w:rsid w:val="15767E12"/>
    <w:rsid w:val="164A5948"/>
    <w:rsid w:val="16EF1317"/>
    <w:rsid w:val="173747FE"/>
    <w:rsid w:val="17E92249"/>
    <w:rsid w:val="18891932"/>
    <w:rsid w:val="189C1D14"/>
    <w:rsid w:val="18D304F1"/>
    <w:rsid w:val="198D7564"/>
    <w:rsid w:val="19F32577"/>
    <w:rsid w:val="19F45B80"/>
    <w:rsid w:val="1AD61E1E"/>
    <w:rsid w:val="1ADE7D63"/>
    <w:rsid w:val="1AE43D03"/>
    <w:rsid w:val="1B0C078D"/>
    <w:rsid w:val="1B2B31E2"/>
    <w:rsid w:val="1B4C295A"/>
    <w:rsid w:val="1B636B19"/>
    <w:rsid w:val="1B973C63"/>
    <w:rsid w:val="1BA1001E"/>
    <w:rsid w:val="1BBE6445"/>
    <w:rsid w:val="1C7865F4"/>
    <w:rsid w:val="1CC01D49"/>
    <w:rsid w:val="1D317259"/>
    <w:rsid w:val="1D81060F"/>
    <w:rsid w:val="1E030F35"/>
    <w:rsid w:val="1E032872"/>
    <w:rsid w:val="1E2A2379"/>
    <w:rsid w:val="1E664F5B"/>
    <w:rsid w:val="1EB34BE1"/>
    <w:rsid w:val="1EF76B98"/>
    <w:rsid w:val="20943C19"/>
    <w:rsid w:val="21020B82"/>
    <w:rsid w:val="215E639F"/>
    <w:rsid w:val="21D00F87"/>
    <w:rsid w:val="21EC3183"/>
    <w:rsid w:val="225E72CD"/>
    <w:rsid w:val="22A40742"/>
    <w:rsid w:val="246E2F77"/>
    <w:rsid w:val="248A3FFE"/>
    <w:rsid w:val="24DF4095"/>
    <w:rsid w:val="254304F6"/>
    <w:rsid w:val="254B4E2B"/>
    <w:rsid w:val="27B67E17"/>
    <w:rsid w:val="283D7C94"/>
    <w:rsid w:val="29480E03"/>
    <w:rsid w:val="2983634D"/>
    <w:rsid w:val="2AB04987"/>
    <w:rsid w:val="2BB02055"/>
    <w:rsid w:val="2C575A56"/>
    <w:rsid w:val="2D025E26"/>
    <w:rsid w:val="2D636E4D"/>
    <w:rsid w:val="2E8E1CA7"/>
    <w:rsid w:val="2F257714"/>
    <w:rsid w:val="2F3275E5"/>
    <w:rsid w:val="2F9C2C13"/>
    <w:rsid w:val="30894E1C"/>
    <w:rsid w:val="30AA08EF"/>
    <w:rsid w:val="30D23D1C"/>
    <w:rsid w:val="31221CF5"/>
    <w:rsid w:val="31400178"/>
    <w:rsid w:val="317F3B29"/>
    <w:rsid w:val="321E3342"/>
    <w:rsid w:val="327759C8"/>
    <w:rsid w:val="32AC4DF2"/>
    <w:rsid w:val="33185FE3"/>
    <w:rsid w:val="344572AC"/>
    <w:rsid w:val="34EE2E36"/>
    <w:rsid w:val="353B3A1E"/>
    <w:rsid w:val="36777241"/>
    <w:rsid w:val="371E78D5"/>
    <w:rsid w:val="37F232A7"/>
    <w:rsid w:val="38A951DB"/>
    <w:rsid w:val="38B31605"/>
    <w:rsid w:val="39003F4F"/>
    <w:rsid w:val="390A2872"/>
    <w:rsid w:val="395104A1"/>
    <w:rsid w:val="3A173A5B"/>
    <w:rsid w:val="3A9E3272"/>
    <w:rsid w:val="3B393FA8"/>
    <w:rsid w:val="3B577295"/>
    <w:rsid w:val="3B774EDF"/>
    <w:rsid w:val="3C07002B"/>
    <w:rsid w:val="3D0D152A"/>
    <w:rsid w:val="3DE24C6F"/>
    <w:rsid w:val="3DF62756"/>
    <w:rsid w:val="3E432380"/>
    <w:rsid w:val="3F1B7587"/>
    <w:rsid w:val="3F3B02B9"/>
    <w:rsid w:val="3FAD0D66"/>
    <w:rsid w:val="40AE7F87"/>
    <w:rsid w:val="41E57B4F"/>
    <w:rsid w:val="42663AEB"/>
    <w:rsid w:val="42BC2E2F"/>
    <w:rsid w:val="432F26F6"/>
    <w:rsid w:val="43880F63"/>
    <w:rsid w:val="43E314B5"/>
    <w:rsid w:val="441C5A6F"/>
    <w:rsid w:val="44C44FCC"/>
    <w:rsid w:val="44CC7369"/>
    <w:rsid w:val="457F5108"/>
    <w:rsid w:val="46116FEE"/>
    <w:rsid w:val="4670640B"/>
    <w:rsid w:val="46951B6B"/>
    <w:rsid w:val="483C0C2F"/>
    <w:rsid w:val="49A34401"/>
    <w:rsid w:val="4A18245B"/>
    <w:rsid w:val="4A3E30AB"/>
    <w:rsid w:val="4A500550"/>
    <w:rsid w:val="4AC14DAC"/>
    <w:rsid w:val="4D154C85"/>
    <w:rsid w:val="4EB35ECE"/>
    <w:rsid w:val="4F1B22DD"/>
    <w:rsid w:val="508F4E24"/>
    <w:rsid w:val="50BE124D"/>
    <w:rsid w:val="51461E90"/>
    <w:rsid w:val="51463753"/>
    <w:rsid w:val="515B6B8D"/>
    <w:rsid w:val="52553A93"/>
    <w:rsid w:val="52BC29D7"/>
    <w:rsid w:val="5334431C"/>
    <w:rsid w:val="53521F8B"/>
    <w:rsid w:val="53E22F47"/>
    <w:rsid w:val="53F82707"/>
    <w:rsid w:val="54302C8F"/>
    <w:rsid w:val="54324CFF"/>
    <w:rsid w:val="54522FF8"/>
    <w:rsid w:val="545F7ABE"/>
    <w:rsid w:val="54A650FD"/>
    <w:rsid w:val="552B7D38"/>
    <w:rsid w:val="55450629"/>
    <w:rsid w:val="55B35B15"/>
    <w:rsid w:val="55EB785C"/>
    <w:rsid w:val="563C30EF"/>
    <w:rsid w:val="56680EAC"/>
    <w:rsid w:val="56692963"/>
    <w:rsid w:val="56844666"/>
    <w:rsid w:val="568B0F48"/>
    <w:rsid w:val="5786217B"/>
    <w:rsid w:val="58386D9E"/>
    <w:rsid w:val="591F781C"/>
    <w:rsid w:val="59337A15"/>
    <w:rsid w:val="59810274"/>
    <w:rsid w:val="59994C07"/>
    <w:rsid w:val="5A727E81"/>
    <w:rsid w:val="5A925D47"/>
    <w:rsid w:val="5B8E7853"/>
    <w:rsid w:val="5C773E23"/>
    <w:rsid w:val="5CA96A00"/>
    <w:rsid w:val="5CF52D6E"/>
    <w:rsid w:val="5CF730BC"/>
    <w:rsid w:val="5D903625"/>
    <w:rsid w:val="5E5F0DCE"/>
    <w:rsid w:val="5FA40A7B"/>
    <w:rsid w:val="5FD56D29"/>
    <w:rsid w:val="5FEC7F3F"/>
    <w:rsid w:val="60F74BC3"/>
    <w:rsid w:val="617D3BF8"/>
    <w:rsid w:val="61841F6A"/>
    <w:rsid w:val="618D3A10"/>
    <w:rsid w:val="61946FF9"/>
    <w:rsid w:val="620123E4"/>
    <w:rsid w:val="621872A1"/>
    <w:rsid w:val="623007A9"/>
    <w:rsid w:val="62E03C33"/>
    <w:rsid w:val="63796F15"/>
    <w:rsid w:val="637D7558"/>
    <w:rsid w:val="639C03E7"/>
    <w:rsid w:val="63B63A53"/>
    <w:rsid w:val="63CF69B4"/>
    <w:rsid w:val="644F19AC"/>
    <w:rsid w:val="65AA4920"/>
    <w:rsid w:val="65E31D0B"/>
    <w:rsid w:val="671437D8"/>
    <w:rsid w:val="67694F1E"/>
    <w:rsid w:val="680001BE"/>
    <w:rsid w:val="68413E67"/>
    <w:rsid w:val="69577368"/>
    <w:rsid w:val="69597934"/>
    <w:rsid w:val="6B964DDC"/>
    <w:rsid w:val="6C783074"/>
    <w:rsid w:val="6CA109FA"/>
    <w:rsid w:val="6D5A646E"/>
    <w:rsid w:val="6D9E65C6"/>
    <w:rsid w:val="6DA81947"/>
    <w:rsid w:val="6EB66DE2"/>
    <w:rsid w:val="6ED3075F"/>
    <w:rsid w:val="6EF647E8"/>
    <w:rsid w:val="6F2A2D4B"/>
    <w:rsid w:val="6F8A0C1E"/>
    <w:rsid w:val="703F45D4"/>
    <w:rsid w:val="70C551BD"/>
    <w:rsid w:val="715D6546"/>
    <w:rsid w:val="71BE069E"/>
    <w:rsid w:val="71D452A5"/>
    <w:rsid w:val="71E44F32"/>
    <w:rsid w:val="73953409"/>
    <w:rsid w:val="73E069A3"/>
    <w:rsid w:val="7456013E"/>
    <w:rsid w:val="749E7847"/>
    <w:rsid w:val="76BD6253"/>
    <w:rsid w:val="76CB23C7"/>
    <w:rsid w:val="773A78A3"/>
    <w:rsid w:val="77523AA7"/>
    <w:rsid w:val="78104AA8"/>
    <w:rsid w:val="78D87E54"/>
    <w:rsid w:val="78E257C5"/>
    <w:rsid w:val="794B35BE"/>
    <w:rsid w:val="7AE2097E"/>
    <w:rsid w:val="7B0A3A31"/>
    <w:rsid w:val="7B3360ED"/>
    <w:rsid w:val="7B7862C5"/>
    <w:rsid w:val="7BDF037E"/>
    <w:rsid w:val="7BF50948"/>
    <w:rsid w:val="7CB56187"/>
    <w:rsid w:val="7CE66A78"/>
    <w:rsid w:val="7CF8312F"/>
    <w:rsid w:val="7D23564C"/>
    <w:rsid w:val="7D5E062D"/>
    <w:rsid w:val="7DD55A70"/>
    <w:rsid w:val="7DF76CD8"/>
    <w:rsid w:val="7EB268B9"/>
    <w:rsid w:val="7F695C26"/>
    <w:rsid w:val="7FCF62D3"/>
    <w:rsid w:val="7FD7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1988.69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12.39</c:v>
                </c:pt>
                <c:pt idx="1">
                  <c:v>1209.44</c:v>
                </c:pt>
                <c:pt idx="2">
                  <c:v>93.62</c:v>
                </c:pt>
                <c:pt idx="3">
                  <c:v>74.96</c:v>
                </c:pt>
                <c:pt idx="4">
                  <c:v>131.95</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15.79</c:v>
                </c:pt>
                <c:pt idx="1">
                  <c:v>1608.09</c:v>
                </c:pt>
                <c:pt idx="2">
                  <c:v>140.68</c:v>
                </c:pt>
                <c:pt idx="3">
                  <c:v>104</c:v>
                </c:pt>
                <c:pt idx="4">
                  <c:v>120.13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15.79</c:v>
                </c:pt>
                <c:pt idx="1">
                  <c:v>15.79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副本.xls]Sheet1'!$C$11:$C$13</c:f>
              <c:strCache>
                <c:ptCount val="3"/>
                <c:pt idx="0">
                  <c:v>2050203</c:v>
                </c:pt>
                <c:pt idx="1">
                  <c:v>2050299</c:v>
                </c:pt>
                <c:pt idx="2">
                  <c:v>205x</c:v>
                </c:pt>
              </c:strCache>
            </c:strRef>
          </c:cat>
          <c:val>
            <c:numRef>
              <c:f>'[财务人员联系信息2023-10-11 - 副本.xls]Sheet1'!$D$11:$D$13</c:f>
              <c:numCache>
                <c:formatCode>General</c:formatCode>
                <c:ptCount val="3"/>
                <c:pt idx="0">
                  <c:v>1590.98</c:v>
                </c:pt>
                <c:pt idx="1">
                  <c:v>17.96</c:v>
                </c:pt>
                <c:pt idx="2">
                  <c:v>1608.94</c:v>
                </c:pt>
              </c:numCache>
            </c:numRef>
          </c:val>
        </c:ser>
        <c:dLbls>
          <c:showLegendKey val="0"/>
          <c:showVal val="0"/>
          <c:showCatName val="0"/>
          <c:showSerName val="0"/>
          <c:showPercent val="0"/>
          <c:showBubbleSize val="0"/>
        </c:dLbls>
        <c:gapWidth val="219"/>
        <c:overlap val="-27"/>
        <c:axId val="190060083"/>
        <c:axId val="34042072"/>
      </c:barChart>
      <c:catAx>
        <c:axId val="1900600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042072"/>
        <c:crosses val="autoZero"/>
        <c:auto val="1"/>
        <c:lblAlgn val="ctr"/>
        <c:lblOffset val="100"/>
        <c:noMultiLvlLbl val="0"/>
      </c:catAx>
      <c:valAx>
        <c:axId val="34042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600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140.68</c:v>
                </c:pt>
                <c:pt idx="1">
                  <c:v>140.68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104</c:v>
                </c:pt>
                <c:pt idx="1">
                  <c:v>104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120.13</c:v>
                </c:pt>
                <c:pt idx="1">
                  <c:v>120.13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429.96</c:v>
                </c:pt>
                <c:pt idx="1">
                  <c:v>56.11</c:v>
                </c:pt>
                <c:pt idx="2">
                  <c:v>402.82</c:v>
                </c:pt>
                <c:pt idx="3">
                  <c:v>0</c:v>
                </c:pt>
                <c:pt idx="4">
                  <c:v>208.08</c:v>
                </c:pt>
                <c:pt idx="5">
                  <c:v>140.68</c:v>
                </c:pt>
                <c:pt idx="6">
                  <c:v>0</c:v>
                </c:pt>
                <c:pt idx="7">
                  <c:v>56.58</c:v>
                </c:pt>
                <c:pt idx="8">
                  <c:v>0</c:v>
                </c:pt>
                <c:pt idx="9">
                  <c:v>6.97</c:v>
                </c:pt>
                <c:pt idx="10">
                  <c:v>104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15.79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3943</Words>
  <Characters>5634</Characters>
  <Lines>90</Lines>
  <Paragraphs>25</Paragraphs>
  <TotalTime>6</TotalTime>
  <ScaleCrop>false</ScaleCrop>
  <LinksUpToDate>false</LinksUpToDate>
  <CharactersWithSpaces>5814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2023-11-24T08:31:00Z</cp:lastPrinted>
  <dcterms:modified xsi:type="dcterms:W3CDTF">2024-12-30T08:56:24Z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B1133A0541504F4F842116789B38CA7C_13</vt:lpwstr>
  </property>
  <property fmtid="{D5CDD505-2E9C-101B-9397-08002B2CF9AE}" pid="4" name="KSOTemplateDocerSaveRecord">
    <vt:lpwstr>eyJoZGlkIjoiOTY4MjUxOTI2YWM0NzMzODQ1NGY0MmE1NmVmYTYzMzIiLCJ1c2VySWQiOiIzOTY4OTg0NzEifQ==</vt:lpwstr>
  </property>
</Properties>
</file>