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ascii="黑体" w:hAnsi="黑体" w:eastAsia="黑体" w:cs="黑体"/>
          <w:b/>
          <w:bCs/>
          <w:color w:val="auto"/>
          <w:sz w:val="52"/>
          <w:szCs w:val="52"/>
          <w:highlight w:val="none"/>
        </w:rPr>
      </w:pPr>
      <w:r>
        <w:rPr>
          <w:rFonts w:hint="eastAsia" w:ascii="黑体" w:hAnsi="黑体" w:eastAsia="黑体" w:cs="黑体"/>
          <w:b/>
          <w:bCs/>
          <w:color w:val="auto"/>
          <w:sz w:val="52"/>
          <w:szCs w:val="52"/>
          <w:highlight w:val="none"/>
          <w:lang w:eastAsia="zh-CN"/>
        </w:rPr>
        <w:t>环江毛南族自治县</w:t>
      </w:r>
      <w:r>
        <w:rPr>
          <w:rFonts w:hint="eastAsia" w:ascii="黑体" w:hAnsi="黑体" w:eastAsia="黑体" w:cs="黑体"/>
          <w:b/>
          <w:bCs/>
          <w:color w:val="auto"/>
          <w:sz w:val="52"/>
          <w:szCs w:val="52"/>
          <w:highlight w:val="none"/>
        </w:rPr>
        <w:t>第七小学202</w:t>
      </w:r>
      <w:r>
        <w:rPr>
          <w:rFonts w:hint="eastAsia" w:ascii="黑体" w:hAnsi="黑体" w:eastAsia="黑体" w:cs="黑体"/>
          <w:b/>
          <w:bCs/>
          <w:color w:val="auto"/>
          <w:sz w:val="52"/>
          <w:szCs w:val="52"/>
          <w:highlight w:val="none"/>
          <w:lang w:val="en-US" w:eastAsia="zh-CN"/>
        </w:rPr>
        <w:t>3</w:t>
      </w:r>
      <w:r>
        <w:rPr>
          <w:rFonts w:hint="eastAsia" w:ascii="黑体" w:hAnsi="黑体" w:eastAsia="黑体" w:cs="黑体"/>
          <w:b/>
          <w:bCs/>
          <w:color w:val="auto"/>
          <w:sz w:val="52"/>
          <w:szCs w:val="52"/>
          <w:highlight w:val="none"/>
        </w:rPr>
        <w:t>年度部门决算</w:t>
      </w:r>
    </w:p>
    <w:p>
      <w:pPr>
        <w:jc w:val="center"/>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center"/>
        <w:rPr>
          <w:rFonts w:hint="default" w:ascii="仿宋" w:hAnsi="仿宋" w:eastAsia="仿宋" w:cs="仿宋"/>
          <w:b/>
          <w:bCs/>
          <w:color w:val="auto"/>
          <w:sz w:val="52"/>
          <w:szCs w:val="52"/>
          <w:highlight w:val="none"/>
          <w:lang w:val="en-US" w:eastAsia="zh-CN"/>
        </w:rPr>
      </w:pPr>
      <w:r>
        <w:rPr>
          <w:rFonts w:hint="eastAsia" w:ascii="仿宋" w:hAnsi="仿宋" w:eastAsia="仿宋" w:cs="仿宋"/>
          <w:b/>
          <w:bCs/>
          <w:color w:val="auto"/>
          <w:sz w:val="52"/>
          <w:szCs w:val="52"/>
          <w:highlight w:val="none"/>
          <w:lang w:val="en-US" w:eastAsia="zh-CN"/>
        </w:rPr>
        <w:t>单位负责人：贲海娥</w:t>
      </w:r>
    </w:p>
    <w:p>
      <w:pPr>
        <w:jc w:val="center"/>
        <w:rPr>
          <w:rFonts w:hint="default"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rPr>
        <w:t>202</w:t>
      </w:r>
      <w:r>
        <w:rPr>
          <w:rFonts w:hint="eastAsia" w:ascii="黑体" w:hAnsi="黑体" w:eastAsia="黑体" w:cs="黑体"/>
          <w:b/>
          <w:bCs/>
          <w:color w:val="auto"/>
          <w:sz w:val="36"/>
          <w:szCs w:val="36"/>
          <w:highlight w:val="none"/>
          <w:lang w:val="en-US" w:eastAsia="zh-CN"/>
        </w:rPr>
        <w:t>4</w:t>
      </w:r>
      <w:r>
        <w:rPr>
          <w:rFonts w:hint="eastAsia" w:ascii="黑体" w:hAnsi="黑体" w:eastAsia="黑体" w:cs="黑体"/>
          <w:b/>
          <w:bCs/>
          <w:color w:val="auto"/>
          <w:sz w:val="36"/>
          <w:szCs w:val="36"/>
          <w:highlight w:val="none"/>
        </w:rPr>
        <w:t>年</w:t>
      </w:r>
      <w:r>
        <w:rPr>
          <w:rFonts w:hint="eastAsia" w:ascii="黑体" w:hAnsi="黑体" w:eastAsia="黑体" w:cs="黑体"/>
          <w:b/>
          <w:bCs/>
          <w:color w:val="auto"/>
          <w:sz w:val="36"/>
          <w:szCs w:val="36"/>
          <w:highlight w:val="none"/>
          <w:lang w:val="en-US" w:eastAsia="zh-CN"/>
        </w:rPr>
        <w:t>12</w:t>
      </w:r>
      <w:r>
        <w:rPr>
          <w:rFonts w:hint="eastAsia" w:ascii="黑体" w:hAnsi="黑体" w:eastAsia="黑体" w:cs="黑体"/>
          <w:b/>
          <w:bCs/>
          <w:color w:val="auto"/>
          <w:sz w:val="36"/>
          <w:szCs w:val="36"/>
          <w:highlight w:val="none"/>
        </w:rPr>
        <w:t>月</w:t>
      </w:r>
      <w:r>
        <w:rPr>
          <w:rFonts w:hint="eastAsia" w:ascii="黑体" w:hAnsi="黑体" w:eastAsia="黑体" w:cs="黑体"/>
          <w:b/>
          <w:bCs/>
          <w:color w:val="auto"/>
          <w:sz w:val="36"/>
          <w:szCs w:val="36"/>
          <w:highlight w:val="none"/>
          <w:lang w:val="en-US" w:eastAsia="zh-CN"/>
        </w:rPr>
        <w:t>3日</w:t>
      </w:r>
    </w:p>
    <w:p>
      <w:pPr>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jc w:val="center"/>
        <w:rPr>
          <w:rFonts w:ascii="黑体" w:hAnsi="黑体" w:eastAsia="黑体" w:cs="黑体"/>
          <w:b/>
          <w:bCs/>
          <w:color w:val="auto"/>
          <w:sz w:val="36"/>
          <w:szCs w:val="36"/>
          <w:highlight w:val="none"/>
        </w:rPr>
      </w:pPr>
      <w:r>
        <w:rPr>
          <w:rFonts w:hint="eastAsia" w:ascii="黑体" w:hAnsi="黑体" w:eastAsia="黑体" w:cs="黑体"/>
          <w:b/>
          <w:bCs/>
          <w:color w:val="auto"/>
          <w:sz w:val="36"/>
          <w:szCs w:val="36"/>
          <w:highlight w:val="none"/>
        </w:rPr>
        <w:t>目</w:t>
      </w:r>
      <w:r>
        <w:rPr>
          <w:rFonts w:hint="eastAsia" w:ascii="黑体" w:hAnsi="黑体" w:eastAsia="黑体" w:cs="黑体"/>
          <w:b/>
          <w:bCs/>
          <w:color w:val="auto"/>
          <w:sz w:val="36"/>
          <w:szCs w:val="36"/>
          <w:highlight w:val="none"/>
          <w:lang w:val="en-US" w:eastAsia="zh-CN"/>
        </w:rPr>
        <w:t xml:space="preserve">  </w:t>
      </w:r>
      <w:r>
        <w:rPr>
          <w:rFonts w:hint="eastAsia" w:ascii="黑体" w:hAnsi="黑体" w:eastAsia="黑体" w:cs="黑体"/>
          <w:b/>
          <w:bCs/>
          <w:color w:val="auto"/>
          <w:sz w:val="36"/>
          <w:szCs w:val="36"/>
          <w:highlight w:val="none"/>
        </w:rPr>
        <w:t xml:space="preserve"> 录</w:t>
      </w:r>
    </w:p>
    <w:p>
      <w:pPr>
        <w:jc w:val="left"/>
        <w:rPr>
          <w:rFonts w:ascii="黑体" w:hAnsi="黑体" w:eastAsia="黑体" w:cs="黑体"/>
          <w:b/>
          <w:bCs/>
          <w:color w:val="auto"/>
          <w:sz w:val="36"/>
          <w:szCs w:val="36"/>
          <w:highlight w:val="none"/>
        </w:rPr>
      </w:pP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第一部分：</w:t>
      </w:r>
      <w:r>
        <w:rPr>
          <w:rFonts w:hint="eastAsia" w:ascii="黑体" w:hAnsi="黑体" w:eastAsia="黑体" w:cs="黑体"/>
          <w:color w:val="auto"/>
          <w:sz w:val="32"/>
          <w:u w:color="auto"/>
          <w:lang w:eastAsia="zh-CN"/>
        </w:rPr>
        <w:t>环江毛南族自治县</w:t>
      </w:r>
      <w:r>
        <w:rPr>
          <w:rFonts w:ascii="黑体" w:hAnsi="黑体" w:eastAsia="黑体" w:cs="黑体"/>
          <w:color w:val="auto"/>
          <w:sz w:val="32"/>
          <w:u w:color="auto"/>
        </w:rPr>
        <w:t>第七小学</w:t>
      </w:r>
      <w:r>
        <w:rPr>
          <w:rFonts w:hint="eastAsia" w:ascii="黑体" w:hAnsi="黑体" w:eastAsia="黑体" w:cs="黑体"/>
          <w:color w:val="auto"/>
          <w:sz w:val="32"/>
          <w:szCs w:val="32"/>
          <w:highlight w:val="none"/>
        </w:rPr>
        <w:t>概况</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一、主要职能</w:t>
      </w:r>
    </w:p>
    <w:p>
      <w:pPr>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二、机构设置情况</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u w:color="auto"/>
          <w:lang w:eastAsia="zh-CN"/>
        </w:rPr>
        <w:t>环江毛南族自治县</w:t>
      </w:r>
      <w:r>
        <w:rPr>
          <w:rFonts w:ascii="黑体" w:hAnsi="黑体" w:eastAsia="黑体" w:cs="黑体"/>
          <w:color w:val="auto"/>
          <w:sz w:val="32"/>
          <w:u w:color="auto"/>
        </w:rPr>
        <w:t>第七小学</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年度部门决算报表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表一：收入支出决算总表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表二：收入决算表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表三：支出决算表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表四：财政拨款收入支出决算总表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表五：一般公共预算财政拨款支出决算表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表六：一般公共预算财政拨款基本支出决算明细表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表七：政府性基金预算财政拨款收入支出决算表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表八：国有资本经营预算财政拨款支出决算表</w:t>
      </w:r>
    </w:p>
    <w:p>
      <w:pPr>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表九：财政拨款安排的“三公”经费支出决算表</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u w:color="auto"/>
          <w:lang w:eastAsia="zh-CN"/>
        </w:rPr>
        <w:t>环江毛南族自治县</w:t>
      </w:r>
      <w:r>
        <w:rPr>
          <w:rFonts w:ascii="黑体" w:hAnsi="黑体" w:eastAsia="黑体" w:cs="黑体"/>
          <w:color w:val="auto"/>
          <w:sz w:val="32"/>
          <w:u w:color="auto"/>
        </w:rPr>
        <w:t>第七小学</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一、</w:t>
      </w:r>
      <w:r>
        <w:rPr>
          <w:rFonts w:hint="eastAsia" w:ascii="仿宋_GB2312" w:eastAsia="仿宋_GB2312"/>
          <w:color w:val="auto"/>
          <w:kern w:val="0"/>
          <w:sz w:val="32"/>
          <w:szCs w:val="32"/>
          <w:highlight w:val="none"/>
        </w:rPr>
        <w:t>202</w:t>
      </w:r>
      <w:r>
        <w:rPr>
          <w:rFonts w:hint="eastAsia" w:ascii="仿宋_GB2312" w:eastAsia="仿宋_GB2312"/>
          <w:color w:val="auto"/>
          <w:kern w:val="0"/>
          <w:sz w:val="32"/>
          <w:szCs w:val="32"/>
          <w:highlight w:val="none"/>
          <w:lang w:val="en-US" w:eastAsia="zh-CN"/>
        </w:rPr>
        <w:t>3</w:t>
      </w:r>
      <w:r>
        <w:rPr>
          <w:rFonts w:hint="eastAsia" w:ascii="仿宋_GB2312" w:eastAsia="仿宋_GB2312" w:cs="仿宋_GB2312"/>
          <w:color w:val="auto"/>
          <w:kern w:val="0"/>
          <w:sz w:val="32"/>
          <w:szCs w:val="32"/>
          <w:highlight w:val="none"/>
        </w:rPr>
        <w:t>年度收入支出决算总体情况。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二、</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w:t>
      </w:r>
      <w:r>
        <w:rPr>
          <w:rFonts w:hint="eastAsia" w:ascii="仿宋_GB2312" w:eastAsia="仿宋_GB2312"/>
          <w:color w:val="auto"/>
          <w:sz w:val="32"/>
          <w:szCs w:val="32"/>
          <w:highlight w:val="none"/>
        </w:rPr>
        <w:t>一般</w:t>
      </w:r>
      <w:r>
        <w:rPr>
          <w:rFonts w:hint="eastAsia" w:ascii="仿宋_GB2312" w:eastAsia="仿宋_GB2312" w:cs="仿宋_GB2312"/>
          <w:color w:val="auto"/>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三、20</w:t>
      </w:r>
      <w:r>
        <w:rPr>
          <w:rFonts w:hint="eastAsia" w:ascii="仿宋_GB2312" w:eastAsia="仿宋_GB2312" w:cs="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四、</w:t>
      </w:r>
      <w:r>
        <w:rPr>
          <w:rFonts w:hint="eastAsia" w:ascii="仿宋_GB2312" w:eastAsia="仿宋_GB2312"/>
          <w:color w:val="auto"/>
          <w:kern w:val="0"/>
          <w:sz w:val="32"/>
          <w:szCs w:val="32"/>
          <w:highlight w:val="none"/>
        </w:rPr>
        <w:t>20</w:t>
      </w:r>
      <w:r>
        <w:rPr>
          <w:rFonts w:hint="eastAsia" w:ascii="仿宋_GB2312" w:eastAsia="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color w:val="auto"/>
          <w:kern w:val="0"/>
          <w:sz w:val="32"/>
          <w:szCs w:val="32"/>
          <w:highlight w:val="none"/>
          <w:lang w:eastAsia="zh-CN"/>
        </w:rPr>
      </w:pPr>
      <w:r>
        <w:rPr>
          <w:rFonts w:hint="eastAsia" w:ascii="仿宋_GB2312" w:eastAsia="仿宋_GB2312" w:cs="仿宋_GB2312"/>
          <w:color w:val="auto"/>
          <w:kern w:val="0"/>
          <w:sz w:val="32"/>
          <w:szCs w:val="32"/>
          <w:highlight w:val="none"/>
        </w:rPr>
        <w:t>五、20</w:t>
      </w:r>
      <w:r>
        <w:rPr>
          <w:rFonts w:hint="eastAsia" w:ascii="仿宋_GB2312" w:eastAsia="仿宋_GB2312" w:cs="仿宋_GB2312"/>
          <w:color w:val="auto"/>
          <w:kern w:val="0"/>
          <w:sz w:val="32"/>
          <w:szCs w:val="32"/>
          <w:highlight w:val="none"/>
          <w:lang w:val="en-US" w:eastAsia="zh-CN"/>
        </w:rPr>
        <w:t>23</w:t>
      </w:r>
      <w:r>
        <w:rPr>
          <w:rFonts w:hint="eastAsia" w:ascii="仿宋_GB2312" w:eastAsia="仿宋_GB2312" w:cs="仿宋_GB2312"/>
          <w:color w:val="auto"/>
          <w:kern w:val="0"/>
          <w:sz w:val="32"/>
          <w:szCs w:val="32"/>
          <w:highlight w:val="none"/>
        </w:rPr>
        <w:t>年度国有资本经营预算支出决算情况</w:t>
      </w:r>
      <w:r>
        <w:rPr>
          <w:rFonts w:hint="eastAsia" w:ascii="仿宋_GB2312" w:eastAsia="仿宋_GB2312" w:cs="仿宋_GB2312"/>
          <w:color w:val="auto"/>
          <w:kern w:val="0"/>
          <w:sz w:val="32"/>
          <w:szCs w:val="32"/>
          <w:highlight w:val="none"/>
          <w:lang w:eastAsia="zh-CN"/>
        </w:rPr>
        <w:t>。</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七、其他重要事项情况说明。</w:t>
      </w:r>
    </w:p>
    <w:p>
      <w:pPr>
        <w:jc w:val="left"/>
        <w:rPr>
          <w:rFonts w:hint="eastAsia" w:ascii="仿宋_GB2312" w:eastAsia="仿宋_GB2312" w:cs="仿宋_GB2312"/>
          <w:color w:val="auto"/>
          <w:kern w:val="0"/>
          <w:sz w:val="32"/>
          <w:szCs w:val="32"/>
          <w:highlight w:val="none"/>
          <w:lang w:eastAsia="zh-CN"/>
        </w:rPr>
      </w:pPr>
      <w:r>
        <w:rPr>
          <w:rFonts w:hint="default" w:ascii="仿宋_GB2312" w:eastAsia="仿宋_GB2312" w:cs="仿宋_GB2312"/>
          <w:color w:val="auto"/>
          <w:kern w:val="0"/>
          <w:sz w:val="32"/>
          <w:szCs w:val="32"/>
          <w:highlight w:val="none"/>
        </w:rPr>
        <w:t>八、预算绩效管理工作开展情况</w:t>
      </w:r>
      <w:r>
        <w:rPr>
          <w:rFonts w:hint="eastAsia" w:ascii="仿宋_GB2312" w:eastAsia="仿宋_GB2312" w:cs="仿宋_GB2312"/>
          <w:color w:val="auto"/>
          <w:kern w:val="0"/>
          <w:sz w:val="32"/>
          <w:szCs w:val="32"/>
          <w:highlight w:val="none"/>
          <w:lang w:eastAsia="zh-CN"/>
        </w:rPr>
        <w:t>。</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第四部分：名词解释</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jc w:val="center"/>
        <w:rPr>
          <w:rFonts w:ascii="仿宋" w:hAnsi="仿宋" w:eastAsia="仿宋" w:cs="仿宋"/>
          <w:color w:val="auto"/>
          <w:sz w:val="32"/>
          <w:szCs w:val="32"/>
          <w:highlight w:val="none"/>
        </w:rPr>
      </w:pPr>
      <w:r>
        <w:rPr>
          <w:rFonts w:hint="eastAsia" w:ascii="黑体" w:hAnsi="黑体" w:eastAsia="黑体" w:cs="黑体"/>
          <w:b/>
          <w:bCs/>
          <w:color w:val="auto"/>
          <w:sz w:val="32"/>
          <w:szCs w:val="32"/>
          <w:highlight w:val="none"/>
        </w:rPr>
        <w:t>第一部分：</w:t>
      </w:r>
      <w:r>
        <w:rPr>
          <w:rFonts w:hint="eastAsia" w:ascii="黑体" w:hAnsi="黑体" w:eastAsia="黑体" w:cs="黑体"/>
          <w:b/>
          <w:color w:val="auto"/>
          <w:sz w:val="32"/>
          <w:u w:color="auto"/>
          <w:lang w:eastAsia="zh-CN"/>
        </w:rPr>
        <w:t>环江毛南族自治县</w:t>
      </w:r>
      <w:r>
        <w:rPr>
          <w:rFonts w:ascii="黑体" w:hAnsi="黑体" w:eastAsia="黑体" w:cs="黑体"/>
          <w:b/>
          <w:color w:val="auto"/>
          <w:sz w:val="32"/>
          <w:u w:color="auto"/>
        </w:rPr>
        <w:t>第七小学</w:t>
      </w:r>
      <w:r>
        <w:rPr>
          <w:rFonts w:hint="eastAsia" w:ascii="黑体" w:hAnsi="黑体" w:eastAsia="黑体" w:cs="黑体"/>
          <w:b/>
          <w:bCs/>
          <w:color w:val="auto"/>
          <w:sz w:val="32"/>
          <w:szCs w:val="32"/>
          <w:highlight w:val="none"/>
        </w:rPr>
        <w:t>概况</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一、主要职能</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（一）负责贯彻党的教育方针，坚持社会主义办学方向，实行教育与生产劳动相结合，对学生进行德育、智育、体育、美育和劳动等方面的教育。</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（二）负责依法制定学校章程，并按照章程自主管理。</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（三）负责配合各级人民政府依法动员、组织适龄儿童、少年入学，严格控制学生辍学，依法保证适龄儿童、少年接受九年义务教育。</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（四）负责制定学校教育发展规划，并抓好组织实施和落实工作。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（五）负责按照教育主管部门发布的指导性教学计划、教学大纲，组织实施教育教学活动。</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（六）负责依据国家教育主管部门有关教学计划、课程设置等方面的规定，决定和实施本校的教学计划，组织教学评比、集体备课，对学生进行统考核、考试等。</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（七）负责学籍管理并对学生实施奖励或处分</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（八）负责依法制定本校教师及其他职工聘任办法并对教师及其他员工实施包括奖励、处分在内的具体管理活动，依法聘任、解聘有关教师和其他职1</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（九）负责聘任、培训、考核教师，依法奖励或处分教师和其他职工</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（十）负责科学管理、合理使用学校的设施和经费并积极筹措资金，改善办学条件。</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（十一）负责维护学校、师生的合法权益，有权拒绝任何组织和个人对教育教学活动进行非法干</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（十二）依法接受各级教育行政部门的检查指导和人民群众的监督</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）实施小学义务教育，促进基础教育发展。小学学历教育。</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二、机构设置情况</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环江</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lang w:eastAsia="zh-CN"/>
        </w:rPr>
        <w:t>环江毛南族自治县第七小学</w:t>
      </w:r>
      <w:r>
        <w:rPr>
          <w:rFonts w:hint="eastAsia" w:ascii="仿宋" w:hAnsi="仿宋" w:eastAsia="仿宋" w:cs="仿宋"/>
          <w:color w:val="auto"/>
          <w:sz w:val="32"/>
          <w:szCs w:val="32"/>
        </w:rPr>
        <w:t>是一所</w:t>
      </w:r>
      <w:r>
        <w:rPr>
          <w:rFonts w:hint="eastAsia" w:ascii="仿宋" w:hAnsi="仿宋" w:eastAsia="仿宋" w:cs="仿宋"/>
          <w:color w:val="auto"/>
          <w:sz w:val="32"/>
          <w:szCs w:val="32"/>
          <w:lang w:val="en-US" w:eastAsia="zh-CN"/>
        </w:rPr>
        <w:t>义务</w:t>
      </w:r>
      <w:r>
        <w:rPr>
          <w:rFonts w:hint="eastAsia" w:ascii="仿宋" w:hAnsi="仿宋" w:eastAsia="仿宋" w:cs="仿宋"/>
          <w:color w:val="auto"/>
          <w:sz w:val="32"/>
          <w:szCs w:val="32"/>
        </w:rPr>
        <w:t>教育学校，202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年部门决算单位1个，</w:t>
      </w:r>
      <w:r>
        <w:rPr>
          <w:rFonts w:hint="eastAsia" w:ascii="仿宋" w:hAnsi="仿宋" w:eastAsia="仿宋" w:cs="仿宋"/>
          <w:color w:val="auto"/>
          <w:sz w:val="32"/>
          <w:szCs w:val="32"/>
          <w:lang w:val="en-US" w:eastAsia="zh-CN"/>
        </w:rPr>
        <w:t>是县</w:t>
      </w:r>
      <w:r>
        <w:rPr>
          <w:rFonts w:hint="eastAsia" w:ascii="仿宋" w:hAnsi="仿宋" w:eastAsia="仿宋" w:cs="仿宋"/>
          <w:color w:val="auto"/>
          <w:sz w:val="32"/>
          <w:szCs w:val="32"/>
        </w:rPr>
        <w:t>直属全额拨款事业单位。</w:t>
      </w:r>
    </w:p>
    <w:p>
      <w:p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rPr>
        <w:t>环江</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lang w:eastAsia="zh-CN"/>
        </w:rPr>
        <w:t>环江毛南族自治县第七小学</w:t>
      </w:r>
      <w:r>
        <w:rPr>
          <w:rFonts w:hint="eastAsia" w:ascii="仿宋" w:hAnsi="仿宋" w:eastAsia="仿宋" w:cs="仿宋"/>
          <w:color w:val="auto"/>
          <w:sz w:val="32"/>
          <w:szCs w:val="32"/>
        </w:rPr>
        <w:t>内设机构:校长室，副校长室，政教</w:t>
      </w:r>
      <w:r>
        <w:rPr>
          <w:rFonts w:hint="eastAsia" w:ascii="仿宋" w:hAnsi="仿宋" w:eastAsia="仿宋" w:cs="仿宋"/>
          <w:color w:val="auto"/>
          <w:sz w:val="32"/>
          <w:szCs w:val="32"/>
          <w:lang w:val="en-US" w:eastAsia="zh-CN"/>
        </w:rPr>
        <w:t>处</w:t>
      </w:r>
      <w:r>
        <w:rPr>
          <w:rFonts w:hint="eastAsia" w:ascii="仿宋" w:hAnsi="仿宋" w:eastAsia="仿宋" w:cs="仿宋"/>
          <w:color w:val="auto"/>
          <w:sz w:val="32"/>
          <w:szCs w:val="32"/>
        </w:rPr>
        <w:t>，教导处，总务处，</w:t>
      </w:r>
      <w:r>
        <w:rPr>
          <w:rFonts w:hint="eastAsia" w:ascii="仿宋" w:hAnsi="仿宋" w:eastAsia="仿宋" w:cs="仿宋"/>
          <w:color w:val="auto"/>
          <w:sz w:val="32"/>
          <w:szCs w:val="32"/>
          <w:lang w:val="en-US" w:eastAsia="zh-CN"/>
        </w:rPr>
        <w:t>工会</w:t>
      </w:r>
      <w:r>
        <w:rPr>
          <w:rFonts w:hint="eastAsia" w:ascii="仿宋" w:hAnsi="仿宋" w:eastAsia="仿宋" w:cs="仿宋"/>
          <w:color w:val="auto"/>
          <w:sz w:val="32"/>
          <w:szCs w:val="32"/>
        </w:rPr>
        <w:t>党</w:t>
      </w:r>
      <w:r>
        <w:rPr>
          <w:rFonts w:hint="eastAsia" w:ascii="仿宋" w:hAnsi="仿宋" w:eastAsia="仿宋" w:cs="仿宋"/>
          <w:color w:val="auto"/>
          <w:sz w:val="32"/>
          <w:szCs w:val="32"/>
          <w:lang w:val="en-US" w:eastAsia="zh-CN"/>
        </w:rPr>
        <w:t>建</w:t>
      </w:r>
      <w:r>
        <w:rPr>
          <w:rFonts w:hint="eastAsia" w:ascii="仿宋" w:hAnsi="仿宋" w:eastAsia="仿宋" w:cs="仿宋"/>
          <w:color w:val="auto"/>
          <w:sz w:val="32"/>
          <w:szCs w:val="32"/>
        </w:rPr>
        <w:t>办</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个职能室。</w:t>
      </w:r>
      <w:r>
        <w:rPr>
          <w:rFonts w:hint="eastAsia" w:ascii="仿宋" w:hAnsi="仿宋" w:eastAsia="仿宋" w:cs="仿宋"/>
          <w:color w:val="auto"/>
          <w:sz w:val="32"/>
          <w:szCs w:val="32"/>
          <w:lang w:val="en-US" w:eastAsia="zh-CN"/>
        </w:rPr>
        <w:t>2023年年初在职在编41人，5月份调入25人，9月份辞职1人，11月份调出1人，2023年年底在职在编64人。</w:t>
      </w:r>
    </w:p>
    <w:p>
      <w:pPr>
        <w:jc w:val="center"/>
        <w:rPr>
          <w:rFonts w:hint="eastAsia" w:ascii="黑体" w:hAnsi="黑体" w:eastAsia="黑体" w:cs="黑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color w:val="auto"/>
          <w:sz w:val="32"/>
          <w:szCs w:val="32"/>
          <w:highlight w:val="none"/>
          <w:lang w:val="en-US" w:eastAsia="zh-CN"/>
        </w:rPr>
      </w:pPr>
    </w:p>
    <w:p>
      <w:pPr>
        <w:jc w:val="both"/>
        <w:rPr>
          <w:rFonts w:hint="default" w:ascii="黑体" w:hAnsi="黑体" w:eastAsia="黑体" w:cs="黑体"/>
          <w:color w:val="auto"/>
          <w:sz w:val="32"/>
          <w:szCs w:val="32"/>
          <w:highlight w:val="none"/>
          <w:lang w:val="en-US" w:eastAsia="zh-CN"/>
        </w:rPr>
      </w:pP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第二部分：</w:t>
      </w:r>
      <w:r>
        <w:rPr>
          <w:rFonts w:hint="eastAsia" w:ascii="黑体" w:hAnsi="黑体" w:eastAsia="黑体" w:cs="黑体"/>
          <w:color w:val="auto"/>
          <w:sz w:val="32"/>
          <w:u w:color="auto"/>
          <w:lang w:eastAsia="zh-CN"/>
        </w:rPr>
        <w:t>环江毛南族自治县</w:t>
      </w:r>
      <w:r>
        <w:rPr>
          <w:rFonts w:ascii="黑体" w:hAnsi="黑体" w:eastAsia="黑体" w:cs="黑体"/>
          <w:color w:val="auto"/>
          <w:sz w:val="32"/>
          <w:u w:color="auto"/>
        </w:rPr>
        <w:t>第七小学</w:t>
      </w:r>
      <w:r>
        <w:rPr>
          <w:rFonts w:hint="eastAsia" w:ascii="黑体" w:hAnsi="黑体" w:eastAsia="黑体" w:cs="黑体"/>
          <w:color w:val="auto"/>
          <w:sz w:val="32"/>
          <w:szCs w:val="32"/>
          <w:highlight w:val="none"/>
        </w:rPr>
        <w:t xml:space="preserve"> 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3616"/>
        <w:gridCol w:w="825"/>
        <w:gridCol w:w="1187"/>
        <w:gridCol w:w="4208"/>
        <w:gridCol w:w="2202"/>
        <w:gridCol w:w="1902"/>
      </w:tblGrid>
      <w:tr>
        <w:tblPrEx>
          <w:tblCellMar>
            <w:top w:w="0" w:type="dxa"/>
            <w:left w:w="108" w:type="dxa"/>
            <w:bottom w:w="0" w:type="dxa"/>
            <w:right w:w="108" w:type="dxa"/>
          </w:tblCellMar>
        </w:tblPrEx>
        <w:trPr>
          <w:trHeight w:val="1030"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表一：收入支出决算总表</w:t>
            </w:r>
          </w:p>
          <w:p>
            <w:pPr>
              <w:keepNext w:val="0"/>
              <w:keepLines w:val="0"/>
              <w:widowControl/>
              <w:suppressLineNumbers w:val="0"/>
              <w:spacing w:before="0" w:beforeAutospacing="0" w:after="0" w:afterAutospacing="0"/>
              <w:ind w:left="0" w:right="0" w:firstLine="5760" w:firstLineChars="1800"/>
              <w:jc w:val="both"/>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36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8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420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5628"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default" w:ascii="宋体" w:hAnsi="宋体" w:eastAsia="宋体" w:cs="宋体"/>
                <w:color w:val="auto"/>
                <w:sz w:val="20"/>
                <w:u w:color="auto"/>
              </w:rPr>
              <w:t>第七小学</w:t>
            </w:r>
          </w:p>
        </w:tc>
        <w:tc>
          <w:tcPr>
            <w:tcW w:w="420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56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收入</w:t>
            </w:r>
          </w:p>
        </w:tc>
        <w:tc>
          <w:tcPr>
            <w:tcW w:w="831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一、一般公共预算财政拨款收入</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1191.79</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8.31</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二、政府性基金预算财政拨款收入</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三、国有资本经营预算财政拨款收入</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四、上级补助收入</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4</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五、事业收入</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5</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962.11</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六、经营收入</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6</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七、附属单位上缴收入</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7</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八、其他收入</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8</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89.55</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9</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10</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11</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12</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13</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14</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15</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16</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17</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18</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19</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67.16</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20</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21</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22</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23</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64.65</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24</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25</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26</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本年收入合计</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27</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0000FF"/>
                <w:kern w:val="0"/>
                <w:sz w:val="22"/>
                <w:szCs w:val="22"/>
                <w:highlight w:val="none"/>
                <w:lang w:val="en-US" w:eastAsia="zh-CN" w:bidi="ar"/>
              </w:rPr>
              <w:t>1191.79</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1191.79</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使用非财政拨款结余</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28</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年初结转和结余</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29</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30</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6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rPr>
            </w:pPr>
            <w:r>
              <w:rPr>
                <w:rFonts w:hint="eastAsia"/>
                <w:color w:val="auto"/>
                <w:highlight w:val="none"/>
              </w:rPr>
              <w:t>总计</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31</w:t>
            </w:r>
          </w:p>
        </w:tc>
        <w:tc>
          <w:tcPr>
            <w:tcW w:w="11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0000FF"/>
                <w:kern w:val="0"/>
                <w:sz w:val="22"/>
                <w:szCs w:val="22"/>
                <w:highlight w:val="none"/>
                <w:lang w:val="en-US" w:eastAsia="zh-CN" w:bidi="ar"/>
              </w:rPr>
              <w:t>1191.79</w:t>
            </w:r>
          </w:p>
        </w:tc>
        <w:tc>
          <w:tcPr>
            <w:tcW w:w="4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default" w:ascii="宋体" w:hAnsi="宋体" w:eastAsia="宋体" w:cs="宋体"/>
                <w:color w:val="auto"/>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1191.79</w:t>
            </w:r>
          </w:p>
        </w:tc>
      </w:tr>
    </w:tbl>
    <w:p>
      <w:pPr>
        <w:rPr>
          <w:rFonts w:ascii="宋体" w:hAnsi="宋体" w:eastAsia="宋体" w:cs="宋体"/>
          <w:color w:val="auto"/>
          <w:kern w:val="0"/>
          <w:sz w:val="30"/>
          <w:szCs w:val="30"/>
          <w:highlight w:val="none"/>
          <w:lang w:bidi="ar"/>
        </w:rPr>
      </w:pPr>
      <w:r>
        <w:rPr>
          <w:rFonts w:hint="eastAsia" w:ascii="宋体" w:hAnsi="宋体" w:eastAsia="宋体" w:cs="宋体"/>
          <w:color w:val="000000"/>
          <w:kern w:val="0"/>
          <w:sz w:val="24"/>
          <w:szCs w:val="24"/>
          <w:highlight w:val="none"/>
          <w:lang w:bidi="ar"/>
        </w:rPr>
        <w:t>注：本表反映部门本年度收入支出决算收入情况。</w:t>
      </w:r>
      <w:r>
        <w:rPr>
          <w:rFonts w:hint="eastAsia" w:ascii="宋体" w:hAnsi="宋体" w:eastAsia="宋体" w:cs="宋体"/>
          <w:color w:val="auto"/>
          <w:kern w:val="0"/>
          <w:sz w:val="30"/>
          <w:szCs w:val="30"/>
          <w:highlight w:val="none"/>
          <w:lang w:bidi="ar"/>
        </w:rPr>
        <w:br w:type="page"/>
      </w:r>
    </w:p>
    <w:tbl>
      <w:tblPr>
        <w:tblStyle w:val="6"/>
        <w:tblW w:w="13900" w:type="dxa"/>
        <w:tblInd w:w="96" w:type="dxa"/>
        <w:tblLayout w:type="fixed"/>
        <w:tblCellMar>
          <w:top w:w="0" w:type="dxa"/>
          <w:left w:w="108" w:type="dxa"/>
          <w:bottom w:w="0" w:type="dxa"/>
          <w:right w:w="108" w:type="dxa"/>
        </w:tblCellMar>
      </w:tblPr>
      <w:tblGrid>
        <w:gridCol w:w="2930"/>
        <w:gridCol w:w="257"/>
        <w:gridCol w:w="257"/>
        <w:gridCol w:w="1082"/>
        <w:gridCol w:w="1498"/>
        <w:gridCol w:w="1325"/>
        <w:gridCol w:w="1313"/>
        <w:gridCol w:w="1102"/>
        <w:gridCol w:w="1102"/>
        <w:gridCol w:w="3034"/>
      </w:tblGrid>
      <w:tr>
        <w:tblPrEx>
          <w:tblCellMar>
            <w:top w:w="0" w:type="dxa"/>
            <w:left w:w="108" w:type="dxa"/>
            <w:bottom w:w="0" w:type="dxa"/>
            <w:right w:w="108" w:type="dxa"/>
          </w:tblCellMar>
        </w:tblPrEx>
        <w:trPr>
          <w:trHeight w:val="1071" w:hRule="atLeast"/>
        </w:trPr>
        <w:tc>
          <w:tcPr>
            <w:tcW w:w="13900" w:type="dxa"/>
            <w:gridSpan w:val="10"/>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表二：收入决算表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28"/>
                <w:szCs w:val="28"/>
                <w:highlight w:val="none"/>
              </w:rPr>
            </w:pPr>
            <w:r>
              <w:rPr>
                <w:rFonts w:hint="eastAsia" w:ascii="宋体" w:hAnsi="宋体" w:eastAsia="宋体" w:cs="宋体"/>
                <w:color w:val="auto"/>
                <w:kern w:val="0"/>
                <w:sz w:val="36"/>
                <w:szCs w:val="36"/>
                <w:highlight w:val="none"/>
                <w:lang w:bidi="ar"/>
              </w:rPr>
              <w:t>收入决算表</w:t>
            </w:r>
          </w:p>
        </w:tc>
      </w:tr>
      <w:tr>
        <w:tblPrEx>
          <w:tblCellMar>
            <w:top w:w="0" w:type="dxa"/>
            <w:left w:w="108" w:type="dxa"/>
            <w:bottom w:w="0" w:type="dxa"/>
            <w:right w:w="108" w:type="dxa"/>
          </w:tblCellMar>
        </w:tblPrEx>
        <w:trPr>
          <w:trHeight w:val="500" w:hRule="atLeast"/>
        </w:trPr>
        <w:tc>
          <w:tcPr>
            <w:tcW w:w="293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2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2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08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49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3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31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1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1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303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公开02表</w:t>
            </w:r>
          </w:p>
        </w:tc>
      </w:tr>
      <w:tr>
        <w:tblPrEx>
          <w:tblCellMar>
            <w:top w:w="0" w:type="dxa"/>
            <w:left w:w="108" w:type="dxa"/>
            <w:bottom w:w="0" w:type="dxa"/>
            <w:right w:w="108" w:type="dxa"/>
          </w:tblCellMar>
        </w:tblPrEx>
        <w:trPr>
          <w:trHeight w:val="500" w:hRule="atLeast"/>
        </w:trPr>
        <w:tc>
          <w:tcPr>
            <w:tcW w:w="7349"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r>
              <w:rPr>
                <w:rFonts w:hint="eastAsia" w:ascii="宋体" w:hAnsi="宋体" w:eastAsia="宋体" w:cs="宋体"/>
                <w:color w:val="auto"/>
                <w:kern w:val="0"/>
                <w:sz w:val="18"/>
                <w:szCs w:val="18"/>
                <w:highlight w:val="none"/>
                <w:lang w:bidi="ar"/>
              </w:rPr>
              <w:t>部门：</w:t>
            </w:r>
            <w:r>
              <w:rPr>
                <w:rFonts w:hint="eastAsia" w:ascii="宋体" w:hAnsi="宋体" w:eastAsia="宋体" w:cs="宋体"/>
                <w:color w:val="auto"/>
                <w:sz w:val="18"/>
                <w:szCs w:val="22"/>
                <w:u w:color="auto"/>
                <w:lang w:eastAsia="zh-CN"/>
              </w:rPr>
              <w:t>环江毛南族自治县</w:t>
            </w:r>
            <w:r>
              <w:rPr>
                <w:rFonts w:hint="default" w:ascii="宋体" w:hAnsi="宋体" w:eastAsia="宋体" w:cs="宋体"/>
                <w:color w:val="auto"/>
                <w:sz w:val="18"/>
                <w:szCs w:val="22"/>
                <w:u w:color="auto"/>
              </w:rPr>
              <w:t>第七小学</w:t>
            </w:r>
          </w:p>
        </w:tc>
        <w:tc>
          <w:tcPr>
            <w:tcW w:w="131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1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1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3034" w:type="dxa"/>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金额单位：万元</w:t>
            </w:r>
          </w:p>
        </w:tc>
      </w:tr>
      <w:tr>
        <w:tblPrEx>
          <w:tblCellMar>
            <w:top w:w="0" w:type="dxa"/>
            <w:left w:w="108" w:type="dxa"/>
            <w:bottom w:w="0" w:type="dxa"/>
            <w:right w:w="108" w:type="dxa"/>
          </w:tblCellMar>
        </w:tblPrEx>
        <w:trPr>
          <w:trHeight w:val="527" w:hRule="atLeast"/>
        </w:trPr>
        <w:tc>
          <w:tcPr>
            <w:tcW w:w="13900" w:type="dxa"/>
            <w:gridSpan w:val="10"/>
            <w:tcBorders>
              <w:top w:val="single" w:color="auto" w:sz="4" w:space="0"/>
              <w:left w:val="nil"/>
              <w:bottom w:val="nil"/>
              <w:right w:val="nil"/>
            </w:tcBorders>
            <w:shd w:val="clear" w:color="auto" w:fill="auto"/>
            <w:noWrap/>
            <w:vAlign w:val="center"/>
          </w:tcPr>
          <w:tbl>
            <w:tblPr>
              <w:tblStyle w:val="6"/>
              <w:tblW w:w="13591"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
              <w:gridCol w:w="221"/>
              <w:gridCol w:w="848"/>
              <w:gridCol w:w="4007"/>
              <w:gridCol w:w="1554"/>
              <w:gridCol w:w="1541"/>
              <w:gridCol w:w="1077"/>
              <w:gridCol w:w="1091"/>
              <w:gridCol w:w="816"/>
              <w:gridCol w:w="1239"/>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科目代码</w:t>
                  </w:r>
                </w:p>
              </w:tc>
              <w:tc>
                <w:tcPr>
                  <w:tcW w:w="4007"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本年收入合计</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财政拨款收入</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上级补助收入</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事业收入</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经营收入</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附属单位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上缴收入</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007"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007"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007"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1"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类</w:t>
                  </w:r>
                </w:p>
              </w:tc>
              <w:tc>
                <w:tcPr>
                  <w:tcW w:w="221"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款</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40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155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09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2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976"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1"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221"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40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1,191.79</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1,191.79</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2012999</w:t>
                  </w:r>
                </w:p>
              </w:tc>
              <w:tc>
                <w:tcPr>
                  <w:tcW w:w="4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其他群众团体事务支出</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8.31</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8.31</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2050202</w:t>
                  </w:r>
                </w:p>
              </w:tc>
              <w:tc>
                <w:tcPr>
                  <w:tcW w:w="4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小学教育</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938.67</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938.67</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2050203</w:t>
                  </w:r>
                </w:p>
              </w:tc>
              <w:tc>
                <w:tcPr>
                  <w:tcW w:w="4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初中教育</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0.13</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0.13</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2050299</w:t>
                  </w:r>
                </w:p>
              </w:tc>
              <w:tc>
                <w:tcPr>
                  <w:tcW w:w="4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其他普通教育支出</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21.63</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21.63</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2050701</w:t>
                  </w:r>
                </w:p>
              </w:tc>
              <w:tc>
                <w:tcPr>
                  <w:tcW w:w="4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特殊学校教育</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2050999</w:t>
                  </w:r>
                </w:p>
              </w:tc>
              <w:tc>
                <w:tcPr>
                  <w:tcW w:w="4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其他教育费附加安排的支出</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0.41</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0.41</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2080505</w:t>
                  </w:r>
                </w:p>
              </w:tc>
              <w:tc>
                <w:tcPr>
                  <w:tcW w:w="4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机关事业单位基本养老保险缴费支出</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89.55</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89.55</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2210201</w:t>
                  </w:r>
                </w:p>
              </w:tc>
              <w:tc>
                <w:tcPr>
                  <w:tcW w:w="4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住房公积金</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67.16</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67.16</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9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2299999</w:t>
                  </w:r>
                </w:p>
              </w:tc>
              <w:tc>
                <w:tcPr>
                  <w:tcW w:w="4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其他支出</w:t>
                  </w:r>
                </w:p>
              </w:tc>
              <w:tc>
                <w:tcPr>
                  <w:tcW w:w="15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64.65</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64.65</w:t>
                  </w:r>
                </w:p>
              </w:tc>
              <w:tc>
                <w:tcPr>
                  <w:tcW w:w="10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12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2"/>
                      <w:szCs w:val="22"/>
                      <w:u w:val="none"/>
                    </w:rPr>
                  </w:pPr>
                </w:p>
              </w:tc>
            </w:tr>
          </w:tbl>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4"/>
                <w:szCs w:val="24"/>
                <w:highlight w:val="none"/>
              </w:rPr>
            </w:pPr>
          </w:p>
        </w:tc>
      </w:tr>
    </w:tbl>
    <w:p>
      <w:pPr>
        <w:rPr>
          <w:rFonts w:ascii="仿宋" w:hAnsi="仿宋" w:eastAsia="仿宋" w:cs="仿宋"/>
          <w:color w:val="auto"/>
          <w:sz w:val="24"/>
          <w:highlight w:val="none"/>
        </w:rPr>
      </w:pPr>
      <w:r>
        <w:rPr>
          <w:rFonts w:hint="eastAsia" w:ascii="宋体" w:hAnsi="宋体" w:eastAsia="宋体" w:cs="宋体"/>
          <w:color w:val="000000"/>
          <w:kern w:val="0"/>
          <w:sz w:val="24"/>
          <w:szCs w:val="24"/>
          <w:highlight w:val="none"/>
          <w:lang w:bidi="ar"/>
        </w:rPr>
        <w:t>注：本表反映部门本年度取得的各项收入情况。</w:t>
      </w:r>
      <w:r>
        <w:rPr>
          <w:rFonts w:ascii="仿宋" w:hAnsi="仿宋" w:eastAsia="仿宋" w:cs="仿宋"/>
          <w:color w:val="auto"/>
          <w:sz w:val="24"/>
          <w:highlight w:val="none"/>
        </w:rPr>
        <w:br w:type="page"/>
      </w:r>
    </w:p>
    <w:p>
      <w:pPr>
        <w:jc w:val="center"/>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表三：支出决算表</w:t>
      </w:r>
    </w:p>
    <w:p>
      <w:pPr>
        <w:jc w:val="left"/>
        <w:rPr>
          <w:rFonts w:hint="eastAsia" w:ascii="仿宋" w:hAnsi="仿宋" w:eastAsia="仿宋" w:cs="仿宋"/>
          <w:color w:val="auto"/>
          <w:sz w:val="24"/>
          <w:highlight w:val="none"/>
        </w:rPr>
      </w:pPr>
    </w:p>
    <w:tbl>
      <w:tblPr>
        <w:tblStyle w:val="6"/>
        <w:tblW w:w="15720" w:type="dxa"/>
        <w:tblInd w:w="93" w:type="dxa"/>
        <w:tblLayout w:type="fixed"/>
        <w:tblCellMar>
          <w:top w:w="0" w:type="dxa"/>
          <w:left w:w="108" w:type="dxa"/>
          <w:bottom w:w="0" w:type="dxa"/>
          <w:right w:w="108" w:type="dxa"/>
        </w:tblCellMar>
      </w:tblPr>
      <w:tblGrid>
        <w:gridCol w:w="3"/>
        <w:gridCol w:w="433"/>
        <w:gridCol w:w="436"/>
        <w:gridCol w:w="273"/>
        <w:gridCol w:w="163"/>
        <w:gridCol w:w="74"/>
        <w:gridCol w:w="303"/>
        <w:gridCol w:w="2784"/>
        <w:gridCol w:w="769"/>
        <w:gridCol w:w="781"/>
        <w:gridCol w:w="971"/>
        <w:gridCol w:w="341"/>
        <w:gridCol w:w="1160"/>
        <w:gridCol w:w="40"/>
        <w:gridCol w:w="1638"/>
        <w:gridCol w:w="61"/>
        <w:gridCol w:w="1065"/>
        <w:gridCol w:w="286"/>
        <w:gridCol w:w="653"/>
        <w:gridCol w:w="1611"/>
        <w:gridCol w:w="138"/>
      </w:tblGrid>
      <w:tr>
        <w:tblPrEx>
          <w:tblCellMar>
            <w:top w:w="0" w:type="dxa"/>
            <w:left w:w="108" w:type="dxa"/>
            <w:bottom w:w="0" w:type="dxa"/>
            <w:right w:w="108" w:type="dxa"/>
          </w:tblCellMar>
        </w:tblPrEx>
        <w:trPr>
          <w:gridBefore w:val="1"/>
          <w:wBefore w:w="3" w:type="dxa"/>
          <w:trHeight w:val="623" w:hRule="atLeast"/>
        </w:trPr>
        <w:tc>
          <w:tcPr>
            <w:tcW w:w="13980" w:type="dxa"/>
            <w:gridSpan w:val="2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支出决算表</w:t>
            </w:r>
          </w:p>
        </w:tc>
      </w:tr>
      <w:tr>
        <w:tblPrEx>
          <w:tblCellMar>
            <w:top w:w="0" w:type="dxa"/>
            <w:left w:w="108" w:type="dxa"/>
            <w:bottom w:w="0" w:type="dxa"/>
            <w:right w:w="108" w:type="dxa"/>
          </w:tblCellMar>
        </w:tblPrEx>
        <w:trPr>
          <w:gridBefore w:val="1"/>
          <w:wBefore w:w="3" w:type="dxa"/>
          <w:trHeight w:val="312" w:hRule="atLeast"/>
        </w:trPr>
        <w:tc>
          <w:tcPr>
            <w:tcW w:w="1142"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7"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78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55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12"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00"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63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12"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402"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公开03表</w:t>
            </w:r>
          </w:p>
        </w:tc>
      </w:tr>
      <w:tr>
        <w:tblPrEx>
          <w:tblCellMar>
            <w:top w:w="0" w:type="dxa"/>
            <w:left w:w="108" w:type="dxa"/>
            <w:bottom w:w="0" w:type="dxa"/>
            <w:right w:w="108" w:type="dxa"/>
          </w:tblCellMar>
        </w:tblPrEx>
        <w:trPr>
          <w:gridBefore w:val="1"/>
          <w:wBefore w:w="3" w:type="dxa"/>
          <w:trHeight w:val="312" w:hRule="atLeast"/>
        </w:trPr>
        <w:tc>
          <w:tcPr>
            <w:tcW w:w="8528" w:type="dxa"/>
            <w:gridSpan w:val="13"/>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default" w:ascii="宋体" w:hAnsi="宋体" w:eastAsia="宋体" w:cs="宋体"/>
                <w:color w:val="auto"/>
                <w:sz w:val="20"/>
                <w:u w:color="auto"/>
              </w:rPr>
              <w:t>第七小学</w:t>
            </w:r>
          </w:p>
        </w:tc>
        <w:tc>
          <w:tcPr>
            <w:tcW w:w="1638"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12" w:type="dxa"/>
            <w:gridSpan w:val="3"/>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402"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990"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4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975"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990"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990"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990"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1,191.79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874.55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317.24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644.46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67.16</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8" w:type="dxa"/>
          <w:trHeight w:val="3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64.65</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bl>
    <w:p>
      <w:pPr>
        <w:jc w:val="both"/>
        <w:rPr>
          <w:rFonts w:ascii="仿宋" w:hAnsi="仿宋" w:eastAsia="仿宋" w:cs="仿宋"/>
          <w:color w:val="auto"/>
          <w:sz w:val="24"/>
          <w:highlight w:val="none"/>
        </w:rPr>
      </w:pPr>
      <w:r>
        <w:rPr>
          <w:rFonts w:hint="eastAsia" w:ascii="宋体" w:hAnsi="宋体" w:eastAsia="宋体" w:cs="宋体"/>
          <w:color w:val="000000"/>
          <w:kern w:val="0"/>
          <w:sz w:val="22"/>
          <w:szCs w:val="22"/>
          <w:highlight w:val="none"/>
          <w:lang w:bidi="ar"/>
        </w:rPr>
        <w:t>注：本表反映部门本年度各项支出情况。</w:t>
      </w: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表四：财政拨款收入支出决算总表</w:t>
      </w:r>
    </w:p>
    <w:p>
      <w:pPr>
        <w:jc w:val="left"/>
        <w:rPr>
          <w:rFonts w:hint="eastAsia" w:ascii="仿宋" w:hAnsi="仿宋" w:eastAsia="仿宋" w:cs="仿宋"/>
          <w:color w:val="auto"/>
          <w:sz w:val="24"/>
          <w:highlight w:val="none"/>
        </w:rPr>
      </w:pPr>
    </w:p>
    <w:tbl>
      <w:tblPr>
        <w:tblStyle w:val="6"/>
        <w:tblW w:w="4965" w:type="pct"/>
        <w:tblInd w:w="0" w:type="dxa"/>
        <w:tblLayout w:type="fixed"/>
        <w:tblCellMar>
          <w:top w:w="0" w:type="dxa"/>
          <w:left w:w="108" w:type="dxa"/>
          <w:bottom w:w="0" w:type="dxa"/>
          <w:right w:w="108" w:type="dxa"/>
        </w:tblCellMar>
      </w:tblPr>
      <w:tblGrid>
        <w:gridCol w:w="2887"/>
        <w:gridCol w:w="737"/>
        <w:gridCol w:w="1056"/>
        <w:gridCol w:w="2869"/>
        <w:gridCol w:w="813"/>
        <w:gridCol w:w="1100"/>
        <w:gridCol w:w="1275"/>
        <w:gridCol w:w="1600"/>
        <w:gridCol w:w="1740"/>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102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6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7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1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9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45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6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18"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360"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default" w:ascii="宋体" w:hAnsi="宋体" w:eastAsia="宋体" w:cs="宋体"/>
                <w:color w:val="auto"/>
                <w:sz w:val="20"/>
                <w:u w:color="auto"/>
              </w:rPr>
              <w:t>第七小学</w:t>
            </w:r>
          </w:p>
        </w:tc>
        <w:tc>
          <w:tcPr>
            <w:tcW w:w="452"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56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618"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66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收     入</w:t>
            </w:r>
          </w:p>
        </w:tc>
        <w:tc>
          <w:tcPr>
            <w:tcW w:w="3337"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     出</w:t>
            </w:r>
          </w:p>
        </w:tc>
      </w:tr>
      <w:tr>
        <w:tblPrEx>
          <w:tblCellMar>
            <w:top w:w="0" w:type="dxa"/>
            <w:left w:w="108" w:type="dxa"/>
            <w:bottom w:w="0" w:type="dxa"/>
            <w:right w:w="108" w:type="dxa"/>
          </w:tblCellMar>
        </w:tblPrEx>
        <w:trPr>
          <w:trHeight w:val="312" w:hRule="atLeast"/>
        </w:trPr>
        <w:tc>
          <w:tcPr>
            <w:tcW w:w="10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w:t>
            </w:r>
          </w:p>
        </w:tc>
        <w:tc>
          <w:tcPr>
            <w:tcW w:w="26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行次</w:t>
            </w:r>
          </w:p>
        </w:tc>
        <w:tc>
          <w:tcPr>
            <w:tcW w:w="3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金额</w:t>
            </w:r>
          </w:p>
        </w:tc>
        <w:tc>
          <w:tcPr>
            <w:tcW w:w="10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w:t>
            </w:r>
          </w:p>
        </w:tc>
        <w:tc>
          <w:tcPr>
            <w:tcW w:w="2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行次</w:t>
            </w:r>
          </w:p>
        </w:tc>
        <w:tc>
          <w:tcPr>
            <w:tcW w:w="39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4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一般公共预算财政拨款</w:t>
            </w:r>
          </w:p>
        </w:tc>
        <w:tc>
          <w:tcPr>
            <w:tcW w:w="5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政府性基金预算财政拨款</w:t>
            </w:r>
          </w:p>
        </w:tc>
        <w:tc>
          <w:tcPr>
            <w:tcW w:w="6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10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6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0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9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5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6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栏次</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栏次</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r>
      <w:tr>
        <w:tblPrEx>
          <w:tblCellMar>
            <w:top w:w="0" w:type="dxa"/>
            <w:left w:w="108" w:type="dxa"/>
            <w:bottom w:w="0" w:type="dxa"/>
            <w:right w:w="108" w:type="dxa"/>
          </w:tblCellMar>
        </w:tblPrEx>
        <w:trPr>
          <w:trHeight w:val="464"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一、一般公共预算财政拨款</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75" w:type="pc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1,191.79</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一、一般公共服务支出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33</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8.31</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8.31</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0"/>
                <w:szCs w:val="20"/>
                <w:highlight w:val="none"/>
                <w:lang w:bidi="ar"/>
              </w:rPr>
              <w:t>二、政府性基金预算财政拨款</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二、外交支出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三、</w:t>
            </w:r>
            <w:r>
              <w:rPr>
                <w:rFonts w:hint="eastAsia" w:ascii="宋体" w:hAnsi="宋体" w:eastAsia="宋体" w:cs="宋体"/>
                <w:color w:val="auto"/>
                <w:kern w:val="0"/>
                <w:sz w:val="16"/>
                <w:szCs w:val="16"/>
                <w:highlight w:val="none"/>
                <w:lang w:bidi="ar"/>
              </w:rPr>
              <w:t>国有资本经营预算财政拨款</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三、国防支出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35</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0</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四、公共安全支出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36</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五、教育支出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37</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962.11</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962.11</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六、科学技术支出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38</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七、文化旅游体育与传媒支出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39</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八、社会保障和就业支出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89.55</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89.55</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九、卫生健康支出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41</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十、节能环保支出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十一、城乡社区支出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43</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十二、农林水支出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十三、交通运输支出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45</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十四、</w:t>
            </w:r>
            <w:r>
              <w:rPr>
                <w:rFonts w:hint="default" w:ascii="宋体" w:hAnsi="宋体" w:eastAsia="宋体" w:cs="宋体"/>
                <w:color w:val="auto"/>
                <w:kern w:val="0"/>
                <w:sz w:val="18"/>
                <w:szCs w:val="18"/>
                <w:highlight w:val="none"/>
                <w:lang w:bidi="ar"/>
              </w:rPr>
              <w:t>资源勘探工业信息等支出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46</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十五、商业服务业等支出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47</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十六、金融支出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48</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十七、援助其他地区支出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49</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十八、</w:t>
            </w:r>
            <w:r>
              <w:rPr>
                <w:rFonts w:hint="default" w:ascii="宋体" w:hAnsi="宋体" w:eastAsia="宋体" w:cs="宋体"/>
                <w:color w:val="auto"/>
                <w:kern w:val="0"/>
                <w:sz w:val="18"/>
                <w:szCs w:val="18"/>
                <w:highlight w:val="none"/>
                <w:lang w:bidi="ar"/>
              </w:rPr>
              <w:t>自然资源海洋气象等支出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十九、住房保障支出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51</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67.16</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67.16</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二十、粮油物资储备支出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0"/>
                <w:szCs w:val="20"/>
                <w:highlight w:val="none"/>
                <w:lang w:bidi="ar"/>
              </w:rPr>
              <w:t>二</w:t>
            </w:r>
            <w:r>
              <w:rPr>
                <w:rFonts w:hint="default" w:ascii="宋体" w:hAnsi="宋体" w:eastAsia="宋体" w:cs="宋体"/>
                <w:color w:val="auto"/>
                <w:kern w:val="0"/>
                <w:sz w:val="18"/>
                <w:szCs w:val="18"/>
                <w:highlight w:val="none"/>
                <w:lang w:bidi="ar"/>
              </w:rPr>
              <w:t>十一、国有资本经营预算支出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53</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二</w:t>
            </w:r>
            <w:r>
              <w:rPr>
                <w:rFonts w:hint="default" w:ascii="宋体" w:hAnsi="宋体" w:eastAsia="宋体" w:cs="宋体"/>
                <w:color w:val="auto"/>
                <w:kern w:val="0"/>
                <w:sz w:val="16"/>
                <w:szCs w:val="16"/>
                <w:highlight w:val="none"/>
                <w:lang w:bidi="ar"/>
              </w:rPr>
              <w:t>十二、灾害防治及应急管理支出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二十三、其他支出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55</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64.65</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64.65</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二十四、债务还本支出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56</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二十五、债务付息支出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57</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16"/>
                <w:szCs w:val="16"/>
                <w:highlight w:val="none"/>
                <w:lang w:bidi="ar"/>
              </w:rPr>
              <w:t>二十六、抗疫特别国债安排的支出</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58</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本年收入合计</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1,191.79</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本年支出合计</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59</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1,191.79</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1,191.79</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年初财政拨款结转和结余</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年末财政拨款结转和结余</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60</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  一般公共预算财政拨款</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61</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  政府性基金预算财政拨款</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62</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国有资本经营预算财政拨款</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63</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10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总计</w:t>
            </w:r>
          </w:p>
        </w:tc>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u w:val="none"/>
                <w:lang w:val="en-US" w:eastAsia="zh-CN" w:bidi="ar"/>
              </w:rPr>
              <w:t>1,191.79</w:t>
            </w:r>
          </w:p>
        </w:tc>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1"/>
                <w:szCs w:val="21"/>
                <w:highlight w:val="none"/>
                <w:lang w:bidi="ar"/>
              </w:rPr>
            </w:pPr>
            <w:r>
              <w:rPr>
                <w:rFonts w:hint="default" w:ascii="宋体" w:hAnsi="宋体" w:eastAsia="宋体" w:cs="宋体"/>
                <w:color w:val="auto"/>
                <w:kern w:val="0"/>
                <w:sz w:val="21"/>
                <w:szCs w:val="21"/>
                <w:highlight w:val="none"/>
                <w:lang w:bidi="ar"/>
              </w:rPr>
              <w:t>总计</w:t>
            </w:r>
          </w:p>
        </w:tc>
        <w:tc>
          <w:tcPr>
            <w:tcW w:w="28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64</w:t>
            </w:r>
          </w:p>
        </w:tc>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1,191.79</w:t>
            </w:r>
          </w:p>
        </w:tc>
        <w:tc>
          <w:tcPr>
            <w:tcW w:w="4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2"/>
                <w:szCs w:val="22"/>
                <w:u w:val="none"/>
                <w:lang w:val="en-US" w:eastAsia="zh-CN" w:bidi="ar"/>
              </w:rPr>
              <w:t>1,191.79</w:t>
            </w:r>
          </w:p>
        </w:tc>
        <w:tc>
          <w:tcPr>
            <w:tcW w:w="5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c>
          <w:tcPr>
            <w:tcW w:w="61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kern w:val="0"/>
                <w:sz w:val="21"/>
                <w:szCs w:val="21"/>
                <w:highlight w:val="none"/>
                <w:lang w:bidi="ar"/>
              </w:rPr>
            </w:pPr>
          </w:p>
        </w:tc>
      </w:tr>
      <w:tr>
        <w:tblPrEx>
          <w:tblCellMar>
            <w:top w:w="0" w:type="dxa"/>
            <w:left w:w="108" w:type="dxa"/>
            <w:bottom w:w="0" w:type="dxa"/>
            <w:right w:w="108" w:type="dxa"/>
          </w:tblCellMar>
        </w:tblPrEx>
        <w:trPr>
          <w:trHeight w:val="268" w:hRule="atLeast"/>
        </w:trPr>
        <w:tc>
          <w:tcPr>
            <w:tcW w:w="4381"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p>
        </w:tc>
        <w:tc>
          <w:tcPr>
            <w:tcW w:w="618"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0"/>
                <w:szCs w:val="20"/>
                <w:highlight w:val="none"/>
              </w:rPr>
            </w:pPr>
          </w:p>
        </w:tc>
      </w:tr>
    </w:tbl>
    <w:p>
      <w:pPr>
        <w:jc w:val="left"/>
        <w:rPr>
          <w:rFonts w:ascii="仿宋" w:hAnsi="仿宋" w:eastAsia="仿宋" w:cs="仿宋"/>
          <w:color w:val="auto"/>
          <w:sz w:val="24"/>
          <w:highlight w:val="none"/>
        </w:rPr>
      </w:pPr>
    </w:p>
    <w:p>
      <w:pPr>
        <w:jc w:val="left"/>
        <w:rPr>
          <w:rFonts w:ascii="仿宋" w:hAnsi="仿宋" w:eastAsia="仿宋" w:cs="仿宋"/>
          <w:color w:val="auto"/>
          <w:sz w:val="24"/>
          <w:highlight w:val="none"/>
        </w:rPr>
      </w:pP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表五：一般公共预算财政拨款支出决算表</w:t>
      </w:r>
    </w:p>
    <w:p>
      <w:pPr>
        <w:jc w:val="left"/>
        <w:rPr>
          <w:rFonts w:hint="eastAsia" w:ascii="仿宋" w:hAnsi="仿宋" w:eastAsia="仿宋" w:cs="仿宋"/>
          <w:color w:val="auto"/>
          <w:sz w:val="24"/>
          <w:highlight w:val="none"/>
        </w:rPr>
      </w:pPr>
    </w:p>
    <w:tbl>
      <w:tblPr>
        <w:tblStyle w:val="6"/>
        <w:tblW w:w="13980" w:type="dxa"/>
        <w:tblInd w:w="96" w:type="dxa"/>
        <w:tblLayout w:type="fixed"/>
        <w:tblCellMar>
          <w:top w:w="0" w:type="dxa"/>
          <w:left w:w="108" w:type="dxa"/>
          <w:bottom w:w="0" w:type="dxa"/>
          <w:right w:w="108" w:type="dxa"/>
        </w:tblCellMar>
      </w:tblPr>
      <w:tblGrid>
        <w:gridCol w:w="2283"/>
        <w:gridCol w:w="238"/>
        <w:gridCol w:w="238"/>
        <w:gridCol w:w="284"/>
        <w:gridCol w:w="4977"/>
        <w:gridCol w:w="1964"/>
        <w:gridCol w:w="1909"/>
        <w:gridCol w:w="2087"/>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5261"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96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190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18"/>
                <w:szCs w:val="18"/>
                <w:highlight w:val="none"/>
              </w:rPr>
            </w:pPr>
          </w:p>
        </w:tc>
        <w:tc>
          <w:tcPr>
            <w:tcW w:w="208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公开05表</w:t>
            </w:r>
          </w:p>
        </w:tc>
      </w:tr>
      <w:tr>
        <w:tblPrEx>
          <w:tblCellMar>
            <w:top w:w="0" w:type="dxa"/>
            <w:left w:w="108" w:type="dxa"/>
            <w:bottom w:w="0" w:type="dxa"/>
            <w:right w:w="108" w:type="dxa"/>
          </w:tblCellMar>
        </w:tblPrEx>
        <w:trPr>
          <w:trHeight w:val="346" w:hRule="atLeast"/>
        </w:trPr>
        <w:tc>
          <w:tcPr>
            <w:tcW w:w="9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default" w:ascii="宋体" w:hAnsi="宋体" w:eastAsia="宋体" w:cs="宋体"/>
                <w:color w:val="auto"/>
                <w:sz w:val="20"/>
                <w:u w:color="auto"/>
              </w:rPr>
              <w:t>第七小学</w:t>
            </w:r>
          </w:p>
        </w:tc>
        <w:tc>
          <w:tcPr>
            <w:tcW w:w="190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087"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8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w:t>
            </w:r>
          </w:p>
        </w:tc>
        <w:tc>
          <w:tcPr>
            <w:tcW w:w="5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本年支出</w:t>
            </w:r>
          </w:p>
        </w:tc>
      </w:tr>
      <w:tr>
        <w:tblPrEx>
          <w:tblCellMar>
            <w:top w:w="0" w:type="dxa"/>
            <w:left w:w="108" w:type="dxa"/>
            <w:bottom w:w="0" w:type="dxa"/>
            <w:right w:w="108" w:type="dxa"/>
          </w:tblCellMar>
        </w:tblPrEx>
        <w:trPr>
          <w:trHeight w:val="353" w:hRule="atLeast"/>
        </w:trPr>
        <w:tc>
          <w:tcPr>
            <w:tcW w:w="3043"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功能分类科目编码</w:t>
            </w:r>
          </w:p>
        </w:tc>
        <w:tc>
          <w:tcPr>
            <w:tcW w:w="4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科目名称</w:t>
            </w:r>
          </w:p>
        </w:tc>
        <w:tc>
          <w:tcPr>
            <w:tcW w:w="19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小计</w:t>
            </w:r>
          </w:p>
        </w:tc>
        <w:tc>
          <w:tcPr>
            <w:tcW w:w="19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基本支出</w:t>
            </w:r>
          </w:p>
        </w:tc>
        <w:tc>
          <w:tcPr>
            <w:tcW w:w="20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项目支出</w:t>
            </w:r>
          </w:p>
        </w:tc>
      </w:tr>
      <w:tr>
        <w:tblPrEx>
          <w:tblCellMar>
            <w:top w:w="0" w:type="dxa"/>
            <w:left w:w="108" w:type="dxa"/>
            <w:bottom w:w="0" w:type="dxa"/>
            <w:right w:w="108" w:type="dxa"/>
          </w:tblCellMar>
        </w:tblPrEx>
        <w:trPr>
          <w:trHeight w:val="319" w:hRule="atLeast"/>
        </w:trPr>
        <w:tc>
          <w:tcPr>
            <w:tcW w:w="3043"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9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0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12" w:hRule="atLeast"/>
        </w:trPr>
        <w:tc>
          <w:tcPr>
            <w:tcW w:w="3043"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4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96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19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0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58" w:hRule="atLeast"/>
        </w:trPr>
        <w:tc>
          <w:tcPr>
            <w:tcW w:w="8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栏次</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r>
      <w:tr>
        <w:tblPrEx>
          <w:tblCellMar>
            <w:top w:w="0" w:type="dxa"/>
            <w:left w:w="108" w:type="dxa"/>
            <w:bottom w:w="0" w:type="dxa"/>
            <w:right w:w="108" w:type="dxa"/>
          </w:tblCellMar>
        </w:tblPrEx>
        <w:trPr>
          <w:trHeight w:val="358" w:hRule="atLeast"/>
        </w:trPr>
        <w:tc>
          <w:tcPr>
            <w:tcW w:w="8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1"/>
                <w:szCs w:val="21"/>
                <w:highlight w:val="none"/>
              </w:rPr>
            </w:pPr>
            <w:r>
              <w:rPr>
                <w:rFonts w:hint="eastAsia" w:ascii="宋体" w:hAnsi="宋体" w:eastAsia="宋体" w:cs="宋体"/>
                <w:b/>
                <w:bCs/>
                <w:i w:val="0"/>
                <w:iCs w:val="0"/>
                <w:color w:val="auto"/>
                <w:kern w:val="0"/>
                <w:sz w:val="22"/>
                <w:szCs w:val="22"/>
                <w:u w:val="none"/>
                <w:lang w:val="en-US" w:eastAsia="zh-CN" w:bidi="ar"/>
              </w:rPr>
              <w:t>1,191.79</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1"/>
                <w:szCs w:val="21"/>
                <w:highlight w:val="none"/>
              </w:rPr>
            </w:pPr>
            <w:r>
              <w:rPr>
                <w:rFonts w:hint="eastAsia" w:ascii="宋体" w:hAnsi="宋体" w:eastAsia="宋体" w:cs="宋体"/>
                <w:b/>
                <w:bCs/>
                <w:i w:val="0"/>
                <w:iCs w:val="0"/>
                <w:color w:val="auto"/>
                <w:kern w:val="0"/>
                <w:sz w:val="22"/>
                <w:szCs w:val="22"/>
                <w:u w:val="none"/>
                <w:lang w:val="en-US" w:eastAsia="zh-CN" w:bidi="ar"/>
              </w:rPr>
              <w:t>874.55</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 w:val="21"/>
                <w:szCs w:val="21"/>
                <w:highlight w:val="none"/>
              </w:rPr>
            </w:pPr>
            <w:r>
              <w:rPr>
                <w:rFonts w:hint="eastAsia" w:ascii="宋体" w:hAnsi="宋体" w:eastAsia="宋体" w:cs="宋体"/>
                <w:b/>
                <w:bCs/>
                <w:i w:val="0"/>
                <w:iCs w:val="0"/>
                <w:color w:val="auto"/>
                <w:kern w:val="0"/>
                <w:sz w:val="22"/>
                <w:szCs w:val="22"/>
                <w:u w:val="none"/>
                <w:lang w:val="en-US" w:eastAsia="zh-CN" w:bidi="ar"/>
              </w:rPr>
              <w:t>317.24</w:t>
            </w: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2012999</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其他群众团体事务支出</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8.31</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8.31</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2050202</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小学教育</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938.67</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644.46</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294.21</w:t>
            </w: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2050203</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初中教育</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0.13</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0.13</w:t>
            </w: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2050299</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其他普通教育支出</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21.63</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0.41</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21.22</w:t>
            </w: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2050701</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特殊学校教育</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1.28</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1"/>
                <w:szCs w:val="21"/>
                <w:highlight w:val="none"/>
              </w:rPr>
            </w:pPr>
            <w:r>
              <w:rPr>
                <w:rFonts w:hint="eastAsia" w:ascii="宋体" w:hAnsi="宋体" w:eastAsia="宋体" w:cs="宋体"/>
                <w:i w:val="0"/>
                <w:iCs w:val="0"/>
                <w:color w:val="auto"/>
                <w:kern w:val="0"/>
                <w:sz w:val="22"/>
                <w:szCs w:val="22"/>
                <w:u w:val="none"/>
                <w:lang w:val="en-US" w:eastAsia="zh-CN" w:bidi="ar"/>
              </w:rPr>
              <w:t>1.28</w:t>
            </w: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2050999</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其他教育费附加安排的支出</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0.41</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0.41</w:t>
            </w: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2080505</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机关事业单位基本养老保险缴费支出</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89.55</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89.55</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2210201</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住房公积金</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67.16</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67.16</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58" w:hRule="atLeast"/>
        </w:trPr>
        <w:tc>
          <w:tcPr>
            <w:tcW w:w="30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2299999</w:t>
            </w:r>
          </w:p>
        </w:tc>
        <w:tc>
          <w:tcPr>
            <w:tcW w:w="49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其他支出</w:t>
            </w:r>
          </w:p>
        </w:tc>
        <w:tc>
          <w:tcPr>
            <w:tcW w:w="19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64.65</w:t>
            </w:r>
          </w:p>
        </w:tc>
        <w:tc>
          <w:tcPr>
            <w:tcW w:w="19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i w:val="0"/>
                <w:iCs w:val="0"/>
                <w:color w:val="auto"/>
                <w:kern w:val="0"/>
                <w:sz w:val="22"/>
                <w:szCs w:val="22"/>
                <w:u w:val="none"/>
                <w:lang w:val="en-US" w:eastAsia="zh-CN" w:bidi="ar"/>
              </w:rPr>
              <w:t>64.65</w:t>
            </w:r>
          </w:p>
        </w:tc>
        <w:tc>
          <w:tcPr>
            <w:tcW w:w="20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bl>
    <w:p>
      <w:pPr>
        <w:jc w:val="left"/>
        <w:rPr>
          <w:rFonts w:hint="eastAsia" w:ascii="仿宋" w:hAnsi="仿宋" w:eastAsia="仿宋" w:cs="仿宋"/>
          <w:color w:val="auto"/>
          <w:sz w:val="24"/>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表六：一般公共预算财政拨款基本支出决算表</w:t>
      </w:r>
    </w:p>
    <w:p>
      <w:pPr>
        <w:jc w:val="left"/>
        <w:rPr>
          <w:rFonts w:hint="eastAsia" w:ascii="仿宋" w:hAnsi="仿宋" w:eastAsia="仿宋" w:cs="仿宋"/>
          <w:color w:val="auto"/>
          <w:sz w:val="24"/>
          <w:highlight w:val="none"/>
        </w:rPr>
      </w:pPr>
    </w:p>
    <w:tbl>
      <w:tblPr>
        <w:tblStyle w:val="6"/>
        <w:tblW w:w="14003" w:type="dxa"/>
        <w:tblInd w:w="93" w:type="dxa"/>
        <w:tblLayout w:type="fixed"/>
        <w:tblCellMar>
          <w:top w:w="0" w:type="dxa"/>
          <w:left w:w="108" w:type="dxa"/>
          <w:bottom w:w="0" w:type="dxa"/>
          <w:right w:w="108" w:type="dxa"/>
        </w:tblCellMar>
      </w:tblPr>
      <w:tblGrid>
        <w:gridCol w:w="3"/>
        <w:gridCol w:w="763"/>
        <w:gridCol w:w="344"/>
        <w:gridCol w:w="2371"/>
        <w:gridCol w:w="801"/>
        <w:gridCol w:w="305"/>
        <w:gridCol w:w="571"/>
        <w:gridCol w:w="709"/>
        <w:gridCol w:w="57"/>
        <w:gridCol w:w="2290"/>
        <w:gridCol w:w="126"/>
        <w:gridCol w:w="656"/>
        <w:gridCol w:w="378"/>
        <w:gridCol w:w="388"/>
        <w:gridCol w:w="785"/>
        <w:gridCol w:w="2147"/>
        <w:gridCol w:w="218"/>
        <w:gridCol w:w="1091"/>
      </w:tblGrid>
      <w:tr>
        <w:tblPrEx>
          <w:tblCellMar>
            <w:top w:w="0" w:type="dxa"/>
            <w:left w:w="108" w:type="dxa"/>
            <w:bottom w:w="0" w:type="dxa"/>
            <w:right w:w="108" w:type="dxa"/>
          </w:tblCellMar>
        </w:tblPrEx>
        <w:trPr>
          <w:gridBefore w:val="1"/>
          <w:wBefore w:w="3" w:type="dxa"/>
          <w:trHeight w:val="614" w:hRule="atLeast"/>
        </w:trPr>
        <w:tc>
          <w:tcPr>
            <w:tcW w:w="14000" w:type="dxa"/>
            <w:gridSpan w:val="1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gridBefore w:val="1"/>
          <w:wBefore w:w="3" w:type="dxa"/>
          <w:trHeight w:val="307" w:hRule="atLeast"/>
        </w:trPr>
        <w:tc>
          <w:tcPr>
            <w:tcW w:w="110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06"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8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4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公开06表</w:t>
            </w:r>
          </w:p>
        </w:tc>
      </w:tr>
      <w:tr>
        <w:tblPrEx>
          <w:tblCellMar>
            <w:top w:w="0" w:type="dxa"/>
            <w:left w:w="108" w:type="dxa"/>
            <w:bottom w:w="0" w:type="dxa"/>
            <w:right w:w="108" w:type="dxa"/>
          </w:tblCellMar>
        </w:tblPrEx>
        <w:trPr>
          <w:gridBefore w:val="1"/>
          <w:wBefore w:w="3" w:type="dxa"/>
          <w:trHeight w:val="569" w:hRule="atLeast"/>
        </w:trPr>
        <w:tc>
          <w:tcPr>
            <w:tcW w:w="8211" w:type="dxa"/>
            <w:gridSpan w:val="9"/>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default" w:ascii="宋体" w:hAnsi="宋体" w:eastAsia="宋体" w:cs="宋体"/>
                <w:color w:val="auto"/>
                <w:sz w:val="20"/>
                <w:u w:color="auto"/>
              </w:rPr>
              <w:t>第七小学</w:t>
            </w:r>
          </w:p>
        </w:tc>
        <w:tc>
          <w:tcPr>
            <w:tcW w:w="1160"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73"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456" w:type="dxa"/>
            <w:gridSpan w:val="3"/>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515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人员经费</w:t>
            </w:r>
          </w:p>
        </w:tc>
        <w:tc>
          <w:tcPr>
            <w:tcW w:w="8845" w:type="dxa"/>
            <w:gridSpan w:val="11"/>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科目编码</w:t>
            </w:r>
          </w:p>
        </w:tc>
        <w:tc>
          <w:tcPr>
            <w:tcW w:w="3516"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科目名称</w:t>
            </w:r>
          </w:p>
        </w:tc>
        <w:tc>
          <w:tcPr>
            <w:tcW w:w="87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决算数</w:t>
            </w:r>
          </w:p>
        </w:tc>
        <w:tc>
          <w:tcPr>
            <w:tcW w:w="76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科目编码</w:t>
            </w:r>
          </w:p>
        </w:tc>
        <w:tc>
          <w:tcPr>
            <w:tcW w:w="241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科目名称</w:t>
            </w:r>
          </w:p>
        </w:tc>
        <w:tc>
          <w:tcPr>
            <w:tcW w:w="65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决算数</w:t>
            </w:r>
          </w:p>
        </w:tc>
        <w:tc>
          <w:tcPr>
            <w:tcW w:w="76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科目编码</w:t>
            </w:r>
          </w:p>
        </w:tc>
        <w:tc>
          <w:tcPr>
            <w:tcW w:w="3150"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科目名称</w:t>
            </w:r>
          </w:p>
        </w:tc>
        <w:tc>
          <w:tcPr>
            <w:tcW w:w="109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3516"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87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76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241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656"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766"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3150" w:type="dxa"/>
            <w:gridSpan w:val="3"/>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c>
          <w:tcPr>
            <w:tcW w:w="1091"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工资福利支出</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866.21</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商品和服务支出</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8.31</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307</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债务利息及费用支出</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30101</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基本工资</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276.40</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30201</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办公费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30701</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国内债务付息</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30102</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津贴补贴</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32.28</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30202</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印刷费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30702</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国外债务付息</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30103</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奖金</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227.69</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30203</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咨询费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资本性支出</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30106</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伙食补助费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30204</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手续费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31001</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房屋建筑物购建</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30107</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绩效工资</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132.87</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30205</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水费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31002</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办公设备购置</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30108</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机关事业单位基本养老保险缴费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89.55</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30206</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电费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31003</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专用设备购置</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30109</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职业年金缴费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30207</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邮电费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31005</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基础设施建设</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30110</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职工基本医疗保险缴费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35.86</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30208</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取暖费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31006</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大型修缮</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30111</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公务员医疗补助缴费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30209</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物业管理费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31007</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信息网络及软件购置更新</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30112</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其他社会保障缴费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4.40</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30211</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差旅费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31008</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物资储备</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30113</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住房公积金</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67.16</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30212</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因公出国（境）费用</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31009</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土地补偿</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30114</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医疗费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30213</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维修（护）费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31010</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安置补助</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30199</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其他工资福利支出</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30214</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租赁费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31011</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地上附着物和青苗补偿</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对个人和家庭的补助</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0.02</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30215</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会议费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31012</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拆迁补偿</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30301</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离休费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30216</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培训费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31013</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公务用车购置</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30302</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退休费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30217</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公务接待费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31019</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其他交通工具购置</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30303</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退职（役）费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30218</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专用材料费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31021</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文物和陈列品购置</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30304</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抚恤金</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30224</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被装购置费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31022</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无形资产购置</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30305</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生活补助</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30225</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专用燃料费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31099</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其他资本性支出</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30306</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救济费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30226</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劳务费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其他支出</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30307</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医疗费补助</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30227</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委托业务费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39907</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国家赔偿费用支出</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30308</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助学金</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30228</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工会经费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8.31</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39908</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对民间非营利组织和群众性自治组织补贴</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30309</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奖励金</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0.02</w:t>
            </w: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30229</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福利费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39909</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经常性赠与</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30310</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个人农业生产补贴</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30231</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公务用车运行维护费</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39910</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资本性赠与</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30311</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代缴社会保险费</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30239</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其他交通费用</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39999</w:t>
            </w: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其他支出</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30399</w:t>
            </w: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其他对个人和家庭的补助</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30240</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税金及附加费用</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351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30299</w:t>
            </w:r>
          </w:p>
        </w:tc>
        <w:tc>
          <w:tcPr>
            <w:tcW w:w="2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 xml:space="preserve">  其他商品和服务支出</w:t>
            </w:r>
          </w:p>
        </w:tc>
        <w:tc>
          <w:tcPr>
            <w:tcW w:w="656"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c>
          <w:tcPr>
            <w:tcW w:w="76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315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suppressLineNumbers w:val="0"/>
              <w:spacing w:before="0" w:beforeLines="0" w:beforeAutospacing="0" w:after="0" w:afterLines="0" w:afterAutospacing="0"/>
              <w:ind w:left="0" w:right="0"/>
              <w:jc w:val="left"/>
              <w:rPr>
                <w:rFonts w:hint="eastAsia" w:ascii="宋体" w:hAnsi="宋体" w:cs="宋体"/>
                <w:color w:val="auto"/>
                <w:sz w:val="22"/>
                <w:szCs w:val="22"/>
              </w:rPr>
            </w:pP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suppressLineNumbers w:val="0"/>
              <w:spacing w:before="0" w:beforeLines="0" w:beforeAutospacing="0" w:after="0" w:afterLines="0" w:afterAutospacing="0"/>
              <w:ind w:left="0" w:right="0"/>
              <w:jc w:val="right"/>
              <w:rPr>
                <w:rFonts w:hint="eastAsia" w:ascii="宋体" w:hAnsi="宋体" w:cs="宋体"/>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4282"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人员经费合计</w:t>
            </w:r>
          </w:p>
        </w:tc>
        <w:tc>
          <w:tcPr>
            <w:tcW w:w="87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866.23</w:t>
            </w:r>
          </w:p>
        </w:tc>
        <w:tc>
          <w:tcPr>
            <w:tcW w:w="7754" w:type="dxa"/>
            <w:gridSpan w:val="10"/>
            <w:tcBorders>
              <w:top w:val="single" w:color="000000" w:sz="4" w:space="0"/>
              <w:left w:val="single" w:color="000000" w:sz="4" w:space="0"/>
              <w:bottom w:val="single" w:color="000000" w:sz="4" w:space="0"/>
              <w:right w:val="single" w:color="000000" w:sz="4" w:space="0"/>
              <w:tl2br w:val="nil"/>
              <w:tr2bl w:val="nil"/>
            </w:tcBorders>
            <w:shd w:val="clear" w:color="auto" w:fill="F1F1F1"/>
            <w:noWrap/>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公用经费合计</w:t>
            </w:r>
          </w:p>
        </w:tc>
        <w:tc>
          <w:tcPr>
            <w:tcW w:w="10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righ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4003" w:type="dxa"/>
            <w:gridSpan w:val="18"/>
            <w:tcBorders>
              <w:top w:val="single" w:color="000000" w:sz="4" w:space="0"/>
              <w:left w:val="nil"/>
              <w:bottom w:val="nil"/>
              <w:right w:val="nil"/>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r>
              <w:rPr>
                <w:rFonts w:hint="eastAsia" w:ascii="宋体" w:hAnsi="宋体" w:eastAsia="宋体" w:cs="宋体"/>
                <w:color w:val="000000"/>
                <w:kern w:val="0"/>
                <w:sz w:val="22"/>
                <w:szCs w:val="22"/>
                <w:highlight w:val="none"/>
                <w:lang w:bidi="ar"/>
              </w:rPr>
              <w:t>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4003" w:type="dxa"/>
            <w:gridSpan w:val="18"/>
            <w:tcBorders>
              <w:top w:val="nil"/>
              <w:left w:val="nil"/>
              <w:bottom w:val="nil"/>
              <w:right w:val="nil"/>
              <w:tl2br w:val="nil"/>
              <w:tr2bl w:val="nil"/>
            </w:tcBorders>
            <w:shd w:val="clear" w:color="auto" w:fill="FFFFFF"/>
            <w:noWrap/>
            <w:vAlign w:val="center"/>
          </w:tcPr>
          <w:p>
            <w:pPr>
              <w:keepNext w:val="0"/>
              <w:keepLines w:val="0"/>
              <w:widowControl/>
              <w:suppressLineNumbers w:val="0"/>
              <w:spacing w:before="0" w:beforeLines="0" w:beforeAutospacing="0" w:after="0" w:afterLines="0" w:afterAutospacing="0"/>
              <w:ind w:left="0" w:right="0"/>
              <w:jc w:val="left"/>
              <w:textAlignment w:val="center"/>
              <w:rPr>
                <w:rFonts w:hint="eastAsia" w:ascii="宋体" w:hAnsi="宋体" w:cs="宋体"/>
                <w:color w:val="auto"/>
                <w:sz w:val="22"/>
                <w:szCs w:val="22"/>
              </w:rPr>
            </w:pPr>
          </w:p>
        </w:tc>
      </w:tr>
    </w:tbl>
    <w:p>
      <w:pPr>
        <w:spacing w:beforeLines="0" w:afterLines="0"/>
        <w:jc w:val="center"/>
        <w:rPr>
          <w:rFonts w:hint="eastAsia" w:ascii="仿宋" w:hAnsi="仿宋" w:eastAsia="仿宋" w:cs="仿宋"/>
          <w:color w:val="auto"/>
          <w:sz w:val="32"/>
          <w:szCs w:val="32"/>
        </w:rPr>
      </w:pPr>
    </w:p>
    <w:p>
      <w:pPr>
        <w:rPr>
          <w:rFonts w:ascii="仿宋" w:hAnsi="仿宋" w:eastAsia="仿宋" w:cs="仿宋"/>
          <w:color w:val="auto"/>
          <w:sz w:val="24"/>
          <w:highlight w:val="none"/>
        </w:rPr>
      </w:pPr>
      <w:r>
        <w:rPr>
          <w:rFonts w:ascii="仿宋" w:hAnsi="仿宋" w:eastAsia="仿宋" w:cs="仿宋"/>
          <w:color w:val="auto"/>
          <w:sz w:val="24"/>
          <w:highlight w:val="none"/>
        </w:rPr>
        <w:br w:type="page"/>
      </w: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七</w:t>
      </w:r>
      <w:r>
        <w:rPr>
          <w:rFonts w:hint="eastAsia" w:ascii="仿宋" w:hAnsi="仿宋" w:eastAsia="仿宋" w:cs="仿宋"/>
          <w:color w:val="auto"/>
          <w:sz w:val="24"/>
          <w:highlight w:val="none"/>
        </w:rPr>
        <w:t>：政府性基金预算财政拨款收入支出决算表</w:t>
      </w:r>
    </w:p>
    <w:p>
      <w:pPr>
        <w:jc w:val="left"/>
        <w:rPr>
          <w:rFonts w:hint="eastAsia" w:ascii="仿宋" w:hAnsi="仿宋" w:eastAsia="仿宋" w:cs="仿宋"/>
          <w:color w:val="auto"/>
          <w:sz w:val="24"/>
          <w:highlight w:val="none"/>
        </w:rPr>
      </w:pPr>
    </w:p>
    <w:tbl>
      <w:tblPr>
        <w:tblStyle w:val="6"/>
        <w:tblW w:w="14548" w:type="dxa"/>
        <w:tblInd w:w="96" w:type="dxa"/>
        <w:tblLayout w:type="fixed"/>
        <w:tblCellMar>
          <w:top w:w="0" w:type="dxa"/>
          <w:left w:w="108" w:type="dxa"/>
          <w:bottom w:w="0" w:type="dxa"/>
          <w:right w:w="108" w:type="dxa"/>
        </w:tblCellMar>
      </w:tblPr>
      <w:tblGrid>
        <w:gridCol w:w="1297"/>
        <w:gridCol w:w="806"/>
        <w:gridCol w:w="236"/>
        <w:gridCol w:w="2277"/>
        <w:gridCol w:w="566"/>
        <w:gridCol w:w="2034"/>
        <w:gridCol w:w="566"/>
        <w:gridCol w:w="796"/>
        <w:gridCol w:w="566"/>
        <w:gridCol w:w="684"/>
        <w:gridCol w:w="566"/>
        <w:gridCol w:w="672"/>
        <w:gridCol w:w="566"/>
        <w:gridCol w:w="546"/>
        <w:gridCol w:w="566"/>
        <w:gridCol w:w="1236"/>
        <w:gridCol w:w="568"/>
      </w:tblGrid>
      <w:tr>
        <w:tblPrEx>
          <w:tblCellMar>
            <w:top w:w="0" w:type="dxa"/>
            <w:left w:w="108" w:type="dxa"/>
            <w:bottom w:w="0" w:type="dxa"/>
            <w:right w:w="108" w:type="dxa"/>
          </w:tblCellMar>
        </w:tblPrEx>
        <w:trPr>
          <w:gridAfter w:val="1"/>
          <w:wAfter w:w="568" w:type="dxa"/>
          <w:trHeight w:val="536" w:hRule="atLeast"/>
        </w:trPr>
        <w:tc>
          <w:tcPr>
            <w:tcW w:w="13980" w:type="dxa"/>
            <w:gridSpan w:val="1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8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4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60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3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5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23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1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804"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both"/>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7</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568" w:type="dxa"/>
          <w:trHeight w:val="268" w:hRule="atLeast"/>
        </w:trPr>
        <w:tc>
          <w:tcPr>
            <w:tcW w:w="9828" w:type="dxa"/>
            <w:gridSpan w:val="10"/>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default" w:ascii="宋体" w:hAnsi="宋体" w:eastAsia="宋体" w:cs="宋体"/>
                <w:color w:val="auto"/>
                <w:sz w:val="20"/>
                <w:u w:color="auto"/>
              </w:rPr>
              <w:t>第七小学</w:t>
            </w:r>
          </w:p>
        </w:tc>
        <w:tc>
          <w:tcPr>
            <w:tcW w:w="1238"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12"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802"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568" w:type="dxa"/>
          <w:trHeight w:val="277" w:hRule="atLeast"/>
        </w:trPr>
        <w:tc>
          <w:tcPr>
            <w:tcW w:w="461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260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年初结转和结余</w:t>
            </w:r>
          </w:p>
        </w:tc>
        <w:tc>
          <w:tcPr>
            <w:tcW w:w="13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本年收入</w:t>
            </w:r>
          </w:p>
        </w:tc>
        <w:tc>
          <w:tcPr>
            <w:tcW w:w="36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c>
          <w:tcPr>
            <w:tcW w:w="180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年末结转和结余</w:t>
            </w:r>
          </w:p>
        </w:tc>
      </w:tr>
      <w:tr>
        <w:tblPrEx>
          <w:tblCellMar>
            <w:top w:w="0" w:type="dxa"/>
            <w:left w:w="108" w:type="dxa"/>
            <w:bottom w:w="0" w:type="dxa"/>
            <w:right w:w="108" w:type="dxa"/>
          </w:tblCellMar>
        </w:tblPrEx>
        <w:trPr>
          <w:gridAfter w:val="1"/>
          <w:wAfter w:w="568" w:type="dxa"/>
          <w:trHeight w:val="312" w:hRule="atLeast"/>
        </w:trPr>
        <w:tc>
          <w:tcPr>
            <w:tcW w:w="210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251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26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6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23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111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c>
          <w:tcPr>
            <w:tcW w:w="18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312" w:hRule="atLeast"/>
        </w:trPr>
        <w:tc>
          <w:tcPr>
            <w:tcW w:w="21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5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6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6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3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1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312" w:hRule="atLeast"/>
        </w:trPr>
        <w:tc>
          <w:tcPr>
            <w:tcW w:w="21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513"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6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36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23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1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80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461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r>
      <w:tr>
        <w:tblPrEx>
          <w:tblCellMar>
            <w:top w:w="0" w:type="dxa"/>
            <w:left w:w="108" w:type="dxa"/>
            <w:bottom w:w="0" w:type="dxa"/>
            <w:right w:w="108" w:type="dxa"/>
          </w:tblCellMar>
        </w:tblPrEx>
        <w:trPr>
          <w:gridAfter w:val="1"/>
          <w:wAfter w:w="568" w:type="dxa"/>
          <w:trHeight w:val="277" w:hRule="atLeast"/>
        </w:trPr>
        <w:tc>
          <w:tcPr>
            <w:tcW w:w="461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b/>
                <w:bCs/>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b/>
                <w:bCs/>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b/>
                <w:bCs/>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b/>
                <w:bCs/>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b/>
                <w:bCs/>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b/>
                <w:bCs/>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210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3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2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8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568" w:type="dxa"/>
          <w:trHeight w:val="277" w:hRule="atLeast"/>
        </w:trPr>
        <w:tc>
          <w:tcPr>
            <w:tcW w:w="13980" w:type="dxa"/>
            <w:gridSpan w:val="1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    </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rPr>
          <w:rFonts w:ascii="仿宋" w:hAnsi="仿宋" w:eastAsia="仿宋" w:cs="仿宋"/>
          <w:color w:val="auto"/>
          <w:sz w:val="24"/>
          <w:highlight w:val="none"/>
        </w:rPr>
      </w:pPr>
    </w:p>
    <w:p>
      <w:pPr>
        <w:jc w:val="left"/>
        <w:rPr>
          <w:rFonts w:ascii="仿宋" w:hAnsi="仿宋" w:eastAsia="仿宋" w:cs="仿宋"/>
          <w:color w:val="auto"/>
          <w:sz w:val="24"/>
          <w:highlight w:val="none"/>
        </w:rPr>
      </w:pPr>
    </w:p>
    <w:p>
      <w:pPr>
        <w:jc w:val="left"/>
        <w:rPr>
          <w:rFonts w:hint="eastAsia" w:ascii="仿宋" w:hAnsi="仿宋" w:eastAsia="仿宋" w:cs="仿宋"/>
          <w:color w:val="auto"/>
          <w:sz w:val="24"/>
          <w:highlight w:val="none"/>
        </w:rPr>
      </w:pPr>
    </w:p>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：国有资本经营预算财政拨款支出决算表</w:t>
      </w:r>
    </w:p>
    <w:p>
      <w:pPr>
        <w:jc w:val="left"/>
        <w:rPr>
          <w:rFonts w:hint="eastAsia" w:ascii="仿宋" w:hAnsi="仿宋" w:eastAsia="仿宋" w:cs="仿宋"/>
          <w:color w:val="auto"/>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8</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default" w:ascii="宋体" w:hAnsi="宋体" w:eastAsia="宋体" w:cs="宋体"/>
                <w:color w:val="auto"/>
                <w:sz w:val="20"/>
                <w:u w:color="auto"/>
              </w:rPr>
              <w:t>第七小学</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b/>
                <w:bCs/>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b/>
                <w:bCs/>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 xml:space="preserve">    </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w:t>
      </w:r>
      <w:r>
        <w:rPr>
          <w:rFonts w:hint="eastAsia" w:ascii="宋体" w:hAnsi="宋体" w:eastAsia="宋体" w:cs="宋体"/>
          <w:color w:val="000000"/>
          <w:kern w:val="0"/>
          <w:sz w:val="22"/>
          <w:szCs w:val="22"/>
          <w:highlight w:val="none"/>
          <w:lang w:bidi="ar"/>
        </w:rPr>
        <w:t>资本经营预算财政拨款支出</w:t>
      </w:r>
      <w:r>
        <w:rPr>
          <w:rFonts w:hint="eastAsia" w:ascii="宋体" w:hAnsi="宋体" w:eastAsia="宋体" w:cs="宋体"/>
          <w:color w:val="auto"/>
          <w:kern w:val="2"/>
          <w:sz w:val="21"/>
          <w:szCs w:val="21"/>
          <w:lang w:val="en-US" w:eastAsia="zh-CN" w:bidi="ar"/>
        </w:rPr>
        <w:t>收入，也没有</w:t>
      </w:r>
      <w:r>
        <w:rPr>
          <w:rFonts w:hint="eastAsia" w:ascii="宋体" w:hAnsi="宋体" w:eastAsia="宋体" w:cs="宋体"/>
          <w:color w:val="000000"/>
          <w:kern w:val="0"/>
          <w:sz w:val="22"/>
          <w:szCs w:val="22"/>
          <w:highlight w:val="none"/>
          <w:lang w:bidi="ar"/>
        </w:rPr>
        <w:t>资本经营预算财政拨款支出</w:t>
      </w:r>
      <w:r>
        <w:rPr>
          <w:rFonts w:hint="eastAsia" w:ascii="宋体" w:hAnsi="宋体" w:eastAsia="宋体" w:cs="宋体"/>
          <w:color w:val="auto"/>
          <w:kern w:val="2"/>
          <w:sz w:val="21"/>
          <w:szCs w:val="21"/>
          <w:lang w:val="en-US" w:eastAsia="zh-CN" w:bidi="ar"/>
        </w:rPr>
        <w:t>，故本表无数据。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color w:val="auto"/>
                <w:sz w:val="24"/>
                <w:highlight w:val="none"/>
              </w:rPr>
            </w:pPr>
            <w:r>
              <w:rPr>
                <w:rFonts w:hint="eastAsia" w:ascii="仿宋" w:hAnsi="仿宋" w:eastAsia="仿宋" w:cs="仿宋"/>
                <w:color w:val="auto"/>
                <w:sz w:val="24"/>
                <w:highlight w:val="none"/>
                <w:lang w:val="en-US" w:eastAsia="zh-CN"/>
              </w:rPr>
              <w:t>表九：</w:t>
            </w:r>
            <w:r>
              <w:rPr>
                <w:rFonts w:hint="eastAsia" w:ascii="仿宋" w:hAnsi="仿宋" w:eastAsia="仿宋" w:cs="仿宋"/>
                <w:color w:val="auto"/>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auto"/>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auto"/>
                <w:sz w:val="30"/>
                <w:szCs w:val="30"/>
                <w:highlight w:val="none"/>
              </w:rPr>
            </w:pPr>
            <w:r>
              <w:rPr>
                <w:rFonts w:hint="eastAsia" w:ascii="宋体" w:hAnsi="宋体" w:eastAsia="宋体" w:cs="宋体"/>
                <w:color w:val="auto"/>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公开0</w:t>
            </w:r>
            <w:r>
              <w:rPr>
                <w:rFonts w:hint="eastAsia" w:ascii="宋体" w:hAnsi="宋体" w:eastAsia="宋体" w:cs="宋体"/>
                <w:color w:val="auto"/>
                <w:kern w:val="0"/>
                <w:sz w:val="20"/>
                <w:szCs w:val="20"/>
                <w:highlight w:val="none"/>
                <w:lang w:val="en-US" w:eastAsia="zh-CN" w:bidi="ar"/>
              </w:rPr>
              <w:t>9</w:t>
            </w:r>
            <w:r>
              <w:rPr>
                <w:rFonts w:hint="eastAsia" w:ascii="宋体" w:hAnsi="宋体" w:eastAsia="宋体" w:cs="宋体"/>
                <w:color w:val="auto"/>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r>
              <w:rPr>
                <w:rFonts w:hint="eastAsia" w:ascii="宋体" w:hAnsi="宋体" w:eastAsia="宋体" w:cs="宋体"/>
                <w:color w:val="auto"/>
                <w:kern w:val="0"/>
                <w:sz w:val="20"/>
                <w:szCs w:val="20"/>
                <w:highlight w:val="none"/>
                <w:lang w:bidi="ar"/>
              </w:rPr>
              <w:t>部门：</w:t>
            </w:r>
            <w:r>
              <w:rPr>
                <w:rFonts w:hint="eastAsia" w:ascii="宋体" w:hAnsi="宋体" w:eastAsia="宋体" w:cs="宋体"/>
                <w:color w:val="auto"/>
                <w:sz w:val="20"/>
                <w:u w:color="auto"/>
                <w:lang w:eastAsia="zh-CN"/>
              </w:rPr>
              <w:t>环江毛南族自治县</w:t>
            </w:r>
            <w:r>
              <w:rPr>
                <w:rFonts w:hint="default" w:ascii="宋体" w:hAnsi="宋体" w:eastAsia="宋体" w:cs="宋体"/>
                <w:color w:val="auto"/>
                <w:sz w:val="20"/>
                <w:u w:color="auto"/>
              </w:rPr>
              <w:t>第七小学</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auto"/>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kern w:val="0"/>
                <w:sz w:val="22"/>
                <w:szCs w:val="22"/>
                <w:highlight w:val="none"/>
                <w:lang w:bidi="ar"/>
              </w:rPr>
            </w:pP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22"/>
                <w:szCs w:val="22"/>
                <w:highlight w:val="none"/>
              </w:rPr>
            </w:pP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auto"/>
                <w:highlight w:val="none"/>
              </w:rPr>
            </w:pP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color w:val="auto"/>
                <w:highlight w:val="none"/>
              </w:rPr>
            </w:pP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w:t>
            </w:r>
            <w:r>
              <w:rPr>
                <w:rFonts w:hint="eastAsia" w:ascii="宋体" w:hAnsi="宋体" w:eastAsia="宋体" w:cs="宋体"/>
                <w:color w:val="000000"/>
                <w:kern w:val="0"/>
                <w:sz w:val="22"/>
                <w:szCs w:val="22"/>
                <w:highlight w:val="none"/>
                <w:lang w:bidi="ar"/>
              </w:rPr>
              <w:t>“三公”经费</w:t>
            </w:r>
            <w:r>
              <w:rPr>
                <w:rFonts w:hint="eastAsia" w:ascii="宋体" w:hAnsi="宋体" w:eastAsia="宋体" w:cs="宋体"/>
                <w:color w:val="auto"/>
                <w:kern w:val="2"/>
                <w:sz w:val="21"/>
                <w:szCs w:val="21"/>
                <w:lang w:val="en-US" w:eastAsia="zh-CN" w:bidi="ar"/>
              </w:rPr>
              <w:t>收入，也没有没有</w:t>
            </w:r>
            <w:r>
              <w:rPr>
                <w:rFonts w:hint="eastAsia" w:ascii="宋体" w:hAnsi="宋体" w:eastAsia="宋体" w:cs="宋体"/>
                <w:color w:val="000000"/>
                <w:kern w:val="0"/>
                <w:sz w:val="22"/>
                <w:szCs w:val="22"/>
                <w:highlight w:val="none"/>
                <w:lang w:bidi="ar"/>
              </w:rPr>
              <w:t>“三公”经费</w:t>
            </w:r>
            <w:r>
              <w:rPr>
                <w:rFonts w:hint="eastAsia" w:ascii="宋体" w:hAnsi="宋体" w:eastAsia="宋体" w:cs="宋体"/>
                <w:color w:val="auto"/>
                <w:kern w:val="2"/>
                <w:sz w:val="21"/>
                <w:szCs w:val="21"/>
                <w:lang w:val="en-US" w:eastAsia="zh-CN" w:bidi="ar"/>
              </w:rPr>
              <w:t>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ind w:firstLine="420" w:firstLineChars="0"/>
        <w:jc w:val="left"/>
        <w:rPr>
          <w:rFonts w:ascii="仿宋" w:hAnsi="仿宋" w:eastAsia="仿宋" w:cs="仿宋"/>
          <w:color w:val="auto"/>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color w:val="auto"/>
          <w:sz w:val="24"/>
          <w:highlight w:val="none"/>
        </w:rPr>
      </w:pPr>
    </w:p>
    <w:p>
      <w:pPr>
        <w:jc w:val="center"/>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第三部分：</w:t>
      </w:r>
      <w:r>
        <w:rPr>
          <w:rFonts w:hint="eastAsia" w:ascii="黑体" w:hAnsi="黑体" w:eastAsia="黑体" w:cs="黑体"/>
          <w:color w:val="auto"/>
          <w:sz w:val="32"/>
          <w:u w:color="auto"/>
          <w:lang w:eastAsia="zh-CN"/>
        </w:rPr>
        <w:t>环江毛南族自治县</w:t>
      </w:r>
      <w:r>
        <w:rPr>
          <w:rFonts w:ascii="黑体" w:hAnsi="黑体" w:eastAsia="黑体" w:cs="黑体"/>
          <w:color w:val="auto"/>
          <w:sz w:val="32"/>
          <w:u w:color="auto"/>
        </w:rPr>
        <w:t>第七小学</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年度部门决算情况说明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年度收入支出决算总体情况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年度总收入</w:t>
      </w:r>
      <w:r>
        <w:rPr>
          <w:rFonts w:hint="eastAsia" w:ascii="仿宋" w:hAnsi="仿宋" w:eastAsia="仿宋" w:cs="仿宋"/>
          <w:color w:val="auto"/>
          <w:sz w:val="32"/>
          <w:u w:color="auto"/>
          <w:lang w:val="en-US" w:eastAsia="zh-CN"/>
        </w:rPr>
        <w:t>1191.79</w:t>
      </w:r>
      <w:r>
        <w:rPr>
          <w:rFonts w:hint="eastAsia" w:ascii="仿宋" w:hAnsi="仿宋" w:eastAsia="仿宋" w:cs="仿宋"/>
          <w:color w:val="auto"/>
          <w:sz w:val="32"/>
          <w:szCs w:val="32"/>
          <w:highlight w:val="none"/>
        </w:rPr>
        <w:t>万元，其中本年收入</w:t>
      </w:r>
      <w:r>
        <w:rPr>
          <w:rFonts w:hint="eastAsia" w:ascii="仿宋" w:hAnsi="仿宋" w:eastAsia="仿宋" w:cs="仿宋"/>
          <w:color w:val="auto"/>
          <w:sz w:val="32"/>
          <w:u w:color="auto"/>
          <w:lang w:val="en-US" w:eastAsia="zh-CN"/>
        </w:rPr>
        <w:t>1191.79</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446.91</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60</w:t>
      </w:r>
      <w:r>
        <w:rPr>
          <w:rFonts w:ascii="仿宋" w:hAnsi="仿宋" w:eastAsia="仿宋" w:cs="仿宋"/>
          <w:color w:val="auto"/>
          <w:sz w:val="32"/>
          <w:u w:color="auto"/>
        </w:rPr>
        <w:t>%</w:t>
      </w:r>
      <w:r>
        <w:rPr>
          <w:rFonts w:hint="eastAsia" w:ascii="仿宋" w:hAnsi="仿宋" w:eastAsia="仿宋" w:cs="仿宋"/>
          <w:color w:val="auto"/>
          <w:sz w:val="32"/>
          <w:szCs w:val="32"/>
          <w:highlight w:val="none"/>
        </w:rPr>
        <w:t>，收入具体情况如下。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1.一般公共预算财政拨款收入</w:t>
      </w:r>
      <w:r>
        <w:rPr>
          <w:rFonts w:hint="eastAsia" w:ascii="仿宋" w:hAnsi="仿宋" w:eastAsia="仿宋" w:cs="仿宋"/>
          <w:color w:val="auto"/>
          <w:sz w:val="32"/>
          <w:u w:color="auto"/>
          <w:lang w:val="en-US" w:eastAsia="zh-CN"/>
        </w:rPr>
        <w:t>1191.79</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446.91</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60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，主要原因：学生人数增加，班级由24个班增加到29个班，相应的教师数也由41人增加到了64人。</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2.政府性基金预算财政拨款收入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，主要原因：本单位没有政府性基金预算财政拨款收入。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rPr>
        <w:t>环江毛南族自治县</w:t>
      </w:r>
      <w:r>
        <w:rPr>
          <w:rFonts w:hint="eastAsia" w:ascii="仿宋" w:hAnsi="仿宋" w:eastAsia="仿宋" w:cs="仿宋"/>
          <w:color w:val="auto"/>
          <w:kern w:val="2"/>
          <w:sz w:val="32"/>
          <w:szCs w:val="32"/>
          <w:highlight w:val="none"/>
          <w:lang w:val="en-US" w:eastAsia="zh-CN" w:bidi="ar"/>
        </w:rPr>
        <w:t>本级财政当年拨付的资金。较2022年度决算数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4.事业收入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万元，为事业单位开展业务活动取得的收入。较2021年度决算数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5.</w:t>
      </w:r>
      <w:r>
        <w:rPr>
          <w:rFonts w:hint="eastAsia" w:ascii="仿宋" w:hAnsi="仿宋" w:eastAsia="仿宋" w:cs="仿宋"/>
          <w:color w:val="auto"/>
          <w:kern w:val="2"/>
          <w:sz w:val="36"/>
          <w:szCs w:val="36"/>
          <w:highlight w:val="none"/>
          <w:lang w:val="en-US" w:eastAsia="zh-CN" w:bidi="ar"/>
        </w:rPr>
        <w:t>经营收入</w:t>
      </w:r>
      <w:r>
        <w:rPr>
          <w:rFonts w:hint="eastAsia" w:ascii="仿宋" w:hAnsi="仿宋" w:eastAsia="仿宋" w:cs="仿宋"/>
          <w:color w:val="auto"/>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6.其他收入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7.使用非财政拨款结余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8.上年结转和结余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，主要原因：部分项目已在本年执行完毕，不需要结转至下年继续执行。</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drawing>
          <wp:inline distT="0" distB="0" distL="114300" distR="114300">
            <wp:extent cx="5080000" cy="2677160"/>
            <wp:effectExtent l="4445" t="4445" r="20955" b="234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ascii="仿宋" w:hAnsi="仿宋" w:eastAsia="仿宋" w:cs="仿宋"/>
          <w:color w:val="auto"/>
          <w:sz w:val="32"/>
          <w:szCs w:val="32"/>
          <w:highlight w:val="none"/>
        </w:rPr>
      </w:pP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年度总支出</w:t>
      </w:r>
      <w:r>
        <w:rPr>
          <w:rFonts w:hint="eastAsia" w:ascii="仿宋" w:hAnsi="仿宋" w:eastAsia="仿宋" w:cs="仿宋"/>
          <w:color w:val="auto"/>
          <w:sz w:val="32"/>
          <w:u w:color="auto"/>
          <w:lang w:val="en-US" w:eastAsia="zh-CN"/>
        </w:rPr>
        <w:t>1191.79</w:t>
      </w:r>
      <w:r>
        <w:rPr>
          <w:rFonts w:hint="eastAsia" w:ascii="仿宋" w:hAnsi="仿宋" w:eastAsia="仿宋" w:cs="仿宋"/>
          <w:color w:val="auto"/>
          <w:sz w:val="32"/>
          <w:szCs w:val="32"/>
          <w:highlight w:val="none"/>
        </w:rPr>
        <w:t>万元，其中本年支出</w:t>
      </w:r>
      <w:r>
        <w:rPr>
          <w:rFonts w:hint="eastAsia" w:ascii="仿宋" w:hAnsi="仿宋" w:eastAsia="仿宋" w:cs="仿宋"/>
          <w:color w:val="auto"/>
          <w:sz w:val="32"/>
          <w:u w:color="auto"/>
          <w:lang w:val="en-US" w:eastAsia="zh-CN"/>
        </w:rPr>
        <w:t>1191.79</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446.91</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60</w:t>
      </w:r>
      <w:r>
        <w:rPr>
          <w:rFonts w:ascii="仿宋" w:hAnsi="仿宋" w:eastAsia="仿宋" w:cs="仿宋"/>
          <w:color w:val="auto"/>
          <w:sz w:val="32"/>
          <w:u w:color="auto"/>
        </w:rPr>
        <w:t>%</w:t>
      </w:r>
      <w:r>
        <w:rPr>
          <w:rFonts w:hint="eastAsia" w:ascii="仿宋" w:hAnsi="仿宋" w:eastAsia="仿宋" w:cs="仿宋"/>
          <w:color w:val="auto"/>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1</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一般公共服务支出</w:t>
      </w:r>
      <w:r>
        <w:rPr>
          <w:rFonts w:hint="eastAsia" w:ascii="仿宋" w:hAnsi="仿宋" w:eastAsia="仿宋" w:cs="仿宋"/>
          <w:color w:val="auto"/>
          <w:sz w:val="32"/>
          <w:szCs w:val="32"/>
          <w:highlight w:val="none"/>
          <w:lang w:eastAsia="zh-CN" w:bidi="ar"/>
        </w:rPr>
        <w:t>（</w:t>
      </w:r>
      <w:r>
        <w:rPr>
          <w:rFonts w:hint="eastAsia" w:ascii="仿宋" w:hAnsi="仿宋" w:eastAsia="仿宋" w:cs="仿宋"/>
          <w:color w:val="auto"/>
          <w:sz w:val="32"/>
          <w:szCs w:val="32"/>
          <w:highlight w:val="none"/>
          <w:lang w:val="en-US" w:eastAsia="zh-CN" w:bidi="ar"/>
        </w:rPr>
        <w:t>201类）</w:t>
      </w:r>
      <w:r>
        <w:rPr>
          <w:rFonts w:hint="eastAsia" w:ascii="仿宋" w:hAnsi="仿宋" w:eastAsia="仿宋" w:cs="仿宋"/>
          <w:color w:val="auto"/>
          <w:sz w:val="32"/>
          <w:szCs w:val="32"/>
          <w:highlight w:val="none"/>
          <w:lang w:val="en-US" w:eastAsia="zh-CN"/>
        </w:rPr>
        <w:t>8.31</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教职工工会活动支出</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1.25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17.70</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auto"/>
          <w:sz w:val="32"/>
          <w:szCs w:val="32"/>
          <w:highlight w:val="none"/>
          <w:lang w:val="en-US" w:eastAsia="zh-CN"/>
        </w:rPr>
        <w:t>教职工人数增加</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2</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教育支出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205</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962.12</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主要用于主要用于人员基本工资，商品服务支出</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w:t>
      </w:r>
      <w:r>
        <w:rPr>
          <w:rFonts w:hint="eastAsia" w:ascii="仿宋" w:hAnsi="仿宋" w:eastAsia="仿宋" w:cs="仿宋"/>
          <w:color w:val="auto"/>
          <w:sz w:val="32"/>
          <w:szCs w:val="32"/>
          <w:highlight w:val="none"/>
          <w:lang w:val="en-US" w:eastAsia="zh-CN" w:bidi="ar"/>
        </w:rPr>
        <w:t>388.99</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67.87</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主要原因是：学生和教师数增加。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lang w:val="en-US" w:eastAsia="zh-CN" w:bidi="ar"/>
        </w:rPr>
        <w:t>3.</w:t>
      </w:r>
      <w:r>
        <w:rPr>
          <w:rFonts w:hint="eastAsia" w:ascii="仿宋" w:hAnsi="仿宋" w:eastAsia="仿宋" w:cs="仿宋"/>
          <w:color w:val="auto"/>
          <w:sz w:val="32"/>
          <w:szCs w:val="32"/>
          <w:highlight w:val="none"/>
          <w:lang w:bidi="ar"/>
        </w:rPr>
        <w:t>社会保障和就业支出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208</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89.55</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单位基本养老缴费</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增加3</w:t>
      </w:r>
      <w:r>
        <w:rPr>
          <w:rFonts w:hint="eastAsia" w:ascii="仿宋" w:hAnsi="仿宋" w:eastAsia="仿宋" w:cs="仿宋"/>
          <w:color w:val="auto"/>
          <w:sz w:val="32"/>
          <w:szCs w:val="32"/>
          <w:highlight w:val="none"/>
          <w:lang w:val="en-US" w:eastAsia="zh-CN" w:bidi="ar"/>
        </w:rPr>
        <w:t>8.03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73.81</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主要原因是：学生和教师数增加。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4</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住房保障支出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221</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67.16</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住房公积金缴费</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增加3</w:t>
      </w:r>
      <w:r>
        <w:rPr>
          <w:rFonts w:hint="eastAsia" w:ascii="仿宋" w:hAnsi="仿宋" w:eastAsia="仿宋" w:cs="仿宋"/>
          <w:color w:val="auto"/>
          <w:sz w:val="32"/>
          <w:szCs w:val="32"/>
          <w:highlight w:val="none"/>
          <w:lang w:val="en-US" w:eastAsia="zh-CN" w:bidi="ar"/>
        </w:rPr>
        <w:t>9</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lang w:val="en-US" w:eastAsia="zh-CN" w:bidi="ar"/>
        </w:rPr>
        <w:t>9</w:t>
      </w:r>
      <w:r>
        <w:rPr>
          <w:rFonts w:hint="eastAsia" w:ascii="仿宋" w:hAnsi="仿宋" w:eastAsia="仿宋" w:cs="仿宋"/>
          <w:color w:val="auto"/>
          <w:sz w:val="32"/>
          <w:szCs w:val="32"/>
          <w:highlight w:val="none"/>
          <w:lang w:bidi="ar"/>
        </w:rPr>
        <w:t>4</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增长</w:t>
      </w:r>
      <w:r>
        <w:rPr>
          <w:rFonts w:hint="eastAsia" w:ascii="仿宋" w:hAnsi="仿宋" w:eastAsia="仿宋" w:cs="仿宋"/>
          <w:color w:val="auto"/>
          <w:sz w:val="32"/>
          <w:szCs w:val="32"/>
          <w:highlight w:val="none"/>
          <w:lang w:val="en-US" w:eastAsia="zh-CN" w:bidi="ar"/>
        </w:rPr>
        <w:t>68.25</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主要原因是：学生和教师数增加。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5</w:t>
      </w:r>
      <w:r>
        <w:rPr>
          <w:rFonts w:ascii="仿宋" w:hAnsi="仿宋" w:eastAsia="仿宋" w:cs="仿宋"/>
          <w:color w:val="auto"/>
          <w:sz w:val="32"/>
          <w:u w:color="auto"/>
        </w:rPr>
        <w:t>.</w:t>
      </w:r>
      <w:r>
        <w:rPr>
          <w:rFonts w:hint="eastAsia" w:ascii="仿宋" w:hAnsi="仿宋" w:eastAsia="仿宋" w:cs="仿宋"/>
          <w:color w:val="auto"/>
          <w:sz w:val="32"/>
          <w:szCs w:val="32"/>
          <w:highlight w:val="none"/>
          <w:lang w:bidi="ar"/>
        </w:rPr>
        <w:t>其他支出</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bidi="ar"/>
        </w:rPr>
        <w:t>229</w:t>
      </w:r>
      <w:r>
        <w:rPr>
          <w:rFonts w:ascii="Calibri" w:hAnsi="Calibri" w:eastAsia="宋体" w:cs="Times New Roman"/>
          <w:color w:val="auto"/>
          <w:highlight w:val="none"/>
          <w:lang w:bidi="ar"/>
        </w:rPr>
        <w:t xml:space="preserve"> </w:t>
      </w:r>
      <w:r>
        <w:rPr>
          <w:rFonts w:hint="eastAsia" w:ascii="仿宋" w:hAnsi="仿宋" w:eastAsia="仿宋" w:cs="仿宋"/>
          <w:color w:val="auto"/>
          <w:sz w:val="32"/>
          <w:szCs w:val="32"/>
          <w:highlight w:val="none"/>
        </w:rPr>
        <w:t>类）</w:t>
      </w:r>
      <w:r>
        <w:rPr>
          <w:rFonts w:hint="eastAsia" w:ascii="仿宋" w:hAnsi="仿宋" w:eastAsia="仿宋" w:cs="仿宋"/>
          <w:color w:val="auto"/>
          <w:sz w:val="32"/>
          <w:szCs w:val="32"/>
          <w:highlight w:val="none"/>
          <w:lang w:val="en-US" w:eastAsia="zh-CN" w:bidi="ar"/>
        </w:rPr>
        <w:t>64.65</w:t>
      </w:r>
      <w:r>
        <w:rPr>
          <w:rFonts w:hint="eastAsia" w:ascii="仿宋" w:hAnsi="仿宋" w:eastAsia="仿宋" w:cs="仿宋"/>
          <w:color w:val="auto"/>
          <w:sz w:val="32"/>
          <w:szCs w:val="32"/>
          <w:highlight w:val="none"/>
        </w:rPr>
        <w:t>万元：主要用于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奖励性补贴发放</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bidi="ar"/>
        </w:rPr>
        <w:t>减少</w:t>
      </w:r>
      <w:r>
        <w:rPr>
          <w:rFonts w:hint="eastAsia" w:ascii="仿宋" w:hAnsi="仿宋" w:eastAsia="仿宋" w:cs="仿宋"/>
          <w:color w:val="auto"/>
          <w:sz w:val="32"/>
          <w:szCs w:val="32"/>
          <w:highlight w:val="none"/>
          <w:lang w:val="en-US" w:eastAsia="zh-CN" w:bidi="ar"/>
        </w:rPr>
        <w:t>8.58</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bidi="ar"/>
        </w:rPr>
        <w:t>下降</w:t>
      </w:r>
      <w:r>
        <w:rPr>
          <w:rFonts w:hint="eastAsia" w:ascii="仿宋" w:hAnsi="仿宋" w:eastAsia="仿宋" w:cs="仿宋"/>
          <w:color w:val="auto"/>
          <w:sz w:val="32"/>
          <w:szCs w:val="32"/>
          <w:highlight w:val="none"/>
          <w:lang w:val="en-US" w:eastAsia="zh-CN" w:bidi="ar"/>
        </w:rPr>
        <w:t>11.72</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主要原因是：和2022年比较少了伙食补助费。</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color w:val="auto"/>
          <w:sz w:val="32"/>
          <w:szCs w:val="32"/>
          <w:highlight w:val="none"/>
          <w:lang w:eastAsia="zh-CN" w:bidi="ar"/>
        </w:rPr>
      </w:pPr>
      <w:r>
        <w:rPr>
          <w:rFonts w:hint="default" w:ascii="仿宋_GB2312" w:hAnsi="微软雅黑" w:eastAsia="仿宋_GB2312" w:cs="仿宋_GB2312"/>
          <w:i w:val="0"/>
          <w:iCs w:val="0"/>
          <w:caps w:val="0"/>
          <w:color w:val="auto"/>
          <w:spacing w:val="0"/>
          <w:sz w:val="31"/>
          <w:szCs w:val="31"/>
          <w:highlight w:val="none"/>
          <w:shd w:val="clear" w:color="auto" w:fill="FFFFFF"/>
        </w:rPr>
        <w:t>结余分配</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auto"/>
          <w:spacing w:val="0"/>
          <w:sz w:val="31"/>
          <w:szCs w:val="31"/>
          <w:highlight w:val="none"/>
          <w:shd w:val="clear" w:color="auto" w:fill="FFFFFF"/>
        </w:rPr>
        <w:t>年决算</w:t>
      </w:r>
      <w:r>
        <w:rPr>
          <w:rFonts w:hint="eastAsia" w:ascii="仿宋_GB2312" w:hAnsi="微软雅黑" w:eastAsia="仿宋_GB2312" w:cs="仿宋_GB2312"/>
          <w:color w:val="auto"/>
          <w:sz w:val="31"/>
          <w:szCs w:val="31"/>
          <w:highlight w:val="none"/>
          <w:shd w:val="clear" w:color="auto" w:fill="FFFFFF"/>
        </w:rPr>
        <w:t>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w:t>
      </w:r>
      <w:r>
        <w:rPr>
          <w:rFonts w:hint="eastAsia" w:ascii="仿宋_GB2312" w:hAnsi="微软雅黑" w:eastAsia="仿宋_GB2312" w:cs="仿宋_GB2312"/>
          <w:color w:val="auto"/>
          <w:sz w:val="31"/>
          <w:szCs w:val="31"/>
          <w:highlight w:val="none"/>
          <w:shd w:val="clear" w:color="auto" w:fill="FFFFFF"/>
        </w:rPr>
        <w:t>增加0.00</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_GB2312" w:hAnsi="微软雅黑" w:eastAsia="仿宋_GB2312" w:cs="仿宋_GB2312"/>
          <w:color w:val="auto"/>
          <w:sz w:val="31"/>
          <w:szCs w:val="31"/>
          <w:highlight w:val="none"/>
          <w:shd w:val="clear" w:color="auto" w:fill="FFFFFF"/>
        </w:rPr>
        <w:t>增长0%</w:t>
      </w:r>
      <w:r>
        <w:rPr>
          <w:rFonts w:hint="default" w:ascii="仿宋_GB2312" w:hAnsi="微软雅黑" w:eastAsia="仿宋_GB2312" w:cs="仿宋_GB2312"/>
          <w:i w:val="0"/>
          <w:iCs w:val="0"/>
          <w:caps w:val="0"/>
          <w:color w:val="auto"/>
          <w:spacing w:val="0"/>
          <w:sz w:val="31"/>
          <w:szCs w:val="31"/>
          <w:highlight w:val="none"/>
          <w:shd w:val="clear" w:color="auto" w:fill="FFFFFF"/>
        </w:rPr>
        <w:t>，主要原因是</w:t>
      </w:r>
      <w:r>
        <w:rPr>
          <w:rFonts w:hint="eastAsia" w:ascii="仿宋" w:hAnsi="仿宋" w:eastAsia="仿宋" w:cs="仿宋"/>
          <w:color w:val="auto"/>
          <w:kern w:val="2"/>
          <w:sz w:val="32"/>
          <w:szCs w:val="32"/>
          <w:highlight w:val="none"/>
          <w:lang w:val="en-US" w:eastAsia="zh-CN" w:bidi="ar"/>
        </w:rPr>
        <w:t>：没有为事业单位按规定提取的专用结余、缴纳所得税和转入非财政拨款结余款项。</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sz w:val="32"/>
          <w:szCs w:val="32"/>
          <w:highlight w:val="none"/>
        </w:rPr>
        <w:t>年末结转和结余</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万元，为本年度或以前年度预算安排、因客观条件发生变化无法按原计划实施，需要延迟到以后年度按有关规定继续使用的资金。较202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增长0%</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主要原因是：没有结转和结余资金。</w:t>
      </w:r>
    </w:p>
    <w:p>
      <w:pPr>
        <w:keepNext w:val="0"/>
        <w:keepLines w:val="0"/>
        <w:widowControl w:val="0"/>
        <w:suppressLineNumbers w:val="0"/>
        <w:spacing w:before="0" w:beforeAutospacing="0" w:after="0" w:afterAutospacing="0"/>
        <w:ind w:right="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drawing>
          <wp:inline distT="0" distB="0" distL="114300" distR="114300">
            <wp:extent cx="5080000" cy="2679065"/>
            <wp:effectExtent l="4445" t="4445" r="20955" b="21590"/>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w:t>
      </w:r>
      <w:bookmarkStart w:id="0" w:name="OLE_LINK1"/>
      <w:r>
        <w:rPr>
          <w:rFonts w:hint="eastAsia" w:ascii="黑体" w:hAnsi="黑体" w:eastAsia="黑体" w:cs="黑体"/>
          <w:color w:val="auto"/>
          <w:sz w:val="32"/>
          <w:szCs w:val="32"/>
          <w:highlight w:val="none"/>
        </w:rPr>
        <w:t>一般公共预算财政拨款支出决算情况</w:t>
      </w:r>
      <w:bookmarkEnd w:id="0"/>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w:t>
      </w:r>
      <w:r>
        <w:rPr>
          <w:rFonts w:hint="eastAsia" w:ascii="仿宋" w:hAnsi="仿宋" w:eastAsia="仿宋" w:cs="仿宋"/>
          <w:color w:val="auto"/>
          <w:sz w:val="32"/>
          <w:szCs w:val="32"/>
          <w:highlight w:val="none"/>
        </w:rPr>
        <w:t>第七小学202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年度一般公共预算财政拨款支出</w:t>
      </w:r>
      <w:r>
        <w:rPr>
          <w:rFonts w:hint="eastAsia" w:ascii="仿宋" w:hAnsi="仿宋" w:eastAsia="仿宋" w:cs="仿宋"/>
          <w:color w:val="auto"/>
          <w:sz w:val="32"/>
          <w:u w:color="auto"/>
          <w:lang w:val="en-US" w:eastAsia="zh-CN"/>
        </w:rPr>
        <w:t>1191.79</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446.91</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60</w:t>
      </w:r>
      <w:r>
        <w:rPr>
          <w:rFonts w:ascii="仿宋" w:hAnsi="仿宋" w:eastAsia="仿宋" w:cs="仿宋"/>
          <w:color w:val="auto"/>
          <w:sz w:val="32"/>
          <w:u w:color="auto"/>
        </w:rPr>
        <w:t>%</w:t>
      </w:r>
      <w:r>
        <w:rPr>
          <w:rFonts w:hint="eastAsia" w:ascii="仿宋" w:hAnsi="仿宋" w:eastAsia="仿宋" w:cs="仿宋"/>
          <w:color w:val="auto"/>
          <w:sz w:val="32"/>
          <w:szCs w:val="32"/>
          <w:highlight w:val="none"/>
        </w:rPr>
        <w:t>。其中：基本支出</w:t>
      </w:r>
      <w:r>
        <w:rPr>
          <w:rFonts w:hint="eastAsia" w:ascii="仿宋" w:hAnsi="仿宋" w:eastAsia="仿宋" w:cs="仿宋"/>
          <w:color w:val="auto"/>
          <w:sz w:val="32"/>
          <w:u w:color="auto"/>
          <w:lang w:val="en-US" w:eastAsia="zh-CN"/>
        </w:rPr>
        <w:t>874.55</w:t>
      </w:r>
      <w:r>
        <w:rPr>
          <w:rFonts w:hint="eastAsia" w:ascii="仿宋" w:hAnsi="仿宋" w:eastAsia="仿宋" w:cs="仿宋"/>
          <w:color w:val="auto"/>
          <w:sz w:val="32"/>
          <w:szCs w:val="32"/>
          <w:highlight w:val="none"/>
        </w:rPr>
        <w:t>万元，项目支出</w:t>
      </w:r>
      <w:r>
        <w:rPr>
          <w:rFonts w:hint="eastAsia" w:ascii="仿宋" w:hAnsi="仿宋" w:eastAsia="仿宋" w:cs="仿宋"/>
          <w:color w:val="auto"/>
          <w:sz w:val="32"/>
          <w:u w:color="auto"/>
          <w:lang w:val="en-US" w:eastAsia="zh-CN"/>
        </w:rPr>
        <w:t>317.24</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w:t>
      </w:r>
      <w:r>
        <w:rPr>
          <w:rFonts w:hint="eastAsia" w:ascii="仿宋" w:hAnsi="仿宋" w:eastAsia="仿宋" w:cs="仿宋"/>
          <w:color w:val="auto"/>
          <w:sz w:val="32"/>
          <w:szCs w:val="32"/>
          <w:highlight w:val="none"/>
        </w:rPr>
        <w:t>第七小学202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年度一般公共预算财政拨款支出年初预算为</w:t>
      </w:r>
      <w:r>
        <w:rPr>
          <w:rFonts w:hint="eastAsia" w:ascii="仿宋" w:hAnsi="仿宋" w:eastAsia="仿宋" w:cs="仿宋"/>
          <w:color w:val="auto"/>
          <w:sz w:val="32"/>
          <w:u w:color="auto"/>
          <w:lang w:val="en-US" w:eastAsia="zh-CN"/>
        </w:rPr>
        <w:t>546.05</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u w:color="auto"/>
          <w:lang w:val="en-US" w:eastAsia="zh-CN"/>
        </w:rPr>
        <w:t>1191.79</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u w:color="auto"/>
          <w:lang w:val="en-US" w:eastAsia="zh-CN"/>
        </w:rPr>
        <w:t>218.26</w:t>
      </w:r>
      <w:r>
        <w:rPr>
          <w:rFonts w:ascii="仿宋" w:hAnsi="仿宋" w:eastAsia="仿宋" w:cs="仿宋"/>
          <w:color w:val="auto"/>
          <w:sz w:val="32"/>
          <w:u w:color="auto"/>
        </w:rPr>
        <w:t>%</w:t>
      </w:r>
      <w:r>
        <w:rPr>
          <w:rFonts w:hint="eastAsia" w:ascii="仿宋" w:hAnsi="仿宋" w:eastAsia="仿宋" w:cs="仿宋"/>
          <w:color w:val="auto"/>
          <w:sz w:val="32"/>
          <w:szCs w:val="32"/>
          <w:highlight w:val="none"/>
        </w:rPr>
        <w:t>。</w:t>
      </w:r>
      <w:bookmarkStart w:id="1" w:name="OLE_LINK2"/>
      <w:bookmarkEnd w:id="1"/>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ascii="仿宋" w:hAnsi="仿宋" w:eastAsia="仿宋"/>
          <w:color w:val="auto"/>
          <w:sz w:val="32"/>
          <w:szCs w:val="32"/>
          <w:highlight w:val="none"/>
          <w:lang w:val="en-US" w:eastAsia="zh-CN"/>
        </w:rPr>
      </w:pPr>
      <w:r>
        <w:rPr>
          <w:rFonts w:hint="eastAsia" w:eastAsia="仿宋" w:asciiTheme="minorHAnsi" w:hAnsiTheme="minorHAnsi" w:cstheme="minorBidi"/>
          <w:color w:val="auto"/>
          <w:kern w:val="2"/>
          <w:sz w:val="32"/>
          <w:szCs w:val="32"/>
          <w:lang w:val="en-US" w:eastAsia="zh-CN" w:bidi="ar-SA"/>
        </w:rPr>
        <w:t>（一）</w:t>
      </w:r>
      <w:r>
        <w:rPr>
          <w:rFonts w:hint="eastAsia" w:ascii="仿宋" w:hAnsi="仿宋" w:eastAsia="仿宋"/>
          <w:color w:val="auto"/>
          <w:sz w:val="32"/>
          <w:szCs w:val="32"/>
          <w:highlight w:val="none"/>
        </w:rPr>
        <w:t>一般公共服务支出</w:t>
      </w:r>
      <w:r>
        <w:rPr>
          <w:rFonts w:ascii="仿宋" w:hAnsi="仿宋" w:eastAsia="仿宋"/>
          <w:color w:val="auto"/>
          <w:sz w:val="32"/>
          <w:u w:color="auto"/>
        </w:rPr>
        <w:t>（201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8.31</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8.31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收入支出持平。</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223"/>
        <w:gridCol w:w="1138"/>
        <w:gridCol w:w="787"/>
        <w:gridCol w:w="1750"/>
        <w:gridCol w:w="1713"/>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11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7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9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2012999</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其他群众团体事务支出</w:t>
            </w:r>
          </w:p>
        </w:tc>
        <w:tc>
          <w:tcPr>
            <w:tcW w:w="11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8.31</w:t>
            </w:r>
          </w:p>
        </w:tc>
        <w:tc>
          <w:tcPr>
            <w:tcW w:w="7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8.31</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100.00%</w:t>
            </w:r>
          </w:p>
        </w:tc>
        <w:tc>
          <w:tcPr>
            <w:tcW w:w="17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教职工工会活动</w:t>
            </w:r>
          </w:p>
        </w:tc>
        <w:tc>
          <w:tcPr>
            <w:tcW w:w="9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2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11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8.31</w:t>
            </w:r>
          </w:p>
        </w:tc>
        <w:tc>
          <w:tcPr>
            <w:tcW w:w="78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8.31</w:t>
            </w:r>
          </w:p>
        </w:tc>
        <w:tc>
          <w:tcPr>
            <w:tcW w:w="17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9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379085" cy="2732405"/>
            <wp:effectExtent l="4445" t="4445" r="7620" b="6350"/>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eastAsia="仿宋"/>
          <w:color w:val="auto"/>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二）</w:t>
      </w:r>
      <w:r>
        <w:rPr>
          <w:rFonts w:hint="eastAsia" w:ascii="仿宋" w:hAnsi="仿宋" w:eastAsia="仿宋"/>
          <w:color w:val="auto"/>
          <w:sz w:val="32"/>
          <w:szCs w:val="32"/>
          <w:highlight w:val="none"/>
        </w:rPr>
        <w:t>教育支出</w:t>
      </w:r>
      <w:r>
        <w:rPr>
          <w:rFonts w:ascii="仿宋" w:hAnsi="仿宋" w:eastAsia="仿宋"/>
          <w:color w:val="auto"/>
          <w:sz w:val="32"/>
          <w:u w:color="auto"/>
        </w:rPr>
        <w:t>（205</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416.98</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962.12</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230.74</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i w:val="0"/>
          <w:iCs w:val="0"/>
          <w:color w:val="auto"/>
          <w:sz w:val="32"/>
          <w:szCs w:val="32"/>
          <w:highlight w:val="none"/>
          <w:u w:val="none"/>
          <w:lang w:val="en-US" w:eastAsia="zh-CN"/>
        </w:rPr>
        <w:t>部分资金每年上级部门已做预算直接下达，本部门无需做预算、</w:t>
      </w:r>
      <w:r>
        <w:rPr>
          <w:rFonts w:hint="eastAsia" w:ascii="仿宋" w:hAnsi="仿宋" w:eastAsia="仿宋"/>
          <w:color w:val="auto"/>
          <w:sz w:val="32"/>
          <w:szCs w:val="32"/>
          <w:highlight w:val="none"/>
          <w:lang w:val="en-US" w:eastAsia="zh-CN"/>
        </w:rPr>
        <w:t>教师学生人数增加。</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7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522"/>
        <w:gridCol w:w="850"/>
        <w:gridCol w:w="825"/>
        <w:gridCol w:w="1063"/>
        <w:gridCol w:w="1762"/>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2050202</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小学教育</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392.06</w:t>
            </w:r>
          </w:p>
        </w:tc>
        <w:tc>
          <w:tcPr>
            <w:tcW w:w="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938.67</w:t>
            </w:r>
          </w:p>
        </w:tc>
        <w:tc>
          <w:tcPr>
            <w:tcW w:w="10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239.42%</w:t>
            </w: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主要用于人员经费，商品服务支出、四类非寄宿生补助、营养餐补助</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部分资金每年上级部门已做预算直接下达，本部门无需做预算、</w:t>
            </w:r>
            <w:r>
              <w:rPr>
                <w:rFonts w:hint="eastAsia" w:ascii="宋体" w:hAnsi="宋体" w:eastAsia="宋体" w:cs="宋体"/>
                <w:color w:val="auto"/>
                <w:sz w:val="18"/>
                <w:szCs w:val="18"/>
                <w:highlight w:val="none"/>
                <w:lang w:val="en-US" w:eastAsia="zh-CN"/>
              </w:rPr>
              <w:t>教师学生人数增加。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2050203</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kern w:val="0"/>
                <w:sz w:val="22"/>
                <w:szCs w:val="22"/>
                <w:u w:val="none"/>
                <w:lang w:val="en-US" w:eastAsia="zh-CN" w:bidi="ar"/>
              </w:rPr>
              <w:t>初中教育</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w:t>
            </w:r>
          </w:p>
        </w:tc>
        <w:tc>
          <w:tcPr>
            <w:tcW w:w="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0.13</w:t>
            </w:r>
          </w:p>
        </w:tc>
        <w:tc>
          <w:tcPr>
            <w:tcW w:w="10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主要用于四类非寄宿生补助</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支出功能科目调整，</w:t>
            </w:r>
            <w:r>
              <w:rPr>
                <w:rFonts w:hint="eastAsia" w:ascii="宋体" w:hAnsi="宋体" w:eastAsia="宋体" w:cs="宋体"/>
                <w:i w:val="0"/>
                <w:iCs w:val="0"/>
                <w:color w:val="auto"/>
                <w:sz w:val="18"/>
                <w:szCs w:val="18"/>
                <w:highlight w:val="none"/>
                <w:u w:val="none"/>
                <w:lang w:val="en-US" w:eastAsia="zh-CN"/>
              </w:rPr>
              <w:t>此项资金由上级部门已做预算直接下达，本部门无需做预算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2050299</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其他普通教育支出</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24.92</w:t>
            </w:r>
          </w:p>
        </w:tc>
        <w:tc>
          <w:tcPr>
            <w:tcW w:w="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23.45</w:t>
            </w:r>
          </w:p>
        </w:tc>
        <w:tc>
          <w:tcPr>
            <w:tcW w:w="10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94.10%</w:t>
            </w: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rPr>
              <w:t>学校日常办公、水电费、网络费、日常维修、教师培训出差等</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年中经费结算调整预算科目金额。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bookmarkStart w:id="4" w:name="_GoBack" w:colFirst="5" w:colLast="6"/>
            <w:r>
              <w:rPr>
                <w:rFonts w:hint="eastAsia" w:ascii="宋体" w:hAnsi="宋体" w:eastAsia="宋体" w:cs="宋体"/>
                <w:i w:val="0"/>
                <w:iCs w:val="0"/>
                <w:color w:val="000000"/>
                <w:kern w:val="0"/>
                <w:sz w:val="21"/>
                <w:szCs w:val="21"/>
                <w:u w:val="none"/>
                <w:lang w:val="en-US" w:eastAsia="zh-CN" w:bidi="ar"/>
              </w:rPr>
              <w:t>2050701</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特殊学校教育</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w:t>
            </w:r>
          </w:p>
        </w:tc>
        <w:tc>
          <w:tcPr>
            <w:tcW w:w="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1.28</w:t>
            </w:r>
          </w:p>
        </w:tc>
        <w:tc>
          <w:tcPr>
            <w:tcW w:w="10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18"/>
                <w:szCs w:val="18"/>
                <w:highlight w:val="none"/>
                <w:u w:val="none"/>
                <w:lang w:val="en-US" w:eastAsia="zh-CN"/>
              </w:rPr>
            </w:pP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主要用于送教上门支出。</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支出功能科目调整，</w:t>
            </w:r>
            <w:r>
              <w:rPr>
                <w:rFonts w:hint="eastAsia" w:ascii="宋体" w:hAnsi="宋体" w:eastAsia="宋体" w:cs="宋体"/>
                <w:i w:val="0"/>
                <w:iCs w:val="0"/>
                <w:color w:val="auto"/>
                <w:sz w:val="18"/>
                <w:szCs w:val="18"/>
                <w:highlight w:val="none"/>
                <w:u w:val="none"/>
                <w:lang w:val="en-US" w:eastAsia="zh-CN"/>
              </w:rPr>
              <w:t>此项资金由上级部门已做预算直接下达，本部门无需做预算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21"/>
                <w:szCs w:val="21"/>
                <w:u w:val="none"/>
                <w:lang w:val="en-US" w:eastAsia="zh-CN" w:bidi="ar"/>
              </w:rPr>
              <w:t>2050999</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w:t>
            </w:r>
          </w:p>
        </w:tc>
        <w:tc>
          <w:tcPr>
            <w:tcW w:w="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0.41</w:t>
            </w:r>
          </w:p>
        </w:tc>
        <w:tc>
          <w:tcPr>
            <w:tcW w:w="10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主要用于兼职协管员补助支出。</w:t>
            </w: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支出功能科目调整，</w:t>
            </w:r>
            <w:r>
              <w:rPr>
                <w:rFonts w:hint="eastAsia" w:ascii="宋体" w:hAnsi="宋体" w:eastAsia="宋体" w:cs="宋体"/>
                <w:i w:val="0"/>
                <w:iCs w:val="0"/>
                <w:color w:val="auto"/>
                <w:sz w:val="18"/>
                <w:szCs w:val="18"/>
                <w:highlight w:val="none"/>
                <w:u w:val="none"/>
                <w:lang w:val="en-US" w:eastAsia="zh-CN"/>
              </w:rPr>
              <w:t>此项资金由上级部门已做预算直接下达，本部门无需做预算</w:t>
            </w:r>
          </w:p>
        </w:tc>
      </w:tr>
      <w:bookmark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sz w:val="20"/>
                <w:szCs w:val="20"/>
                <w:highlight w:val="none"/>
                <w:u w:val="none"/>
                <w:lang w:val="en-US" w:eastAsia="zh-CN"/>
              </w:rPr>
              <w:t>合计数</w:t>
            </w:r>
          </w:p>
        </w:tc>
        <w:tc>
          <w:tcPr>
            <w:tcW w:w="15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8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416.98</w:t>
            </w:r>
          </w:p>
        </w:tc>
        <w:tc>
          <w:tcPr>
            <w:tcW w:w="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962.12</w:t>
            </w:r>
          </w:p>
        </w:tc>
        <w:tc>
          <w:tcPr>
            <w:tcW w:w="10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230.74%</w:t>
            </w:r>
          </w:p>
        </w:tc>
        <w:tc>
          <w:tcPr>
            <w:tcW w:w="17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636260" cy="3180080"/>
            <wp:effectExtent l="4445" t="4445" r="17145" b="1587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default" w:eastAsia="仿宋"/>
          <w:color w:val="auto"/>
          <w:highlight w:val="none"/>
          <w:lang w:val="en-US" w:eastAsia="zh-CN"/>
        </w:rPr>
      </w:pPr>
      <w:r>
        <w:rPr>
          <w:rFonts w:hint="eastAsia" w:eastAsia="仿宋" w:asciiTheme="minorHAnsi" w:hAnsiTheme="minorHAnsi" w:cstheme="minorBidi"/>
          <w:color w:val="auto"/>
          <w:kern w:val="2"/>
          <w:sz w:val="32"/>
          <w:szCs w:val="32"/>
          <w:lang w:val="en-US" w:eastAsia="zh-CN" w:bidi="ar-SA"/>
        </w:rPr>
        <w:t>（</w:t>
      </w:r>
      <w:r>
        <w:rPr>
          <w:rFonts w:hint="eastAsia" w:eastAsia="仿宋" w:cstheme="minorBidi"/>
          <w:color w:val="auto"/>
          <w:kern w:val="2"/>
          <w:sz w:val="32"/>
          <w:szCs w:val="32"/>
          <w:lang w:val="en-US" w:eastAsia="zh-CN" w:bidi="ar-SA"/>
        </w:rPr>
        <w:t>三</w:t>
      </w:r>
      <w:r>
        <w:rPr>
          <w:rFonts w:hint="eastAsia" w:eastAsia="仿宋" w:asciiTheme="minorHAnsi" w:hAnsiTheme="minorHAnsi" w:cstheme="minorBidi"/>
          <w:color w:val="auto"/>
          <w:kern w:val="2"/>
          <w:sz w:val="32"/>
          <w:szCs w:val="32"/>
          <w:lang w:val="en-US" w:eastAsia="zh-CN" w:bidi="ar-SA"/>
        </w:rPr>
        <w:t>）</w:t>
      </w:r>
      <w:r>
        <w:rPr>
          <w:rFonts w:hint="eastAsia" w:ascii="仿宋" w:hAnsi="仿宋" w:eastAsia="仿宋"/>
          <w:color w:val="auto"/>
          <w:sz w:val="32"/>
          <w:szCs w:val="32"/>
          <w:highlight w:val="none"/>
        </w:rPr>
        <w:t>社会保障和就业支出</w:t>
      </w:r>
      <w:r>
        <w:rPr>
          <w:rFonts w:ascii="仿宋" w:hAnsi="仿宋" w:eastAsia="仿宋"/>
          <w:color w:val="auto"/>
          <w:sz w:val="32"/>
          <w:u w:color="auto"/>
        </w:rPr>
        <w:t>（208</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69</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89.55</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129</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原因是：2023年度</w:t>
      </w:r>
      <w:r>
        <w:rPr>
          <w:rFonts w:hint="eastAsia" w:ascii="仿宋" w:hAnsi="仿宋" w:eastAsia="仿宋" w:cs="仿宋"/>
          <w:color w:val="auto"/>
          <w:sz w:val="32"/>
          <w:szCs w:val="32"/>
          <w:highlight w:val="none"/>
          <w:lang w:val="en-US" w:eastAsia="zh-CN"/>
        </w:rPr>
        <w:t>教师人数增加</w:t>
      </w:r>
      <w:r>
        <w:rPr>
          <w:rFonts w:hint="eastAsia" w:ascii="仿宋" w:hAnsi="仿宋" w:eastAsia="仿宋"/>
          <w:color w:val="auto"/>
          <w:sz w:val="32"/>
          <w:szCs w:val="32"/>
          <w:highlight w:val="none"/>
          <w:lang w:val="en-US" w:eastAsia="zh-CN"/>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89.55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129%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w:t>
            </w:r>
            <w:r>
              <w:rPr>
                <w:rFonts w:hint="eastAsia" w:ascii="宋体" w:hAnsi="宋体" w:eastAsia="宋体" w:cs="宋体"/>
                <w:i w:val="0"/>
                <w:iCs w:val="0"/>
                <w:color w:val="auto"/>
                <w:sz w:val="20"/>
                <w:szCs w:val="20"/>
                <w:highlight w:val="none"/>
                <w:u w:val="none"/>
                <w:lang w:val="en-US" w:eastAsia="zh-CN"/>
              </w:rPr>
              <w:t>基本养老保险支出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教师人数增加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89.55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129%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407025" cy="2314575"/>
            <wp:effectExtent l="5080" t="4445" r="17145" b="5080"/>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四）</w:t>
      </w:r>
      <w:r>
        <w:rPr>
          <w:rFonts w:hint="eastAsia" w:ascii="仿宋" w:hAnsi="仿宋" w:eastAsia="仿宋"/>
          <w:color w:val="auto"/>
          <w:sz w:val="32"/>
          <w:szCs w:val="32"/>
          <w:highlight w:val="none"/>
        </w:rPr>
        <w:t>住房保障支出</w:t>
      </w:r>
      <w:r>
        <w:rPr>
          <w:rFonts w:ascii="仿宋" w:hAnsi="仿宋" w:eastAsia="仿宋"/>
          <w:color w:val="auto"/>
          <w:sz w:val="32"/>
          <w:u w:color="auto"/>
        </w:rPr>
        <w:t>（221</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51.75</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67.16</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129</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原因是：2023年度教师人数增加。</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39.94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67.16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129%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imes New Roman" w:hAnsi="Times New Roman" w:eastAsia="仿宋_GB2312" w:cs="Times New Roman"/>
                <w:color w:val="auto"/>
                <w:kern w:val="0"/>
                <w:sz w:val="22"/>
                <w:szCs w:val="22"/>
              </w:rPr>
              <w:t>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教师人数增加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39.94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67.16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129%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093335" cy="2910840"/>
            <wp:effectExtent l="4445" t="4445" r="7620" b="184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left="0" w:leftChars="0" w:right="0" w:rightChars="0" w:firstLine="420" w:firstLineChars="0"/>
        <w:jc w:val="left"/>
        <w:rPr>
          <w:rFonts w:hint="eastAsia" w:eastAsia="仿宋"/>
          <w:color w:val="auto"/>
          <w:highlight w:val="none"/>
          <w:lang w:val="en-US" w:eastAsia="zh-CN"/>
        </w:rPr>
      </w:pPr>
      <w:r>
        <w:rPr>
          <w:rFonts w:hint="eastAsia" w:eastAsia="仿宋" w:asciiTheme="minorHAnsi" w:hAnsiTheme="minorHAnsi" w:cstheme="minorBidi"/>
          <w:color w:val="auto"/>
          <w:kern w:val="2"/>
          <w:sz w:val="32"/>
          <w:szCs w:val="32"/>
          <w:lang w:val="en-US" w:eastAsia="zh-CN" w:bidi="ar-SA"/>
        </w:rPr>
        <w:t>（</w:t>
      </w:r>
      <w:r>
        <w:rPr>
          <w:rFonts w:hint="eastAsia" w:eastAsia="仿宋" w:cstheme="minorBidi"/>
          <w:color w:val="auto"/>
          <w:kern w:val="2"/>
          <w:sz w:val="32"/>
          <w:szCs w:val="32"/>
          <w:lang w:val="en-US" w:eastAsia="zh-CN" w:bidi="ar-SA"/>
        </w:rPr>
        <w:t>五</w:t>
      </w:r>
      <w:r>
        <w:rPr>
          <w:rFonts w:hint="eastAsia" w:eastAsia="仿宋" w:asciiTheme="minorHAnsi" w:hAnsiTheme="minorHAnsi" w:cstheme="minorBidi"/>
          <w:color w:val="auto"/>
          <w:kern w:val="2"/>
          <w:sz w:val="32"/>
          <w:szCs w:val="32"/>
          <w:lang w:val="en-US" w:eastAsia="zh-CN" w:bidi="ar-SA"/>
        </w:rPr>
        <w:t>）</w:t>
      </w:r>
      <w:r>
        <w:rPr>
          <w:rFonts w:hint="eastAsia" w:ascii="仿宋" w:hAnsi="仿宋" w:eastAsia="仿宋"/>
          <w:color w:val="auto"/>
          <w:sz w:val="32"/>
          <w:szCs w:val="32"/>
          <w:highlight w:val="none"/>
        </w:rPr>
        <w:t>其他支出</w:t>
      </w:r>
      <w:r>
        <w:rPr>
          <w:rFonts w:ascii="仿宋" w:hAnsi="仿宋" w:eastAsia="仿宋"/>
          <w:color w:val="auto"/>
          <w:sz w:val="32"/>
          <w:u w:color="auto"/>
        </w:rPr>
        <w:t>（229</w:t>
      </w:r>
      <w:r>
        <w:rPr>
          <w:rFonts w:hint="eastAsia" w:ascii="仿宋" w:hAnsi="仿宋" w:eastAsia="仿宋"/>
          <w:color w:val="auto"/>
          <w:sz w:val="32"/>
          <w:szCs w:val="32"/>
          <w:highlight w:val="none"/>
        </w:rPr>
        <w:t>类）年初预算为</w:t>
      </w:r>
      <w:r>
        <w:rPr>
          <w:rFonts w:ascii="仿宋" w:hAnsi="仿宋" w:eastAsia="仿宋"/>
          <w:color w:val="auto"/>
          <w:sz w:val="32"/>
          <w:szCs w:val="32"/>
          <w:highlight w:val="none"/>
        </w:rPr>
        <w:t>0.00</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64.65</w:t>
      </w:r>
      <w:r>
        <w:rPr>
          <w:rFonts w:hint="eastAsia" w:ascii="仿宋" w:hAnsi="仿宋" w:eastAsia="仿宋"/>
          <w:color w:val="auto"/>
          <w:sz w:val="32"/>
          <w:szCs w:val="32"/>
          <w:highlight w:val="none"/>
        </w:rPr>
        <w:t>万元，完成年初预算的</w:t>
      </w:r>
      <w:r>
        <w:rPr>
          <w:rFonts w:ascii="仿宋" w:hAnsi="仿宋" w:eastAsia="仿宋"/>
          <w:color w:val="auto"/>
          <w:sz w:val="32"/>
          <w:szCs w:val="32"/>
          <w:highlight w:val="none"/>
        </w:rPr>
        <w:t>100.00%</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s="仿宋"/>
          <w:i w:val="0"/>
          <w:iCs w:val="0"/>
          <w:color w:val="auto"/>
          <w:sz w:val="32"/>
          <w:szCs w:val="32"/>
          <w:highlight w:val="none"/>
          <w:u w:val="none"/>
          <w:lang w:val="en-US" w:eastAsia="zh-CN"/>
        </w:rPr>
        <w:t>此部分资金每年上级部门已做预算直接下达，本部门无需做预算</w:t>
      </w:r>
      <w:r>
        <w:rPr>
          <w:rFonts w:hint="eastAsia" w:ascii="仿宋" w:hAnsi="仿宋" w:eastAsia="仿宋"/>
          <w:color w:val="auto"/>
          <w:sz w:val="32"/>
          <w:szCs w:val="32"/>
          <w:highlight w:val="none"/>
          <w:lang w:val="en-US" w:eastAsia="zh-CN"/>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64.65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5"/>
                <w:szCs w:val="15"/>
                <w:highlight w:val="none"/>
                <w:u w:val="none"/>
                <w:lang w:val="en-US" w:eastAsia="zh-CN"/>
              </w:rPr>
            </w:pPr>
            <w:r>
              <w:rPr>
                <w:rFonts w:hint="eastAsia" w:ascii="宋体" w:hAnsi="宋体" w:eastAsia="宋体" w:cs="宋体"/>
                <w:color w:val="auto"/>
                <w:sz w:val="15"/>
                <w:szCs w:val="15"/>
                <w:highlight w:val="none"/>
                <w:lang w:val="en-US" w:eastAsia="zh-CN"/>
              </w:rPr>
              <w:t>奖励性补贴发放</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64.65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188585" cy="2567940"/>
            <wp:effectExtent l="4445" t="4445" r="7620" b="184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年度一般公共预算财政拨款基本支出决算情况说明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w:t>
      </w:r>
      <w:r>
        <w:rPr>
          <w:rFonts w:hint="eastAsia" w:ascii="仿宋" w:hAnsi="仿宋" w:eastAsia="仿宋" w:cs="仿宋"/>
          <w:color w:val="auto"/>
          <w:sz w:val="32"/>
          <w:szCs w:val="32"/>
          <w:highlight w:val="none"/>
        </w:rPr>
        <w:t>第七小学202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年度一般公共预算财政拨款基本支出</w:t>
      </w:r>
      <w:r>
        <w:rPr>
          <w:rFonts w:hint="eastAsia" w:ascii="仿宋" w:hAnsi="仿宋" w:eastAsia="仿宋" w:cs="仿宋"/>
          <w:color w:val="auto"/>
          <w:sz w:val="32"/>
          <w:u w:color="auto"/>
          <w:lang w:val="en-US" w:eastAsia="zh-CN"/>
        </w:rPr>
        <w:t>874.55</w:t>
      </w:r>
      <w:r>
        <w:rPr>
          <w:rFonts w:hint="eastAsia" w:ascii="仿宋" w:hAnsi="仿宋" w:eastAsia="仿宋" w:cs="仿宋"/>
          <w:color w:val="auto"/>
          <w:sz w:val="32"/>
          <w:szCs w:val="32"/>
          <w:highlight w:val="none"/>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其中：人员经费支出</w:t>
      </w:r>
      <w:r>
        <w:rPr>
          <w:rFonts w:hint="eastAsia" w:ascii="仿宋" w:hAnsi="仿宋" w:eastAsia="仿宋" w:cs="仿宋"/>
          <w:color w:val="auto"/>
          <w:sz w:val="32"/>
          <w:szCs w:val="32"/>
          <w:highlight w:val="none"/>
          <w:lang w:val="en-US" w:eastAsia="zh-CN"/>
        </w:rPr>
        <w:t>866.23</w:t>
      </w:r>
      <w:r>
        <w:rPr>
          <w:rFonts w:hint="default" w:ascii="仿宋_GB2312" w:hAnsi="微软雅黑" w:eastAsia="仿宋_GB2312" w:cs="仿宋_GB2312"/>
          <w:i w:val="0"/>
          <w:iCs w:val="0"/>
          <w:caps w:val="0"/>
          <w:color w:val="auto"/>
          <w:spacing w:val="0"/>
          <w:sz w:val="31"/>
          <w:szCs w:val="31"/>
          <w:highlight w:val="none"/>
          <w:shd w:val="clear" w:color="auto" w:fill="FFFFFF"/>
        </w:rPr>
        <w:t>万元，公用经费支出</w:t>
      </w:r>
      <w:r>
        <w:rPr>
          <w:rFonts w:hint="eastAsia" w:ascii="仿宋" w:hAnsi="仿宋" w:eastAsia="仿宋" w:cs="仿宋"/>
          <w:color w:val="auto"/>
          <w:sz w:val="32"/>
          <w:szCs w:val="32"/>
          <w:highlight w:val="none"/>
          <w:lang w:val="en-US" w:eastAsia="zh-CN"/>
        </w:rPr>
        <w:t>8.31</w:t>
      </w:r>
      <w:r>
        <w:rPr>
          <w:rFonts w:hint="default" w:ascii="仿宋_GB2312" w:hAnsi="微软雅黑" w:eastAsia="仿宋_GB2312" w:cs="仿宋_GB2312"/>
          <w:i w:val="0"/>
          <w:iCs w:val="0"/>
          <w:caps w:val="0"/>
          <w:color w:val="auto"/>
          <w:spacing w:val="0"/>
          <w:sz w:val="31"/>
          <w:szCs w:val="31"/>
          <w:highlight w:val="none"/>
          <w:shd w:val="clear" w:color="auto" w:fill="FFFFFF"/>
        </w:rPr>
        <w:t>万元，</w:t>
      </w:r>
      <w:r>
        <w:rPr>
          <w:rFonts w:hint="eastAsia" w:ascii="仿宋" w:hAnsi="仿宋" w:eastAsia="仿宋" w:cs="仿宋"/>
          <w:color w:val="auto"/>
          <w:sz w:val="32"/>
          <w:szCs w:val="32"/>
          <w:highlight w:val="none"/>
        </w:rPr>
        <w:t>支出具体情况如下：</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工资福利支出</w:t>
      </w:r>
      <w:r>
        <w:rPr>
          <w:rFonts w:hint="eastAsia" w:ascii="仿宋" w:hAnsi="仿宋" w:eastAsia="仿宋" w:cs="仿宋"/>
          <w:color w:val="auto"/>
          <w:sz w:val="32"/>
          <w:u w:color="auto"/>
          <w:lang w:val="en-US" w:eastAsia="zh-CN"/>
        </w:rPr>
        <w:t>866.21</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161</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主要原因是：教师数增加。</w:t>
      </w:r>
    </w:p>
    <w:p>
      <w:pPr>
        <w:ind w:firstLine="640" w:firstLineChars="200"/>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30101基本工资276.4万元，30102津贴补贴32.28万元，30103奖金227.69万元，30107绩效工资132.87万元，30108机关事业单位基本养老保险缴费89.55万元，30110职工基本医疗保险缴费35.86万元，30111公务员医疗补助缴费0万元，30112其他社会保障缴费4.40万元，30113住房公积金67.16万元。</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drawing>
          <wp:inline distT="0" distB="0" distL="114300" distR="114300">
            <wp:extent cx="5323205" cy="2996565"/>
            <wp:effectExtent l="4445" t="4445" r="6350" b="8890"/>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商品和服务支出</w:t>
      </w:r>
      <w:r>
        <w:rPr>
          <w:rFonts w:hint="eastAsia" w:ascii="仿宋" w:hAnsi="仿宋" w:eastAsia="仿宋" w:cs="仿宋"/>
          <w:color w:val="auto"/>
          <w:sz w:val="32"/>
          <w:u w:color="auto"/>
          <w:lang w:val="en-US" w:eastAsia="zh-CN"/>
        </w:rPr>
        <w:t>8.31</w:t>
      </w:r>
      <w:r>
        <w:rPr>
          <w:rFonts w:ascii="仿宋" w:hAnsi="仿宋" w:eastAsia="仿宋" w:cs="仿宋"/>
          <w:color w:val="auto"/>
          <w:sz w:val="32"/>
          <w:u w:color="auto"/>
        </w:rPr>
        <w:t>万元，</w:t>
      </w: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30228工会费8.31万，</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auto"/>
          <w:sz w:val="32"/>
          <w:szCs w:val="32"/>
          <w:highlight w:val="none"/>
        </w:rPr>
        <w:t>预决算</w:t>
      </w:r>
      <w:r>
        <w:rPr>
          <w:rFonts w:hint="eastAsia" w:ascii="仿宋" w:hAnsi="仿宋" w:eastAsia="仿宋" w:cs="仿宋"/>
          <w:color w:val="auto"/>
          <w:sz w:val="32"/>
          <w:szCs w:val="32"/>
          <w:highlight w:val="none"/>
          <w:lang w:val="en-US" w:eastAsia="zh-CN"/>
        </w:rPr>
        <w:t>无</w:t>
      </w:r>
      <w:r>
        <w:rPr>
          <w:rFonts w:hint="eastAsia" w:ascii="仿宋" w:hAnsi="仿宋" w:eastAsia="仿宋" w:cs="仿宋"/>
          <w:color w:val="auto"/>
          <w:sz w:val="32"/>
          <w:szCs w:val="32"/>
          <w:highlight w:val="none"/>
        </w:rPr>
        <w:t>差异</w:t>
      </w:r>
      <w:r>
        <w:rPr>
          <w:rFonts w:hint="eastAsia" w:ascii="仿宋" w:hAnsi="仿宋" w:eastAsia="仿宋" w:cs="仿宋"/>
          <w:color w:val="auto"/>
          <w:kern w:val="2"/>
          <w:sz w:val="32"/>
          <w:szCs w:val="32"/>
          <w:highlight w:val="none"/>
          <w:lang w:val="en-US" w:eastAsia="zh-CN" w:bidi="ar"/>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140960" cy="3178175"/>
            <wp:effectExtent l="4445" t="4445" r="17145" b="17780"/>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对个人和家庭的补助</w:t>
      </w:r>
      <w:r>
        <w:rPr>
          <w:rFonts w:hint="eastAsia" w:ascii="仿宋" w:hAnsi="仿宋" w:eastAsia="仿宋" w:cs="仿宋"/>
          <w:color w:val="auto"/>
          <w:sz w:val="32"/>
          <w:u w:color="auto"/>
          <w:lang w:val="en-US" w:eastAsia="zh-CN"/>
        </w:rPr>
        <w:t>0.02</w:t>
      </w:r>
      <w:r>
        <w:rPr>
          <w:rFonts w:ascii="仿宋" w:hAnsi="仿宋" w:eastAsia="仿宋" w:cs="仿宋"/>
          <w:color w:val="auto"/>
          <w:sz w:val="32"/>
          <w:u w:color="auto"/>
        </w:rPr>
        <w:t>万元，</w:t>
      </w: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30309奖励金0.02万元，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lang w:val="en-US" w:eastAsia="zh-CN"/>
        </w:rPr>
        <w:t>100.00</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预决算</w:t>
      </w:r>
      <w:r>
        <w:rPr>
          <w:rFonts w:hint="eastAsia" w:ascii="仿宋" w:hAnsi="仿宋" w:eastAsia="仿宋" w:cs="仿宋"/>
          <w:color w:val="auto"/>
          <w:sz w:val="32"/>
          <w:szCs w:val="32"/>
          <w:highlight w:val="none"/>
          <w:lang w:val="en-US" w:eastAsia="zh-CN"/>
        </w:rPr>
        <w:t>无</w:t>
      </w:r>
      <w:r>
        <w:rPr>
          <w:rFonts w:hint="eastAsia" w:ascii="仿宋" w:hAnsi="仿宋" w:eastAsia="仿宋" w:cs="仿宋"/>
          <w:color w:val="auto"/>
          <w:sz w:val="32"/>
          <w:szCs w:val="32"/>
          <w:highlight w:val="none"/>
        </w:rPr>
        <w:t>差异</w:t>
      </w:r>
      <w:r>
        <w:rPr>
          <w:rFonts w:hint="eastAsia" w:ascii="仿宋" w:hAnsi="仿宋" w:eastAsia="仿宋" w:cs="仿宋"/>
          <w:color w:val="auto"/>
          <w:kern w:val="2"/>
          <w:sz w:val="32"/>
          <w:szCs w:val="32"/>
          <w:highlight w:val="none"/>
          <w:lang w:val="en-US" w:eastAsia="zh-CN" w:bidi="ar"/>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130800" cy="3291205"/>
            <wp:effectExtent l="4445" t="4445" r="8255" b="19050"/>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债务利息及费用支出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无</w:t>
      </w:r>
      <w:r>
        <w:rPr>
          <w:rFonts w:hint="eastAsia" w:ascii="仿宋" w:hAnsi="仿宋" w:eastAsia="仿宋" w:cs="仿宋"/>
          <w:color w:val="auto"/>
          <w:sz w:val="32"/>
          <w:szCs w:val="32"/>
          <w:highlight w:val="none"/>
        </w:rPr>
        <w:t>债务利息及费用支出</w:t>
      </w:r>
      <w:r>
        <w:rPr>
          <w:rFonts w:hint="eastAsia" w:ascii="仿宋" w:hAnsi="仿宋" w:eastAsia="仿宋" w:cs="仿宋"/>
          <w:color w:val="auto"/>
          <w:sz w:val="32"/>
          <w:szCs w:val="32"/>
          <w:highlight w:val="none"/>
          <w:lang w:eastAsia="zh-CN"/>
        </w:rPr>
        <w:t>。</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055235" cy="3206115"/>
            <wp:effectExtent l="4445" t="4445" r="7620" b="8890"/>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color w:val="auto"/>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资本性支出</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100%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无</w:t>
      </w:r>
      <w:r>
        <w:rPr>
          <w:rFonts w:hint="eastAsia" w:ascii="仿宋" w:hAnsi="仿宋" w:eastAsia="仿宋" w:cs="仿宋"/>
          <w:color w:val="auto"/>
          <w:sz w:val="32"/>
          <w:szCs w:val="32"/>
          <w:highlight w:val="none"/>
        </w:rPr>
        <w:t>预决算差异</w:t>
      </w:r>
      <w:r>
        <w:rPr>
          <w:rFonts w:hint="eastAsia" w:ascii="仿宋" w:hAnsi="仿宋" w:eastAsia="仿宋" w:cs="仿宋"/>
          <w:color w:val="auto"/>
          <w:sz w:val="32"/>
          <w:szCs w:val="32"/>
          <w:highlight w:val="none"/>
          <w:lang w:eastAsia="zh-CN"/>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311775" cy="2527300"/>
            <wp:effectExtent l="4445" t="4445" r="17780" b="2095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color w:val="auto"/>
          <w:sz w:val="32"/>
          <w:szCs w:val="32"/>
          <w:highlight w:val="none"/>
        </w:rPr>
      </w:pP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其他支出</w:t>
      </w:r>
      <w:r>
        <w:rPr>
          <w:rFonts w:ascii="仿宋" w:hAnsi="仿宋" w:eastAsia="仿宋" w:cs="仿宋"/>
          <w:color w:val="auto"/>
          <w:sz w:val="32"/>
          <w:u w:color="auto"/>
        </w:rPr>
        <w:t>0.00万元，</w:t>
      </w:r>
      <w:r>
        <w:rPr>
          <w:rFonts w:hint="default" w:ascii="仿宋_GB2312" w:hAnsi="微软雅黑" w:eastAsia="仿宋_GB2312" w:cs="仿宋_GB2312"/>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_GB2312" w:hAnsi="微软雅黑" w:eastAsia="仿宋_GB2312" w:cs="仿宋_GB2312"/>
          <w:i w:val="0"/>
          <w:iCs w:val="0"/>
          <w:caps w:val="0"/>
          <w:color w:val="auto"/>
          <w:spacing w:val="0"/>
          <w:sz w:val="31"/>
          <w:szCs w:val="31"/>
          <w:highlight w:val="none"/>
          <w:shd w:val="clear" w:color="auto" w:fill="FFFFFF"/>
          <w:lang w:val="en-US" w:eastAsia="zh-CN"/>
        </w:rPr>
        <w:t>无</w:t>
      </w:r>
      <w:r>
        <w:rPr>
          <w:rFonts w:hint="eastAsia" w:ascii="仿宋" w:hAnsi="仿宋" w:eastAsia="仿宋" w:cs="仿宋"/>
          <w:color w:val="auto"/>
          <w:sz w:val="32"/>
          <w:szCs w:val="32"/>
          <w:highlight w:val="none"/>
        </w:rPr>
        <w:t>其他支出</w:t>
      </w:r>
      <w:r>
        <w:rPr>
          <w:rFonts w:hint="eastAsia" w:ascii="仿宋" w:hAnsi="仿宋" w:eastAsia="仿宋" w:cs="仿宋"/>
          <w:color w:val="auto"/>
          <w:sz w:val="32"/>
          <w:szCs w:val="32"/>
          <w:highlight w:val="none"/>
          <w:lang w:eastAsia="zh-CN"/>
        </w:rPr>
        <w:t>。</w:t>
      </w: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drawing>
          <wp:inline distT="0" distB="0" distL="114300" distR="114300">
            <wp:extent cx="5387975" cy="3291840"/>
            <wp:effectExtent l="4445" t="4445" r="1778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both"/>
        <w:rPr>
          <w:rFonts w:hint="eastAsia" w:ascii="仿宋" w:hAnsi="仿宋" w:eastAsia="仿宋" w:cs="仿宋"/>
          <w:color w:val="auto"/>
          <w:sz w:val="32"/>
          <w:szCs w:val="32"/>
          <w:highlight w:val="none"/>
        </w:rPr>
      </w:pPr>
    </w:p>
    <w:p>
      <w:pPr>
        <w:jc w:val="left"/>
        <w:rPr>
          <w:rFonts w:ascii="仿宋" w:hAnsi="仿宋" w:eastAsia="仿宋" w:cs="仿宋"/>
          <w:color w:val="auto"/>
          <w:sz w:val="32"/>
          <w:szCs w:val="32"/>
          <w:highlight w:val="none"/>
        </w:rPr>
      </w:pP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年度政府性基金支出决算情况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w:t>
      </w:r>
      <w:r>
        <w:rPr>
          <w:rFonts w:hint="eastAsia" w:ascii="仿宋" w:hAnsi="仿宋" w:eastAsia="仿宋" w:cs="仿宋"/>
          <w:color w:val="auto"/>
          <w:sz w:val="32"/>
          <w:szCs w:val="32"/>
          <w:highlight w:val="none"/>
        </w:rPr>
        <w:t>第七小学202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年度政府性基金支出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增长0%</w:t>
      </w:r>
      <w:r>
        <w:rPr>
          <w:rFonts w:hint="eastAsia" w:ascii="仿宋" w:hAnsi="仿宋" w:eastAsia="仿宋" w:cs="仿宋"/>
          <w:color w:val="auto"/>
          <w:sz w:val="32"/>
          <w:szCs w:val="32"/>
          <w:highlight w:val="none"/>
        </w:rPr>
        <w:t>其中：基本支出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w:t>
      </w:r>
      <w:r>
        <w:rPr>
          <w:rFonts w:hint="eastAsia" w:ascii="仿宋" w:hAnsi="仿宋" w:eastAsia="仿宋" w:cs="仿宋"/>
          <w:color w:val="auto"/>
          <w:sz w:val="32"/>
          <w:szCs w:val="32"/>
          <w:highlight w:val="none"/>
        </w:rPr>
        <w:t>第七小学202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年度政府性基金支出年初预算为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lang w:eastAsia="zh-CN"/>
        </w:rPr>
        <w:t>环江毛南族自治县</w:t>
      </w:r>
      <w:r>
        <w:rPr>
          <w:rFonts w:hint="eastAsia" w:ascii="仿宋_GB2312" w:hAnsi="Times New Roman" w:eastAsia="仿宋_GB2312" w:cs="Times New Roman"/>
          <w:color w:val="auto"/>
          <w:sz w:val="32"/>
          <w:szCs w:val="32"/>
        </w:rPr>
        <w:t>第七小学</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五、202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年度国有资本经营预算支出决算情况</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w:t>
      </w:r>
      <w:r>
        <w:rPr>
          <w:rFonts w:hint="eastAsia" w:ascii="仿宋" w:hAnsi="仿宋" w:eastAsia="仿宋" w:cs="仿宋"/>
          <w:color w:val="auto"/>
          <w:sz w:val="32"/>
          <w:szCs w:val="32"/>
          <w:highlight w:val="none"/>
        </w:rPr>
        <w:t>第七小学202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年度国有资本经营预算支出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万元。其中：基本支出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万元，项目支出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环江毛南族自治县</w:t>
      </w:r>
      <w:r>
        <w:rPr>
          <w:rFonts w:hint="eastAsia" w:ascii="仿宋" w:hAnsi="仿宋" w:eastAsia="仿宋" w:cs="仿宋"/>
          <w:color w:val="auto"/>
          <w:sz w:val="32"/>
          <w:szCs w:val="32"/>
          <w:highlight w:val="none"/>
        </w:rPr>
        <w:t>第七小学202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 xml:space="preserve"> 年度国有资本经营预算支出年初预算为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万元，支出决算为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2" w:name="PO_part3A5B1C1DiffReason1"/>
      <w:r>
        <w:rPr>
          <w:rFonts w:hint="eastAsia" w:ascii="仿宋_GB2312" w:hAnsi="Times New Roman" w:eastAsia="仿宋_GB2312" w:cs="Times New Roman"/>
          <w:color w:val="auto"/>
          <w:sz w:val="32"/>
          <w:szCs w:val="32"/>
          <w:lang w:eastAsia="zh-CN"/>
        </w:rPr>
        <w:t>环江毛南族自治县</w:t>
      </w:r>
      <w:r>
        <w:rPr>
          <w:rFonts w:hint="eastAsia" w:ascii="仿宋_GB2312" w:hAnsi="Times New Roman" w:eastAsia="仿宋_GB2312" w:cs="Times New Roman"/>
          <w:color w:val="auto"/>
          <w:sz w:val="32"/>
          <w:szCs w:val="32"/>
        </w:rPr>
        <w:t>第七小学</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2"/>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年预算财政拨款安排的“三公”经费支出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主要原因是：学校没有“三公”经费。</w:t>
      </w:r>
      <w:r>
        <w:rPr>
          <w:rFonts w:hint="eastAsia" w:ascii="仿宋" w:hAnsi="仿宋" w:eastAsia="仿宋" w:cs="仿宋"/>
          <w:color w:val="auto"/>
          <w:sz w:val="32"/>
          <w:szCs w:val="32"/>
          <w:highlight w:val="none"/>
        </w:rPr>
        <w:t>其中：因公出国（境）费支出决算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万元，公务用车购置及运行费支出决算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万元，公务接待费支出决算</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具体情况如下：</w:t>
      </w:r>
    </w:p>
    <w:p>
      <w:pPr>
        <w:numPr>
          <w:ilvl w:val="0"/>
          <w:numId w:val="2"/>
        </w:num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因公出国（境）费支出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学校没有“三公”经费</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，全年因公出国（境）团组共计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个，累计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人次。</w:t>
      </w:r>
    </w:p>
    <w:p>
      <w:pPr>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highlight w:val="none"/>
        </w:rPr>
        <w:t>（二）公务用车购置及运行维护费</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万元。其中：公务用车购置支出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rPr>
        <w:t>主要原因</w:t>
      </w:r>
      <w:bookmarkStart w:id="3" w:name="PO_part3A6B2IncReason1"/>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本部门无公务用车购置</w:t>
      </w:r>
      <w:bookmarkEnd w:id="3"/>
      <w:r>
        <w:rPr>
          <w:rFonts w:hint="eastAsia" w:ascii="仿宋" w:hAnsi="仿宋" w:eastAsia="仿宋" w:cs="仿宋"/>
          <w:color w:val="auto"/>
          <w:sz w:val="32"/>
          <w:szCs w:val="32"/>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公务用车运行维护支出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lang w:eastAsia="zh-CN"/>
        </w:rPr>
        <w:t>本单位</w:t>
      </w:r>
      <w:r>
        <w:rPr>
          <w:rFonts w:hint="eastAsia" w:ascii="仿宋" w:hAnsi="仿宋" w:eastAsia="仿宋" w:cs="仿宋"/>
          <w:color w:val="auto"/>
          <w:sz w:val="32"/>
          <w:szCs w:val="32"/>
        </w:rPr>
        <w:t>无公务用车</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u w:color="auto"/>
          <w:lang w:eastAsia="zh-CN"/>
        </w:rPr>
        <w:t>环江毛南族自治县</w:t>
      </w:r>
      <w:r>
        <w:rPr>
          <w:rFonts w:ascii="仿宋" w:hAnsi="仿宋" w:eastAsia="仿宋" w:cs="仿宋"/>
          <w:color w:val="auto"/>
          <w:sz w:val="32"/>
          <w:u w:color="auto"/>
        </w:rPr>
        <w:t>第七小学</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 xml:space="preserve">  0 个</w:t>
      </w:r>
      <w:r>
        <w:rPr>
          <w:rFonts w:hint="eastAsia" w:ascii="仿宋" w:hAnsi="仿宋" w:eastAsia="仿宋" w:cs="仿宋"/>
          <w:color w:val="auto"/>
          <w:sz w:val="32"/>
          <w:szCs w:val="32"/>
          <w:highlight w:val="none"/>
        </w:rPr>
        <w:t>所属单位开支财政拨款的公务用车保有量为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（三）公务接待费支出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 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万元，国内公务接待批次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次，国（境）外公务接待批次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次。</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七、其他重要事项情况说明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 机关运行经费支出情况说明</w:t>
      </w:r>
    </w:p>
    <w:p>
      <w:pPr>
        <w:ind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eastAsia="zh-CN"/>
        </w:rPr>
        <w:t>本单位</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年度机关运行经费支出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万元，比年初预算数</w:t>
      </w:r>
      <w:r>
        <w:rPr>
          <w:rFonts w:ascii="仿宋" w:hAnsi="仿宋" w:eastAsia="仿宋" w:cs="仿宋"/>
          <w:color w:val="auto"/>
          <w:sz w:val="32"/>
          <w:szCs w:val="32"/>
          <w:highlight w:val="none"/>
        </w:rPr>
        <w:t>减少</w:t>
      </w:r>
      <w:r>
        <w:rPr>
          <w:rFonts w:hint="eastAsia" w:ascii="仿宋" w:hAnsi="仿宋" w:eastAsia="仿宋" w:cs="仿宋"/>
          <w:color w:val="auto"/>
          <w:sz w:val="32"/>
          <w:szCs w:val="32"/>
          <w:highlight w:val="none"/>
          <w:lang w:val="en-US" w:eastAsia="zh-CN"/>
        </w:rPr>
        <w:t>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下降100%</w:t>
      </w:r>
      <w:r>
        <w:rPr>
          <w:rFonts w:hint="eastAsia" w:ascii="仿宋" w:hAnsi="仿宋" w:eastAsia="仿宋" w:cs="仿宋"/>
          <w:color w:val="auto"/>
          <w:sz w:val="32"/>
          <w:szCs w:val="32"/>
          <w:highlight w:val="none"/>
        </w:rPr>
        <w:t>，比上年决算数</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增长0%</w:t>
      </w:r>
      <w:r>
        <w:rPr>
          <w:rFonts w:hint="eastAsia" w:ascii="仿宋" w:hAnsi="仿宋" w:eastAsia="仿宋" w:cs="仿宋"/>
          <w:color w:val="auto"/>
          <w:sz w:val="32"/>
          <w:szCs w:val="32"/>
          <w:highlight w:val="none"/>
        </w:rPr>
        <w:t>。原因是</w:t>
      </w:r>
      <w:r>
        <w:rPr>
          <w:rFonts w:hint="eastAsia" w:ascii="仿宋" w:hAnsi="仿宋" w:eastAsia="仿宋" w:cs="仿宋"/>
          <w:color w:val="auto"/>
          <w:kern w:val="2"/>
          <w:sz w:val="32"/>
          <w:szCs w:val="32"/>
          <w:highlight w:val="none"/>
          <w:lang w:val="en-US" w:eastAsia="zh-CN" w:bidi="ar"/>
        </w:rPr>
        <w:t>学校没有机关运行经费。</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（二）政府采购支出情况说明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年度政府采购支出总额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万元，其中：政府采购货物支出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万元、政府采购工程支出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万元、政府采购服务支出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万元。授予中小企业合同金额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万元，占政府采购支出总额的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，其中：授予小微企业合同金额</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万元，占授予中小企业合同金额的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（三）国有资产占用情况说明</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截至202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年12月31日，本部门共有车辆</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辆，其中：副部（省）级领导干部用车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辆、机要通信用车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辆、应急保障用车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辆、执法执勤用车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辆、特种专业技术用车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辆、其他用车</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辆；单位价值50万元以上通用设备</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台（套）；单位价值</w:t>
      </w:r>
      <w:r>
        <w:rPr>
          <w:rFonts w:hint="eastAsia" w:ascii="仿宋" w:hAnsi="仿宋" w:eastAsia="仿宋" w:cs="仿宋"/>
          <w:color w:val="auto"/>
          <w:sz w:val="32"/>
          <w:szCs w:val="32"/>
          <w:highlight w:val="none"/>
          <w:lang w:val="en-US" w:eastAsia="zh-CN"/>
        </w:rPr>
        <w:t>100万</w:t>
      </w:r>
      <w:r>
        <w:rPr>
          <w:rFonts w:hint="eastAsia" w:ascii="仿宋" w:hAnsi="仿宋" w:eastAsia="仿宋" w:cs="仿宋"/>
          <w:color w:val="auto"/>
          <w:sz w:val="32"/>
          <w:szCs w:val="32"/>
          <w:highlight w:val="none"/>
        </w:rPr>
        <w:t>元以上专用设备台（套）。</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（四）预算绩效管理工作开展情况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项目绩效自评总体情况：我部门2023年度项目共</w:t>
      </w:r>
      <w:r>
        <w:rPr>
          <w:rFonts w:hint="eastAsia" w:ascii="仿宋_GB2312" w:eastAsia="仿宋_GB2312" w:cs="仿宋_GB2312"/>
          <w:color w:val="auto"/>
          <w:kern w:val="0"/>
          <w:sz w:val="32"/>
          <w:szCs w:val="32"/>
          <w:lang w:val="en-US" w:eastAsia="zh-CN"/>
        </w:rPr>
        <w:t>19</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color w:val="auto"/>
          <w:kern w:val="0"/>
          <w:sz w:val="32"/>
          <w:szCs w:val="32"/>
          <w:lang w:val="en-US" w:eastAsia="zh-CN"/>
        </w:rPr>
        <w:t>432.10</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color w:val="auto"/>
          <w:kern w:val="0"/>
          <w:sz w:val="32"/>
          <w:szCs w:val="32"/>
          <w:lang w:val="en-US" w:eastAsia="zh-CN"/>
        </w:rPr>
        <w:t>19</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color w:val="auto"/>
          <w:kern w:val="0"/>
          <w:sz w:val="32"/>
          <w:szCs w:val="32"/>
          <w:lang w:val="en-US" w:eastAsia="zh-CN"/>
        </w:rPr>
        <w:t>432.10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r>
        <w:rPr>
          <w:rFonts w:hint="eastAsia" w:ascii="仿宋" w:hAnsi="仿宋" w:eastAsia="仿宋" w:cs="仿宋"/>
          <w:color w:val="auto"/>
          <w:sz w:val="32"/>
          <w:szCs w:val="32"/>
        </w:rPr>
        <w:t>从评价情况来看，</w:t>
      </w:r>
      <w:r>
        <w:rPr>
          <w:rFonts w:hint="eastAsia" w:ascii="仿宋" w:hAnsi="仿宋" w:eastAsia="仿宋" w:cs="仿宋"/>
          <w:color w:val="auto"/>
          <w:sz w:val="32"/>
          <w:szCs w:val="32"/>
          <w:lang w:val="en-US" w:eastAsia="zh-CN"/>
        </w:rPr>
        <w:t>所有项目自评分都在80分以上，</w:t>
      </w:r>
      <w:r>
        <w:rPr>
          <w:rFonts w:hint="eastAsia" w:ascii="仿宋_GB2312" w:eastAsia="仿宋_GB2312" w:cs="仿宋_GB2312"/>
          <w:color w:val="auto"/>
          <w:kern w:val="0"/>
          <w:sz w:val="32"/>
          <w:szCs w:val="32"/>
          <w:lang w:val="en-US" w:eastAsia="zh-CN"/>
        </w:rPr>
        <w:t>18</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w:t>
      </w:r>
      <w:r>
        <w:rPr>
          <w:rFonts w:hint="eastAsia" w:ascii="仿宋_GB2312" w:eastAsia="仿宋_GB2312" w:cs="仿宋_GB2312"/>
          <w:color w:val="auto"/>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个项目评为二等，评价等级为优秀等级，达到预期绩效目标。</w:t>
      </w:r>
    </w:p>
    <w:p>
      <w:pPr>
        <w:ind w:firstLine="640" w:firstLineChars="200"/>
        <w:jc w:val="left"/>
        <w:rPr>
          <w:rFonts w:hint="eastAsia" w:ascii="仿宋" w:hAnsi="仿宋" w:eastAsia="仿宋" w:cs="仿宋"/>
          <w:color w:val="auto"/>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 w:hAnsi="仿宋" w:eastAsia="仿宋" w:cs="仿宋"/>
          <w:color w:val="auto"/>
          <w:sz w:val="32"/>
          <w:szCs w:val="32"/>
        </w:rPr>
        <w:t>2.部门决算中项目绩效自评结果。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六一儿童节慰问金项目自评得分为</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分。发现的主要问题及原因是六一儿童节</w:t>
      </w:r>
      <w:r>
        <w:rPr>
          <w:rFonts w:hint="eastAsia" w:ascii="仿宋" w:hAnsi="仿宋" w:eastAsia="仿宋" w:cs="仿宋"/>
          <w:color w:val="auto"/>
          <w:sz w:val="32"/>
          <w:szCs w:val="32"/>
          <w:lang w:val="en-US" w:eastAsia="zh-CN"/>
        </w:rPr>
        <w:t>活动经费从公用经费支出了，导致</w:t>
      </w:r>
      <w:r>
        <w:rPr>
          <w:rFonts w:hint="eastAsia" w:ascii="仿宋" w:hAnsi="仿宋" w:eastAsia="仿宋" w:cs="仿宋"/>
          <w:color w:val="auto"/>
          <w:sz w:val="32"/>
          <w:szCs w:val="32"/>
        </w:rPr>
        <w:t>六一儿童节慰问金</w:t>
      </w:r>
      <w:r>
        <w:rPr>
          <w:rFonts w:hint="eastAsia" w:ascii="仿宋" w:hAnsi="仿宋" w:eastAsia="仿宋" w:cs="仿宋"/>
          <w:color w:val="auto"/>
          <w:sz w:val="32"/>
          <w:szCs w:val="32"/>
          <w:lang w:val="en-US" w:eastAsia="zh-CN"/>
        </w:rPr>
        <w:t>完成支付率0.00%</w:t>
      </w:r>
      <w:r>
        <w:rPr>
          <w:rFonts w:hint="eastAsia" w:ascii="仿宋" w:hAnsi="仿宋" w:eastAsia="仿宋" w:cs="仿宋"/>
          <w:color w:val="auto"/>
          <w:sz w:val="32"/>
          <w:szCs w:val="32"/>
        </w:rPr>
        <w:t>。下一步改进措施是</w:t>
      </w:r>
      <w:r>
        <w:rPr>
          <w:rFonts w:hint="eastAsia" w:ascii="仿宋" w:hAnsi="仿宋" w:eastAsia="仿宋" w:cs="仿宋"/>
          <w:color w:val="auto"/>
          <w:sz w:val="32"/>
          <w:szCs w:val="32"/>
          <w:lang w:val="en-US" w:eastAsia="zh-CN"/>
        </w:rPr>
        <w:t>认真核对指标，下一年度及时支付</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奖励性补贴项目自评得分为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班主任津贴项目自评得分为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通过发放班主任津贴，提高班主任的工作热情，保障学校班主任工作顺利开展，促进班级有序管理工作，有利于提高班主任的工作热情</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营养改善计划膳食补助资金项目自评得分为</w:t>
      </w:r>
      <w:r>
        <w:rPr>
          <w:rFonts w:hint="eastAsia" w:ascii="仿宋" w:hAnsi="仿宋" w:eastAsia="仿宋" w:cs="仿宋"/>
          <w:color w:val="auto"/>
          <w:sz w:val="32"/>
          <w:szCs w:val="32"/>
          <w:lang w:val="en-US" w:eastAsia="zh-CN"/>
        </w:rPr>
        <w:t>97.16</w:t>
      </w:r>
      <w:r>
        <w:rPr>
          <w:rFonts w:hint="eastAsia" w:ascii="仿宋" w:hAnsi="仿宋" w:eastAsia="仿宋" w:cs="仿宋"/>
          <w:color w:val="auto"/>
          <w:sz w:val="32"/>
          <w:szCs w:val="32"/>
        </w:rPr>
        <w:t>分。发现的主要问题及原因是</w:t>
      </w:r>
      <w:r>
        <w:rPr>
          <w:rFonts w:hint="eastAsia" w:ascii="仿宋" w:hAnsi="仿宋" w:eastAsia="仿宋" w:cs="仿宋"/>
          <w:color w:val="auto"/>
          <w:sz w:val="32"/>
          <w:szCs w:val="32"/>
          <w:lang w:val="en-US" w:eastAsia="zh-CN"/>
        </w:rPr>
        <w:t>12月份下半月营养餐在2024年1月份支付</w:t>
      </w:r>
      <w:r>
        <w:rPr>
          <w:rFonts w:hint="eastAsia" w:ascii="仿宋" w:hAnsi="仿宋" w:eastAsia="仿宋" w:cs="仿宋"/>
          <w:color w:val="auto"/>
          <w:sz w:val="32"/>
          <w:szCs w:val="32"/>
        </w:rPr>
        <w:t>，所以完成率</w:t>
      </w:r>
      <w:r>
        <w:rPr>
          <w:rFonts w:hint="eastAsia" w:ascii="仿宋" w:hAnsi="仿宋" w:eastAsia="仿宋" w:cs="仿宋"/>
          <w:color w:val="auto"/>
          <w:sz w:val="32"/>
          <w:szCs w:val="32"/>
          <w:lang w:val="en-US" w:eastAsia="zh-CN"/>
        </w:rPr>
        <w:t>没有</w:t>
      </w:r>
      <w:r>
        <w:rPr>
          <w:rFonts w:hint="eastAsia" w:ascii="仿宋" w:hAnsi="仿宋" w:eastAsia="仿宋" w:cs="仿宋"/>
          <w:color w:val="auto"/>
          <w:sz w:val="32"/>
          <w:szCs w:val="32"/>
        </w:rPr>
        <w:t>达到</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护校安园项目自评得分为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完成支付率100%，该项目解决校园周边道路不安全隐患，为师生的上下学交通安全提供保障，创建平安校园，提高了群众的满意度。</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公用经费（特教）自治区补助项目自评得分为</w:t>
      </w:r>
      <w:r>
        <w:rPr>
          <w:rFonts w:hint="eastAsia" w:ascii="仿宋" w:hAnsi="仿宋" w:eastAsia="仿宋" w:cs="仿宋"/>
          <w:color w:val="auto"/>
          <w:sz w:val="32"/>
          <w:szCs w:val="32"/>
          <w:lang w:val="en-US" w:eastAsia="zh-CN"/>
        </w:rPr>
        <w:t>97.6</w:t>
      </w:r>
      <w:r>
        <w:rPr>
          <w:rFonts w:hint="eastAsia" w:ascii="仿宋" w:hAnsi="仿宋" w:eastAsia="仿宋" w:cs="仿宋"/>
          <w:color w:val="auto"/>
          <w:sz w:val="32"/>
          <w:szCs w:val="32"/>
        </w:rPr>
        <w:t>分。发现的主要问题及原因是公用经费（特教）自治区补助本年度</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支付，与达成预期指标稍有偏差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二是部分发票未能及时整理送审</w:t>
      </w:r>
      <w:r>
        <w:rPr>
          <w:rFonts w:hint="eastAsia" w:ascii="仿宋" w:hAnsi="仿宋" w:eastAsia="仿宋" w:cs="仿宋"/>
          <w:color w:val="auto"/>
          <w:sz w:val="32"/>
          <w:szCs w:val="32"/>
        </w:rPr>
        <w:t>。下一步改进措施是</w:t>
      </w:r>
      <w:r>
        <w:rPr>
          <w:rFonts w:hint="eastAsia" w:ascii="仿宋" w:hAnsi="仿宋" w:eastAsia="仿宋" w:cs="仿宋"/>
          <w:color w:val="auto"/>
          <w:sz w:val="32"/>
          <w:szCs w:val="32"/>
          <w:lang w:val="en-US" w:eastAsia="zh-CN"/>
        </w:rPr>
        <w:t>及时整理材料送审支付</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义务教育阶段家庭经济困难学生生活县级补助资金项目自评得分为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分。按时足额发放至</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个人</w:t>
      </w:r>
      <w:r>
        <w:rPr>
          <w:rFonts w:hint="eastAsia" w:ascii="仿宋" w:hAnsi="仿宋" w:eastAsia="仿宋" w:cs="仿宋"/>
          <w:color w:val="auto"/>
          <w:sz w:val="32"/>
          <w:szCs w:val="32"/>
          <w:lang w:val="en-US" w:eastAsia="zh-CN"/>
        </w:rPr>
        <w:t>账户，</w:t>
      </w:r>
      <w:r>
        <w:rPr>
          <w:rFonts w:hint="eastAsia" w:ascii="仿宋" w:hAnsi="仿宋" w:eastAsia="仿宋" w:cs="仿宋"/>
          <w:color w:val="auto"/>
          <w:sz w:val="32"/>
          <w:szCs w:val="32"/>
        </w:rPr>
        <w:t>解决困难家庭学生经济困难，提高困难学生生活水平。</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义务教育阶段家庭经济困难学生生活自治区补助资金项目自评得分为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分。按时足额发放至</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个人</w:t>
      </w:r>
      <w:r>
        <w:rPr>
          <w:rFonts w:hint="eastAsia" w:ascii="仿宋" w:hAnsi="仿宋" w:eastAsia="仿宋" w:cs="仿宋"/>
          <w:color w:val="auto"/>
          <w:sz w:val="32"/>
          <w:szCs w:val="32"/>
          <w:lang w:val="en-US" w:eastAsia="zh-CN"/>
        </w:rPr>
        <w:t>账户，</w:t>
      </w:r>
      <w:r>
        <w:rPr>
          <w:rFonts w:hint="eastAsia" w:ascii="仿宋" w:hAnsi="仿宋" w:eastAsia="仿宋" w:cs="仿宋"/>
          <w:color w:val="auto"/>
          <w:sz w:val="32"/>
          <w:szCs w:val="32"/>
        </w:rPr>
        <w:t>解决困难家庭学生经济困难，提高困难学生生活水平。</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基础性绩效工资增量事业项目自评得分为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公用经费（特教）中央补助项目自评得分为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公用经费（特教）中央补助年内支付完成</w:t>
      </w:r>
      <w:r>
        <w:rPr>
          <w:rFonts w:hint="eastAsia" w:ascii="仿宋" w:hAnsi="仿宋" w:eastAsia="仿宋" w:cs="仿宋"/>
          <w:color w:val="auto"/>
          <w:sz w:val="32"/>
          <w:szCs w:val="32"/>
          <w:lang w:eastAsia="zh-CN"/>
        </w:rPr>
        <w:t>，保障</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lang w:eastAsia="zh-CN"/>
        </w:rPr>
        <w:t>学校正常运转，持续改善学校基本办学条件，促进教育健康发展。</w:t>
      </w:r>
    </w:p>
    <w:p>
      <w:pPr>
        <w:widowControl w:val="0"/>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全县校园安全保卫经费项目自评得分为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完成支付率100%，通过发放聘请协管员（或保安），提高校园安全防范，保障校园安全，保障教育教学工作高质量发展。</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食堂钟点工补贴资金项目自评得分为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完成支付率100%，按时发放到</w:t>
      </w:r>
      <w:r>
        <w:rPr>
          <w:rFonts w:hint="eastAsia" w:ascii="仿宋" w:hAnsi="仿宋" w:eastAsia="仿宋" w:cs="仿宋"/>
          <w:color w:val="auto"/>
          <w:sz w:val="32"/>
          <w:szCs w:val="32"/>
        </w:rPr>
        <w:t>食堂钟点工</w:t>
      </w:r>
      <w:r>
        <w:rPr>
          <w:rFonts w:hint="eastAsia" w:ascii="仿宋" w:hAnsi="仿宋" w:eastAsia="仿宋" w:cs="仿宋"/>
          <w:color w:val="auto"/>
          <w:sz w:val="32"/>
          <w:szCs w:val="32"/>
          <w:lang w:val="en-US" w:eastAsia="zh-CN"/>
        </w:rPr>
        <w:t>手上，让她们安心为学校服务。</w:t>
      </w:r>
    </w:p>
    <w:p>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全县校长绩效工资项目自评得分为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完成支付率100%，通过发放校长绩效工资，极大的改善了校长生活水平，为教师队伍的稳定提供保障；提高教师收入，增强幸福感。</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奖励性补贴项目自评得分为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val="en-US" w:eastAsia="zh-CN"/>
        </w:rPr>
        <w:t>完成支付率100%，</w:t>
      </w:r>
      <w:r>
        <w:rPr>
          <w:rFonts w:hint="eastAsia" w:ascii="仿宋" w:hAnsi="仿宋" w:eastAsia="仿宋" w:cs="仿宋"/>
          <w:color w:val="auto"/>
          <w:sz w:val="32"/>
          <w:szCs w:val="32"/>
        </w:rPr>
        <w:t>通过发放奖励性补贴，极大地改善了教师生活水平，为教师队伍的稳定提供保障</w:t>
      </w:r>
      <w:r>
        <w:rPr>
          <w:rFonts w:hint="eastAsia" w:ascii="仿宋" w:hAnsi="仿宋" w:eastAsia="仿宋" w:cs="仿宋"/>
          <w:color w:val="auto"/>
          <w:sz w:val="32"/>
          <w:szCs w:val="32"/>
          <w:lang w:eastAsia="zh-CN"/>
        </w:rPr>
        <w:t>。</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教师节经费项目自评得分为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按时完成支付任务，通过发放教师慰问经费，激发教师工作积极性，促进教育事业发展。</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义务教育阶段家庭经济困难学生生活中央补助资金项目自评得分为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分。按时足额发放至</w:t>
      </w:r>
      <w:r>
        <w:rPr>
          <w:rFonts w:hint="eastAsia" w:ascii="仿宋" w:hAnsi="仿宋" w:eastAsia="仿宋" w:cs="仿宋"/>
          <w:color w:val="auto"/>
          <w:sz w:val="32"/>
          <w:szCs w:val="32"/>
          <w:lang w:val="en-US" w:eastAsia="zh-CN"/>
        </w:rPr>
        <w:t>学生</w:t>
      </w:r>
      <w:r>
        <w:rPr>
          <w:rFonts w:hint="eastAsia" w:ascii="仿宋" w:hAnsi="仿宋" w:eastAsia="仿宋" w:cs="仿宋"/>
          <w:color w:val="auto"/>
          <w:sz w:val="32"/>
          <w:szCs w:val="32"/>
        </w:rPr>
        <w:t>个人</w:t>
      </w:r>
      <w:r>
        <w:rPr>
          <w:rFonts w:hint="eastAsia" w:ascii="仿宋" w:hAnsi="仿宋" w:eastAsia="仿宋" w:cs="仿宋"/>
          <w:color w:val="auto"/>
          <w:sz w:val="32"/>
          <w:szCs w:val="32"/>
          <w:lang w:val="en-US" w:eastAsia="zh-CN"/>
        </w:rPr>
        <w:t>账户，</w:t>
      </w:r>
      <w:r>
        <w:rPr>
          <w:rFonts w:hint="eastAsia" w:ascii="仿宋" w:hAnsi="仿宋" w:eastAsia="仿宋" w:cs="仿宋"/>
          <w:color w:val="auto"/>
          <w:sz w:val="32"/>
          <w:szCs w:val="32"/>
        </w:rPr>
        <w:t>解决困难家庭学生经济困难，提高困难学生生活水平。</w:t>
      </w:r>
    </w:p>
    <w:p>
      <w:pPr>
        <w:widowControl w:val="0"/>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自治区公用经费项目自评得分为</w:t>
      </w:r>
      <w:r>
        <w:rPr>
          <w:rFonts w:hint="eastAsia" w:ascii="仿宋" w:hAnsi="仿宋" w:eastAsia="仿宋" w:cs="仿宋"/>
          <w:color w:val="auto"/>
          <w:sz w:val="32"/>
          <w:szCs w:val="32"/>
          <w:lang w:val="en-US" w:eastAsia="zh-CN"/>
        </w:rPr>
        <w:t>99.58</w:t>
      </w:r>
      <w:r>
        <w:rPr>
          <w:rFonts w:hint="eastAsia" w:ascii="仿宋" w:hAnsi="仿宋" w:eastAsia="仿宋" w:cs="仿宋"/>
          <w:color w:val="auto"/>
          <w:sz w:val="32"/>
          <w:szCs w:val="32"/>
        </w:rPr>
        <w:t>分。本年度</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97.86%</w:t>
      </w:r>
      <w:r>
        <w:rPr>
          <w:rFonts w:hint="eastAsia" w:ascii="仿宋" w:hAnsi="仿宋" w:eastAsia="仿宋" w:cs="仿宋"/>
          <w:color w:val="auto"/>
          <w:sz w:val="32"/>
          <w:szCs w:val="32"/>
        </w:rPr>
        <w:t>支付，与达成预期指标稍有偏差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发现的主要问题及原因</w:t>
      </w:r>
      <w:r>
        <w:rPr>
          <w:rFonts w:hint="eastAsia" w:ascii="仿宋" w:hAnsi="仿宋" w:eastAsia="仿宋" w:cs="仿宋"/>
          <w:color w:val="auto"/>
          <w:sz w:val="32"/>
          <w:szCs w:val="32"/>
          <w:lang w:val="en-US" w:eastAsia="zh-CN"/>
        </w:rPr>
        <w:t>是部分发票未能及时整理送审</w:t>
      </w:r>
      <w:r>
        <w:rPr>
          <w:rFonts w:hint="eastAsia" w:ascii="仿宋" w:hAnsi="仿宋" w:eastAsia="仿宋" w:cs="仿宋"/>
          <w:color w:val="auto"/>
          <w:sz w:val="32"/>
          <w:szCs w:val="32"/>
        </w:rPr>
        <w:t>。下一步改进措施是</w:t>
      </w:r>
      <w:r>
        <w:rPr>
          <w:rFonts w:hint="eastAsia" w:ascii="仿宋" w:hAnsi="仿宋" w:eastAsia="仿宋" w:cs="仿宋"/>
          <w:color w:val="auto"/>
          <w:sz w:val="32"/>
          <w:szCs w:val="32"/>
          <w:lang w:val="en-US" w:eastAsia="zh-CN"/>
        </w:rPr>
        <w:t>及时整理材料送审支付</w:t>
      </w:r>
      <w:r>
        <w:rPr>
          <w:rFonts w:hint="eastAsia" w:ascii="仿宋" w:hAnsi="仿宋" w:eastAsia="仿宋" w:cs="仿宋"/>
          <w:color w:val="auto"/>
          <w:sz w:val="32"/>
          <w:szCs w:val="32"/>
        </w:rPr>
        <w:t>。</w:t>
      </w:r>
    </w:p>
    <w:p>
      <w:pPr>
        <w:widowControl w:val="0"/>
        <w:numPr>
          <w:ilvl w:val="0"/>
          <w:numId w:val="0"/>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党建设工作经费项目自评得分为</w:t>
      </w:r>
      <w:r>
        <w:rPr>
          <w:rFonts w:hint="eastAsia" w:ascii="仿宋" w:hAnsi="仿宋" w:eastAsia="仿宋" w:cs="仿宋"/>
          <w:color w:val="auto"/>
          <w:sz w:val="32"/>
          <w:szCs w:val="32"/>
          <w:lang w:val="en-US" w:eastAsia="zh-CN"/>
        </w:rPr>
        <w:t>80</w:t>
      </w:r>
      <w:r>
        <w:rPr>
          <w:rFonts w:hint="eastAsia" w:ascii="仿宋" w:hAnsi="仿宋" w:eastAsia="仿宋" w:cs="仿宋"/>
          <w:color w:val="auto"/>
          <w:sz w:val="32"/>
          <w:szCs w:val="32"/>
        </w:rPr>
        <w:t>分。发现的主要问题及原因是义务教育自治区公用经费本年度</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rPr>
        <w:t>完成</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支付，与达成预期指标稍有偏差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与财政协商2024年初支付。</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义务教育中央级公用经费项目自评得分为</w:t>
      </w:r>
      <w:r>
        <w:rPr>
          <w:rFonts w:hint="eastAsia" w:ascii="仿宋" w:hAnsi="仿宋" w:eastAsia="仿宋" w:cs="仿宋"/>
          <w:color w:val="auto"/>
          <w:sz w:val="32"/>
          <w:szCs w:val="32"/>
          <w:lang w:val="en-US" w:eastAsia="zh-CN"/>
        </w:rPr>
        <w:t>99.22</w:t>
      </w:r>
      <w:r>
        <w:rPr>
          <w:rFonts w:hint="eastAsia" w:ascii="仿宋" w:hAnsi="仿宋" w:eastAsia="仿宋" w:cs="仿宋"/>
          <w:color w:val="auto"/>
          <w:sz w:val="32"/>
          <w:szCs w:val="32"/>
        </w:rPr>
        <w:t>分。发现的主要问题及原因：一是义务教育中央级公用经费本年度完成支付率</w:t>
      </w:r>
      <w:r>
        <w:rPr>
          <w:rFonts w:hint="eastAsia" w:ascii="仿宋" w:hAnsi="仿宋" w:eastAsia="仿宋" w:cs="仿宋"/>
          <w:color w:val="auto"/>
          <w:sz w:val="32"/>
          <w:szCs w:val="32"/>
          <w:lang w:val="en-US" w:eastAsia="zh-CN"/>
        </w:rPr>
        <w:t>96.14</w:t>
      </w:r>
      <w:r>
        <w:rPr>
          <w:rFonts w:hint="eastAsia" w:ascii="仿宋" w:hAnsi="仿宋" w:eastAsia="仿宋" w:cs="仿宋"/>
          <w:color w:val="auto"/>
          <w:sz w:val="32"/>
          <w:szCs w:val="32"/>
        </w:rPr>
        <w:t>%，与达成预期指标稍有偏差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二是部分发票未能及时整理送审</w:t>
      </w:r>
      <w:r>
        <w:rPr>
          <w:rFonts w:hint="eastAsia" w:ascii="仿宋" w:hAnsi="仿宋" w:eastAsia="仿宋" w:cs="仿宋"/>
          <w:color w:val="auto"/>
          <w:sz w:val="32"/>
          <w:szCs w:val="32"/>
        </w:rPr>
        <w:t>。下一步改进措施是</w:t>
      </w:r>
      <w:r>
        <w:rPr>
          <w:rFonts w:hint="eastAsia" w:ascii="仿宋" w:hAnsi="仿宋" w:eastAsia="仿宋" w:cs="仿宋"/>
          <w:color w:val="auto"/>
          <w:sz w:val="32"/>
          <w:szCs w:val="32"/>
          <w:lang w:val="en-US" w:eastAsia="zh-CN"/>
        </w:rPr>
        <w:t>及时整理材料送审支付</w:t>
      </w:r>
      <w:r>
        <w:rPr>
          <w:rFonts w:hint="eastAsia" w:ascii="仿宋" w:hAnsi="仿宋" w:eastAsia="仿宋" w:cs="仿宋"/>
          <w:color w:val="auto"/>
          <w:sz w:val="32"/>
          <w:szCs w:val="32"/>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 w:hAnsi="仿宋" w:eastAsia="仿宋" w:cs="仿宋"/>
          <w:color w:val="auto"/>
          <w:sz w:val="32"/>
          <w:szCs w:val="32"/>
        </w:rPr>
      </w:pPr>
      <w:r>
        <w:rPr>
          <w:rFonts w:hint="eastAsia" w:ascii="仿宋" w:hAnsi="仿宋" w:eastAsia="仿宋" w:cs="仿宋"/>
          <w:color w:val="auto"/>
          <w:sz w:val="32"/>
          <w:szCs w:val="32"/>
        </w:rPr>
        <w:t>组织对“中央生均公用经费资金”等</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个项目进行了部门评价，涉及一般公共预算支出</w:t>
      </w:r>
      <w:r>
        <w:rPr>
          <w:rFonts w:hint="eastAsia" w:ascii="仿宋" w:hAnsi="仿宋" w:eastAsia="仿宋" w:cs="仿宋"/>
          <w:color w:val="auto"/>
          <w:sz w:val="32"/>
          <w:szCs w:val="32"/>
          <w:lang w:val="en-US" w:eastAsia="zh-CN"/>
        </w:rPr>
        <w:t>432.10</w:t>
      </w:r>
      <w:r>
        <w:rPr>
          <w:rFonts w:hint="eastAsia" w:ascii="仿宋" w:hAnsi="仿宋" w:eastAsia="仿宋" w:cs="仿宋"/>
          <w:color w:val="auto"/>
          <w:sz w:val="32"/>
          <w:szCs w:val="32"/>
        </w:rPr>
        <w:t>万元，政府性基金预算支出</w:t>
      </w:r>
      <w:r>
        <w:rPr>
          <w:rFonts w:hint="eastAsia" w:ascii="仿宋" w:hAnsi="仿宋" w:eastAsia="仿宋" w:cs="仿宋"/>
          <w:color w:val="auto"/>
          <w:sz w:val="32"/>
          <w:szCs w:val="32"/>
          <w:lang w:val="en-US" w:eastAsia="zh-CN"/>
        </w:rPr>
        <w:t>0.00</w:t>
      </w:r>
      <w:r>
        <w:rPr>
          <w:rFonts w:hint="eastAsia" w:ascii="仿宋" w:hAnsi="仿宋" w:eastAsia="仿宋" w:cs="仿宋"/>
          <w:color w:val="auto"/>
          <w:sz w:val="32"/>
          <w:szCs w:val="32"/>
        </w:rPr>
        <w:t>万元，国有资本经营预算支出</w:t>
      </w:r>
      <w:r>
        <w:rPr>
          <w:rFonts w:hint="eastAsia" w:ascii="仿宋" w:hAnsi="仿宋" w:eastAsia="仿宋" w:cs="仿宋"/>
          <w:color w:val="auto"/>
          <w:sz w:val="32"/>
          <w:szCs w:val="32"/>
          <w:lang w:val="en-US" w:eastAsia="zh-CN"/>
        </w:rPr>
        <w:t>0.00</w:t>
      </w:r>
      <w:r>
        <w:rPr>
          <w:rFonts w:hint="eastAsia" w:ascii="仿宋" w:hAnsi="仿宋" w:eastAsia="仿宋" w:cs="仿宋"/>
          <w:color w:val="auto"/>
          <w:sz w:val="32"/>
          <w:szCs w:val="32"/>
        </w:rPr>
        <w:t>万元。</w:t>
      </w:r>
      <w:r>
        <w:rPr>
          <w:rFonts w:hint="eastAsia" w:ascii="仿宋_GB2312" w:hAnsi="Times New Roman" w:eastAsia="仿宋_GB2312" w:cs="仿宋_GB2312"/>
          <w:b w:val="0"/>
          <w:bCs w:val="0"/>
          <w:caps w:val="0"/>
          <w:color w:val="auto"/>
          <w:kern w:val="0"/>
          <w:sz w:val="32"/>
          <w:szCs w:val="32"/>
          <w:vertAlign w:val="baseline"/>
          <w:lang w:val="en-US" w:eastAsia="zh-CN" w:bidi="ar"/>
        </w:rPr>
        <w:t>自评结果为：</w:t>
      </w:r>
      <w:r>
        <w:rPr>
          <w:rFonts w:hint="eastAsia" w:ascii="仿宋_GB2312" w:eastAsia="仿宋_GB2312" w:cs="仿宋_GB2312"/>
          <w:color w:val="auto"/>
          <w:kern w:val="0"/>
          <w:sz w:val="32"/>
          <w:szCs w:val="32"/>
          <w:lang w:val="en-US" w:eastAsia="zh-CN"/>
        </w:rPr>
        <w:t>18</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 w:hAnsi="仿宋" w:eastAsia="仿宋" w:cs="仿宋"/>
          <w:color w:val="auto"/>
          <w:sz w:val="32"/>
          <w:szCs w:val="32"/>
          <w:lang w:val="en-US" w:eastAsia="zh-CN"/>
        </w:rPr>
        <w:t>432.10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color w:val="auto"/>
          <w:kern w:val="0"/>
          <w:sz w:val="32"/>
          <w:szCs w:val="32"/>
          <w:lang w:val="en-US" w:eastAsia="zh-CN"/>
        </w:rPr>
        <w:t>94.58</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color w:val="auto"/>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color w:val="auto"/>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color w:val="auto"/>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color w:val="auto"/>
          <w:kern w:val="0"/>
          <w:sz w:val="32"/>
          <w:szCs w:val="32"/>
          <w:lang w:val="en-US" w:eastAsia="zh-CN"/>
        </w:rPr>
        <w:t>5.42</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color w:val="auto"/>
          <w:kern w:val="0"/>
          <w:sz w:val="32"/>
          <w:szCs w:val="32"/>
          <w:lang w:val="en-US" w:eastAsia="zh-CN"/>
        </w:rPr>
        <w:t>0.34</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p>
    <w:p>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组织对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个部门（单位）开展整体支出绩效评价试点，涉及一般公共预算支出</w:t>
      </w:r>
      <w:r>
        <w:rPr>
          <w:rFonts w:hint="eastAsia" w:ascii="仿宋" w:hAnsi="仿宋" w:eastAsia="仿宋" w:cs="仿宋"/>
          <w:color w:val="auto"/>
          <w:sz w:val="32"/>
          <w:szCs w:val="32"/>
          <w:lang w:val="en-US" w:eastAsia="zh-CN"/>
        </w:rPr>
        <w:t>0.00</w:t>
      </w:r>
      <w:r>
        <w:rPr>
          <w:rFonts w:hint="eastAsia" w:ascii="仿宋" w:hAnsi="仿宋" w:eastAsia="仿宋" w:cs="仿宋"/>
          <w:color w:val="auto"/>
          <w:sz w:val="32"/>
          <w:szCs w:val="32"/>
        </w:rPr>
        <w:t>万元，政府性基金预算支出</w:t>
      </w:r>
      <w:r>
        <w:rPr>
          <w:rFonts w:hint="eastAsia" w:ascii="仿宋" w:hAnsi="仿宋" w:eastAsia="仿宋" w:cs="仿宋"/>
          <w:color w:val="auto"/>
          <w:sz w:val="32"/>
          <w:szCs w:val="32"/>
          <w:lang w:val="en-US" w:eastAsia="zh-CN"/>
        </w:rPr>
        <w:t>0.00</w:t>
      </w:r>
      <w:r>
        <w:rPr>
          <w:rFonts w:hint="eastAsia" w:ascii="仿宋" w:hAnsi="仿宋" w:eastAsia="仿宋" w:cs="仿宋"/>
          <w:color w:val="auto"/>
          <w:sz w:val="32"/>
          <w:szCs w:val="32"/>
        </w:rPr>
        <w:t>万元。从评价情况来看，</w:t>
      </w:r>
      <w:r>
        <w:rPr>
          <w:rFonts w:hint="eastAsia" w:ascii="仿宋" w:hAnsi="仿宋" w:eastAsia="仿宋" w:cs="仿宋"/>
          <w:color w:val="auto"/>
          <w:sz w:val="32"/>
          <w:szCs w:val="32"/>
          <w:lang w:val="en-US" w:eastAsia="zh-CN"/>
        </w:rPr>
        <w:t>本单位是本级预算单位，无二级预算单位，所以没有</w:t>
      </w:r>
      <w:r>
        <w:rPr>
          <w:rFonts w:hint="eastAsia" w:ascii="仿宋" w:hAnsi="仿宋" w:eastAsia="仿宋" w:cs="仿宋"/>
          <w:color w:val="auto"/>
          <w:sz w:val="32"/>
          <w:szCs w:val="32"/>
        </w:rPr>
        <w:t>开展整体支出绩效评价试点</w:t>
      </w:r>
      <w:r>
        <w:rPr>
          <w:rFonts w:hint="eastAsia" w:ascii="仿宋" w:hAnsi="仿宋" w:eastAsia="仿宋" w:cs="仿宋"/>
          <w:color w:val="auto"/>
          <w:sz w:val="32"/>
          <w:szCs w:val="32"/>
          <w:lang w:eastAsia="zh-CN"/>
        </w:rPr>
        <w:t>。</w:t>
      </w:r>
    </w:p>
    <w:p>
      <w:pPr>
        <w:jc w:val="left"/>
        <w:rPr>
          <w:rFonts w:hint="eastAsia" w:ascii="仿宋" w:hAnsi="仿宋" w:eastAsia="仿宋" w:cs="仿宋"/>
          <w:color w:val="auto"/>
          <w:sz w:val="32"/>
          <w:szCs w:val="32"/>
          <w:highlight w:val="none"/>
        </w:rPr>
      </w:pPr>
    </w:p>
    <w:p>
      <w:pPr>
        <w:jc w:val="left"/>
        <w:rPr>
          <w:rFonts w:hint="eastAsia" w:ascii="仿宋" w:hAnsi="仿宋" w:eastAsia="仿宋" w:cs="仿宋"/>
          <w:color w:val="auto"/>
          <w:sz w:val="32"/>
          <w:szCs w:val="32"/>
          <w:highlight w:val="none"/>
        </w:rPr>
      </w:pPr>
    </w:p>
    <w:p>
      <w:pPr>
        <w:jc w:val="left"/>
        <w:rPr>
          <w:rFonts w:hint="eastAsia" w:ascii="仿宋" w:hAnsi="仿宋" w:eastAsia="仿宋" w:cs="仿宋"/>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hint="eastAsia" w:ascii="黑体" w:hAnsi="黑体" w:eastAsia="黑体" w:cs="黑体"/>
          <w:color w:val="auto"/>
          <w:sz w:val="32"/>
          <w:szCs w:val="32"/>
          <w:highlight w:val="none"/>
        </w:rPr>
      </w:pPr>
    </w:p>
    <w:p>
      <w:pPr>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第四部分  名词解释</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一、财政拨款收入：指</w:t>
      </w:r>
      <w:r>
        <w:rPr>
          <w:rFonts w:ascii="仿宋" w:hAnsi="仿宋" w:eastAsia="仿宋" w:cs="仿宋"/>
          <w:color w:val="auto"/>
          <w:sz w:val="32"/>
          <w:u w:color="auto"/>
        </w:rPr>
        <w:t>环江毛南族自治县财政部门当年拨付的资金。</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二、事业收入：指事业单位开展专业业务活动及辅助活动所取得的收入。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四、其他收入：指除上述“财政拨款收入”“事业收入”“经营收入”等以外的收入。</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六、年初结转和结余：指以前年度尚未完成、结转到本年 按有关规定继续使用的资金</w:t>
      </w:r>
      <w:r>
        <w:rPr>
          <w:rFonts w:hint="eastAsia" w:ascii="仿宋" w:hAnsi="仿宋" w:eastAsia="仿宋" w:cs="仿宋"/>
          <w:color w:val="auto"/>
          <w:sz w:val="32"/>
          <w:szCs w:val="32"/>
          <w:highlight w:val="none"/>
          <w:lang w:eastAsia="zh-CN"/>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十二、“三公”经费：纳入</w:t>
      </w:r>
      <w:r>
        <w:rPr>
          <w:rFonts w:ascii="仿宋" w:hAnsi="仿宋" w:eastAsia="仿宋" w:cs="仿宋"/>
          <w:color w:val="auto"/>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color w:val="auto"/>
          <w:sz w:val="32"/>
          <w:szCs w:val="32"/>
          <w:highlight w:val="none"/>
        </w:rPr>
        <w:sectPr>
          <w:pgSz w:w="11906" w:h="16838"/>
          <w:pgMar w:top="1440" w:right="1800" w:bottom="1440" w:left="1800" w:header="851" w:footer="992" w:gutter="0"/>
          <w:cols w:space="0" w:num="1"/>
          <w:docGrid w:type="lines" w:linePitch="312" w:charSpace="0"/>
        </w:sectPr>
      </w:pPr>
      <w:r>
        <w:rPr>
          <w:rFonts w:hint="eastAsia" w:ascii="仿宋" w:hAnsi="仿宋" w:eastAsia="仿宋" w:cs="仿宋"/>
          <w:color w:val="auto"/>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560" w:lineRule="exact"/>
        <w:rPr>
          <w:rFonts w:hint="eastAsia" w:ascii="仿宋" w:hAnsi="仿宋" w:eastAsia="仿宋" w:cs="仿宋"/>
          <w:color w:val="auto"/>
          <w:sz w:val="32"/>
          <w:szCs w:val="32"/>
          <w:highlight w:val="none"/>
        </w:rPr>
      </w:pPr>
      <w:r>
        <w:rPr>
          <w:rFonts w:ascii="Times New Roman" w:hAnsi="Times New Roman" w:eastAsia="仿宋_GB2312" w:cs="Times New Roman"/>
          <w:color w:val="auto"/>
          <w:kern w:val="0"/>
          <w:sz w:val="32"/>
          <w:szCs w:val="32"/>
        </w:rPr>
        <w:t>附表</w:t>
      </w:r>
      <w:r>
        <w:rPr>
          <w:rFonts w:hint="eastAsia"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环江毛南族自治县</w:t>
      </w:r>
      <w:r>
        <w:rPr>
          <w:rFonts w:hint="eastAsia" w:ascii="Times New Roman" w:hAnsi="Times New Roman" w:eastAsia="仿宋_GB2312" w:cs="Times New Roman"/>
          <w:color w:val="auto"/>
          <w:kern w:val="0"/>
          <w:sz w:val="32"/>
          <w:szCs w:val="32"/>
          <w:lang w:val="en-US" w:eastAsia="zh-CN"/>
        </w:rPr>
        <w:t>第七小学</w:t>
      </w: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年部门决算公开报表</w:t>
      </w:r>
    </w:p>
    <w:p>
      <w:pPr>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收入支出决算总表 公开01表</w:t>
      </w:r>
    </w:p>
    <w:tbl>
      <w:tblPr>
        <w:tblStyle w:val="6"/>
        <w:tblW w:w="15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9"/>
        <w:gridCol w:w="1713"/>
        <w:gridCol w:w="1987"/>
        <w:gridCol w:w="3700"/>
        <w:gridCol w:w="1675"/>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369"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71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行次</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rPr>
            </w:pP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default"/>
              </w:rPr>
            </w:pP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1,191.79</w:t>
            </w: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32</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33</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34</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35</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36</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962.11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37</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7</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38</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8</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39</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89.55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9</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40</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10</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41</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11</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42</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12</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43</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13</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44</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14</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45</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15</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46</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16</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47</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17</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48</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18</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49</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19</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50</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20</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51</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21</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52</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22</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53</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23</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54</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bCs/>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24</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55</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25</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56</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2"/>
                <w:szCs w:val="22"/>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0"/>
                <w:szCs w:val="20"/>
                <w:u w:val="none"/>
                <w:lang w:val="en-US" w:eastAsia="zh-CN" w:bidi="ar"/>
              </w:rPr>
              <w:t>26</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57</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27</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1,191.79</w:t>
            </w: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58</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1,191.79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28</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59</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29</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60</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0"/>
                <w:szCs w:val="20"/>
                <w:u w:val="none"/>
              </w:rPr>
            </w:pP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30</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0"/>
                <w:szCs w:val="20"/>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auto"/>
                <w:sz w:val="20"/>
                <w:szCs w:val="20"/>
                <w:u w:val="none"/>
              </w:rPr>
            </w:pP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61</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6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31</w:t>
            </w:r>
          </w:p>
        </w:tc>
        <w:tc>
          <w:tcPr>
            <w:tcW w:w="19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1,191.79</w:t>
            </w:r>
          </w:p>
        </w:tc>
        <w:tc>
          <w:tcPr>
            <w:tcW w:w="3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62</w:t>
            </w:r>
          </w:p>
        </w:tc>
        <w:tc>
          <w:tcPr>
            <w:tcW w:w="13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1,191.79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81" w:type="dxa"/>
            <w:gridSpan w:val="6"/>
            <w:tcBorders>
              <w:top w:val="single" w:color="000000" w:sz="4" w:space="0"/>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14081" w:type="dxa"/>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left"/>
        <w:rPr>
          <w:rFonts w:hint="eastAsia" w:ascii="仿宋" w:hAnsi="仿宋" w:eastAsia="仿宋" w:cs="仿宋"/>
          <w:color w:val="auto"/>
          <w:sz w:val="32"/>
          <w:szCs w:val="32"/>
          <w:highlight w:val="none"/>
          <w:lang w:val="en-US" w:eastAsia="zh-CN"/>
        </w:rPr>
      </w:pPr>
    </w:p>
    <w:p>
      <w:pPr>
        <w:jc w:val="center"/>
        <w:rPr>
          <w:rFonts w:hint="eastAsia" w:ascii="仿宋" w:hAnsi="仿宋" w:eastAsia="仿宋" w:cs="仿宋"/>
          <w:b/>
          <w:bCs/>
          <w:color w:val="auto"/>
          <w:sz w:val="32"/>
          <w:szCs w:val="32"/>
          <w:highlight w:val="none"/>
        </w:rPr>
      </w:pPr>
      <w:r>
        <w:rPr>
          <w:rFonts w:hint="eastAsia" w:asciiTheme="minorEastAsia" w:hAnsiTheme="minorEastAsia" w:eastAsiaTheme="minorEastAsia" w:cstheme="minorEastAsia"/>
          <w:b w:val="0"/>
          <w:bCs w:val="0"/>
          <w:color w:val="auto"/>
          <w:sz w:val="32"/>
          <w:szCs w:val="32"/>
          <w:highlight w:val="none"/>
        </w:rPr>
        <w:t>收入决算表 公开02表</w:t>
      </w:r>
    </w:p>
    <w:tbl>
      <w:tblPr>
        <w:tblStyle w:val="6"/>
        <w:tblW w:w="139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3930"/>
        <w:gridCol w:w="1612"/>
        <w:gridCol w:w="1587"/>
        <w:gridCol w:w="1138"/>
        <w:gridCol w:w="1100"/>
        <w:gridCol w:w="1137"/>
        <w:gridCol w:w="1275"/>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本年收入合计</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财政拨款收入</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上级补助收入</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事业收入</w:t>
            </w: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经营收入</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附属单位上缴收入</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1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1,191.79</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1,191.79</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938.67</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938.67</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21.63</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21.63</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89.55</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89.55</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67.16</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67.16</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64.65</w:t>
            </w:r>
          </w:p>
        </w:tc>
        <w:tc>
          <w:tcPr>
            <w:tcW w:w="15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64.65</w:t>
            </w:r>
          </w:p>
        </w:tc>
        <w:tc>
          <w:tcPr>
            <w:tcW w:w="11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944" w:type="dxa"/>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ind w:firstLine="0" w:firstLineChars="0"/>
        <w:jc w:val="left"/>
        <w:rPr>
          <w:rFonts w:hint="eastAsia" w:ascii="仿宋" w:hAnsi="仿宋" w:eastAsia="仿宋" w:cs="仿宋"/>
          <w:color w:val="auto"/>
          <w:sz w:val="32"/>
          <w:szCs w:val="32"/>
          <w:highlight w:val="none"/>
        </w:rPr>
      </w:pPr>
    </w:p>
    <w:p>
      <w:pPr>
        <w:ind w:firstLine="0" w:firstLineChars="0"/>
        <w:jc w:val="left"/>
        <w:rPr>
          <w:rFonts w:hint="eastAsia" w:ascii="仿宋" w:hAnsi="仿宋" w:eastAsia="仿宋" w:cs="仿宋"/>
          <w:color w:val="auto"/>
          <w:sz w:val="32"/>
          <w:szCs w:val="32"/>
          <w:highlight w:val="none"/>
        </w:rPr>
      </w:pPr>
    </w:p>
    <w:p>
      <w:pPr>
        <w:ind w:firstLine="4160" w:firstLineChars="1300"/>
        <w:jc w:val="left"/>
        <w:rPr>
          <w:rFonts w:hint="eastAsia" w:ascii="仿宋" w:hAnsi="仿宋" w:eastAsia="仿宋" w:cs="仿宋"/>
          <w:color w:val="auto"/>
          <w:sz w:val="32"/>
          <w:szCs w:val="32"/>
          <w:highlight w:val="none"/>
        </w:rPr>
      </w:pP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支出决算表 公开03表</w:t>
      </w:r>
    </w:p>
    <w:p>
      <w:pPr>
        <w:ind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object>
          <v:shape id="_x0000_i1025" o:spt="75" type="#_x0000_t75" style="height:293.7pt;width:721.35pt;" o:ole="t" filled="f" o:preferrelative="t" stroked="f" coordsize="21600,21600">
            <v:path/>
            <v:fill on="f" focussize="0,0"/>
            <v:stroke on="f"/>
            <v:imagedata r:id="rId20" o:title=""/>
            <o:lock v:ext="edit" aspectratio="f"/>
            <w10:wrap type="none"/>
            <w10:anchorlock/>
          </v:shape>
          <o:OLEObject Type="Embed" ProgID="Excel.Sheet.12" ShapeID="_x0000_i1025" DrawAspect="Content" ObjectID="_1468075725" r:id="rId19">
            <o:LockedField>false</o:LockedField>
          </o:OLEObject>
        </w:object>
      </w:r>
    </w:p>
    <w:p>
      <w:pPr>
        <w:ind w:firstLine="0" w:firstLineChars="0"/>
        <w:jc w:val="left"/>
        <w:rPr>
          <w:rFonts w:hint="eastAsia" w:ascii="仿宋" w:hAnsi="仿宋" w:eastAsia="仿宋" w:cs="仿宋"/>
          <w:color w:val="auto"/>
          <w:sz w:val="32"/>
          <w:szCs w:val="32"/>
          <w:highlight w:val="none"/>
        </w:rPr>
      </w:pP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财政拨款收入支出决算总表 公开04表</w:t>
      </w:r>
    </w:p>
    <w:tbl>
      <w:tblPr>
        <w:tblStyle w:val="6"/>
        <w:tblW w:w="141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70"/>
        <w:gridCol w:w="570"/>
        <w:gridCol w:w="1287"/>
        <w:gridCol w:w="3300"/>
        <w:gridCol w:w="885"/>
        <w:gridCol w:w="1065"/>
        <w:gridCol w:w="1320"/>
        <w:gridCol w:w="147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2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     入</w:t>
            </w:r>
          </w:p>
        </w:tc>
        <w:tc>
          <w:tcPr>
            <w:tcW w:w="9060"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2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行次</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行次</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一般公共预算财政拨款</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2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1,191.79</w:t>
            </w: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962.11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962.11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七、文化旅游体育与传媒支出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89.55</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89.55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九、卫生健康支出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十、节能环保支出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十一、城乡社区支出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十二、农林水支出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十三、交通运输支出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十四、资源勘探工业信息等支出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十五、商业服务业等支出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十六、金融支出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十七、援助其他地区支出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十八、自然资源海洋气象等支出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十九、住房保障支出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67.16</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67.16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二十、粮油物资储备支出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二十一、国有资本经营预算支出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二十二、灾害防治及应急管理支出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二十三、其他支出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64.65</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64.65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宋体" w:hAnsi="宋体" w:eastAsia="宋体" w:cs="宋体"/>
                <w:b/>
                <w:bCs/>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二十四、债务还本支出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二十五、债务付息支出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二十六、抗疫特别国债安排的支出</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本年收入合计</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1,191.79</w:t>
            </w: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本年支出合计</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1,191.79</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1,191.79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年初财政拨款结转和结余</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年末财政拨款结转和结余</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一般公共预算财政拨款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政府性基金预算财政拨款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国有资本经营预算财政拨款</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1,191.79</w:t>
            </w:r>
          </w:p>
        </w:tc>
        <w:tc>
          <w:tcPr>
            <w:tcW w:w="33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w:t>
            </w:r>
          </w:p>
        </w:tc>
        <w:tc>
          <w:tcPr>
            <w:tcW w:w="8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1,191.79</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1,191.79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167" w:type="dxa"/>
            <w:gridSpan w:val="8"/>
            <w:tcBorders>
              <w:top w:val="single" w:color="000000" w:sz="4" w:space="0"/>
              <w:left w:val="nil"/>
              <w:bottom w:val="nil"/>
              <w:right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020" w:type="dxa"/>
            <w:tcBorders>
              <w:top w:val="single" w:color="000000" w:sz="4" w:space="0"/>
              <w:left w:val="nil"/>
              <w:bottom w:val="nil"/>
              <w:right w:val="nil"/>
            </w:tcBorders>
            <w:shd w:val="clear" w:color="auto" w:fill="FFFFFF"/>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left"/>
              <w:rPr>
                <w:rFonts w:hint="eastAsia" w:ascii="宋体" w:hAnsi="宋体" w:eastAsia="宋体" w:cs="宋体"/>
                <w:i w:val="0"/>
                <w:iCs w:val="0"/>
                <w:color w:val="000000"/>
                <w:sz w:val="20"/>
                <w:szCs w:val="20"/>
                <w:u w:val="none"/>
              </w:rPr>
            </w:pPr>
          </w:p>
        </w:tc>
      </w:tr>
    </w:tbl>
    <w:p>
      <w:pPr>
        <w:jc w:val="left"/>
        <w:rPr>
          <w:rFonts w:hint="eastAsia" w:ascii="Times New Roman" w:hAnsi="Times New Roman" w:eastAsia="仿宋_GB2312" w:cs="Times New Roman"/>
          <w:color w:val="auto"/>
          <w:kern w:val="0"/>
          <w:sz w:val="32"/>
          <w:szCs w:val="32"/>
        </w:rPr>
      </w:pPr>
    </w:p>
    <w:p>
      <w:pPr>
        <w:ind w:firstLine="2240" w:firstLineChars="700"/>
        <w:jc w:val="left"/>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一般公共预算财政拨款支出决算表 公开05表</w:t>
      </w:r>
    </w:p>
    <w:p>
      <w:pPr>
        <w:ind w:firstLine="0" w:firstLineChars="0"/>
        <w:jc w:val="left"/>
        <w:rPr>
          <w:rFonts w:hint="eastAsia" w:ascii="Times New Roman" w:hAnsi="Times New Roman" w:eastAsia="仿宋_GB2312" w:cs="Times New Roman"/>
          <w:color w:val="auto"/>
          <w:kern w:val="0"/>
          <w:sz w:val="20"/>
          <w:szCs w:val="20"/>
        </w:rPr>
      </w:pPr>
    </w:p>
    <w:tbl>
      <w:tblPr>
        <w:tblStyle w:val="6"/>
        <w:tblW w:w="139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4592"/>
        <w:gridCol w:w="2787"/>
        <w:gridCol w:w="2713"/>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8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35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592"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78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71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c>
          <w:tcPr>
            <w:tcW w:w="4592"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c>
          <w:tcPr>
            <w:tcW w:w="27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c>
          <w:tcPr>
            <w:tcW w:w="271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c>
          <w:tcPr>
            <w:tcW w:w="4592"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c>
          <w:tcPr>
            <w:tcW w:w="27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c>
          <w:tcPr>
            <w:tcW w:w="271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8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78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1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58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1,191.79</w:t>
            </w:r>
          </w:p>
        </w:tc>
        <w:tc>
          <w:tcPr>
            <w:tcW w:w="2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874.55</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4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2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4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938.67</w:t>
            </w:r>
          </w:p>
        </w:tc>
        <w:tc>
          <w:tcPr>
            <w:tcW w:w="2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644.46</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4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2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4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21.63</w:t>
            </w:r>
          </w:p>
        </w:tc>
        <w:tc>
          <w:tcPr>
            <w:tcW w:w="2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4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4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2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89.55</w:t>
            </w:r>
          </w:p>
        </w:tc>
        <w:tc>
          <w:tcPr>
            <w:tcW w:w="2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89.55</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67.16</w:t>
            </w:r>
          </w:p>
        </w:tc>
        <w:tc>
          <w:tcPr>
            <w:tcW w:w="2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67.16</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5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7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64.65</w:t>
            </w:r>
          </w:p>
        </w:tc>
        <w:tc>
          <w:tcPr>
            <w:tcW w:w="2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64.65</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932" w:type="dxa"/>
            <w:gridSpan w:val="5"/>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center"/>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一般公共预算财政拨款基本支出决算明细表 公开06表</w:t>
      </w:r>
    </w:p>
    <w:tbl>
      <w:tblPr>
        <w:tblStyle w:val="6"/>
        <w:tblW w:w="139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3016"/>
        <w:gridCol w:w="881"/>
        <w:gridCol w:w="716"/>
        <w:gridCol w:w="2259"/>
        <w:gridCol w:w="829"/>
        <w:gridCol w:w="716"/>
        <w:gridCol w:w="4024"/>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461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386"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科目代码</w:t>
            </w:r>
          </w:p>
        </w:tc>
        <w:tc>
          <w:tcPr>
            <w:tcW w:w="300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决算数</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科目代码</w:t>
            </w:r>
          </w:p>
        </w:tc>
        <w:tc>
          <w:tcPr>
            <w:tcW w:w="225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决算数</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科目代码</w:t>
            </w:r>
          </w:p>
        </w:tc>
        <w:tc>
          <w:tcPr>
            <w:tcW w:w="402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00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22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02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227.69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救济费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助学金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866.23</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0" w:type="auto"/>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pPr>
        <w:ind w:firstLine="0" w:firstLineChars="0"/>
        <w:jc w:val="left"/>
        <w:rPr>
          <w:rFonts w:hint="eastAsia" w:ascii="仿宋" w:hAnsi="仿宋" w:eastAsia="仿宋" w:cs="仿宋"/>
          <w:color w:val="auto"/>
          <w:sz w:val="32"/>
          <w:szCs w:val="32"/>
          <w:highlight w:val="none"/>
        </w:rPr>
      </w:pPr>
    </w:p>
    <w:p>
      <w:pPr>
        <w:ind w:firstLine="0" w:firstLineChars="0"/>
        <w:jc w:val="center"/>
        <w:rPr>
          <w:rFonts w:hint="eastAsia" w:ascii="仿宋" w:hAnsi="仿宋" w:eastAsia="仿宋" w:cs="仿宋"/>
          <w:color w:val="auto"/>
          <w:sz w:val="32"/>
          <w:szCs w:val="32"/>
          <w:highlight w:val="none"/>
        </w:rPr>
      </w:pPr>
    </w:p>
    <w:p>
      <w:pPr>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政府性基金预算财政拨款收入支出决算表 公开07表</w:t>
      </w:r>
    </w:p>
    <w:tbl>
      <w:tblPr>
        <w:tblStyle w:val="6"/>
        <w:tblW w:w="14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1632"/>
        <w:gridCol w:w="2595"/>
        <w:gridCol w:w="1470"/>
        <w:gridCol w:w="1485"/>
        <w:gridCol w:w="1980"/>
        <w:gridCol w:w="1605"/>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2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7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5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2"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097" w:type="dxa"/>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ind w:firstLine="0" w:firstLineChars="0"/>
        <w:jc w:val="both"/>
        <w:rPr>
          <w:rFonts w:hint="eastAsia" w:ascii="仿宋" w:hAnsi="仿宋" w:eastAsia="仿宋" w:cs="仿宋"/>
          <w:color w:val="auto"/>
          <w:sz w:val="32"/>
          <w:szCs w:val="32"/>
          <w:highlight w:val="none"/>
        </w:rPr>
      </w:pPr>
    </w:p>
    <w:p>
      <w:pPr>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国有资本经营预算财政拨款支出决算表 公开08表</w:t>
      </w:r>
    </w:p>
    <w:tbl>
      <w:tblPr>
        <w:tblStyle w:val="6"/>
        <w:tblW w:w="138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3930"/>
        <w:gridCol w:w="2847"/>
        <w:gridCol w:w="2790"/>
        <w:gridCol w:w="3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967"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84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4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84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887" w:type="dxa"/>
            <w:gridSpan w:val="5"/>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ind w:firstLine="0" w:firstLineChars="0"/>
        <w:jc w:val="both"/>
        <w:rPr>
          <w:rFonts w:hint="eastAsia" w:ascii="仿宋" w:hAnsi="仿宋" w:eastAsia="仿宋" w:cs="仿宋"/>
          <w:color w:val="auto"/>
          <w:sz w:val="32"/>
          <w:szCs w:val="32"/>
          <w:highlight w:val="none"/>
        </w:rPr>
      </w:pPr>
    </w:p>
    <w:p>
      <w:pPr>
        <w:ind w:firstLine="0" w:firstLineChars="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财政拨款“三公”经费支出决算表 公开09表</w:t>
      </w:r>
    </w:p>
    <w:tbl>
      <w:tblPr>
        <w:tblStyle w:val="6"/>
        <w:tblW w:w="139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1350"/>
        <w:gridCol w:w="795"/>
        <w:gridCol w:w="1578"/>
        <w:gridCol w:w="1410"/>
        <w:gridCol w:w="957"/>
        <w:gridCol w:w="885"/>
        <w:gridCol w:w="1140"/>
        <w:gridCol w:w="810"/>
        <w:gridCol w:w="1335"/>
        <w:gridCol w:w="132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897"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7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917" w:type="dxa"/>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3917" w:type="dxa"/>
            <w:gridSpan w:val="12"/>
            <w:vMerge w:val="continue"/>
            <w:tcBorders>
              <w:top w:val="single" w:color="000000" w:sz="4" w:space="0"/>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bl>
    <w:p>
      <w:pPr>
        <w:ind w:firstLine="640" w:firstLineChars="200"/>
        <w:jc w:val="left"/>
        <w:rPr>
          <w:rFonts w:hint="eastAsia" w:ascii="仿宋" w:hAnsi="仿宋" w:eastAsia="仿宋" w:cs="仿宋"/>
          <w:color w:val="auto"/>
          <w:sz w:val="32"/>
          <w:szCs w:val="32"/>
        </w:rPr>
      </w:pPr>
      <w:r>
        <w:rPr>
          <w:rFonts w:ascii="Times New Roman" w:hAnsi="Times New Roman" w:eastAsia="仿宋_GB2312" w:cs="Times New Roman"/>
          <w:color w:val="auto"/>
          <w:kern w:val="0"/>
          <w:sz w:val="32"/>
          <w:szCs w:val="32"/>
        </w:rPr>
        <w:t>附表</w:t>
      </w:r>
      <w:r>
        <w:rPr>
          <w:rFonts w:hint="eastAsia"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环江毛南族自治县</w:t>
      </w:r>
      <w:r>
        <w:rPr>
          <w:rFonts w:hint="eastAsia" w:ascii="Times New Roman" w:hAnsi="Times New Roman" w:eastAsia="仿宋_GB2312" w:cs="Times New Roman"/>
          <w:color w:val="auto"/>
          <w:kern w:val="0"/>
          <w:sz w:val="32"/>
          <w:szCs w:val="32"/>
          <w:lang w:val="en-US" w:eastAsia="zh-CN"/>
        </w:rPr>
        <w:t>第七小学</w:t>
      </w:r>
      <w:r>
        <w:rPr>
          <w:rFonts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年</w:t>
      </w:r>
      <w:r>
        <w:rPr>
          <w:rFonts w:hint="eastAsia" w:ascii="仿宋" w:hAnsi="仿宋" w:eastAsia="仿宋" w:cs="仿宋"/>
          <w:color w:val="auto"/>
          <w:sz w:val="32"/>
          <w:szCs w:val="32"/>
        </w:rPr>
        <w:t>项目支出绩效</w:t>
      </w:r>
      <w:r>
        <w:rPr>
          <w:rFonts w:hint="eastAsia" w:ascii="仿宋" w:hAnsi="仿宋" w:eastAsia="仿宋" w:cs="仿宋"/>
          <w:color w:val="auto"/>
          <w:sz w:val="32"/>
          <w:szCs w:val="32"/>
          <w:lang w:val="en-US" w:eastAsia="zh-CN"/>
        </w:rPr>
        <w:t>汇总</w:t>
      </w:r>
      <w:r>
        <w:rPr>
          <w:rFonts w:hint="eastAsia" w:ascii="仿宋" w:hAnsi="仿宋" w:eastAsia="仿宋" w:cs="仿宋"/>
          <w:color w:val="auto"/>
          <w:sz w:val="32"/>
          <w:szCs w:val="32"/>
        </w:rPr>
        <w:t>自评表。</w:t>
      </w:r>
    </w:p>
    <w:p>
      <w:pPr>
        <w:jc w:val="left"/>
        <w:rPr>
          <w:rFonts w:hint="eastAsia" w:ascii="仿宋_GB2312" w:hAnsi="仿宋_GB2312" w:eastAsia="仿宋_GB2312" w:cs="仿宋_GB2312"/>
          <w:color w:val="auto"/>
          <w:sz w:val="24"/>
          <w:szCs w:val="24"/>
        </w:rPr>
      </w:pPr>
    </w:p>
    <w:p>
      <w:pPr>
        <w:jc w:val="left"/>
        <w:rPr>
          <w:rFonts w:hint="eastAsia" w:ascii="仿宋" w:hAnsi="仿宋" w:eastAsia="仿宋_GB2312" w:cs="仿宋"/>
          <w:color w:val="auto"/>
          <w:sz w:val="22"/>
          <w:szCs w:val="22"/>
          <w:lang w:eastAsia="zh-CN"/>
        </w:rPr>
      </w:pPr>
      <w:r>
        <w:rPr>
          <w:rFonts w:hint="eastAsia" w:ascii="仿宋_GB2312" w:hAnsi="仿宋_GB2312" w:eastAsia="仿宋_GB2312" w:cs="仿宋_GB2312"/>
          <w:color w:val="auto"/>
          <w:sz w:val="24"/>
          <w:szCs w:val="24"/>
        </w:rPr>
        <w:t>预算单位</w:t>
      </w:r>
      <w:r>
        <w:rPr>
          <w:rFonts w:hint="eastAsia" w:ascii="仿宋_GB2312" w:hAnsi="仿宋_GB2312" w:eastAsia="仿宋_GB2312" w:cs="仿宋_GB2312"/>
          <w:color w:val="auto"/>
          <w:sz w:val="24"/>
          <w:szCs w:val="24"/>
          <w:lang w:eastAsia="zh-CN"/>
        </w:rPr>
        <w:t>：201024-环江毛南族自治县第七小学</w:t>
      </w:r>
    </w:p>
    <w:p>
      <w:pPr>
        <w:ind w:firstLine="0" w:firstLineChars="0"/>
        <w:jc w:val="left"/>
        <w:rPr>
          <w:rFonts w:hint="eastAsia" w:ascii="仿宋" w:hAnsi="仿宋" w:eastAsia="仿宋" w:cs="仿宋"/>
          <w:vanish/>
          <w:color w:val="auto"/>
          <w:sz w:val="32"/>
          <w:szCs w:val="32"/>
          <w:highlight w:val="none"/>
          <w:lang w:val="en-US" w:eastAsia="zh-CN"/>
        </w:rPr>
      </w:pPr>
      <w:r>
        <w:rPr>
          <w:rFonts w:hint="eastAsia" w:ascii="仿宋" w:hAnsi="仿宋" w:eastAsia="仿宋" w:cs="仿宋"/>
          <w:color w:val="auto"/>
          <w:sz w:val="32"/>
          <w:szCs w:val="32"/>
          <w:highlight w:val="none"/>
        </w:rPr>
        <w:object>
          <v:shape id="_x0000_i1026" o:spt="75" type="#_x0000_t75" style="height:324.55pt;width:699.55pt;" o:ole="t" filled="f" o:preferrelative="t" stroked="f" coordsize="21600,21600">
            <v:path/>
            <v:fill on="f" focussize="0,0"/>
            <v:stroke on="f"/>
            <v:imagedata r:id="rId22" o:title=""/>
            <o:lock v:ext="edit" aspectratio="f"/>
            <w10:wrap type="none"/>
            <w10:anchorlock/>
          </v:shape>
          <o:OLEObject Type="Embed" ProgID="Excel.Sheet.12" ShapeID="_x0000_i1026" DrawAspect="Content" ObjectID="_1468075726" r:id="rId21">
            <o:LockedField>false</o:LockedField>
          </o:OLEObject>
        </w:object>
      </w:r>
    </w:p>
    <w:sectPr>
      <w:pgSz w:w="16838" w:h="11906" w:orient="landscape"/>
      <w:pgMar w:top="1800" w:right="1440" w:bottom="1800" w:left="144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1">
    <w:nsid w:val="5A0E2BF4"/>
    <w:multiLevelType w:val="singleLevel"/>
    <w:tmpl w:val="5A0E2BF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jYWFhYjE5ZWM3OGZhYTBkMGJlMmYxNmVjNGViMzYifQ=="/>
  </w:docVars>
  <w:rsids>
    <w:rsidRoot w:val="00172A27"/>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322983"/>
    <w:rsid w:val="015F1951"/>
    <w:rsid w:val="020C171D"/>
    <w:rsid w:val="0216715F"/>
    <w:rsid w:val="02C941D1"/>
    <w:rsid w:val="02E0291A"/>
    <w:rsid w:val="03E24559"/>
    <w:rsid w:val="04E54546"/>
    <w:rsid w:val="05992762"/>
    <w:rsid w:val="07A1571D"/>
    <w:rsid w:val="07B0770E"/>
    <w:rsid w:val="0942143F"/>
    <w:rsid w:val="0AED3EA7"/>
    <w:rsid w:val="0D100297"/>
    <w:rsid w:val="0D202B45"/>
    <w:rsid w:val="0DA5522B"/>
    <w:rsid w:val="0F8D4C87"/>
    <w:rsid w:val="10505FAA"/>
    <w:rsid w:val="105F7E7E"/>
    <w:rsid w:val="11E56B5B"/>
    <w:rsid w:val="125C77AB"/>
    <w:rsid w:val="14773A8D"/>
    <w:rsid w:val="14CB726E"/>
    <w:rsid w:val="17636501"/>
    <w:rsid w:val="17E92249"/>
    <w:rsid w:val="18D304F1"/>
    <w:rsid w:val="19F32577"/>
    <w:rsid w:val="19F45B80"/>
    <w:rsid w:val="1B0C078D"/>
    <w:rsid w:val="1B254CC9"/>
    <w:rsid w:val="1B266B3B"/>
    <w:rsid w:val="1B2B31E2"/>
    <w:rsid w:val="1B4C295A"/>
    <w:rsid w:val="1B973C63"/>
    <w:rsid w:val="1BA1001E"/>
    <w:rsid w:val="1D317259"/>
    <w:rsid w:val="1D8611E5"/>
    <w:rsid w:val="1D874AEC"/>
    <w:rsid w:val="1DFB5E8E"/>
    <w:rsid w:val="1E664F5B"/>
    <w:rsid w:val="1EB12291"/>
    <w:rsid w:val="1EB34BE1"/>
    <w:rsid w:val="215E639F"/>
    <w:rsid w:val="21EC3183"/>
    <w:rsid w:val="225E72CD"/>
    <w:rsid w:val="23775CB2"/>
    <w:rsid w:val="237C18C4"/>
    <w:rsid w:val="2445162D"/>
    <w:rsid w:val="246E2F77"/>
    <w:rsid w:val="254B4E2B"/>
    <w:rsid w:val="283D7C94"/>
    <w:rsid w:val="29480E03"/>
    <w:rsid w:val="296E23EE"/>
    <w:rsid w:val="2983634D"/>
    <w:rsid w:val="2BB02055"/>
    <w:rsid w:val="2BB865DF"/>
    <w:rsid w:val="2C575A56"/>
    <w:rsid w:val="2DC420CF"/>
    <w:rsid w:val="2EE21858"/>
    <w:rsid w:val="2F257714"/>
    <w:rsid w:val="2F3275E5"/>
    <w:rsid w:val="30AA08EF"/>
    <w:rsid w:val="30D23D1C"/>
    <w:rsid w:val="31221CF5"/>
    <w:rsid w:val="31400178"/>
    <w:rsid w:val="321E3342"/>
    <w:rsid w:val="327759C8"/>
    <w:rsid w:val="33185FE3"/>
    <w:rsid w:val="33BD3D11"/>
    <w:rsid w:val="34EE2E36"/>
    <w:rsid w:val="364E2A02"/>
    <w:rsid w:val="36777241"/>
    <w:rsid w:val="371E78D5"/>
    <w:rsid w:val="38A951DB"/>
    <w:rsid w:val="38B31605"/>
    <w:rsid w:val="39003F4F"/>
    <w:rsid w:val="3BB94898"/>
    <w:rsid w:val="3C07002B"/>
    <w:rsid w:val="3CE50BC7"/>
    <w:rsid w:val="3D0D152A"/>
    <w:rsid w:val="3DF62756"/>
    <w:rsid w:val="3F1B7587"/>
    <w:rsid w:val="40FB24D4"/>
    <w:rsid w:val="41E57B4F"/>
    <w:rsid w:val="432F26F6"/>
    <w:rsid w:val="43880F63"/>
    <w:rsid w:val="441C5A6F"/>
    <w:rsid w:val="44C44FCC"/>
    <w:rsid w:val="44CC7369"/>
    <w:rsid w:val="45196317"/>
    <w:rsid w:val="457F5108"/>
    <w:rsid w:val="462134F8"/>
    <w:rsid w:val="46951B6B"/>
    <w:rsid w:val="49A34401"/>
    <w:rsid w:val="49F41101"/>
    <w:rsid w:val="4A3E30AB"/>
    <w:rsid w:val="4AA97395"/>
    <w:rsid w:val="4AC14DAC"/>
    <w:rsid w:val="4B38326F"/>
    <w:rsid w:val="4D154C85"/>
    <w:rsid w:val="4EB35ECE"/>
    <w:rsid w:val="4EBC65AE"/>
    <w:rsid w:val="508F4E24"/>
    <w:rsid w:val="51461E90"/>
    <w:rsid w:val="51463753"/>
    <w:rsid w:val="52553A93"/>
    <w:rsid w:val="53521F8B"/>
    <w:rsid w:val="53E22F47"/>
    <w:rsid w:val="54522FF8"/>
    <w:rsid w:val="55450629"/>
    <w:rsid w:val="56692963"/>
    <w:rsid w:val="568B0F48"/>
    <w:rsid w:val="574F21C5"/>
    <w:rsid w:val="5786217B"/>
    <w:rsid w:val="58F5064F"/>
    <w:rsid w:val="59337A15"/>
    <w:rsid w:val="59810274"/>
    <w:rsid w:val="59B30690"/>
    <w:rsid w:val="5A461504"/>
    <w:rsid w:val="5CA96A00"/>
    <w:rsid w:val="5CF730BC"/>
    <w:rsid w:val="5E5F0DCE"/>
    <w:rsid w:val="5E7F74A1"/>
    <w:rsid w:val="5F544F2F"/>
    <w:rsid w:val="5FA40A7B"/>
    <w:rsid w:val="5FD56D29"/>
    <w:rsid w:val="5FEC7F3F"/>
    <w:rsid w:val="60F74BC3"/>
    <w:rsid w:val="617D3BF8"/>
    <w:rsid w:val="61841F6A"/>
    <w:rsid w:val="623007A9"/>
    <w:rsid w:val="62540537"/>
    <w:rsid w:val="637D7558"/>
    <w:rsid w:val="644F19AC"/>
    <w:rsid w:val="65AA4920"/>
    <w:rsid w:val="65E31D0B"/>
    <w:rsid w:val="66C76244"/>
    <w:rsid w:val="67694F1E"/>
    <w:rsid w:val="69597934"/>
    <w:rsid w:val="6B964DDC"/>
    <w:rsid w:val="6C783074"/>
    <w:rsid w:val="6D9E65C6"/>
    <w:rsid w:val="6DA81947"/>
    <w:rsid w:val="6EB66DE2"/>
    <w:rsid w:val="6ED3075F"/>
    <w:rsid w:val="6F2A2D4B"/>
    <w:rsid w:val="6F8A0C1E"/>
    <w:rsid w:val="703F45D4"/>
    <w:rsid w:val="715D6546"/>
    <w:rsid w:val="71BE069E"/>
    <w:rsid w:val="71C70755"/>
    <w:rsid w:val="723932A5"/>
    <w:rsid w:val="73953409"/>
    <w:rsid w:val="73E069A3"/>
    <w:rsid w:val="75DA498C"/>
    <w:rsid w:val="76042396"/>
    <w:rsid w:val="78104AA8"/>
    <w:rsid w:val="78D21D5D"/>
    <w:rsid w:val="78E257C5"/>
    <w:rsid w:val="794B35BE"/>
    <w:rsid w:val="7B0A3A31"/>
    <w:rsid w:val="7B3360ED"/>
    <w:rsid w:val="7BDF037E"/>
    <w:rsid w:val="7BF50948"/>
    <w:rsid w:val="7CE66A78"/>
    <w:rsid w:val="7D23564C"/>
    <w:rsid w:val="7D5E062D"/>
    <w:rsid w:val="7DF76CD8"/>
    <w:rsid w:val="7F695C26"/>
    <w:rsid w:val="7F790D4A"/>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2.emf"/><Relationship Id="rId21" Type="http://schemas.openxmlformats.org/officeDocument/2006/relationships/oleObject" Target="embeddings/oleObject2.bin"/><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0.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1191.79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0.02</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7.06</c:v>
                </c:pt>
                <c:pt idx="1">
                  <c:v>573.13</c:v>
                </c:pt>
                <c:pt idx="2">
                  <c:v>51.52</c:v>
                </c:pt>
                <c:pt idx="3">
                  <c:v>39.94</c:v>
                </c:pt>
                <c:pt idx="4">
                  <c:v>73.23</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8.31</c:v>
                </c:pt>
                <c:pt idx="1">
                  <c:v>962.12</c:v>
                </c:pt>
                <c:pt idx="2">
                  <c:v>89.55</c:v>
                </c:pt>
                <c:pt idx="3">
                  <c:v>67.16</c:v>
                </c:pt>
                <c:pt idx="4">
                  <c:v>64.65</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8.31</c:v>
                </c:pt>
                <c:pt idx="1">
                  <c:v>8.31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Sheet1!$A$2:$A$7</c:f>
              <c:strCache>
                <c:ptCount val="6"/>
                <c:pt idx="0">
                  <c:v>2050202</c:v>
                </c:pt>
                <c:pt idx="1">
                  <c:v>2050203</c:v>
                </c:pt>
                <c:pt idx="2">
                  <c:v>2050299</c:v>
                </c:pt>
                <c:pt idx="3">
                  <c:v>2050701</c:v>
                </c:pt>
                <c:pt idx="4">
                  <c:v>2050999</c:v>
                </c:pt>
                <c:pt idx="5">
                  <c:v>205x</c:v>
                </c:pt>
              </c:strCache>
            </c:strRef>
          </c:cat>
          <c:val>
            <c:numRef>
              <c:f>Sheet1!$B$2:$B$7</c:f>
              <c:numCache>
                <c:formatCode>General</c:formatCode>
                <c:ptCount val="6"/>
                <c:pt idx="0">
                  <c:v>938.27</c:v>
                </c:pt>
                <c:pt idx="1" c:formatCode="#,##0.00">
                  <c:v>0.13</c:v>
                </c:pt>
                <c:pt idx="2" c:formatCode="#,##0.00">
                  <c:v>21.63</c:v>
                </c:pt>
                <c:pt idx="3" c:formatCode="#,##0.00">
                  <c:v>1.28</c:v>
                </c:pt>
                <c:pt idx="4" c:formatCode="#,##0.00">
                  <c:v>0.41</c:v>
                </c:pt>
                <c:pt idx="5">
                  <c:v>962.12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manualLayout>
          <c:layoutTarget val="inner"/>
          <c:xMode val="edge"/>
          <c:yMode val="edge"/>
          <c:x val="0.0686249467858663"/>
          <c:y val="0.162393162393163"/>
          <c:w val="0.905264651624805"/>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89.55</c:v>
                </c:pt>
                <c:pt idx="1">
                  <c:v>89.55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67.16</c:v>
                </c:pt>
                <c:pt idx="1">
                  <c:v>67.16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64.65</c:v>
                </c:pt>
                <c:pt idx="1">
                  <c:v>64.65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numCache>
            </c:numRef>
          </c:cat>
          <c:val>
            <c:numRef>
              <c:f>Sheet1!$B$2:$B$13</c:f>
              <c:numCache>
                <c:formatCode>General</c:formatCode>
                <c:ptCount val="12"/>
                <c:pt idx="0">
                  <c:v>276.4</c:v>
                </c:pt>
                <c:pt idx="1">
                  <c:v>32.28</c:v>
                </c:pt>
                <c:pt idx="2">
                  <c:v>227.69</c:v>
                </c:pt>
                <c:pt idx="3">
                  <c:v>0</c:v>
                </c:pt>
                <c:pt idx="4">
                  <c:v>132.87</c:v>
                </c:pt>
                <c:pt idx="5">
                  <c:v>89.55</c:v>
                </c:pt>
                <c:pt idx="6">
                  <c:v>0</c:v>
                </c:pt>
                <c:pt idx="7">
                  <c:v>35.86</c:v>
                </c:pt>
                <c:pt idx="8">
                  <c:v>0</c:v>
                </c:pt>
                <c:pt idx="9">
                  <c:v>4.4</c:v>
                </c:pt>
                <c:pt idx="10">
                  <c:v>67.16</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8.31</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2242</Words>
  <Characters>2882</Characters>
  <Lines>90</Lines>
  <Paragraphs>25</Paragraphs>
  <TotalTime>6</TotalTime>
  <ScaleCrop>false</ScaleCrop>
  <LinksUpToDate>false</LinksUpToDate>
  <CharactersWithSpaces>2896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hjxjyj</cp:lastModifiedBy>
  <cp:lastPrinted>2023-11-20T01:55:00Z</cp:lastPrinted>
  <dcterms:modified xsi:type="dcterms:W3CDTF">2025-01-04T07:07:53Z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6A4D4358A92D4C9083A0D9A4625E6FC1_13</vt:lpwstr>
  </property>
  <property fmtid="{D5CDD505-2E9C-101B-9397-08002B2CF9AE}" pid="4" name="KSOTemplateDocerSaveRecord">
    <vt:lpwstr>eyJoZGlkIjoiZmRjYWFhYjE5ZWM3OGZhYTBkMGJlMmYxNmVjNGViMzYiLCJ1c2VySWQiOiIyNTc2NDAxNDgifQ==</vt:lpwstr>
  </property>
</Properties>
</file>