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52"/>
          <w:szCs w:val="52"/>
        </w:rPr>
      </w:pPr>
      <w:r>
        <w:rPr>
          <w:rFonts w:hint="eastAsia" w:ascii="黑体" w:hAnsi="黑体" w:eastAsia="黑体" w:cs="黑体"/>
          <w:b/>
          <w:bCs/>
          <w:sz w:val="52"/>
          <w:szCs w:val="52"/>
        </w:rPr>
        <w:t>环江毛南族自治县第六幼儿园</w:t>
      </w:r>
    </w:p>
    <w:p>
      <w:pPr>
        <w:jc w:val="center"/>
        <w:rPr>
          <w:rFonts w:ascii="黑体" w:hAnsi="黑体" w:eastAsia="黑体" w:cs="黑体"/>
          <w:b/>
          <w:bCs/>
          <w:sz w:val="52"/>
          <w:szCs w:val="52"/>
        </w:rPr>
      </w:pPr>
      <w:r>
        <w:rPr>
          <w:rFonts w:hint="eastAsia" w:ascii="黑体" w:hAnsi="黑体" w:eastAsia="黑体" w:cs="黑体"/>
          <w:b/>
          <w:bCs/>
          <w:sz w:val="52"/>
          <w:szCs w:val="52"/>
        </w:rPr>
        <w:t>2023年度部门决算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仿宋"/>
          <w:sz w:val="36"/>
          <w:szCs w:val="36"/>
        </w:rPr>
      </w:pPr>
      <w:r>
        <w:rPr>
          <w:rFonts w:hint="eastAsia" w:ascii="黑体" w:hAnsi="黑体" w:eastAsia="黑体" w:cs="仿宋"/>
          <w:sz w:val="36"/>
          <w:szCs w:val="36"/>
        </w:rPr>
        <w:t>单位负责人：王冬梅</w:t>
      </w:r>
    </w:p>
    <w:p>
      <w:pPr>
        <w:jc w:val="center"/>
        <w:rPr>
          <w:rFonts w:ascii="黑体" w:hAnsi="黑体" w:eastAsia="黑体" w:cs="黑体"/>
          <w:b/>
          <w:bCs/>
          <w:sz w:val="36"/>
          <w:szCs w:val="36"/>
        </w:rPr>
      </w:pPr>
      <w:r>
        <w:rPr>
          <w:rFonts w:hint="eastAsia" w:ascii="黑体" w:hAnsi="黑体" w:eastAsia="黑体" w:cs="黑体"/>
          <w:b/>
          <w:bCs/>
          <w:sz w:val="36"/>
          <w:szCs w:val="36"/>
        </w:rPr>
        <w:t>2023年12月3日</w:t>
      </w: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hint="eastAsia" w:ascii="黑体" w:hAnsi="黑体" w:eastAsia="黑体" w:cs="黑体"/>
          <w:sz w:val="32"/>
          <w:szCs w:val="32"/>
        </w:rPr>
      </w:pPr>
      <w:r>
        <w:rPr>
          <w:rFonts w:hint="eastAsia" w:ascii="黑体" w:hAnsi="黑体" w:eastAsia="黑体" w:cs="黑体"/>
          <w:sz w:val="32"/>
          <w:szCs w:val="32"/>
        </w:rPr>
        <w:t>第一部分：</w:t>
      </w:r>
      <w:r>
        <w:rPr>
          <w:rFonts w:ascii="黑体" w:hAnsi="黑体" w:eastAsia="黑体" w:cs="黑体"/>
          <w:sz w:val="32"/>
        </w:rPr>
        <w:t>环江毛南族自治县第六幼儿园</w:t>
      </w:r>
      <w:r>
        <w:rPr>
          <w:rFonts w:hint="eastAsia" w:ascii="黑体" w:hAnsi="黑体" w:eastAsia="黑体" w:cs="黑体"/>
          <w:sz w:val="32"/>
          <w:szCs w:val="32"/>
        </w:rPr>
        <w:t>概况</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一、主要职能</w:t>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二、部门决算单位构成</w:t>
      </w:r>
    </w:p>
    <w:p>
      <w:pPr>
        <w:jc w:val="left"/>
        <w:rPr>
          <w:rFonts w:ascii="黑体" w:hAnsi="黑体" w:eastAsia="黑体" w:cs="黑体"/>
          <w:sz w:val="32"/>
          <w:szCs w:val="32"/>
        </w:rPr>
      </w:pPr>
      <w:bookmarkStart w:id="6" w:name="_GoBack"/>
      <w:bookmarkEnd w:id="6"/>
      <w:r>
        <w:rPr>
          <w:rFonts w:hint="eastAsia" w:ascii="黑体" w:hAnsi="黑体" w:eastAsia="黑体" w:cs="黑体"/>
          <w:sz w:val="32"/>
          <w:szCs w:val="32"/>
        </w:rPr>
        <w:t>第二部分：</w:t>
      </w:r>
      <w:r>
        <w:rPr>
          <w:rFonts w:ascii="黑体" w:hAnsi="黑体" w:eastAsia="黑体" w:cs="黑体"/>
          <w:sz w:val="32"/>
        </w:rPr>
        <w:t>环江毛南族自治县第六幼儿园</w:t>
      </w:r>
      <w:r>
        <w:rPr>
          <w:rFonts w:hint="eastAsia" w:ascii="黑体" w:hAnsi="黑体" w:eastAsia="黑体" w:cs="黑体"/>
          <w:sz w:val="32"/>
          <w:szCs w:val="32"/>
        </w:rPr>
        <w:t>2023年度部门决算报表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表九：财政拨款“三公”经费支出决算表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环江毛南族自治县第六幼儿园</w:t>
      </w:r>
      <w:r>
        <w:rPr>
          <w:rFonts w:hint="eastAsia" w:ascii="黑体" w:hAnsi="黑体" w:eastAsia="黑体" w:cs="黑体"/>
          <w:sz w:val="32"/>
          <w:szCs w:val="32"/>
        </w:rPr>
        <w:t>2023年度部门决算情况说明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2023年度</w:t>
      </w:r>
      <w:r>
        <w:rPr>
          <w:rFonts w:hint="eastAsia" w:ascii="仿宋_GB2312" w:eastAsia="仿宋_GB2312" w:cs="仿宋_GB2312"/>
          <w:kern w:val="0"/>
          <w:sz w:val="32"/>
          <w:szCs w:val="32"/>
        </w:rPr>
        <w:t>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2023年度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2023年度</w:t>
      </w:r>
      <w:r>
        <w:rPr>
          <w:rFonts w:hint="eastAsia" w:ascii="仿宋_GB2312" w:eastAsia="仿宋_GB2312" w:cs="仿宋_GB2312"/>
          <w:kern w:val="0"/>
          <w:sz w:val="32"/>
          <w:szCs w:val="32"/>
        </w:rPr>
        <w:t>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ascii="黑体" w:hAnsi="黑体" w:eastAsia="黑体" w:cs="黑体"/>
          <w:b/>
          <w:sz w:val="32"/>
        </w:rPr>
        <w:t>环江毛南族自治县第六幼儿园</w:t>
      </w:r>
      <w:r>
        <w:rPr>
          <w:rFonts w:hint="eastAsia" w:ascii="黑体" w:hAnsi="黑体" w:eastAsia="黑体" w:cs="黑体"/>
          <w:b/>
          <w:bCs/>
          <w:sz w:val="32"/>
          <w:szCs w:val="32"/>
        </w:rPr>
        <w:t>概况</w:t>
      </w:r>
    </w:p>
    <w:p>
      <w:pPr>
        <w:numPr>
          <w:ilvl w:val="0"/>
          <w:numId w:val="1"/>
        </w:numPr>
        <w:jc w:val="left"/>
        <w:rPr>
          <w:rFonts w:ascii="黑体" w:hAnsi="黑体" w:eastAsia="黑体" w:cs="黑体"/>
          <w:sz w:val="32"/>
          <w:szCs w:val="32"/>
        </w:rPr>
      </w:pPr>
      <w:r>
        <w:rPr>
          <w:rFonts w:hint="eastAsia" w:ascii="黑体" w:hAnsi="黑体" w:eastAsia="黑体" w:cs="黑体"/>
          <w:sz w:val="32"/>
          <w:szCs w:val="32"/>
        </w:rPr>
        <w:t>主要职能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（一）贯彻执行党和国家的教育方针、政策和法律法规；拟订全园教育改革与发展规划并组织实施。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（二）编制本园教育事业发展规划并检查实施情况，向自治县人民政府和上级教育部门作出报告。</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（三）督促检查全园贯彻执行教育方针、政策、法令、法规和上级的各项规定；评估指导全园教育教学工作。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（四）负责推进幼儿教育均衡发展和促进教育公平。</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（五）负责全园人才队伍和教师队伍建设，包括园长岗位培训、后备干部队伍建设、教师学历教育、继续教育等。</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（六）负责组织全园做好学籍管理工作。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（七）按照中央关于全面推进素质教育要求，负责教育教学管理、教育教学改革及教育教学科学研究工作，检查指导全园实施素质教育工作，并组织推广先进的教育教学经验。</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（八）检查指导学校教育教学设备的装备、管理和使用工作。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（九）检查指导全园开展电化教育和信息化教学工作。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（十）负责全园教师初级专业技术职务资格的评审，中、高级专业技术职务资格的申报工作。按照管理权限对教师进行考核、聘任、奖惩、晋升等工作。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（十一）负责监督审计全园教育经费和教育基建经费拨付及教育附加费和教育费附加的征收、管理与使用工作。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（十二）负责指导全园学生资助管理工作。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（十三）负责语言文字和指导推广普通话工作。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（十四）完成上级部门交办的其他工作。</w:t>
      </w:r>
    </w:p>
    <w:p>
      <w:pPr>
        <w:jc w:val="left"/>
        <w:rPr>
          <w:rFonts w:ascii="黑体" w:hAnsi="黑体" w:eastAsia="黑体" w:cs="黑体"/>
          <w:sz w:val="32"/>
          <w:szCs w:val="32"/>
        </w:rPr>
      </w:pPr>
      <w:r>
        <w:rPr>
          <w:rFonts w:hint="eastAsia" w:ascii="黑体" w:hAnsi="黑体" w:eastAsia="黑体" w:cs="黑体"/>
          <w:sz w:val="32"/>
          <w:szCs w:val="32"/>
        </w:rPr>
        <w:t>二、部门决算单位构成</w:t>
      </w:r>
    </w:p>
    <w:p>
      <w:pPr>
        <w:spacing w:line="460" w:lineRule="exact"/>
        <w:ind w:firstLine="562" w:firstLineChars="200"/>
        <w:rPr>
          <w:rFonts w:ascii="宋体" w:hAnsi="宋体" w:cs="宋体"/>
          <w:b/>
          <w:bCs/>
          <w:color w:val="333333"/>
          <w:sz w:val="28"/>
          <w:szCs w:val="28"/>
        </w:rPr>
      </w:pPr>
      <w:r>
        <w:rPr>
          <w:rFonts w:hint="eastAsia" w:ascii="宋体" w:hAnsi="宋体" w:cs="宋体"/>
          <w:b/>
          <w:bCs/>
          <w:color w:val="333333"/>
          <w:sz w:val="28"/>
          <w:szCs w:val="28"/>
        </w:rPr>
        <w:t>1</w:t>
      </w:r>
      <w:r>
        <w:rPr>
          <w:rFonts w:ascii="宋体" w:hAnsi="宋体" w:cs="宋体"/>
          <w:b/>
          <w:bCs/>
          <w:color w:val="333333"/>
          <w:sz w:val="28"/>
          <w:szCs w:val="28"/>
        </w:rPr>
        <w:t>.</w:t>
      </w:r>
      <w:r>
        <w:rPr>
          <w:rFonts w:hint="eastAsia" w:ascii="宋体" w:hAnsi="宋体" w:cs="宋体"/>
          <w:b/>
          <w:bCs/>
          <w:color w:val="333333"/>
          <w:sz w:val="28"/>
          <w:szCs w:val="28"/>
        </w:rPr>
        <w:t>内设机构情况</w:t>
      </w:r>
    </w:p>
    <w:p>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000000" w:themeColor="text1"/>
          <w:sz w:val="32"/>
          <w:szCs w:val="32"/>
          <w14:textFill>
            <w14:solidFill>
              <w14:schemeClr w14:val="tx1"/>
            </w14:solidFill>
          </w14:textFill>
        </w:rPr>
        <w:t>我部门没有下属单位，按照部门决算编报要求，单独编制本部门决算。</w:t>
      </w:r>
      <w:r>
        <w:rPr>
          <w:rFonts w:hint="eastAsia" w:ascii="Times New Roman" w:hAnsi="Times New Roman" w:eastAsia="仿宋_GB2312" w:cs="Times New Roman"/>
          <w:color w:val="000000" w:themeColor="text1"/>
          <w:sz w:val="32"/>
          <w:szCs w:val="32"/>
          <w14:textFill>
            <w14:solidFill>
              <w14:schemeClr w14:val="tx1"/>
            </w14:solidFill>
          </w14:textFill>
        </w:rPr>
        <w:t>第六幼儿园有四个内设机构，分别为：行政</w:t>
      </w:r>
      <w:r>
        <w:rPr>
          <w:rFonts w:hint="eastAsia" w:ascii="Times New Roman" w:hAnsi="Times New Roman" w:eastAsia="仿宋_GB2312" w:cs="Times New Roman"/>
          <w:sz w:val="32"/>
          <w:szCs w:val="32"/>
        </w:rPr>
        <w:t>办公室、保教室、财务室、安全办。</w:t>
      </w:r>
    </w:p>
    <w:p>
      <w:pPr>
        <w:spacing w:line="460" w:lineRule="exact"/>
        <w:ind w:firstLine="620" w:firstLineChars="193"/>
        <w:rPr>
          <w:rFonts w:ascii="仿宋_GB2312" w:eastAsia="仿宋_GB2312" w:cs="仿宋_GB2312"/>
          <w:kern w:val="0"/>
          <w:sz w:val="32"/>
          <w:szCs w:val="32"/>
        </w:rPr>
      </w:pPr>
      <w:r>
        <w:rPr>
          <w:rFonts w:ascii="仿宋_GB2312" w:eastAsia="仿宋_GB2312" w:cs="仿宋_GB2312"/>
          <w:b/>
          <w:bCs/>
          <w:kern w:val="0"/>
          <w:sz w:val="32"/>
          <w:szCs w:val="32"/>
        </w:rPr>
        <w:t>2.人员编制实有情况</w:t>
      </w:r>
    </w:p>
    <w:p>
      <w:pPr>
        <w:spacing w:line="460" w:lineRule="exact"/>
        <w:ind w:firstLine="617" w:firstLineChars="193"/>
        <w:rPr>
          <w:rFonts w:ascii="仿宋_GB2312" w:eastAsia="仿宋_GB2312" w:cs="仿宋_GB2312"/>
          <w:kern w:val="0"/>
          <w:sz w:val="32"/>
          <w:szCs w:val="32"/>
        </w:rPr>
      </w:pPr>
      <w:r>
        <w:rPr>
          <w:rFonts w:hint="eastAsia" w:ascii="仿宋_GB2312" w:eastAsia="仿宋_GB2312" w:cs="仿宋_GB2312"/>
          <w:kern w:val="0"/>
          <w:sz w:val="32"/>
          <w:szCs w:val="32"/>
        </w:rPr>
        <w:t>我单位编制人数</w:t>
      </w:r>
      <w:r>
        <w:rPr>
          <w:rFonts w:ascii="仿宋_GB2312" w:eastAsia="仿宋_GB2312" w:cs="仿宋_GB2312"/>
          <w:kern w:val="0"/>
          <w:sz w:val="32"/>
          <w:szCs w:val="32"/>
        </w:rPr>
        <w:t>2</w:t>
      </w:r>
      <w:r>
        <w:rPr>
          <w:rFonts w:hint="eastAsia" w:ascii="仿宋_GB2312" w:eastAsia="仿宋_GB2312" w:cs="仿宋_GB2312"/>
          <w:kern w:val="0"/>
          <w:sz w:val="32"/>
          <w:szCs w:val="32"/>
        </w:rPr>
        <w:t>人，年末实有人数</w:t>
      </w:r>
      <w:r>
        <w:rPr>
          <w:rFonts w:ascii="仿宋_GB2312" w:eastAsia="仿宋_GB2312" w:cs="仿宋_GB2312"/>
          <w:kern w:val="0"/>
          <w:sz w:val="32"/>
          <w:szCs w:val="32"/>
        </w:rPr>
        <w:t>2</w:t>
      </w:r>
      <w:r>
        <w:rPr>
          <w:rFonts w:hint="eastAsia" w:ascii="仿宋_GB2312" w:eastAsia="仿宋_GB2312" w:cs="仿宋_GB2312"/>
          <w:kern w:val="0"/>
          <w:sz w:val="32"/>
          <w:szCs w:val="32"/>
        </w:rPr>
        <w:t>人。</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p>
    <w:p>
      <w:pPr>
        <w:ind w:firstLine="640" w:firstLineChars="200"/>
        <w:jc w:val="left"/>
        <w:rPr>
          <w:rFonts w:ascii="仿宋" w:hAnsi="仿宋" w:eastAsia="仿宋" w:cs="仿宋"/>
          <w:color w:val="FF0000"/>
          <w:sz w:val="32"/>
          <w:szCs w:val="32"/>
        </w:rPr>
      </w:pPr>
    </w:p>
    <w:p>
      <w:pPr>
        <w:jc w:val="center"/>
        <w:rPr>
          <w:rFonts w:ascii="仿宋" w:hAnsi="仿宋" w:eastAsia="仿宋" w:cs="仿宋"/>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环江毛南族自治县第六幼儿园</w:t>
      </w:r>
      <w:r>
        <w:rPr>
          <w:rFonts w:hint="eastAsia" w:ascii="黑体" w:hAnsi="黑体" w:eastAsia="黑体" w:cs="黑体"/>
          <w:sz w:val="32"/>
          <w:szCs w:val="32"/>
        </w:rPr>
        <w:t xml:space="preserve"> 2023年度部门决算报表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表一：收入支出决算总表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2669"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0.42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90.78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r>
    </w:tbl>
    <w:p>
      <w:pP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表二：收入决算表</w:t>
            </w:r>
          </w:p>
          <w:p>
            <w:pPr>
              <w:jc w:val="left"/>
              <w:rPr>
                <w:rFonts w:ascii="仿宋" w:hAnsi="仿宋" w:eastAsia="仿宋" w:cs="仿宋"/>
                <w:sz w:val="24"/>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2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2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6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09"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1373"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67"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709" w:type="dxa"/>
            <w:gridSpan w:val="2"/>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96.36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96.36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0.42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0.42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90.52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90.52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注：本表反映部门本年度取得的各项收入情况。</w:t>
            </w:r>
          </w:p>
        </w:tc>
      </w:tr>
    </w:tbl>
    <w:p>
      <w:pPr>
        <w:jc w:val="cente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表三：支出决算表</w:t>
      </w:r>
    </w:p>
    <w:p>
      <w:pPr>
        <w:jc w:val="left"/>
        <w:rPr>
          <w:rFonts w:ascii="仿宋" w:hAnsi="仿宋" w:eastAsia="仿宋" w:cs="仿宋"/>
          <w:sz w:val="24"/>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2"/>
                <w:szCs w:val="32"/>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3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03"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22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2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60"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4"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1653"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654"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single" w:color="auto" w:sz="4" w:space="0"/>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96.36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24.35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72.00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ascii="宋体" w:hAnsi="宋体" w:eastAsia="宋体" w:cs="宋体"/>
                <w:b/>
                <w:bCs/>
                <w:color w:val="000000"/>
                <w:sz w:val="22"/>
                <w:szCs w:val="22"/>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0.42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0.42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90.52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18.51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72.00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注：本表反映部门本年度各项支出情况。</w:t>
            </w:r>
          </w:p>
        </w:tc>
      </w:tr>
    </w:tbl>
    <w:p>
      <w:pPr>
        <w:rPr>
          <w:rFonts w:ascii="仿宋" w:hAnsi="仿宋" w:eastAsia="仿宋" w:cs="仿宋"/>
          <w:sz w:val="24"/>
        </w:rPr>
      </w:pPr>
      <w:r>
        <w:rPr>
          <w:rFonts w:ascii="仿宋" w:hAnsi="仿宋" w:eastAsia="仿宋" w:cs="仿宋"/>
          <w:sz w:val="24"/>
        </w:rPr>
        <w:br w:type="page"/>
      </w:r>
    </w:p>
    <w:p>
      <w:pPr>
        <w:jc w:val="cente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表四：财政拨款收入支出决算总表</w:t>
      </w:r>
    </w:p>
    <w:p>
      <w:pPr>
        <w:jc w:val="left"/>
        <w:rPr>
          <w:rFonts w:ascii="仿宋" w:hAnsi="仿宋" w:eastAsia="仿宋" w:cs="仿宋"/>
          <w:sz w:val="24"/>
        </w:rPr>
      </w:pPr>
    </w:p>
    <w:tbl>
      <w:tblPr>
        <w:tblStyle w:val="6"/>
        <w:tblW w:w="4966" w:type="pct"/>
        <w:tblInd w:w="0" w:type="dxa"/>
        <w:tblLayout w:type="fixed"/>
        <w:tblCellMar>
          <w:top w:w="0" w:type="dxa"/>
          <w:left w:w="108" w:type="dxa"/>
          <w:bottom w:w="0" w:type="dxa"/>
          <w:right w:w="108" w:type="dxa"/>
        </w:tblCellMar>
      </w:tblPr>
      <w:tblGrid>
        <w:gridCol w:w="2214"/>
        <w:gridCol w:w="786"/>
        <w:gridCol w:w="1306"/>
        <w:gridCol w:w="2359"/>
        <w:gridCol w:w="850"/>
        <w:gridCol w:w="1090"/>
        <w:gridCol w:w="1771"/>
        <w:gridCol w:w="1808"/>
        <w:gridCol w:w="1895"/>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4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2"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rPr>
          <w:trHeight w:val="260" w:hRule="atLeast"/>
        </w:trPr>
        <w:tc>
          <w:tcPr>
            <w:tcW w:w="3056" w:type="pct"/>
            <w:gridSpan w:val="6"/>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629"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40"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72" w:type="pct"/>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一、一般公共预算财政拨款</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一、一般公共服务支出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0.42</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0.42</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二、政府性基金预算财政拨款</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二、外交支出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三、国有资本经营预算财政拨款</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三、国防支出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四、公共安全支出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五、教育支出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90.78</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90.78</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六、科学技术支出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七、文化旅游体育与传媒支出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八、社会保障和就业支出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2.94</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2.94</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九、卫生健康支出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十、节能环保支出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十一、城乡社区支出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十二、农林水支出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十三、交通运输支出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十四、资源勘探工业信息等支出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十五、商业服务业等支出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十六、金融支出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十七、援助其他地区支出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十八、自然资源海洋气象等支出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十九、住房保障支出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二十、粮油物资储备支出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二十一、国有资本经营预算支出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二十二、灾害防治及应急管理支出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二十三、其他支出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二十四、债务还本支出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二十五、债务付息支出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二十六、抗疫特别国债安排的支出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bidi="ar"/>
              </w:rPr>
              <w:t>本年收入合计</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bidi="ar"/>
              </w:rPr>
              <w:t>本年支出合计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年初财政拨款结转和结余</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年末财政拨款结转和结余</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一般公共预算财政拨款</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政府性基金预算财政拨款</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国有资本经营预算财政拨款</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 w:val="22"/>
                <w:szCs w:val="22"/>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bidi="ar"/>
              </w:rPr>
              <w:t>总计</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2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bidi="ar"/>
              </w:rPr>
              <w:t>总计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96.36</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c>
          <w:tcPr>
            <w:tcW w:w="18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注：本表反映部门本年度一般公共预算财政拨款、政府性基金预算财政拨款和国有资本经营预算财政拨款的总收支和年末结转结余情况。</w:t>
            </w: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tc>
        <w:tc>
          <w:tcPr>
            <w:tcW w:w="672" w:type="pct"/>
            <w:tcBorders>
              <w:top w:val="single" w:color="auto" w:sz="4" w:space="0"/>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表五：一般公共预算财政拨款支出决算表</w:t>
      </w:r>
    </w:p>
    <w:p>
      <w:pPr>
        <w:jc w:val="left"/>
        <w:rPr>
          <w:rFonts w:ascii="仿宋" w:hAnsi="仿宋" w:eastAsia="仿宋" w:cs="仿宋"/>
          <w:sz w:val="24"/>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89"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3107"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889"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96.36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24.35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72.00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18.51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注：本表反映部门本年度一般公共预算财政拨款支出情况。</w:t>
            </w: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表六：一般公共预算财政拨款基本支出决算表</w:t>
      </w:r>
    </w:p>
    <w:p>
      <w:pPr>
        <w:jc w:val="left"/>
        <w:rPr>
          <w:rFonts w:ascii="仿宋" w:hAnsi="仿宋" w:eastAsia="仿宋" w:cs="仿宋"/>
          <w:sz w:val="24"/>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7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9"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116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3456" w:type="dxa"/>
            <w:gridSpan w:val="2"/>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科目编码</w:t>
            </w:r>
          </w:p>
          <w:p>
            <w:pPr>
              <w:widowControl/>
              <w:jc w:val="center"/>
              <w:textAlignment w:val="center"/>
              <w:rPr>
                <w:rFonts w:ascii="宋体" w:hAnsi="宋体" w:eastAsia="宋体" w:cs="宋体"/>
                <w:color w:val="000000"/>
                <w:sz w:val="22"/>
                <w:szCs w:val="22"/>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bookmarkStart w:id="0" w:name="OLE_LINK4"/>
            <w:bookmarkStart w:id="1" w:name="OLE_LINK3"/>
            <w:r>
              <w:rPr>
                <w:rFonts w:hint="eastAsia" w:ascii="宋体" w:hAnsi="宋体" w:eastAsia="宋体" w:cs="宋体"/>
                <w:color w:val="000000"/>
                <w:kern w:val="0"/>
                <w:sz w:val="22"/>
                <w:szCs w:val="22"/>
                <w:lang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0.50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bookmarkEnd w:id="0"/>
      <w:bookmarkEnd w:id="1"/>
      <w:tr>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人员经费合计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23.93</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0.42</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注：本表反映部门本年度一般公共预算财政拨款基本支出明细情况。</w:t>
            </w:r>
          </w:p>
        </w:tc>
      </w:tr>
    </w:tbl>
    <w:p>
      <w:pPr>
        <w:spacing w:line="560" w:lineRule="exact"/>
        <w:ind w:firstLine="640" w:firstLineChars="200"/>
        <w:rPr>
          <w:rFonts w:ascii="Times New Roman" w:hAnsi="Times New Roman" w:eastAsia="仿宋_GB2312" w:cs="Times New Roman"/>
          <w:sz w:val="32"/>
          <w:szCs w:val="32"/>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表七：政府性基金预算财政拨款收入支出决算表</w:t>
      </w:r>
    </w:p>
    <w:p>
      <w:pPr>
        <w:jc w:val="left"/>
        <w:rPr>
          <w:rFonts w:ascii="仿宋" w:hAnsi="仿宋" w:eastAsia="仿宋" w:cs="仿宋"/>
          <w:sz w:val="24"/>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30"/>
        <w:gridCol w:w="1948"/>
      </w:tblGrid>
      <w:tr>
        <w:tblPrEx>
          <w:tblCellMar>
            <w:top w:w="0" w:type="dxa"/>
            <w:left w:w="108" w:type="dxa"/>
            <w:bottom w:w="0" w:type="dxa"/>
            <w:right w:w="108" w:type="dxa"/>
          </w:tblCellMar>
        </w:tblPrEx>
        <w:trPr>
          <w:trHeight w:val="536" w:hRule="atLeast"/>
        </w:trPr>
        <w:tc>
          <w:tcPr>
            <w:tcW w:w="139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108" w:type="dxa"/>
            <w:bottom w:w="0" w:type="dxa"/>
            <w:right w:w="108" w:type="dxa"/>
          </w:tblCellMar>
        </w:tblPrEx>
        <w:trPr>
          <w:trHeight w:val="268" w:hRule="atLeast"/>
        </w:trPr>
        <w:tc>
          <w:tcPr>
            <w:tcW w:w="8624"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16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728"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c>
          <w:tcPr>
            <w:tcW w:w="1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年末结转和结余</w:t>
            </w:r>
          </w:p>
        </w:tc>
      </w:tr>
      <w:tr>
        <w:tblPrEx>
          <w:tblCellMar>
            <w:top w:w="0" w:type="dxa"/>
            <w:left w:w="108" w:type="dxa"/>
            <w:bottom w:w="0" w:type="dxa"/>
            <w:right w:w="108" w:type="dxa"/>
          </w:tblCellMar>
        </w:tblPrEx>
        <w:trPr>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3980"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注：本表反映部门本年度政府性基金预算财政拨款收入、支出及结转和结余情况。</w:t>
            </w:r>
          </w:p>
          <w:p>
            <w:pPr>
              <w:ind w:firstLine="420" w:firstLineChars="200"/>
            </w:pPr>
            <w:r>
              <w:rPr>
                <w:rFonts w:hint="eastAsia" w:ascii="宋体" w:hAnsi="宋体" w:eastAsia="宋体" w:cs="宋体"/>
                <w:color w:val="000000" w:themeColor="text1"/>
                <w:szCs w:val="21"/>
                <w:lang w:bidi="ar"/>
                <w14:textFill>
                  <w14:solidFill>
                    <w14:schemeClr w14:val="tx1"/>
                  </w14:solidFill>
                </w14:textFill>
              </w:rPr>
              <w:t>本单位</w:t>
            </w:r>
            <w:r>
              <w:rPr>
                <w:rFonts w:hint="eastAsia" w:ascii="Times New Roman" w:hAnsi="Times New Roman" w:eastAsia="宋体" w:cs="Times New Roman"/>
                <w:color w:val="000000" w:themeColor="text1"/>
                <w:szCs w:val="21"/>
                <w:lang w:bidi="ar"/>
                <w14:textFill>
                  <w14:solidFill>
                    <w14:schemeClr w14:val="tx1"/>
                  </w14:solidFill>
                </w14:textFill>
              </w:rPr>
              <w:t>2023年度</w:t>
            </w:r>
            <w:r>
              <w:rPr>
                <w:rFonts w:hint="eastAsia" w:ascii="宋体" w:hAnsi="宋体" w:eastAsia="宋体" w:cs="宋体"/>
                <w:color w:val="000000" w:themeColor="text1"/>
                <w:szCs w:val="21"/>
                <w:lang w:bidi="ar"/>
                <w14:textFill>
                  <w14:solidFill>
                    <w14:schemeClr w14:val="tx1"/>
                  </w14:solidFill>
                </w14:textFill>
              </w:rPr>
              <w:t>没有政府性基金预算财政拨款收入，也没有政府性基金预算财政拨款安排的支出，故本表无数据。</w:t>
            </w:r>
            <w:r>
              <w:rPr>
                <w:rFonts w:hint="eastAsia" w:ascii="Times New Roman" w:hAnsi="Times New Roman" w:eastAsia="宋体" w:cs="Times New Roman"/>
                <w:color w:val="000000"/>
                <w:szCs w:val="21"/>
                <w:lang w:bidi="ar"/>
              </w:rPr>
              <w:t xml:space="preserve"> </w:t>
            </w:r>
          </w:p>
          <w:p>
            <w:pPr>
              <w:widowControl/>
              <w:jc w:val="left"/>
              <w:textAlignment w:val="center"/>
              <w:rPr>
                <w:rFonts w:ascii="宋体" w:hAnsi="宋体" w:eastAsia="宋体" w:cs="宋体"/>
                <w:color w:val="000000"/>
                <w:kern w:val="0"/>
                <w:sz w:val="22"/>
                <w:szCs w:val="22"/>
                <w:lang w:bidi="ar"/>
              </w:rPr>
            </w:pP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表八：国有资本经营预算财政拨款支出决算表</w:t>
      </w:r>
    </w:p>
    <w:p>
      <w:pPr>
        <w:jc w:val="left"/>
        <w:rPr>
          <w:rFonts w:ascii="仿宋" w:hAnsi="仿宋" w:eastAsia="仿宋" w:cs="仿宋"/>
          <w:sz w:val="24"/>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r>
              <w:rPr>
                <w:rFonts w:hint="eastAsia" w:ascii="宋体" w:hAnsi="宋体" w:eastAsia="宋体" w:cs="宋体"/>
                <w:b/>
                <w:bCs/>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bl>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注：本表反映部门本年度国有资本经营预算财政拨款支出情况。</w:t>
      </w:r>
    </w:p>
    <w:p>
      <w:pPr>
        <w:widowControl/>
        <w:ind w:firstLine="420" w:firstLineChars="200"/>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本单位</w:t>
      </w:r>
      <w:r>
        <w:rPr>
          <w:rFonts w:hint="eastAsia" w:ascii="Times New Roman" w:hAnsi="Times New Roman" w:eastAsia="宋体" w:cs="Times New Roman"/>
          <w:color w:val="000000" w:themeColor="text1"/>
          <w:szCs w:val="21"/>
          <w:lang w:bidi="ar"/>
          <w14:textFill>
            <w14:solidFill>
              <w14:schemeClr w14:val="tx1"/>
            </w14:solidFill>
          </w14:textFill>
        </w:rPr>
        <w:t>2023年度</w:t>
      </w:r>
      <w:r>
        <w:rPr>
          <w:rFonts w:hint="eastAsia" w:ascii="宋体" w:hAnsi="宋体" w:eastAsia="宋体" w:cs="宋体"/>
          <w:color w:val="000000" w:themeColor="text1"/>
          <w:szCs w:val="21"/>
          <w:lang w:bidi="ar"/>
          <w14:textFill>
            <w14:solidFill>
              <w14:schemeClr w14:val="tx1"/>
            </w14:solidFill>
          </w14:textFill>
        </w:rPr>
        <w:t>没有国有资本经营预算财政拨款收入，也没有国有资本经营预算财政拨款安排的支出，故本表无数据。</w:t>
      </w:r>
    </w:p>
    <w:p>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表九：财政拨款“三公”经费支出决算表</w:t>
            </w:r>
          </w:p>
          <w:p>
            <w:pPr>
              <w:widowControl/>
              <w:jc w:val="center"/>
              <w:textAlignment w:val="bottom"/>
              <w:rPr>
                <w:rFonts w:ascii="宋体" w:hAnsi="宋体" w:eastAsia="宋体" w:cs="宋体"/>
                <w:color w:val="000000"/>
                <w:kern w:val="0"/>
                <w:sz w:val="30"/>
                <w:szCs w:val="30"/>
                <w:lang w:bidi="ar"/>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3"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ascii="宋体" w:hAnsi="宋体" w:eastAsia="宋体" w:cs="宋体"/>
                <w:color w:val="000000"/>
                <w:sz w:val="20"/>
              </w:rPr>
              <w:t>环江毛南族自治县第六幼儿园</w:t>
            </w: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p>
            <w:pPr>
              <w:widowControl/>
              <w:jc w:val="center"/>
              <w:textAlignment w:val="center"/>
              <w:rPr>
                <w:rFonts w:ascii="宋体" w:hAnsi="宋体" w:eastAsia="宋体" w:cs="宋体"/>
                <w:color w:val="00000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5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ascii="宋体" w:hAnsi="宋体" w:eastAsia="宋体" w:cs="宋体"/>
                <w:color w:val="000000"/>
                <w:sz w:val="22"/>
                <w:szCs w:val="22"/>
              </w:rPr>
              <w:t>0.00</w:t>
            </w:r>
          </w:p>
        </w:tc>
        <w:tc>
          <w:tcPr>
            <w:tcW w:w="10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0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0.00</w:t>
            </w:r>
          </w:p>
        </w:tc>
        <w:tc>
          <w:tcPr>
            <w:tcW w:w="1133" w:type="dxa"/>
            <w:tcBorders>
              <w:top w:val="nil"/>
              <w:left w:val="nil"/>
              <w:bottom w:val="single" w:color="000000" w:sz="4" w:space="0"/>
              <w:right w:val="single" w:color="000000" w:sz="4" w:space="0"/>
            </w:tcBorders>
            <w:shd w:val="clear" w:color="auto" w:fill="auto"/>
            <w:noWrap/>
          </w:tcPr>
          <w:p>
            <w:pPr>
              <w:jc w:val="right"/>
            </w:pPr>
            <w:r>
              <w:t>0.00</w:t>
            </w:r>
          </w:p>
        </w:tc>
        <w:tc>
          <w:tcPr>
            <w:tcW w:w="1073" w:type="dxa"/>
            <w:tcBorders>
              <w:top w:val="nil"/>
              <w:left w:val="nil"/>
              <w:bottom w:val="single" w:color="000000" w:sz="4" w:space="0"/>
              <w:right w:val="single" w:color="000000" w:sz="4" w:space="0"/>
            </w:tcBorders>
            <w:shd w:val="clear" w:color="auto" w:fill="auto"/>
            <w:noWrap/>
          </w:tcPr>
          <w:p>
            <w:pPr>
              <w:jc w:val="right"/>
            </w:pPr>
            <w:r>
              <w:rPr>
                <w:rFonts w:hint="eastAsia" w:ascii="宋体" w:hAnsi="宋体" w:eastAsia="宋体" w:cs="宋体"/>
                <w:color w:val="000000"/>
                <w:kern w:val="0"/>
                <w:sz w:val="22"/>
                <w:szCs w:val="22"/>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ind w:firstLine="420" w:firstLineChars="200"/>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themeColor="text1"/>
                <w:szCs w:val="21"/>
                <w:lang w:bidi="ar"/>
                <w14:textFill>
                  <w14:solidFill>
                    <w14:schemeClr w14:val="tx1"/>
                  </w14:solidFill>
                </w14:textFill>
              </w:rPr>
              <w:t>本单位</w:t>
            </w:r>
            <w:r>
              <w:rPr>
                <w:rFonts w:hint="eastAsia" w:ascii="Times New Roman" w:hAnsi="Times New Roman" w:eastAsia="宋体" w:cs="Times New Roman"/>
                <w:color w:val="000000" w:themeColor="text1"/>
                <w:szCs w:val="21"/>
                <w:lang w:bidi="ar"/>
                <w14:textFill>
                  <w14:solidFill>
                    <w14:schemeClr w14:val="tx1"/>
                  </w14:solidFill>
                </w14:textFill>
              </w:rPr>
              <w:t>2023年度</w:t>
            </w:r>
            <w:r>
              <w:rPr>
                <w:rFonts w:hint="eastAsia" w:ascii="宋体" w:hAnsi="宋体" w:eastAsia="宋体" w:cs="宋体"/>
                <w:color w:val="000000" w:themeColor="text1"/>
                <w:szCs w:val="21"/>
                <w:lang w:bidi="ar"/>
                <w14:textFill>
                  <w14:solidFill>
                    <w14:schemeClr w14:val="tx1"/>
                  </w14:solidFill>
                </w14:textFill>
              </w:rPr>
              <w:t>没有财政拨款“三公”经费收入，也没有财政拨款“三公”经费安排的支出，故本表无数据。</w:t>
            </w:r>
            <w:r>
              <w:rPr>
                <w:rFonts w:hint="eastAsia" w:ascii="宋体" w:hAnsi="宋体" w:eastAsia="宋体" w:cs="宋体"/>
                <w:color w:val="FF0000"/>
                <w:szCs w:val="21"/>
                <w:lang w:bidi="ar"/>
              </w:rPr>
              <w:t xml:space="preserve"> </w:t>
            </w:r>
          </w:p>
        </w:tc>
      </w:tr>
    </w:tbl>
    <w:p>
      <w:pPr>
        <w:ind w:firstLine="420"/>
        <w:jc w:val="left"/>
        <w:rPr>
          <w:rFonts w:ascii="仿宋" w:hAnsi="仿宋" w:eastAsia="仿宋" w:cs="仿宋"/>
          <w:sz w:val="2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r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环江毛南族自治县第六幼儿园</w:t>
      </w:r>
      <w:r>
        <w:rPr>
          <w:rFonts w:hint="eastAsia" w:ascii="黑体" w:hAnsi="黑体" w:eastAsia="黑体" w:cs="黑体"/>
          <w:sz w:val="32"/>
          <w:szCs w:val="32"/>
        </w:rPr>
        <w:t>2023年度部门决算情况说明</w:t>
      </w:r>
    </w:p>
    <w:p>
      <w:pPr>
        <w:jc w:val="left"/>
        <w:rPr>
          <w:rFonts w:ascii="黑体" w:hAnsi="黑体" w:eastAsia="黑体" w:cs="黑体"/>
          <w:sz w:val="32"/>
          <w:szCs w:val="32"/>
        </w:rPr>
      </w:pPr>
      <w:r>
        <w:rPr>
          <w:rFonts w:hint="eastAsia" w:ascii="黑体" w:hAnsi="黑体" w:eastAsia="黑体" w:cs="黑体"/>
          <w:sz w:val="32"/>
          <w:szCs w:val="32"/>
        </w:rPr>
        <w:t>一、2023年度收入支出决算总体情况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（一）本部门2023年度总收入</w:t>
      </w:r>
      <w:r>
        <w:rPr>
          <w:rFonts w:hint="eastAsia" w:ascii="仿宋" w:hAnsi="仿宋" w:eastAsia="仿宋" w:cs="仿宋"/>
          <w:sz w:val="32"/>
        </w:rPr>
        <w:t>96.36</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81.16</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533.95</w:t>
      </w:r>
      <w:r>
        <w:rPr>
          <w:rFonts w:ascii="仿宋" w:hAnsi="仿宋" w:eastAsia="仿宋" w:cs="仿宋"/>
          <w:sz w:val="32"/>
        </w:rPr>
        <w:t>%</w:t>
      </w:r>
      <w:r>
        <w:rPr>
          <w:rFonts w:hint="eastAsia" w:ascii="仿宋" w:hAnsi="仿宋" w:eastAsia="仿宋" w:cs="仿宋"/>
          <w:sz w:val="32"/>
          <w:szCs w:val="32"/>
        </w:rPr>
        <w:t>，其中本年收入</w:t>
      </w:r>
      <w:r>
        <w:rPr>
          <w:rFonts w:hint="eastAsia" w:ascii="仿宋" w:hAnsi="仿宋" w:eastAsia="仿宋" w:cs="仿宋"/>
          <w:sz w:val="32"/>
        </w:rPr>
        <w:t>96.36</w:t>
      </w:r>
      <w:r>
        <w:rPr>
          <w:rFonts w:hint="eastAsia" w:ascii="仿宋" w:hAnsi="仿宋" w:eastAsia="仿宋" w:cs="仿宋"/>
          <w:sz w:val="32"/>
          <w:szCs w:val="32"/>
        </w:rPr>
        <w:t>万元。收入具体情况如下。</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lang w:bidi="ar"/>
        </w:rPr>
        <w:t>1.一般公共预算财政拨款收入</w:t>
      </w:r>
      <w:r>
        <w:rPr>
          <w:rFonts w:hint="eastAsia" w:ascii="仿宋" w:hAnsi="仿宋" w:eastAsia="仿宋" w:cs="仿宋"/>
          <w:sz w:val="32"/>
        </w:rPr>
        <w:t>96.36</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w:t>
      </w:r>
      <w:r>
        <w:rPr>
          <w:rFonts w:hint="eastAsia" w:ascii="仿宋" w:hAnsi="仿宋" w:eastAsia="仿宋" w:cs="仿宋"/>
          <w:sz w:val="32"/>
        </w:rPr>
        <w:t>96.36</w:t>
      </w:r>
      <w:r>
        <w:rPr>
          <w:rFonts w:hint="eastAsia" w:ascii="仿宋" w:hAnsi="仿宋" w:eastAsia="仿宋" w:cs="仿宋"/>
          <w:sz w:val="32"/>
          <w:szCs w:val="32"/>
          <w:lang w:bidi="ar"/>
        </w:rPr>
        <w:t>万元，</w:t>
      </w:r>
      <w:r>
        <w:rPr>
          <w:rFonts w:ascii="仿宋" w:hAnsi="仿宋" w:eastAsia="仿宋" w:cs="仿宋"/>
          <w:sz w:val="32"/>
        </w:rPr>
        <w:t>增长100%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主要原因：本单位为202</w:t>
      </w:r>
      <w:r>
        <w:rPr>
          <w:rFonts w:ascii="仿宋" w:hAnsi="仿宋" w:eastAsia="仿宋" w:cs="仿宋"/>
          <w:color w:val="000000" w:themeColor="text1"/>
          <w:sz w:val="32"/>
          <w:szCs w:val="32"/>
          <w:lang w:bidi="ar"/>
          <w14:textFill>
            <w14:solidFill>
              <w14:schemeClr w14:val="tx1"/>
            </w14:solidFill>
          </w14:textFill>
        </w:rPr>
        <w:t>3</w:t>
      </w:r>
      <w:r>
        <w:rPr>
          <w:rFonts w:hint="eastAsia" w:ascii="仿宋" w:hAnsi="仿宋" w:eastAsia="仿宋" w:cs="仿宋"/>
          <w:color w:val="000000" w:themeColor="text1"/>
          <w:sz w:val="32"/>
          <w:szCs w:val="32"/>
          <w:lang w:bidi="ar"/>
          <w14:textFill>
            <w14:solidFill>
              <w14:schemeClr w14:val="tx1"/>
            </w14:solidFill>
          </w14:textFill>
        </w:rPr>
        <w:t>年幼儿增加。</w:t>
      </w:r>
    </w:p>
    <w:p>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sz w:val="32"/>
          <w:szCs w:val="32"/>
          <w:lang w:bidi="ar"/>
        </w:rPr>
        <w:t>2.政府性基金预算财政拨款收入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主要原因：本单位2023年度没有政府性基金预算财政拨款收入，也没有政府性基金预算财政拨款安排的支出，故无数据。</w:t>
      </w:r>
    </w:p>
    <w:p>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sz w:val="32"/>
          <w:szCs w:val="32"/>
          <w:lang w:bidi="ar"/>
        </w:rPr>
        <w:t>3.国有资本经营预算财政拨款收入</w:t>
      </w:r>
      <w:r>
        <w:rPr>
          <w:rFonts w:ascii="仿宋" w:hAnsi="仿宋" w:eastAsia="仿宋" w:cs="仿宋"/>
          <w:sz w:val="32"/>
        </w:rPr>
        <w:t>0.00</w:t>
      </w:r>
      <w:r>
        <w:rPr>
          <w:rFonts w:hint="eastAsia" w:ascii="仿宋" w:hAnsi="仿宋" w:eastAsia="仿宋" w:cs="仿宋"/>
          <w:sz w:val="32"/>
          <w:szCs w:val="32"/>
          <w:lang w:bidi="ar"/>
        </w:rPr>
        <w:t>万元。为</w:t>
      </w:r>
      <w:r>
        <w:rPr>
          <w:rFonts w:hint="eastAsia" w:ascii="仿宋" w:hAnsi="仿宋" w:eastAsia="仿宋" w:cs="仿宋"/>
          <w:sz w:val="32"/>
          <w:szCs w:val="32"/>
        </w:rPr>
        <w:t>环江毛南族自治县</w:t>
      </w:r>
      <w:r>
        <w:rPr>
          <w:rFonts w:hint="eastAsia" w:ascii="仿宋" w:hAnsi="仿宋" w:eastAsia="仿宋" w:cs="仿宋"/>
          <w:sz w:val="32"/>
          <w:szCs w:val="32"/>
          <w:lang w:bidi="ar"/>
        </w:rPr>
        <w:t>本级财政当年拨付的资金。较2022年度决算数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主要原因是：本单位2023年度没有国有资本经营预算财政拨款收入，也没有国有资本经营预算财政拨款安排的支出，故本表无数据。</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bidi="ar"/>
        </w:rPr>
        <w:t>4.上级补助收入</w:t>
      </w:r>
      <w:r>
        <w:rPr>
          <w:rFonts w:ascii="仿宋" w:hAnsi="仿宋" w:eastAsia="仿宋" w:cs="仿宋"/>
          <w:sz w:val="32"/>
        </w:rPr>
        <w:t>0.00</w:t>
      </w:r>
      <w:r>
        <w:rPr>
          <w:rFonts w:hint="eastAsia" w:ascii="仿宋" w:hAnsi="仿宋" w:eastAsia="仿宋" w:cs="仿宋"/>
          <w:sz w:val="32"/>
          <w:szCs w:val="32"/>
          <w:lang w:bidi="ar"/>
        </w:rPr>
        <w:t>万元，为上级部门当年拨付的资金。较2022年度决算数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主要原因是：本单位2023年度没有上级补助收入，也没有上级补助收入安排的支出，故无数据。</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5.事业收入</w:t>
      </w:r>
      <w:r>
        <w:rPr>
          <w:rFonts w:ascii="仿宋" w:hAnsi="仿宋" w:eastAsia="仿宋" w:cs="仿宋"/>
          <w:sz w:val="32"/>
        </w:rPr>
        <w:t>0.00</w:t>
      </w:r>
      <w:r>
        <w:rPr>
          <w:rFonts w:hint="eastAsia" w:ascii="仿宋" w:hAnsi="仿宋" w:eastAsia="仿宋" w:cs="仿宋"/>
          <w:sz w:val="32"/>
          <w:szCs w:val="32"/>
          <w:lang w:bidi="ar"/>
        </w:rPr>
        <w:t>万元，为事业单位开展业务活动取得的收入。较2022年度决算数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主要原因是：无事业收入。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6.</w:t>
      </w:r>
      <w:r>
        <w:rPr>
          <w:rFonts w:hint="eastAsia" w:ascii="仿宋" w:hAnsi="仿宋" w:eastAsia="仿宋" w:cs="仿宋"/>
          <w:sz w:val="36"/>
          <w:szCs w:val="36"/>
          <w:lang w:bidi="ar"/>
        </w:rPr>
        <w:t>经营收入</w:t>
      </w:r>
      <w:r>
        <w:rPr>
          <w:rFonts w:hint="eastAsia" w:ascii="仿宋" w:hAnsi="仿宋" w:eastAsia="仿宋" w:cs="仿宋"/>
          <w:sz w:val="32"/>
          <w:szCs w:val="32"/>
          <w:lang w:bidi="ar"/>
        </w:rPr>
        <w:t>0.00万,为事业单位在业务活动之外开展非独立核算经营活动取得的收入。较2022年度决算数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主要原因是：本单位没有经营性收入。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7.附属单位上缴收入</w:t>
      </w:r>
      <w:r>
        <w:rPr>
          <w:rFonts w:ascii="仿宋" w:hAnsi="仿宋" w:eastAsia="仿宋" w:cs="仿宋"/>
          <w:sz w:val="32"/>
        </w:rPr>
        <w:t>0.00</w:t>
      </w:r>
      <w:r>
        <w:rPr>
          <w:rFonts w:hint="eastAsia" w:ascii="仿宋" w:hAnsi="仿宋" w:eastAsia="仿宋" w:cs="仿宋"/>
          <w:sz w:val="32"/>
          <w:szCs w:val="32"/>
          <w:lang w:bidi="ar"/>
        </w:rPr>
        <w:t>万元。较2022年度决算数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主要原因是：本单位无附属单位上缴收入。</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bidi="ar"/>
        </w:rPr>
        <w:t>8.其他收入</w:t>
      </w:r>
      <w:r>
        <w:rPr>
          <w:rFonts w:ascii="仿宋" w:hAnsi="仿宋" w:eastAsia="仿宋" w:cs="仿宋"/>
          <w:sz w:val="32"/>
        </w:rPr>
        <w:t>0.00</w:t>
      </w:r>
      <w:r>
        <w:rPr>
          <w:rFonts w:hint="eastAsia" w:ascii="仿宋" w:hAnsi="仿宋" w:eastAsia="仿宋" w:cs="仿宋"/>
          <w:sz w:val="32"/>
          <w:szCs w:val="32"/>
          <w:lang w:bidi="ar"/>
        </w:rPr>
        <w:t>万元,为预算单位在“财政拨款收入”“事业收入”“经营收入”之外取得的收入。较2022年度决算数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主要原因是：本单位没有其他收入。</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lang w:bidi="ar"/>
        </w:rPr>
        <w:t>9.使用非财政拨款结余</w:t>
      </w:r>
      <w:r>
        <w:rPr>
          <w:rFonts w:ascii="仿宋" w:hAnsi="仿宋" w:eastAsia="仿宋" w:cs="仿宋"/>
          <w:sz w:val="32"/>
        </w:rPr>
        <w:t>0.00</w:t>
      </w:r>
      <w:r>
        <w:rPr>
          <w:rFonts w:hint="eastAsia" w:ascii="仿宋" w:hAnsi="仿宋" w:eastAsia="仿宋" w:cs="仿宋"/>
          <w:sz w:val="32"/>
          <w:szCs w:val="32"/>
          <w:lang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主要原因是：本单位没有非财政拨款结余。</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bidi="ar"/>
        </w:rPr>
        <w:t>10.上年结转和结余</w:t>
      </w:r>
      <w:r>
        <w:rPr>
          <w:rFonts w:ascii="仿宋" w:hAnsi="仿宋" w:eastAsia="仿宋" w:cs="仿宋"/>
          <w:sz w:val="32"/>
        </w:rPr>
        <w:t>0.00</w:t>
      </w:r>
      <w:r>
        <w:rPr>
          <w:rFonts w:hint="eastAsia" w:ascii="仿宋" w:hAnsi="仿宋" w:eastAsia="仿宋" w:cs="仿宋"/>
          <w:sz w:val="32"/>
          <w:szCs w:val="32"/>
          <w:lang w:bidi="ar"/>
        </w:rPr>
        <w:t>万元，为以前年度支出预算因客观条件变化未执行完毕、结转到本年度按有关规定继续使用的资金。较2022年度决算数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主要原因：部分项目已在本年执行完毕，不需要结转至下年继续执行。</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2"/>
        </w:num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本部门2023年度总支出</w:t>
      </w:r>
      <w:r>
        <w:rPr>
          <w:rFonts w:hint="eastAsia" w:ascii="仿宋" w:hAnsi="仿宋" w:eastAsia="仿宋" w:cs="仿宋"/>
          <w:sz w:val="32"/>
        </w:rPr>
        <w:t>96.36</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81.16</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533.95</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ascii="仿宋" w:hAnsi="仿宋" w:eastAsia="仿宋" w:cs="仿宋"/>
          <w:sz w:val="32"/>
          <w:szCs w:val="32"/>
          <w:highlight w:val="yellow"/>
        </w:rPr>
      </w:pPr>
      <w:r>
        <w:rPr>
          <w:rFonts w:hint="eastAsia" w:ascii="仿宋" w:hAnsi="仿宋" w:eastAsia="仿宋" w:cs="仿宋"/>
          <w:sz w:val="32"/>
          <w:szCs w:val="32"/>
        </w:rPr>
        <w:t>1.一般公共服务支出（201 类）0.42万元：主要用于：主要用于群众团体事务。较2022年度决算数增加0.42万元，增</w:t>
      </w:r>
      <w:r>
        <w:rPr>
          <w:rFonts w:hint="eastAsia" w:ascii="仿宋" w:hAnsi="仿宋" w:eastAsia="仿宋" w:cs="仿宋"/>
          <w:sz w:val="32"/>
          <w:szCs w:val="32"/>
          <w:lang w:bidi="ar"/>
        </w:rPr>
        <w:t>长100%</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本园是2022年新增，人员工资及编制都在原单位</w:t>
      </w:r>
      <w:r>
        <w:rPr>
          <w:rFonts w:hint="eastAsia" w:ascii="仿宋_GB2312" w:hAnsi="仿宋_GB2312" w:eastAsia="仿宋_GB2312" w:cs="仿宋_GB2312"/>
          <w:kern w:val="0"/>
          <w:sz w:val="32"/>
          <w:szCs w:val="32"/>
          <w:highlight w:val="none"/>
        </w:rPr>
        <w:t>。</w:t>
      </w:r>
    </w:p>
    <w:p>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z w:val="32"/>
          <w:szCs w:val="32"/>
          <w:lang w:bidi="ar"/>
        </w:rPr>
        <w:t>教育支出</w:t>
      </w:r>
      <w:r>
        <w:rPr>
          <w:rFonts w:hint="eastAsia" w:ascii="仿宋" w:hAnsi="仿宋" w:eastAsia="仿宋" w:cs="仿宋"/>
          <w:sz w:val="32"/>
          <w:szCs w:val="32"/>
        </w:rPr>
        <w:t>（</w:t>
      </w:r>
      <w:r>
        <w:rPr>
          <w:rFonts w:hint="eastAsia" w:ascii="仿宋" w:hAnsi="仿宋" w:eastAsia="仿宋" w:cs="仿宋"/>
          <w:sz w:val="32"/>
          <w:szCs w:val="32"/>
          <w:lang w:bidi="ar"/>
        </w:rPr>
        <w:t>205</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90.79</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w:t>
      </w:r>
      <w:r>
        <w:rPr>
          <w:rFonts w:hint="eastAsia" w:ascii="华文仿宋" w:hAnsi="华文仿宋" w:eastAsia="华文仿宋" w:cs="华文仿宋"/>
          <w:kern w:val="0"/>
          <w:sz w:val="32"/>
          <w:szCs w:val="32"/>
        </w:rPr>
        <w:t>全园聘用教师人员工资及为开展教育教学活动的支出</w:t>
      </w:r>
      <w:r>
        <w:rPr>
          <w:rFonts w:hint="eastAsia" w:ascii="仿宋" w:hAnsi="仿宋" w:eastAsia="仿宋" w:cs="仿宋"/>
          <w:sz w:val="32"/>
          <w:szCs w:val="32"/>
        </w:rPr>
        <w:t>。较2022年度决算数</w:t>
      </w:r>
      <w:r>
        <w:rPr>
          <w:rFonts w:hint="eastAsia" w:ascii="仿宋" w:hAnsi="仿宋" w:eastAsia="仿宋" w:cs="仿宋"/>
          <w:sz w:val="32"/>
          <w:szCs w:val="32"/>
          <w:lang w:bidi="ar"/>
        </w:rPr>
        <w:t>增加90.79</w:t>
      </w:r>
      <w:r>
        <w:rPr>
          <w:rFonts w:hint="eastAsia" w:ascii="仿宋" w:hAnsi="仿宋" w:eastAsia="仿宋" w:cs="仿宋"/>
          <w:sz w:val="32"/>
          <w:szCs w:val="32"/>
        </w:rPr>
        <w:t>万元，</w:t>
      </w:r>
      <w:r>
        <w:rPr>
          <w:rFonts w:hint="eastAsia" w:ascii="仿宋" w:hAnsi="仿宋" w:eastAsia="仿宋" w:cs="仿宋"/>
          <w:sz w:val="32"/>
          <w:szCs w:val="32"/>
          <w:lang w:bidi="ar"/>
        </w:rPr>
        <w:t>增长100%</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主要原因是：本单位为2022年新增单位。</w:t>
      </w:r>
    </w:p>
    <w:p>
      <w:pPr>
        <w:ind w:firstLine="640" w:firstLineChars="200"/>
        <w:jc w:val="left"/>
        <w:rPr>
          <w:rFonts w:ascii="Times New Roman" w:hAnsi="Times New Roman" w:eastAsia="仿宋_GB2312" w:cs="Times New Roman"/>
          <w:kern w:val="0"/>
          <w:sz w:val="32"/>
          <w:szCs w:val="32"/>
          <w:highlight w:val="yellow"/>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z w:val="32"/>
          <w:szCs w:val="32"/>
          <w:lang w:bidi="ar"/>
        </w:rPr>
        <w:t>社会保障和就业支出</w:t>
      </w:r>
      <w:r>
        <w:rPr>
          <w:rFonts w:hint="eastAsia" w:ascii="仿宋" w:hAnsi="仿宋" w:eastAsia="仿宋" w:cs="仿宋"/>
          <w:sz w:val="32"/>
          <w:szCs w:val="32"/>
        </w:rPr>
        <w:t>（</w:t>
      </w:r>
      <w:r>
        <w:rPr>
          <w:rFonts w:hint="eastAsia" w:ascii="仿宋" w:hAnsi="仿宋" w:eastAsia="仿宋" w:cs="仿宋"/>
          <w:sz w:val="32"/>
          <w:szCs w:val="32"/>
          <w:lang w:bidi="ar"/>
        </w:rPr>
        <w:t>208</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2.94</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w:t>
      </w:r>
      <w:r>
        <w:rPr>
          <w:rFonts w:hint="eastAsia" w:ascii="Times New Roman" w:hAnsi="Times New Roman" w:eastAsia="仿宋_GB2312" w:cs="Times New Roman"/>
          <w:kern w:val="0"/>
          <w:sz w:val="32"/>
          <w:szCs w:val="32"/>
        </w:rPr>
        <w:t>主要用于社保费用缴费</w:t>
      </w:r>
      <w:r>
        <w:rPr>
          <w:rFonts w:hint="eastAsia" w:ascii="仿宋" w:hAnsi="仿宋" w:eastAsia="仿宋" w:cs="仿宋"/>
          <w:sz w:val="32"/>
          <w:szCs w:val="32"/>
        </w:rPr>
        <w:t>。较2022年度决算数</w:t>
      </w:r>
      <w:r>
        <w:rPr>
          <w:rFonts w:hint="eastAsia" w:ascii="仿宋" w:hAnsi="仿宋" w:eastAsia="仿宋" w:cs="仿宋"/>
          <w:sz w:val="32"/>
          <w:szCs w:val="32"/>
          <w:lang w:bidi="ar"/>
        </w:rPr>
        <w:t>增加2.94</w:t>
      </w:r>
      <w:r>
        <w:rPr>
          <w:rFonts w:hint="eastAsia" w:ascii="仿宋" w:hAnsi="仿宋" w:eastAsia="仿宋" w:cs="仿宋"/>
          <w:sz w:val="32"/>
          <w:szCs w:val="32"/>
        </w:rPr>
        <w:t>万元，</w:t>
      </w:r>
      <w:r>
        <w:rPr>
          <w:rFonts w:hint="eastAsia" w:ascii="仿宋" w:hAnsi="仿宋" w:eastAsia="仿宋" w:cs="仿宋"/>
          <w:sz w:val="32"/>
          <w:szCs w:val="32"/>
          <w:lang w:bidi="ar"/>
        </w:rPr>
        <w:t>增长100%</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本园是2022年新增，人员工资及编制都在原单位</w:t>
      </w:r>
      <w:r>
        <w:rPr>
          <w:rFonts w:hint="eastAsia" w:ascii="仿宋_GB2312" w:hAnsi="仿宋_GB2312" w:eastAsia="仿宋_GB2312" w:cs="仿宋_GB2312"/>
          <w:kern w:val="0"/>
          <w:sz w:val="32"/>
          <w:szCs w:val="32"/>
          <w:highlight w:val="none"/>
        </w:rPr>
        <w:t>。</w:t>
      </w:r>
    </w:p>
    <w:p>
      <w:pPr>
        <w:ind w:firstLine="640" w:firstLineChars="200"/>
        <w:jc w:val="left"/>
        <w:rPr>
          <w:rFonts w:ascii="Times New Roman" w:hAnsi="Times New Roman" w:eastAsia="仿宋_GB2312" w:cs="Times New Roman"/>
          <w:kern w:val="0"/>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lang w:bidi="ar"/>
        </w:rPr>
        <w:t>住房保障支出</w:t>
      </w:r>
      <w:r>
        <w:rPr>
          <w:rFonts w:hint="eastAsia" w:ascii="仿宋" w:hAnsi="仿宋" w:eastAsia="仿宋" w:cs="仿宋"/>
          <w:sz w:val="32"/>
          <w:szCs w:val="32"/>
        </w:rPr>
        <w:t>（</w:t>
      </w:r>
      <w:r>
        <w:rPr>
          <w:rFonts w:hint="eastAsia" w:ascii="仿宋" w:hAnsi="仿宋" w:eastAsia="仿宋" w:cs="仿宋"/>
          <w:sz w:val="32"/>
          <w:szCs w:val="32"/>
          <w:lang w:bidi="ar"/>
        </w:rPr>
        <w:t>221</w:t>
      </w:r>
      <w:r>
        <w:rPr>
          <w:rFonts w:ascii="Calibri" w:hAnsi="Calibri" w:eastAsia="宋体" w:cs="Times New Roman"/>
          <w:lang w:bidi="ar"/>
        </w:rPr>
        <w:t xml:space="preserve"> </w:t>
      </w:r>
      <w:r>
        <w:rPr>
          <w:rFonts w:hint="eastAsia" w:ascii="仿宋" w:hAnsi="仿宋" w:eastAsia="仿宋" w:cs="仿宋"/>
          <w:sz w:val="32"/>
          <w:szCs w:val="32"/>
        </w:rPr>
        <w:t>类）</w:t>
      </w:r>
      <w:r>
        <w:rPr>
          <w:rFonts w:hint="eastAsia" w:ascii="仿宋" w:hAnsi="仿宋" w:eastAsia="仿宋" w:cs="仿宋"/>
          <w:sz w:val="32"/>
          <w:szCs w:val="32"/>
          <w:lang w:bidi="ar"/>
        </w:rPr>
        <w:t>2.21</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主要用于：</w:t>
      </w:r>
      <w:r>
        <w:rPr>
          <w:rFonts w:hint="eastAsia" w:ascii="Times New Roman" w:hAnsi="Times New Roman" w:eastAsia="仿宋_GB2312" w:cs="Times New Roman"/>
          <w:kern w:val="0"/>
          <w:sz w:val="32"/>
          <w:szCs w:val="32"/>
        </w:rPr>
        <w:t>主要用于住房公积金缴费</w:t>
      </w:r>
      <w:r>
        <w:rPr>
          <w:rFonts w:hint="eastAsia" w:ascii="仿宋" w:hAnsi="仿宋" w:eastAsia="仿宋" w:cs="仿宋"/>
          <w:sz w:val="32"/>
          <w:szCs w:val="32"/>
        </w:rPr>
        <w:t>。较2022年度决算数</w:t>
      </w:r>
      <w:r>
        <w:rPr>
          <w:rFonts w:hint="eastAsia" w:ascii="仿宋" w:hAnsi="仿宋" w:eastAsia="仿宋" w:cs="仿宋"/>
          <w:sz w:val="32"/>
          <w:szCs w:val="32"/>
          <w:lang w:bidi="ar"/>
        </w:rPr>
        <w:t>增加2.21</w:t>
      </w:r>
      <w:r>
        <w:rPr>
          <w:rFonts w:hint="eastAsia" w:ascii="仿宋" w:hAnsi="仿宋" w:eastAsia="仿宋" w:cs="仿宋"/>
          <w:sz w:val="32"/>
          <w:szCs w:val="32"/>
        </w:rPr>
        <w:t>万元，</w:t>
      </w:r>
      <w:r>
        <w:rPr>
          <w:rFonts w:hint="eastAsia" w:ascii="仿宋" w:hAnsi="仿宋" w:eastAsia="仿宋" w:cs="仿宋"/>
          <w:sz w:val="32"/>
          <w:szCs w:val="32"/>
          <w:lang w:bidi="ar"/>
        </w:rPr>
        <w:t>增长100%</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本园是2022年新增，人员工资及编制都在原单位</w:t>
      </w:r>
      <w:r>
        <w:rPr>
          <w:rFonts w:hint="eastAsia" w:ascii="仿宋_GB2312" w:hAnsi="仿宋_GB2312" w:eastAsia="仿宋_GB2312" w:cs="仿宋_GB2312"/>
          <w:kern w:val="0"/>
          <w:sz w:val="32"/>
          <w:szCs w:val="32"/>
          <w:highlight w:val="none"/>
        </w:rPr>
        <w:t>。</w:t>
      </w:r>
    </w:p>
    <w:p>
      <w:pPr>
        <w:ind w:firstLine="620" w:firstLineChars="200"/>
        <w:jc w:val="left"/>
        <w:rPr>
          <w:rFonts w:ascii="仿宋" w:hAnsi="仿宋" w:eastAsia="仿宋_GB2312" w:cs="仿宋"/>
          <w:sz w:val="32"/>
          <w:szCs w:val="32"/>
          <w:lang w:bidi="ar"/>
        </w:rPr>
      </w:pPr>
      <w:r>
        <w:rPr>
          <w:rFonts w:ascii="仿宋_GB2312" w:hAnsi="微软雅黑" w:eastAsia="仿宋_GB2312" w:cs="仿宋_GB2312"/>
          <w:color w:val="000000"/>
          <w:sz w:val="31"/>
          <w:szCs w:val="31"/>
          <w:shd w:val="clear" w:color="auto" w:fill="FFFFFF"/>
        </w:rPr>
        <w:t>结余分配</w:t>
      </w:r>
      <w:r>
        <w:rPr>
          <w:rFonts w:hint="eastAsia" w:ascii="仿宋_GB2312" w:hAnsi="微软雅黑" w:eastAsia="仿宋_GB2312" w:cs="仿宋_GB2312"/>
          <w:color w:val="000000"/>
          <w:sz w:val="31"/>
          <w:szCs w:val="31"/>
          <w:shd w:val="clear" w:color="auto" w:fill="FFFFFF"/>
        </w:rPr>
        <w:t>0.00</w:t>
      </w:r>
      <w:r>
        <w:rPr>
          <w:rFonts w:ascii="仿宋_GB2312" w:hAnsi="微软雅黑" w:eastAsia="仿宋_GB2312" w:cs="仿宋_GB2312"/>
          <w:color w:val="000000"/>
          <w:sz w:val="31"/>
          <w:szCs w:val="31"/>
          <w:shd w:val="clear" w:color="auto" w:fill="FFFFFF"/>
        </w:rPr>
        <w:t>万元，为事业单位按规定提取的专用结余、缴纳所得税和转入非财政拨款结余等。较202</w:t>
      </w:r>
      <w:r>
        <w:rPr>
          <w:rFonts w:hint="eastAsia" w:ascii="仿宋_GB2312" w:hAnsi="微软雅黑" w:eastAsia="仿宋_GB2312" w:cs="仿宋_GB2312"/>
          <w:color w:val="000000"/>
          <w:sz w:val="31"/>
          <w:szCs w:val="31"/>
          <w:shd w:val="clear" w:color="auto" w:fill="FFFFFF"/>
        </w:rPr>
        <w:t>1</w:t>
      </w:r>
      <w:r>
        <w:rPr>
          <w:rFonts w:ascii="仿宋_GB2312" w:hAnsi="微软雅黑" w:eastAsia="仿宋_GB2312" w:cs="仿宋_GB2312"/>
          <w:color w:val="000000"/>
          <w:sz w:val="31"/>
          <w:szCs w:val="31"/>
          <w:shd w:val="clear" w:color="auto" w:fill="FFFFFF"/>
        </w:rPr>
        <w:t>年决算万元</w:t>
      </w:r>
      <w:r>
        <w:rPr>
          <w:rFonts w:hint="eastAsia" w:ascii="仿宋_GB2312" w:hAnsi="微软雅黑" w:eastAsia="仿宋_GB2312" w:cs="仿宋_GB2312"/>
          <w:color w:val="000000"/>
          <w:sz w:val="31"/>
          <w:szCs w:val="31"/>
          <w:shd w:val="clear" w:color="auto" w:fill="FFFFFF"/>
        </w:rPr>
        <w:t>,增加0.00</w:t>
      </w:r>
      <w:r>
        <w:rPr>
          <w:rFonts w:ascii="仿宋_GB2312" w:hAnsi="微软雅黑" w:eastAsia="仿宋_GB2312" w:cs="仿宋_GB2312"/>
          <w:color w:val="000000"/>
          <w:sz w:val="31"/>
          <w:szCs w:val="31"/>
          <w:shd w:val="clear" w:color="auto" w:fill="FFFFFF"/>
        </w:rPr>
        <w:t>万元，</w:t>
      </w:r>
      <w:r>
        <w:rPr>
          <w:rFonts w:hint="eastAsia" w:ascii="仿宋_GB2312" w:hAnsi="微软雅黑" w:eastAsia="仿宋_GB2312" w:cs="仿宋_GB2312"/>
          <w:color w:val="000000"/>
          <w:sz w:val="31"/>
          <w:szCs w:val="31"/>
          <w:shd w:val="clear" w:color="auto" w:fill="FFFFFF"/>
        </w:rPr>
        <w:t>增长0%</w:t>
      </w:r>
      <w:r>
        <w:rPr>
          <w:rFonts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themeColor="text1"/>
          <w:sz w:val="31"/>
          <w:szCs w:val="31"/>
          <w:shd w:val="clear" w:color="auto" w:fill="FFFFFF"/>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：本部门2023年度没有</w:t>
      </w:r>
      <w:r>
        <w:rPr>
          <w:rFonts w:ascii="仿宋_GB2312" w:hAnsi="微软雅黑" w:eastAsia="仿宋_GB2312" w:cs="仿宋_GB2312"/>
          <w:color w:val="000000"/>
          <w:sz w:val="31"/>
          <w:szCs w:val="31"/>
          <w:shd w:val="clear" w:color="auto" w:fill="FFFFFF"/>
        </w:rPr>
        <w:t>专用结余、缴纳所得税和转入非财政拨款结余等</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ascii="黑体" w:hAnsi="黑体" w:eastAsia="黑体" w:cs="黑体"/>
          <w:sz w:val="32"/>
          <w:szCs w:val="32"/>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rPr>
        <w:t>。较2022年度决算数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w:t>
      </w:r>
      <w:r>
        <w:rPr>
          <w:rFonts w:hint="eastAsia" w:ascii="仿宋" w:hAnsi="仿宋" w:eastAsia="仿宋" w:cs="仿宋"/>
          <w:color w:val="000000" w:themeColor="text1"/>
          <w:sz w:val="32"/>
          <w:szCs w:val="32"/>
          <w:lang w:bidi="ar"/>
          <w14:textFill>
            <w14:solidFill>
              <w14:schemeClr w14:val="tx1"/>
            </w14:solidFill>
          </w14:textFill>
        </w:rPr>
        <w:t>主要原因是：本部门2023年度没有年</w:t>
      </w: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-151130</wp:posOffset>
            </wp:positionH>
            <wp:positionV relativeFrom="paragraph">
              <wp:posOffset>929640</wp:posOffset>
            </wp:positionV>
            <wp:extent cx="5905500" cy="3795395"/>
            <wp:effectExtent l="4445" t="4445" r="18415" b="10160"/>
            <wp:wrapTopAndBottom/>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color w:val="000000" w:themeColor="text1"/>
          <w:sz w:val="32"/>
          <w:szCs w:val="32"/>
          <w:lang w:bidi="ar"/>
          <w14:textFill>
            <w14:solidFill>
              <w14:schemeClr w14:val="tx1"/>
            </w14:solidFill>
          </w14:textFill>
        </w:rPr>
        <w:t>末结转和结余资金。</w:t>
      </w:r>
    </w:p>
    <w:p>
      <w:pPr>
        <w:ind w:firstLine="640" w:firstLineChars="200"/>
        <w:jc w:val="left"/>
        <w:rPr>
          <w:rFonts w:ascii="仿宋" w:hAnsi="仿宋" w:eastAsia="仿宋" w:cs="仿宋"/>
          <w:sz w:val="32"/>
          <w:szCs w:val="32"/>
        </w:rPr>
      </w:pPr>
    </w:p>
    <w:p>
      <w:pPr>
        <w:jc w:val="left"/>
        <w:rPr>
          <w:rFonts w:ascii="仿宋" w:hAnsi="仿宋" w:eastAsia="仿宋" w:cs="仿宋"/>
          <w:sz w:val="32"/>
          <w:szCs w:val="32"/>
        </w:rPr>
      </w:pPr>
      <w:r>
        <w:rPr>
          <w:rFonts w:hint="eastAsia" w:ascii="黑体" w:hAnsi="黑体" w:eastAsia="黑体" w:cs="黑体"/>
          <w:sz w:val="32"/>
          <w:szCs w:val="32"/>
        </w:rPr>
        <w:t>二、2022 年度</w:t>
      </w:r>
      <w:bookmarkStart w:id="2" w:name="OLE_LINK1"/>
      <w:r>
        <w:rPr>
          <w:rFonts w:hint="eastAsia" w:ascii="黑体" w:hAnsi="黑体" w:eastAsia="黑体" w:cs="黑体"/>
          <w:sz w:val="32"/>
          <w:szCs w:val="32"/>
        </w:rPr>
        <w:t>一般公共预算财政拨款支出决算情况</w:t>
      </w:r>
      <w:bookmarkEnd w:id="2"/>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环江毛南族自治县第六幼儿园2023年度一般公共预算财政拨款支出</w:t>
      </w:r>
      <w:r>
        <w:rPr>
          <w:rFonts w:hint="eastAsia" w:ascii="仿宋" w:hAnsi="仿宋" w:eastAsia="仿宋" w:cs="仿宋"/>
          <w:sz w:val="32"/>
        </w:rPr>
        <w:t>96.36</w:t>
      </w:r>
      <w:r>
        <w:rPr>
          <w:rFonts w:hint="eastAsia" w:ascii="仿宋" w:hAnsi="仿宋" w:eastAsia="仿宋" w:cs="仿宋"/>
          <w:sz w:val="32"/>
          <w:szCs w:val="32"/>
        </w:rPr>
        <w:t>万元，较2022年度决算数</w:t>
      </w:r>
      <w:r>
        <w:rPr>
          <w:rFonts w:ascii="仿宋" w:hAnsi="仿宋" w:eastAsia="仿宋" w:cs="仿宋"/>
          <w:sz w:val="32"/>
        </w:rPr>
        <w:t>增加增加</w:t>
      </w:r>
      <w:r>
        <w:rPr>
          <w:rFonts w:hint="eastAsia" w:ascii="仿宋" w:hAnsi="仿宋" w:eastAsia="仿宋" w:cs="仿宋"/>
          <w:sz w:val="32"/>
        </w:rPr>
        <w:t>81.16</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533.95</w:t>
      </w:r>
      <w:r>
        <w:rPr>
          <w:rFonts w:ascii="仿宋" w:hAnsi="仿宋" w:eastAsia="仿宋" w:cs="仿宋"/>
          <w:sz w:val="32"/>
        </w:rPr>
        <w:t>%</w:t>
      </w:r>
      <w:r>
        <w:rPr>
          <w:rFonts w:hint="eastAsia" w:ascii="仿宋" w:hAnsi="仿宋" w:eastAsia="仿宋" w:cs="仿宋"/>
          <w:sz w:val="32"/>
          <w:szCs w:val="32"/>
        </w:rPr>
        <w:t>。其中：基本支出</w:t>
      </w:r>
      <w:r>
        <w:rPr>
          <w:rFonts w:hint="eastAsia" w:ascii="仿宋" w:hAnsi="仿宋" w:eastAsia="仿宋" w:cs="仿宋"/>
          <w:sz w:val="32"/>
        </w:rPr>
        <w:t>24.35</w:t>
      </w:r>
      <w:r>
        <w:rPr>
          <w:rFonts w:hint="eastAsia" w:ascii="仿宋" w:hAnsi="仿宋" w:eastAsia="仿宋" w:cs="仿宋"/>
          <w:sz w:val="32"/>
          <w:szCs w:val="32"/>
        </w:rPr>
        <w:t>万元，项目支出</w:t>
      </w:r>
      <w:r>
        <w:rPr>
          <w:rFonts w:hint="eastAsia" w:ascii="仿宋" w:hAnsi="仿宋" w:eastAsia="仿宋" w:cs="仿宋"/>
          <w:sz w:val="32"/>
        </w:rPr>
        <w:t>72</w:t>
      </w:r>
      <w:r>
        <w:rPr>
          <w:rFonts w:hint="eastAsia" w:ascii="仿宋" w:hAnsi="仿宋" w:eastAsia="仿宋" w:cs="仿宋"/>
          <w:sz w:val="32"/>
          <w:szCs w:val="32"/>
        </w:rPr>
        <w:t>万元。</w:t>
      </w:r>
    </w:p>
    <w:p>
      <w:pPr>
        <w:ind w:firstLine="640" w:firstLineChars="200"/>
        <w:jc w:val="left"/>
        <w:rPr>
          <w:rFonts w:ascii="仿宋" w:hAnsi="仿宋" w:eastAsia="仿宋"/>
          <w:sz w:val="32"/>
          <w:szCs w:val="32"/>
        </w:rPr>
      </w:pPr>
      <w:r>
        <w:rPr>
          <w:rFonts w:hint="eastAsia" w:ascii="仿宋" w:hAnsi="仿宋" w:eastAsia="仿宋" w:cs="仿宋"/>
          <w:sz w:val="32"/>
          <w:szCs w:val="32"/>
        </w:rPr>
        <w:t>环江毛南族自治县第六幼儿园2023年度一般公共预算财政拨款支出年初预算为96.36万元，支出决算为</w:t>
      </w:r>
      <w:r>
        <w:rPr>
          <w:rFonts w:hint="eastAsia" w:ascii="仿宋" w:hAnsi="仿宋" w:eastAsia="仿宋" w:cs="仿宋"/>
          <w:sz w:val="32"/>
        </w:rPr>
        <w:t>96.36</w:t>
      </w:r>
      <w:r>
        <w:rPr>
          <w:rFonts w:hint="eastAsia" w:ascii="仿宋" w:hAnsi="仿宋" w:eastAsia="仿宋" w:cs="仿宋"/>
          <w:sz w:val="32"/>
          <w:szCs w:val="32"/>
        </w:rPr>
        <w:t>万元，完成年初预算的</w:t>
      </w:r>
      <w:r>
        <w:rPr>
          <w:rFonts w:ascii="仿宋" w:hAnsi="仿宋" w:eastAsia="仿宋" w:cs="仿宋"/>
          <w:sz w:val="32"/>
        </w:rPr>
        <w:t>100.00%</w:t>
      </w:r>
      <w:r>
        <w:rPr>
          <w:rFonts w:hint="eastAsia" w:ascii="仿宋" w:hAnsi="仿宋" w:eastAsia="仿宋" w:cs="仿宋"/>
          <w:sz w:val="32"/>
          <w:szCs w:val="32"/>
        </w:rPr>
        <w:t>。</w:t>
      </w:r>
      <w:bookmarkStart w:id="3" w:name="OLE_LINK2"/>
      <w:bookmarkEnd w:id="3"/>
    </w:p>
    <w:p>
      <w:pPr>
        <w:numPr>
          <w:ilvl w:val="0"/>
          <w:numId w:val="3"/>
        </w:numPr>
        <w:ind w:firstLine="640" w:firstLineChars="200"/>
        <w:jc w:val="left"/>
        <w:rPr>
          <w:rFonts w:ascii="仿宋" w:hAnsi="仿宋" w:eastAsia="仿宋" w:cs="仿宋"/>
          <w:sz w:val="32"/>
          <w:szCs w:val="32"/>
          <w:lang w:bidi="ar"/>
        </w:rPr>
      </w:pP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类）年初预算为0.42万元，支出决算为0.42万元，完成年初预算的</w:t>
      </w:r>
      <w:r>
        <w:rPr>
          <w:rFonts w:ascii="仿宋" w:hAnsi="仿宋" w:eastAsia="仿宋"/>
          <w:sz w:val="32"/>
          <w:szCs w:val="32"/>
        </w:rPr>
        <w:t>100.00%</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w:t>
      </w:r>
      <w:r>
        <w:rPr>
          <w:rFonts w:hint="eastAsia" w:ascii="仿宋" w:hAnsi="仿宋" w:eastAsia="仿宋"/>
          <w:color w:val="000000" w:themeColor="text1"/>
          <w:sz w:val="32"/>
          <w:szCs w:val="32"/>
          <w:lang w:val="en-US" w:eastAsia="zh-CN"/>
          <w14:textFill>
            <w14:solidFill>
              <w14:schemeClr w14:val="tx1"/>
            </w14:solidFill>
          </w14:textFill>
        </w:rPr>
        <w:t>无差异</w:t>
      </w:r>
      <w:r>
        <w:rPr>
          <w:rFonts w:hint="eastAsia" w:ascii="仿宋" w:hAnsi="仿宋" w:eastAsia="仿宋" w:cs="仿宋"/>
          <w:sz w:val="32"/>
          <w:szCs w:val="32"/>
          <w:lang w:bidi="ar"/>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ascii="宋体" w:hAnsi="宋体" w:eastAsia="宋体" w:cs="宋体"/>
                <w:sz w:val="18"/>
                <w:szCs w:val="18"/>
                <w:highlight w:val="yellow"/>
              </w:rPr>
            </w:pP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ascii="宋体" w:hAnsi="宋体" w:eastAsia="宋体" w:cs="宋体"/>
                <w:sz w:val="18"/>
                <w:szCs w:val="18"/>
                <w:highlight w:val="yellow"/>
              </w:rPr>
            </w:pPr>
          </w:p>
        </w:tc>
      </w:tr>
    </w:tbl>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cs="仿宋"/>
          <w:sz w:val="32"/>
          <w:szCs w:val="32"/>
        </w:rPr>
        <w:drawing>
          <wp:inline distT="0" distB="0" distL="114300" distR="114300">
            <wp:extent cx="4474845" cy="2653665"/>
            <wp:effectExtent l="4445" t="4445" r="16510" b="8890"/>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left"/>
        <w:rPr>
          <w:rFonts w:eastAsia="仿宋"/>
          <w:color w:val="FF0000"/>
        </w:rPr>
      </w:pPr>
      <w:r>
        <w:rPr>
          <w:rFonts w:hint="eastAsia" w:ascii="仿宋" w:hAnsi="仿宋" w:eastAsia="仿宋"/>
          <w:sz w:val="32"/>
          <w:szCs w:val="32"/>
        </w:rPr>
        <w:t>（二）教育支出</w:t>
      </w:r>
      <w:r>
        <w:rPr>
          <w:rFonts w:ascii="仿宋" w:hAnsi="仿宋" w:eastAsia="仿宋"/>
          <w:sz w:val="32"/>
        </w:rPr>
        <w:t>（205</w:t>
      </w:r>
      <w:r>
        <w:rPr>
          <w:rFonts w:hint="eastAsia" w:ascii="仿宋" w:hAnsi="仿宋" w:eastAsia="仿宋"/>
          <w:sz w:val="32"/>
          <w:szCs w:val="32"/>
        </w:rPr>
        <w:t>类）年初预算为86.42万元，支出决算为90.79万元，完成年初预算的105.06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olor w:val="000000" w:themeColor="text1"/>
          <w:sz w:val="32"/>
          <w:szCs w:val="32"/>
          <w:lang w:val="en-US" w:eastAsia="zh-CN"/>
          <w14:textFill>
            <w14:solidFill>
              <w14:schemeClr w14:val="tx1"/>
            </w14:solidFill>
          </w14:textFill>
        </w:rPr>
        <w:t>人员增加，相应支出增加</w:t>
      </w:r>
      <w:r>
        <w:rPr>
          <w:rFonts w:hint="eastAsia" w:ascii="Times New Roman" w:hAnsi="Times New Roman" w:eastAsia="仿宋_GB2312" w:cs="Times New Roman"/>
          <w:bCs/>
          <w:kern w:val="0"/>
          <w:sz w:val="32"/>
          <w:szCs w:val="32"/>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86.42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90.52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4.74</w:t>
            </w:r>
            <w:r>
              <w:rPr>
                <w:rFonts w:hint="eastAsia" w:ascii="宋体" w:hAnsi="宋体" w:eastAsia="宋体" w:cs="宋体"/>
                <w:color w:val="000000"/>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Times New Roman" w:hAnsi="Times New Roman" w:eastAsia="仿宋_GB2312" w:cs="Times New Roman"/>
                <w:bCs/>
                <w:kern w:val="0"/>
                <w:sz w:val="18"/>
                <w:szCs w:val="18"/>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人员增加，调资等 。</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保运转支出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年中预算调整追加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86.42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96.36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105.06%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Times New Roman" w:hAnsi="Times New Roman" w:eastAsia="仿宋_GB2312" w:cs="Times New Roman"/>
                <w:bCs/>
                <w:kern w:val="0"/>
                <w:sz w:val="18"/>
                <w:szCs w:val="18"/>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Times New Roman" w:hAnsi="Times New Roman" w:eastAsia="仿宋_GB2312" w:cs="Times New Roman"/>
                <w:bCs/>
                <w:kern w:val="0"/>
                <w:sz w:val="18"/>
                <w:szCs w:val="18"/>
              </w:rPr>
              <w:t>人员基本工资，商品服务支出</w:t>
            </w:r>
          </w:p>
        </w:tc>
      </w:tr>
    </w:tbl>
    <w:p>
      <w:pPr>
        <w:rPr>
          <w:rFonts w:ascii="仿宋" w:hAnsi="仿宋" w:eastAsia="仿宋"/>
          <w:sz w:val="32"/>
          <w:szCs w:val="32"/>
        </w:rPr>
      </w:pPr>
      <w:r>
        <w:rPr>
          <w:rFonts w:hint="eastAsia" w:ascii="仿宋" w:hAnsi="仿宋" w:eastAsia="仿宋" w:cs="仿宋"/>
          <w:sz w:val="32"/>
          <w:szCs w:val="32"/>
        </w:rPr>
        <w:drawing>
          <wp:inline distT="0" distB="0" distL="114300" distR="114300">
            <wp:extent cx="4474845" cy="2606675"/>
            <wp:effectExtent l="4445" t="4445" r="16510" b="10160"/>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line="560" w:lineRule="exact"/>
        <w:ind w:firstLine="640" w:firstLineChars="200"/>
        <w:rPr>
          <w:rFonts w:eastAsia="仿宋"/>
          <w:color w:val="FF0000"/>
        </w:rPr>
      </w:pPr>
      <w:r>
        <w:rPr>
          <w:rFonts w:hint="eastAsia" w:ascii="仿宋" w:hAnsi="仿宋" w:eastAsia="仿宋"/>
          <w:sz w:val="32"/>
          <w:szCs w:val="32"/>
        </w:rPr>
        <w:t>（三）社会保障和就业支出</w:t>
      </w:r>
      <w:r>
        <w:rPr>
          <w:rFonts w:ascii="仿宋" w:hAnsi="仿宋" w:eastAsia="仿宋"/>
          <w:sz w:val="32"/>
        </w:rPr>
        <w:t>（208</w:t>
      </w:r>
      <w:r>
        <w:rPr>
          <w:rFonts w:hint="eastAsia" w:ascii="仿宋" w:hAnsi="仿宋" w:eastAsia="仿宋"/>
          <w:sz w:val="32"/>
          <w:szCs w:val="32"/>
        </w:rPr>
        <w:t>类）年初预算为3.36万元，支出决算为2.94万元，完成年初预算的87.5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sz w:val="32"/>
          <w:szCs w:val="32"/>
          <w:lang w:val="en-US" w:eastAsia="zh-CN"/>
        </w:rPr>
        <w:t>实际缴费基数比预算基数低</w:t>
      </w:r>
      <w:r>
        <w:rPr>
          <w:rFonts w:hint="eastAsia" w:ascii="Times New Roman" w:hAnsi="Times New Roman" w:eastAsia="仿宋_GB2312" w:cs="Times New Roman"/>
          <w:bCs/>
          <w:kern w:val="0"/>
          <w:sz w:val="32"/>
          <w:szCs w:val="32"/>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6"/>
        <w:tblW w:w="8777" w:type="dxa"/>
        <w:tblInd w:w="96" w:type="dxa"/>
        <w:tblLayout w:type="fixed"/>
        <w:tblCellMar>
          <w:top w:w="0" w:type="dxa"/>
          <w:left w:w="108" w:type="dxa"/>
          <w:bottom w:w="0" w:type="dxa"/>
          <w:right w:w="108" w:type="dxa"/>
        </w:tblCellMar>
      </w:tblPr>
      <w:tblGrid>
        <w:gridCol w:w="982"/>
        <w:gridCol w:w="1106"/>
        <w:gridCol w:w="1022"/>
        <w:gridCol w:w="829"/>
        <w:gridCol w:w="1128"/>
        <w:gridCol w:w="1833"/>
        <w:gridCol w:w="1877"/>
      </w:tblGrid>
      <w:tr>
        <w:tblPrEx>
          <w:tblCellMar>
            <w:top w:w="0" w:type="dxa"/>
            <w:left w:w="108" w:type="dxa"/>
            <w:bottom w:w="0" w:type="dxa"/>
            <w:right w:w="108" w:type="dxa"/>
          </w:tblCellMar>
        </w:tblPrEx>
        <w:trPr>
          <w:trHeight w:val="442" w:hRule="atLeast"/>
        </w:trPr>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1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83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880" w:hRule="atLeast"/>
        </w:trPr>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3.36</w:t>
            </w:r>
          </w:p>
        </w:tc>
        <w:tc>
          <w:tcPr>
            <w:tcW w:w="8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2.94</w:t>
            </w:r>
          </w:p>
        </w:tc>
        <w:tc>
          <w:tcPr>
            <w:tcW w:w="11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87.5%</w:t>
            </w:r>
          </w:p>
        </w:tc>
        <w:tc>
          <w:tcPr>
            <w:tcW w:w="183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20"/>
                <w:szCs w:val="20"/>
              </w:rPr>
              <w:t>缴</w:t>
            </w:r>
            <w:r>
              <w:rPr>
                <w:rFonts w:hint="eastAsia" w:ascii="宋体" w:hAnsi="宋体" w:eastAsia="宋体" w:cs="宋体"/>
                <w:color w:val="000000"/>
                <w:sz w:val="20"/>
                <w:szCs w:val="20"/>
                <w:lang w:val="en-US" w:eastAsia="zh-CN"/>
              </w:rPr>
              <w:t>纳职工</w:t>
            </w:r>
            <w:r>
              <w:rPr>
                <w:rFonts w:hint="eastAsia" w:ascii="宋体" w:hAnsi="宋体" w:eastAsia="宋体" w:cs="宋体"/>
                <w:color w:val="000000"/>
                <w:sz w:val="20"/>
                <w:szCs w:val="20"/>
              </w:rPr>
              <w:t>养老保险</w:t>
            </w:r>
          </w:p>
        </w:tc>
        <w:tc>
          <w:tcPr>
            <w:tcW w:w="18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实际缴费基数比预算基数低</w:t>
            </w:r>
          </w:p>
        </w:tc>
      </w:tr>
      <w:tr>
        <w:tblPrEx>
          <w:tblCellMar>
            <w:top w:w="0" w:type="dxa"/>
            <w:left w:w="108" w:type="dxa"/>
            <w:bottom w:w="0" w:type="dxa"/>
            <w:right w:w="108" w:type="dxa"/>
          </w:tblCellMar>
        </w:tblPrEx>
        <w:trPr>
          <w:trHeight w:val="446" w:hRule="atLeast"/>
        </w:trPr>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10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3.36</w:t>
            </w:r>
          </w:p>
        </w:tc>
        <w:tc>
          <w:tcPr>
            <w:tcW w:w="8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2.94</w:t>
            </w:r>
          </w:p>
        </w:tc>
        <w:tc>
          <w:tcPr>
            <w:tcW w:w="11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87.5%</w:t>
            </w:r>
          </w:p>
        </w:tc>
        <w:tc>
          <w:tcPr>
            <w:tcW w:w="183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20"/>
                <w:szCs w:val="20"/>
              </w:rPr>
              <w:t>缴</w:t>
            </w:r>
            <w:r>
              <w:rPr>
                <w:rFonts w:hint="eastAsia" w:ascii="宋体" w:hAnsi="宋体" w:eastAsia="宋体" w:cs="宋体"/>
                <w:color w:val="000000"/>
                <w:sz w:val="20"/>
                <w:szCs w:val="20"/>
                <w:lang w:val="en-US" w:eastAsia="zh-CN"/>
              </w:rPr>
              <w:t>纳职工</w:t>
            </w:r>
            <w:r>
              <w:rPr>
                <w:rFonts w:hint="eastAsia" w:ascii="宋体" w:hAnsi="宋体" w:eastAsia="宋体" w:cs="宋体"/>
                <w:color w:val="000000"/>
                <w:sz w:val="20"/>
                <w:szCs w:val="20"/>
              </w:rPr>
              <w:t>养老保险</w:t>
            </w:r>
          </w:p>
        </w:tc>
        <w:tc>
          <w:tcPr>
            <w:tcW w:w="18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both"/>
              <w:textAlignment w:val="center"/>
              <w:rPr>
                <w:rFonts w:ascii="宋体" w:hAnsi="宋体" w:eastAsia="宋体" w:cs="宋体"/>
                <w:sz w:val="18"/>
                <w:szCs w:val="18"/>
              </w:rPr>
            </w:pPr>
            <w:r>
              <w:rPr>
                <w:rFonts w:hint="eastAsia" w:ascii="宋体" w:hAnsi="宋体" w:eastAsia="宋体" w:cs="宋体"/>
                <w:sz w:val="18"/>
                <w:szCs w:val="18"/>
                <w:lang w:val="en-US" w:eastAsia="zh-CN"/>
              </w:rPr>
              <w:t>实际缴费基数比预算基数低</w:t>
            </w:r>
          </w:p>
        </w:tc>
      </w:tr>
    </w:tbl>
    <w:p>
      <w:pPr>
        <w:rPr>
          <w:rFonts w:ascii="仿宋" w:hAnsi="仿宋" w:eastAsia="仿宋"/>
          <w:sz w:val="32"/>
          <w:szCs w:val="32"/>
        </w:rPr>
      </w:pPr>
      <w:r>
        <w:rPr>
          <w:rFonts w:hint="eastAsia" w:ascii="仿宋" w:hAnsi="仿宋" w:eastAsia="仿宋" w:cs="仿宋"/>
          <w:sz w:val="32"/>
          <w:szCs w:val="32"/>
        </w:rPr>
        <w:drawing>
          <wp:inline distT="0" distB="0" distL="114300" distR="114300">
            <wp:extent cx="4580890" cy="2299335"/>
            <wp:effectExtent l="4445" t="4445" r="17145" b="12700"/>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autoSpaceDN w:val="0"/>
        <w:adjustRightInd w:val="0"/>
        <w:spacing w:line="560" w:lineRule="exact"/>
        <w:ind w:firstLine="640" w:firstLineChars="200"/>
        <w:rPr>
          <w:rFonts w:eastAsia="仿宋"/>
          <w:color w:val="FF0000"/>
        </w:rPr>
      </w:pPr>
      <w:r>
        <w:rPr>
          <w:rFonts w:hint="eastAsia" w:ascii="仿宋" w:hAnsi="仿宋" w:eastAsia="仿宋"/>
          <w:sz w:val="32"/>
          <w:szCs w:val="32"/>
        </w:rPr>
        <w:t>（四）住房保障支出</w:t>
      </w:r>
      <w:r>
        <w:rPr>
          <w:rFonts w:ascii="仿宋" w:hAnsi="仿宋" w:eastAsia="仿宋"/>
          <w:sz w:val="32"/>
        </w:rPr>
        <w:t>（221</w:t>
      </w:r>
      <w:r>
        <w:rPr>
          <w:rFonts w:hint="eastAsia" w:ascii="仿宋" w:hAnsi="仿宋" w:eastAsia="仿宋"/>
          <w:sz w:val="32"/>
          <w:szCs w:val="32"/>
        </w:rPr>
        <w:t>类）年初预算为2.52万元，支出决算为2.21万元，完成年初预算的87.70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预决算存有差异原因是：</w:t>
      </w:r>
      <w:r>
        <w:rPr>
          <w:rFonts w:hint="eastAsia" w:ascii="仿宋" w:hAnsi="仿宋" w:eastAsia="仿宋" w:cs="仿宋"/>
          <w:sz w:val="32"/>
          <w:szCs w:val="32"/>
          <w:lang w:val="en-US" w:eastAsia="zh-CN"/>
        </w:rPr>
        <w:t>实际缴费基数比预算基数低</w:t>
      </w:r>
      <w:r>
        <w:rPr>
          <w:rFonts w:hint="eastAsia" w:ascii="Times New Roman" w:hAnsi="Times New Roman" w:eastAsia="仿宋_GB2312" w:cs="Times New Roman"/>
          <w:bCs/>
          <w:kern w:val="0"/>
          <w:sz w:val="32"/>
          <w:szCs w:val="32"/>
        </w:rPr>
        <w:t>。</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6"/>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87.70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20"/>
                <w:szCs w:val="20"/>
              </w:rPr>
              <w:t>缴</w:t>
            </w:r>
            <w:r>
              <w:rPr>
                <w:rFonts w:hint="eastAsia" w:ascii="宋体" w:hAnsi="宋体" w:eastAsia="宋体" w:cs="宋体"/>
                <w:color w:val="000000"/>
                <w:sz w:val="20"/>
                <w:szCs w:val="20"/>
                <w:lang w:val="en-US" w:eastAsia="zh-CN"/>
              </w:rPr>
              <w:t>纳职工</w:t>
            </w:r>
            <w:r>
              <w:rPr>
                <w:rFonts w:hint="eastAsia" w:ascii="宋体" w:hAnsi="宋体" w:eastAsia="宋体" w:cs="宋体"/>
                <w:color w:val="000000"/>
                <w:sz w:val="20"/>
                <w:szCs w:val="20"/>
              </w:rPr>
              <w:t>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实际缴费基数比预算基数低</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color w:val="000000"/>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87.70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20"/>
                <w:szCs w:val="20"/>
              </w:rPr>
              <w:t>缴</w:t>
            </w:r>
            <w:r>
              <w:rPr>
                <w:rFonts w:hint="eastAsia" w:ascii="宋体" w:hAnsi="宋体" w:eastAsia="宋体" w:cs="宋体"/>
                <w:color w:val="000000"/>
                <w:sz w:val="20"/>
                <w:szCs w:val="20"/>
                <w:lang w:val="en-US" w:eastAsia="zh-CN"/>
              </w:rPr>
              <w:t>纳职工</w:t>
            </w:r>
            <w:r>
              <w:rPr>
                <w:rFonts w:hint="eastAsia" w:ascii="宋体" w:hAnsi="宋体" w:eastAsia="宋体" w:cs="宋体"/>
                <w:color w:val="000000"/>
                <w:sz w:val="20"/>
                <w:szCs w:val="20"/>
              </w:rPr>
              <w:t>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实际缴费基数比预算基数低</w:t>
            </w:r>
          </w:p>
        </w:tc>
      </w:tr>
    </w:tbl>
    <w:p>
      <w:pPr>
        <w:jc w:val="left"/>
        <w:rPr>
          <w:rFonts w:ascii="仿宋" w:hAnsi="仿宋" w:eastAsia="仿宋"/>
          <w:sz w:val="32"/>
          <w:szCs w:val="32"/>
        </w:rPr>
      </w:pPr>
      <w:r>
        <w:rPr>
          <w:rFonts w:hint="eastAsia" w:ascii="仿宋" w:hAnsi="仿宋" w:eastAsia="仿宋" w:cs="仿宋"/>
          <w:sz w:val="32"/>
          <w:szCs w:val="32"/>
        </w:rPr>
        <w:drawing>
          <wp:inline distT="0" distB="0" distL="114300" distR="114300">
            <wp:extent cx="4474845" cy="3215640"/>
            <wp:effectExtent l="4445" t="4445" r="16510" b="10795"/>
            <wp:docPr id="5"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ascii="仿宋" w:hAnsi="仿宋" w:eastAsia="仿宋"/>
          <w:sz w:val="32"/>
          <w:szCs w:val="32"/>
        </w:rPr>
      </w:pPr>
    </w:p>
    <w:p>
      <w:pPr>
        <w:jc w:val="left"/>
        <w:rPr>
          <w:rFonts w:ascii="仿宋" w:hAnsi="仿宋" w:eastAsia="仿宋" w:cs="仿宋"/>
          <w:sz w:val="32"/>
          <w:szCs w:val="32"/>
        </w:rPr>
      </w:pPr>
      <w:r>
        <w:rPr>
          <w:rFonts w:hint="eastAsia" w:ascii="黑体" w:hAnsi="黑体" w:eastAsia="黑体" w:cs="黑体"/>
          <w:sz w:val="32"/>
          <w:szCs w:val="32"/>
        </w:rPr>
        <w:t>三、2023年度一般公共预算财政拨款基本支出决算情况说明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环江毛南族自治县第六幼儿园2023年度一般公共预算财政拨款基本支出</w:t>
      </w:r>
      <w:r>
        <w:rPr>
          <w:rFonts w:hint="eastAsia" w:ascii="仿宋" w:hAnsi="仿宋" w:eastAsia="仿宋" w:cs="仿宋"/>
          <w:sz w:val="32"/>
        </w:rPr>
        <w:t>24.35</w:t>
      </w:r>
      <w:r>
        <w:rPr>
          <w:rFonts w:hint="eastAsia" w:ascii="仿宋" w:hAnsi="仿宋" w:eastAsia="仿宋" w:cs="仿宋"/>
          <w:sz w:val="32"/>
          <w:szCs w:val="32"/>
        </w:rPr>
        <w:t>万元，</w:t>
      </w:r>
      <w:r>
        <w:rPr>
          <w:rFonts w:ascii="仿宋_GB2312" w:hAnsi="微软雅黑" w:eastAsia="仿宋_GB2312" w:cs="仿宋_GB2312"/>
          <w:color w:val="000000"/>
          <w:sz w:val="31"/>
          <w:szCs w:val="31"/>
          <w:shd w:val="clear" w:color="auto" w:fill="FFFFFF"/>
        </w:rPr>
        <w:t>其中：人员经费支出</w:t>
      </w:r>
      <w:r>
        <w:rPr>
          <w:rFonts w:hint="eastAsia" w:ascii="仿宋" w:hAnsi="仿宋" w:eastAsia="仿宋" w:cs="仿宋"/>
          <w:sz w:val="32"/>
          <w:szCs w:val="32"/>
        </w:rPr>
        <w:t>23.93</w:t>
      </w:r>
      <w:r>
        <w:rPr>
          <w:rFonts w:ascii="仿宋_GB2312" w:hAnsi="微软雅黑" w:eastAsia="仿宋_GB2312" w:cs="仿宋_GB2312"/>
          <w:color w:val="000000"/>
          <w:sz w:val="31"/>
          <w:szCs w:val="31"/>
          <w:shd w:val="clear" w:color="auto" w:fill="FFFFFF"/>
        </w:rPr>
        <w:t>万元，公用经费支出</w:t>
      </w:r>
      <w:r>
        <w:rPr>
          <w:rFonts w:hint="eastAsia" w:ascii="仿宋" w:hAnsi="仿宋" w:eastAsia="仿宋" w:cs="仿宋"/>
          <w:sz w:val="32"/>
          <w:szCs w:val="32"/>
        </w:rPr>
        <w:t>0.42</w:t>
      </w:r>
      <w:r>
        <w:rPr>
          <w:rFonts w:ascii="仿宋_GB2312" w:hAnsi="微软雅黑" w:eastAsia="仿宋_GB2312" w:cs="仿宋_GB2312"/>
          <w:color w:val="000000"/>
          <w:sz w:val="31"/>
          <w:szCs w:val="31"/>
          <w:shd w:val="clear" w:color="auto" w:fill="FFFFFF"/>
        </w:rPr>
        <w:t>万元，</w:t>
      </w:r>
      <w:r>
        <w:rPr>
          <w:rFonts w:hint="eastAsia" w:ascii="仿宋" w:hAnsi="仿宋" w:eastAsia="仿宋" w:cs="仿宋"/>
          <w:sz w:val="32"/>
          <w:szCs w:val="32"/>
        </w:rPr>
        <w:t>支出具体情况如下：</w:t>
      </w:r>
    </w:p>
    <w:p>
      <w:pPr>
        <w:numPr>
          <w:ilvl w:val="0"/>
          <w:numId w:val="4"/>
        </w:numPr>
        <w:jc w:val="left"/>
        <w:rPr>
          <w:rFonts w:ascii="仿宋" w:hAnsi="仿宋" w:eastAsia="仿宋" w:cs="仿宋"/>
          <w:color w:val="FF0000"/>
          <w:sz w:val="32"/>
          <w:szCs w:val="32"/>
        </w:rPr>
      </w:pPr>
      <w:r>
        <w:rPr>
          <w:rFonts w:hint="eastAsia" w:ascii="仿宋" w:hAnsi="仿宋" w:eastAsia="仿宋" w:cs="仿宋"/>
          <w:sz w:val="32"/>
          <w:szCs w:val="32"/>
        </w:rPr>
        <w:t>工资福利支出</w:t>
      </w:r>
      <w:r>
        <w:rPr>
          <w:rFonts w:hint="eastAsia" w:ascii="仿宋" w:hAnsi="仿宋" w:eastAsia="仿宋" w:cs="仿宋"/>
          <w:sz w:val="32"/>
        </w:rPr>
        <w:t>23.93</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95.44%</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Times New Roman" w:hAnsi="Times New Roman" w:eastAsia="仿宋_GB2312" w:cs="Times New Roman"/>
          <w:bCs/>
          <w:kern w:val="0"/>
          <w:sz w:val="32"/>
          <w:szCs w:val="32"/>
        </w:rPr>
        <w:t>人员变动。</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9.54万元，30102津贴补贴0.50万元，30103奖金3.19万元，30107绩效工资4.22万元，30108机关事业单位基本养老保险缴费2.94万元，30110职工基本医疗保险缴费1.18万元，30112其他社会保障缴费0.14万元，30113住房公积金2.21万元，30199其他工资福利支出0.00万元。</w:t>
      </w:r>
    </w:p>
    <w:p>
      <w:pPr>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079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ascii="仿宋" w:hAnsi="仿宋" w:eastAsia="仿宋" w:cs="仿宋"/>
          <w:sz w:val="32"/>
          <w:szCs w:val="32"/>
        </w:rPr>
      </w:pPr>
    </w:p>
    <w:p>
      <w:pPr>
        <w:numPr>
          <w:ilvl w:val="0"/>
          <w:numId w:val="4"/>
        </w:numPr>
        <w:jc w:val="left"/>
        <w:rPr>
          <w:rFonts w:ascii="仿宋" w:hAnsi="仿宋" w:eastAsia="仿宋" w:cs="仿宋"/>
          <w:color w:val="FF0000"/>
          <w:sz w:val="32"/>
          <w:szCs w:val="32"/>
        </w:rPr>
      </w:pPr>
      <w:r>
        <w:rPr>
          <w:rFonts w:hint="eastAsia" w:ascii="仿宋" w:hAnsi="仿宋" w:eastAsia="仿宋" w:cs="仿宋"/>
          <w:sz w:val="32"/>
          <w:szCs w:val="32"/>
        </w:rPr>
        <w:t>商品和服务支出</w:t>
      </w:r>
      <w:r>
        <w:rPr>
          <w:rFonts w:hint="eastAsia" w:ascii="仿宋" w:hAnsi="仿宋" w:eastAsia="仿宋" w:cs="仿宋"/>
          <w:sz w:val="32"/>
        </w:rPr>
        <w:t>0.42</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100%</w:t>
      </w:r>
      <w:r>
        <w:rPr>
          <w:rFonts w:ascii="仿宋_GB2312" w:hAnsi="微软雅黑" w:eastAsia="仿宋_GB2312" w:cs="仿宋_GB2312"/>
          <w:color w:val="000000"/>
          <w:sz w:val="31"/>
          <w:szCs w:val="31"/>
          <w:shd w:val="clear" w:color="auto" w:fill="FFFFFF"/>
        </w:rPr>
        <w:t>，</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：30228工会经费0.42万元。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079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4"/>
        </w:numPr>
        <w:jc w:val="left"/>
        <w:rPr>
          <w:rFonts w:ascii="仿宋" w:hAnsi="仿宋" w:eastAsia="仿宋" w:cs="仿宋"/>
          <w:color w:val="FF0000"/>
          <w:sz w:val="32"/>
          <w:szCs w:val="32"/>
        </w:rPr>
      </w:pPr>
      <w:r>
        <w:rPr>
          <w:rFonts w:hint="eastAsia" w:ascii="仿宋" w:hAnsi="仿宋" w:eastAsia="仿宋" w:cs="仿宋"/>
          <w:sz w:val="32"/>
          <w:szCs w:val="32"/>
        </w:rPr>
        <w:t>对个人和家庭的补助0.00</w:t>
      </w:r>
      <w:r>
        <w:rPr>
          <w:rFonts w:ascii="仿宋" w:hAnsi="仿宋" w:eastAsia="仿宋" w:cs="仿宋"/>
          <w:sz w:val="32"/>
        </w:rPr>
        <w:t>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100%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主要原因是：享受独生子女补助</w:t>
      </w:r>
      <w:r>
        <w:rPr>
          <w:rFonts w:hint="eastAsia" w:ascii="Times New Roman" w:hAnsi="Times New Roman" w:eastAsia="仿宋_GB2312" w:cs="Times New Roman"/>
          <w:bCs/>
          <w:kern w:val="0"/>
          <w:sz w:val="32"/>
          <w:szCs w:val="32"/>
        </w:rPr>
        <w:t>。</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：30305生活补助0.00万元。</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682875"/>
            <wp:effectExtent l="4445" t="4445" r="16510" b="1016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4"/>
        </w:numPr>
        <w:jc w:val="left"/>
        <w:rPr>
          <w:rFonts w:ascii="仿宋" w:hAnsi="仿宋" w:eastAsia="仿宋" w:cs="仿宋"/>
          <w:color w:val="FF0000"/>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079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ilvl w:val="0"/>
          <w:numId w:val="4"/>
        </w:numPr>
        <w:jc w:val="left"/>
        <w:rPr>
          <w:rFonts w:ascii="仿宋" w:hAnsi="仿宋" w:eastAsia="仿宋" w:cs="仿宋"/>
          <w:color w:val="FF0000"/>
          <w:sz w:val="32"/>
          <w:szCs w:val="32"/>
        </w:rPr>
      </w:pP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（简要说明预决算差异）主要原因是：无。</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74845" cy="2987040"/>
            <wp:effectExtent l="4445" t="4445" r="16510" b="1079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4"/>
        </w:numPr>
        <w:jc w:val="left"/>
        <w:rPr>
          <w:rFonts w:ascii="仿宋" w:hAnsi="仿宋" w:eastAsia="仿宋" w:cs="仿宋"/>
          <w:color w:val="FF0000"/>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color w:val="000000"/>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color w:val="000000"/>
          <w:sz w:val="31"/>
          <w:szCs w:val="31"/>
          <w:shd w:val="clear" w:color="auto" w:fill="FFFFFF"/>
        </w:rPr>
        <w:t>，</w:t>
      </w:r>
      <w:r>
        <w:rPr>
          <w:rFonts w:hint="eastAsia" w:ascii="仿宋" w:hAnsi="仿宋" w:eastAsia="仿宋" w:cs="仿宋"/>
          <w:sz w:val="32"/>
          <w:szCs w:val="32"/>
        </w:rPr>
        <w:t>（简要说明预决算差异）主要原因是：无。</w:t>
      </w:r>
    </w:p>
    <w:p>
      <w:pPr>
        <w:jc w:val="left"/>
        <w:rPr>
          <w:rFonts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w:t>
      </w:r>
      <w:r>
        <w:rPr>
          <w:rFonts w:hint="eastAsia" w:ascii="仿宋" w:hAnsi="仿宋" w:eastAsia="仿宋" w:cs="仿宋"/>
          <w:sz w:val="32"/>
          <w:szCs w:val="32"/>
        </w:rPr>
        <w:drawing>
          <wp:inline distT="0" distB="0" distL="114300" distR="114300">
            <wp:extent cx="4474845" cy="3215640"/>
            <wp:effectExtent l="4445" t="4445" r="16510" b="1079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四、2023年度政府性基金支出决算情况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环江毛南族自治县第六幼儿园2023年度政府性基金支出</w:t>
      </w:r>
      <w:r>
        <w:rPr>
          <w:rFonts w:ascii="仿宋" w:hAnsi="仿宋" w:eastAsia="仿宋" w:cs="仿宋"/>
          <w:sz w:val="32"/>
          <w:szCs w:val="32"/>
        </w:rPr>
        <w:t>0.00</w:t>
      </w:r>
      <w:r>
        <w:rPr>
          <w:rFonts w:hint="eastAsia" w:ascii="仿宋" w:hAnsi="仿宋" w:eastAsia="仿宋" w:cs="仿宋"/>
          <w:sz w:val="32"/>
          <w:szCs w:val="32"/>
        </w:rPr>
        <w:t>万元，较2022年度决算数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环江毛南族自治县第六幼儿园2023年度政府性基金支出年初预算为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_GB2312" w:hAnsi="Times New Roman" w:eastAsia="仿宋_GB2312" w:cs="Times New Roman"/>
          <w:sz w:val="32"/>
          <w:szCs w:val="32"/>
        </w:rPr>
        <w:t>环江毛南族自治县第六幼儿园</w:t>
      </w:r>
      <w:r>
        <w:rPr>
          <w:rFonts w:ascii="仿宋_GB2312" w:hAnsi="仿宋_GB2312" w:eastAsia="仿宋_GB2312" w:cs="仿宋_GB2312"/>
          <w:sz w:val="32"/>
        </w:rPr>
        <w:t>没有政府性基金收入，也没有政府性基金收入安排的支出</w:t>
      </w:r>
      <w:r>
        <w:rPr>
          <w:rFonts w:hint="eastAsia" w:ascii="仿宋_GB2312" w:hAnsi="Times New Roman" w:eastAsia="仿宋_GB2312" w:cs="Times New Roman"/>
          <w:sz w:val="32"/>
          <w:szCs w:val="32"/>
        </w:rPr>
        <w:t>。故本段落无表述。</w:t>
      </w:r>
    </w:p>
    <w:p>
      <w:pPr>
        <w:jc w:val="left"/>
        <w:rPr>
          <w:rFonts w:ascii="仿宋" w:hAnsi="仿宋" w:eastAsia="仿宋" w:cs="仿宋"/>
          <w:sz w:val="32"/>
          <w:szCs w:val="32"/>
        </w:rPr>
      </w:pPr>
      <w:r>
        <w:rPr>
          <w:rFonts w:hint="eastAsia" w:ascii="黑体" w:hAnsi="黑体" w:eastAsia="黑体" w:cs="黑体"/>
          <w:sz w:val="32"/>
          <w:szCs w:val="32"/>
        </w:rPr>
        <w:t>五、2023年度国有资本经营预算支出决算情况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环江毛南族自治县第六幼儿园2023年度国有资本经营预算支出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环江毛南族自治县第六幼儿园2022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4" w:name="PO_part3A5B1C1DiffReason1"/>
      <w:r>
        <w:rPr>
          <w:rFonts w:hint="eastAsia" w:ascii="仿宋_GB2312" w:hAnsi="Times New Roman" w:eastAsia="仿宋_GB2312" w:cs="Times New Roman"/>
          <w:sz w:val="32"/>
          <w:szCs w:val="32"/>
        </w:rPr>
        <w:t>环江毛南族自治县第六幼儿园</w:t>
      </w:r>
      <w:r>
        <w:rPr>
          <w:rFonts w:ascii="仿宋_GB2312" w:hAnsi="仿宋_GB2312" w:eastAsia="仿宋_GB2312" w:cs="仿宋_GB2312"/>
          <w:sz w:val="32"/>
        </w:rPr>
        <w:t>没有国有资本经营预算收入，也没有国有资本经营预算收入</w:t>
      </w:r>
      <w:r>
        <w:rPr>
          <w:rFonts w:hint="eastAsia" w:ascii="仿宋_GB2312" w:hAnsi="Times New Roman" w:eastAsia="仿宋_GB2312" w:cs="Times New Roman"/>
          <w:sz w:val="32"/>
          <w:szCs w:val="32"/>
        </w:rPr>
        <w:t>。安排的支出，故本段落无表述。</w:t>
      </w:r>
      <w:bookmarkEnd w:id="4"/>
    </w:p>
    <w:p>
      <w:pPr>
        <w:jc w:val="left"/>
        <w:rPr>
          <w:rFonts w:ascii="仿宋" w:hAnsi="仿宋" w:eastAsia="仿宋" w:cs="仿宋"/>
          <w:sz w:val="32"/>
          <w:szCs w:val="32"/>
        </w:rPr>
      </w:pPr>
      <w:r>
        <w:rPr>
          <w:rFonts w:hint="eastAsia" w:ascii="黑体" w:hAnsi="黑体" w:eastAsia="黑体" w:cs="黑体"/>
          <w:sz w:val="32"/>
          <w:szCs w:val="32"/>
        </w:rPr>
        <w:t>六、财政拨款“三公”经费支出决算情况说明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color w:val="000000" w:themeColor="text1"/>
          <w:sz w:val="32"/>
          <w:szCs w:val="32"/>
          <w:lang w:bidi="ar"/>
          <w14:textFill>
            <w14:solidFill>
              <w14:schemeClr w14:val="tx1"/>
            </w14:solidFill>
          </w14:textFill>
        </w:rPr>
        <w:t>主要原因是：本单位无“三公经费支出”。</w:t>
      </w:r>
      <w:r>
        <w:rPr>
          <w:rFonts w:hint="eastAsia" w:ascii="仿宋" w:hAnsi="仿宋" w:eastAsia="仿宋" w:cs="仿宋"/>
          <w:color w:val="000000" w:themeColor="text1"/>
          <w:sz w:val="32"/>
          <w:szCs w:val="32"/>
          <w14:textFill>
            <w14:solidFill>
              <w14:schemeClr w14:val="tx1"/>
            </w14:solidFill>
          </w14:textFill>
        </w:rPr>
        <w:t>其中：因公出国（境）费支出决算</w:t>
      </w:r>
      <w:r>
        <w:rPr>
          <w:rFonts w:ascii="仿宋" w:hAnsi="仿宋" w:eastAsia="仿宋" w:cs="仿宋"/>
          <w:color w:val="000000" w:themeColor="text1"/>
          <w:sz w:val="32"/>
          <w:szCs w:val="32"/>
          <w14:textFill>
            <w14:solidFill>
              <w14:schemeClr w14:val="tx1"/>
            </w14:solidFill>
          </w14:textFill>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w:t>
      </w:r>
      <w:r>
        <w:rPr>
          <w:rFonts w:hint="eastAsia" w:ascii="仿宋" w:hAnsi="仿宋" w:eastAsia="仿宋" w:cs="仿宋"/>
          <w:color w:val="000000" w:themeColor="text1"/>
          <w:sz w:val="32"/>
          <w:szCs w:val="32"/>
          <w14:textFill>
            <w14:solidFill>
              <w14:schemeClr w14:val="tx1"/>
            </w14:solidFill>
          </w14:textFill>
        </w:rPr>
        <w:t>原因是：</w:t>
      </w:r>
      <w:r>
        <w:rPr>
          <w:rFonts w:hint="eastAsia" w:ascii="仿宋_GB2312" w:hAnsi="Times New Roman" w:eastAsia="仿宋_GB2312" w:cs="Times New Roman"/>
          <w:sz w:val="32"/>
          <w:szCs w:val="32"/>
        </w:rPr>
        <w:t>全年使用财政拨款安排</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（局、办、镇）机关、</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个所属单位出国团组</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个，参加其他单位组织的出国团组</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0</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个</w:t>
      </w:r>
      <w:r>
        <w:rPr>
          <w:rFonts w:hint="eastAsia" w:ascii="仿宋" w:hAnsi="仿宋" w:eastAsia="仿宋" w:cs="仿宋"/>
          <w:sz w:val="32"/>
          <w:szCs w:val="32"/>
        </w:rPr>
        <w:t>，全年因公出国（境）团组共计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人次。（二）公务用车购置及运行维护费</w:t>
      </w:r>
      <w:r>
        <w:rPr>
          <w:rFonts w:ascii="仿宋" w:hAnsi="仿宋" w:eastAsia="仿宋" w:cs="仿宋"/>
          <w:sz w:val="32"/>
        </w:rPr>
        <w:t>0.00</w:t>
      </w:r>
      <w:r>
        <w:rPr>
          <w:rFonts w:hint="eastAsia" w:ascii="仿宋" w:hAnsi="仿宋" w:eastAsia="仿宋" w:cs="仿宋"/>
          <w:sz w:val="32"/>
          <w:szCs w:val="32"/>
        </w:rPr>
        <w:t>万元。其中：</w:t>
      </w:r>
      <w:bookmarkStart w:id="5" w:name="PO_part3A6B2IncReason1"/>
      <w:r>
        <w:rPr>
          <w:rFonts w:hint="eastAsia" w:ascii="仿宋" w:hAnsi="仿宋" w:eastAsia="仿宋" w:cs="仿宋"/>
          <w:sz w:val="32"/>
          <w:szCs w:val="32"/>
        </w:rPr>
        <w:t>本部门无公务用车购置</w:t>
      </w:r>
      <w:bookmarkEnd w:id="5"/>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公务用车运行维护支出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主要原因是：本部门无公务车运行维护资金支出。</w:t>
      </w:r>
      <w:r>
        <w:rPr>
          <w:rFonts w:hint="eastAsia" w:ascii="仿宋" w:hAnsi="仿宋" w:eastAsia="仿宋" w:cs="仿宋"/>
          <w:sz w:val="32"/>
          <w:szCs w:val="32"/>
        </w:rPr>
        <w:t>2022年，</w:t>
      </w:r>
      <w:r>
        <w:rPr>
          <w:rFonts w:ascii="仿宋" w:hAnsi="仿宋" w:eastAsia="仿宋" w:cs="仿宋"/>
          <w:sz w:val="32"/>
        </w:rPr>
        <w:t>环江毛南族自治县第六幼儿园</w:t>
      </w:r>
      <w:r>
        <w:rPr>
          <w:rFonts w:hint="eastAsia" w:ascii="仿宋" w:hAnsi="仿宋" w:eastAsia="仿宋" w:cs="仿宋"/>
          <w:sz w:val="32"/>
          <w:szCs w:val="32"/>
        </w:rPr>
        <w:t>及</w:t>
      </w:r>
      <w:r>
        <w:rPr>
          <w:rFonts w:hint="eastAsia" w:ascii="仿宋" w:hAnsi="仿宋" w:eastAsia="仿宋" w:cs="仿宋"/>
          <w:color w:val="FF0000"/>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0</w:t>
      </w:r>
      <w:r>
        <w:rPr>
          <w:rFonts w:hint="eastAsia" w:ascii="仿宋" w:hAnsi="仿宋" w:eastAsia="仿宋" w:cs="仿宋"/>
          <w:sz w:val="32"/>
          <w:szCs w:val="32"/>
          <w:u w:val="single"/>
        </w:rPr>
        <w:t xml:space="preserve"> 个</w:t>
      </w:r>
      <w:r>
        <w:rPr>
          <w:rFonts w:hint="eastAsia" w:ascii="仿宋" w:hAnsi="仿宋" w:eastAsia="仿宋" w:cs="仿宋"/>
          <w:sz w:val="32"/>
          <w:szCs w:val="32"/>
        </w:rPr>
        <w:t>所属单位开支财政拨款的公务用车保有量为</w:t>
      </w:r>
      <w:r>
        <w:rPr>
          <w:rFonts w:ascii="仿宋" w:hAnsi="仿宋" w:eastAsia="仿宋" w:cs="仿宋"/>
          <w:sz w:val="32"/>
        </w:rPr>
        <w:t>0</w:t>
      </w:r>
      <w:r>
        <w:rPr>
          <w:rFonts w:hint="eastAsia" w:ascii="仿宋" w:hAnsi="仿宋" w:eastAsia="仿宋" w:cs="仿宋"/>
          <w:sz w:val="32"/>
          <w:szCs w:val="32"/>
        </w:rPr>
        <w:t>辆，全年运行费支出</w:t>
      </w:r>
      <w:r>
        <w:rPr>
          <w:rFonts w:ascii="仿宋" w:hAnsi="仿宋" w:eastAsia="仿宋" w:cs="仿宋"/>
          <w:sz w:val="32"/>
        </w:rPr>
        <w:t>0.00</w:t>
      </w:r>
      <w:r>
        <w:rPr>
          <w:rFonts w:hint="eastAsia" w:ascii="仿宋" w:hAnsi="仿宋" w:eastAsia="仿宋" w:cs="仿宋"/>
          <w:sz w:val="32"/>
          <w:szCs w:val="32"/>
        </w:rPr>
        <w:t>万元，平均每辆    万元，全年运行费支出</w:t>
      </w:r>
      <w:r>
        <w:rPr>
          <w:rFonts w:ascii="仿宋" w:hAnsi="仿宋" w:eastAsia="仿宋" w:cs="仿宋"/>
          <w:sz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 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sz w:val="32"/>
          <w:szCs w:val="32"/>
          <w:lang w:bidi="ar"/>
        </w:rPr>
        <w:t>主要原因是：</w:t>
      </w:r>
      <w:r>
        <w:rPr>
          <w:rFonts w:hint="eastAsia" w:ascii="仿宋" w:hAnsi="仿宋" w:eastAsia="仿宋" w:cs="仿宋"/>
          <w:color w:val="000000" w:themeColor="text1"/>
          <w:sz w:val="32"/>
          <w:szCs w:val="32"/>
          <w:lang w:bidi="ar"/>
          <w14:textFill>
            <w14:solidFill>
              <w14:schemeClr w14:val="tx1"/>
            </w14:solidFill>
          </w14:textFill>
        </w:rPr>
        <w:t>本部门无</w:t>
      </w:r>
      <w:r>
        <w:rPr>
          <w:rFonts w:hint="eastAsia" w:ascii="仿宋" w:hAnsi="仿宋" w:eastAsia="仿宋" w:cs="仿宋"/>
          <w:sz w:val="32"/>
          <w:szCs w:val="32"/>
        </w:rPr>
        <w:t>公务接待费资金支出</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14:textFill>
            <w14:solidFill>
              <w14:schemeClr w14:val="tx1"/>
            </w14:solidFill>
          </w14:textFill>
        </w:rPr>
        <w:t>国内公务接待批次</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jc w:val="left"/>
        <w:rPr>
          <w:rFonts w:ascii="黑体" w:hAnsi="黑体" w:eastAsia="黑体" w:cs="黑体"/>
          <w:sz w:val="32"/>
          <w:szCs w:val="32"/>
        </w:rPr>
      </w:pPr>
      <w:r>
        <w:rPr>
          <w:rFonts w:hint="eastAsia" w:ascii="仿宋" w:hAnsi="仿宋" w:eastAsia="仿宋" w:cs="仿宋"/>
          <w:sz w:val="32"/>
          <w:szCs w:val="32"/>
        </w:rPr>
        <w:t>本部门2023年度机关运行经费支出</w:t>
      </w:r>
      <w:r>
        <w:rPr>
          <w:rFonts w:ascii="仿宋" w:hAnsi="仿宋" w:eastAsia="仿宋" w:cs="仿宋"/>
          <w:sz w:val="32"/>
          <w:szCs w:val="32"/>
        </w:rPr>
        <w:t>0.00</w:t>
      </w:r>
      <w:r>
        <w:rPr>
          <w:rFonts w:hint="eastAsia" w:ascii="仿宋" w:hAnsi="仿宋" w:eastAsia="仿宋" w:cs="仿宋"/>
          <w:sz w:val="32"/>
          <w:szCs w:val="32"/>
        </w:rPr>
        <w:t>万元，比年初预算数</w:t>
      </w:r>
      <w:r>
        <w:rPr>
          <w:rFonts w:ascii="仿宋" w:hAnsi="仿宋" w:eastAsia="仿宋" w:cs="仿宋"/>
          <w:sz w:val="32"/>
          <w:szCs w:val="32"/>
        </w:rPr>
        <w:t>增加0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，比上年决算数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。原因是：本部门2023年度无机关运行经费支出。</w:t>
      </w: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本部门2023年度政府采购支出总额</w:t>
      </w:r>
      <w:r>
        <w:rPr>
          <w:rFonts w:ascii="仿宋" w:hAnsi="仿宋" w:eastAsia="仿宋" w:cs="仿宋"/>
          <w:sz w:val="32"/>
          <w:szCs w:val="32"/>
        </w:rPr>
        <w:t>0.00</w:t>
      </w:r>
      <w:r>
        <w:rPr>
          <w:rFonts w:hint="eastAsia" w:ascii="仿宋" w:hAnsi="仿宋" w:eastAsia="仿宋" w:cs="仿宋"/>
          <w:sz w:val="32"/>
          <w:szCs w:val="32"/>
        </w:rPr>
        <w:t>万元，其中：政府采购货物支出</w:t>
      </w:r>
      <w:r>
        <w:rPr>
          <w:rFonts w:ascii="仿宋" w:hAnsi="仿宋" w:eastAsia="仿宋" w:cs="仿宋"/>
          <w:sz w:val="32"/>
          <w:szCs w:val="32"/>
        </w:rPr>
        <w:t>0.00</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ascii="仿宋" w:hAnsi="仿宋" w:eastAsia="仿宋" w:cs="仿宋"/>
          <w:sz w:val="32"/>
          <w:szCs w:val="32"/>
        </w:rPr>
        <w:t>0.00</w:t>
      </w:r>
      <w:r>
        <w:rPr>
          <w:rFonts w:hint="eastAsia" w:ascii="仿宋" w:hAnsi="仿宋" w:eastAsia="仿宋" w:cs="仿宋"/>
          <w:sz w:val="32"/>
          <w:szCs w:val="32"/>
        </w:rPr>
        <w:t>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截至2022年12月31日，本部门共有车辆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台（套）；单位价值100万元以上专用设备台0（套）。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单位组织对2023年度一般公共预算项目支出全面开展绩效自评。其中，一等项目7个，二等项目1个，共涉及资金147.25万元，占一般公共预算项目支出总额的100%。组织对2023年度0个政府性基金预算项目支出开展绩效自评，共涉及资金0万元，占政府性基金预算项目支出总额的0%。组织对2023年度0个国有资本经营预算项目支出开展绩效自评，共涉及资金0万元，占国有资本经营预算项目支出总额的0%</w:t>
      </w:r>
      <w:r>
        <w:rPr>
          <w:rFonts w:hint="eastAsia" w:ascii="仿宋" w:hAnsi="仿宋" w:eastAsia="仿宋" w:cs="仿宋"/>
          <w:sz w:val="32"/>
          <w:szCs w:val="32"/>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学前教育保育费”等8个项目进行了部门评价，涉及一般公共预算支出147.25万元，政府性基金预算支出0万元，国有资本经营预算支出0万元。从评价情况来看，本部门推进预算支出绩效评价管理,提高资金使用效率。按时完成各个项目年度绩效目标，提高服务对象的满意度。</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本单位开展整体支出绩效评价试点，涉及一般公共预算支出147.25万元，政府性基金预算支出0万元。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我部门根据年初设定的绩效目标，环江毛南族自治县第六幼儿园年初预算经费项目自评得分为87.51分。发现的主要问题及原因：是没能及时整理发票等相关材料；下一步改进措施：是与财政沟通第二年支付，加强成本意识，更好的完成年度财务工作。“六一儿童节活动经费”项目自评得分为90分。发现的主要问题及原因：</w:t>
      </w:r>
      <w:r>
        <w:rPr>
          <w:rFonts w:hint="eastAsia" w:ascii="仿宋" w:hAnsi="仿宋" w:eastAsia="仿宋" w:cs="仿宋"/>
          <w:sz w:val="32"/>
          <w:szCs w:val="32"/>
        </w:rPr>
        <w:t>部分报账材料未能及时整理。下一步改进措施：及时整理报账材料，完成年度资金进度安排。</w:t>
      </w:r>
      <w:r>
        <w:rPr>
          <w:rFonts w:hint="eastAsia" w:ascii="仿宋" w:hAnsi="仿宋" w:eastAsia="仿宋" w:cs="仿宋"/>
          <w:color w:val="000000" w:themeColor="text1"/>
          <w:sz w:val="32"/>
          <w:szCs w:val="32"/>
          <w14:textFill>
            <w14:solidFill>
              <w14:schemeClr w14:val="tx1"/>
            </w14:solidFill>
          </w14:textFill>
        </w:rPr>
        <w:t>“学前教育免除保教费县本级补助资金”项目自评得分为99.54分。发现的主要问题及原因：是因部分发票材料未及时整理完整；下一步改进措施：是经与财政协商，下年度支付。“学前教育免除保教费自治区补助资金”项目自评得分为99.36分。发现的主要问题及原因：是没能及时整理发票等相关材料；下一步改进措施：及时审核整理材料，努力做好相关工作。“学前生均公用经费”项目自评得分为93.16分。发现的主要问题及原因：是没能及时整理发票等相关材料；下一步改进措施：是与财政沟通第二年支付，及时审核整理材料，努力做好财务工作。</w:t>
      </w:r>
      <w:r>
        <w:rPr>
          <w:rFonts w:hint="eastAsia" w:ascii="仿宋" w:hAnsi="仿宋" w:eastAsia="仿宋" w:cs="仿宋"/>
          <w:sz w:val="32"/>
          <w:szCs w:val="32"/>
        </w:rPr>
        <w:t>教师节经费、全县校长绩效工资、学前教育免除保教费中央补助资金这3个项目都能按时完成支付，自评得分均为100分。</w:t>
      </w:r>
    </w:p>
    <w:p>
      <w:pPr>
        <w:jc w:val="left"/>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环江毛南族自治县财政部门当年拨付的资金。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cs="仿宋"/>
          <w:sz w:val="32"/>
          <w:szCs w:val="32"/>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DB7E6"/>
    <w:multiLevelType w:val="singleLevel"/>
    <w:tmpl w:val="8D6DB7E6"/>
    <w:lvl w:ilvl="0" w:tentative="0">
      <w:start w:val="1"/>
      <w:numFmt w:val="chineseCounting"/>
      <w:suff w:val="nothing"/>
      <w:lvlText w:val="（%1）"/>
      <w:lvlJc w:val="left"/>
      <w:rPr>
        <w:rFonts w:hint="eastAsia"/>
      </w:rPr>
    </w:lvl>
  </w:abstractNum>
  <w:abstractNum w:abstractNumId="1">
    <w:nsid w:val="A653CD4B"/>
    <w:multiLevelType w:val="singleLevel"/>
    <w:tmpl w:val="A653CD4B"/>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173BF669"/>
    <w:multiLevelType w:val="singleLevel"/>
    <w:tmpl w:val="173BF669"/>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MDkxZGJmODIyNmUzYWMwNWY4MmZlMzI5YWY3MGYifQ=="/>
  </w:docVars>
  <w:rsids>
    <w:rsidRoot w:val="00172A27"/>
    <w:rsid w:val="00002C84"/>
    <w:rsid w:val="00005723"/>
    <w:rsid w:val="00015699"/>
    <w:rsid w:val="00016144"/>
    <w:rsid w:val="00022149"/>
    <w:rsid w:val="00035F42"/>
    <w:rsid w:val="000400E3"/>
    <w:rsid w:val="00047F6C"/>
    <w:rsid w:val="000550F5"/>
    <w:rsid w:val="00093C26"/>
    <w:rsid w:val="00094B91"/>
    <w:rsid w:val="000B06D8"/>
    <w:rsid w:val="000C3DA7"/>
    <w:rsid w:val="000D2F77"/>
    <w:rsid w:val="000E5855"/>
    <w:rsid w:val="000F3EE3"/>
    <w:rsid w:val="00131BAB"/>
    <w:rsid w:val="001418A5"/>
    <w:rsid w:val="00147D40"/>
    <w:rsid w:val="00156EF2"/>
    <w:rsid w:val="00172A27"/>
    <w:rsid w:val="00174906"/>
    <w:rsid w:val="001838CA"/>
    <w:rsid w:val="001943C9"/>
    <w:rsid w:val="001A0BEE"/>
    <w:rsid w:val="001D7B97"/>
    <w:rsid w:val="001F2EF4"/>
    <w:rsid w:val="002060A7"/>
    <w:rsid w:val="00210E20"/>
    <w:rsid w:val="00223F38"/>
    <w:rsid w:val="00233613"/>
    <w:rsid w:val="00254DBE"/>
    <w:rsid w:val="00275CAB"/>
    <w:rsid w:val="0028141A"/>
    <w:rsid w:val="0028709C"/>
    <w:rsid w:val="0029328F"/>
    <w:rsid w:val="002B0508"/>
    <w:rsid w:val="002B2731"/>
    <w:rsid w:val="003459A9"/>
    <w:rsid w:val="00382867"/>
    <w:rsid w:val="00397F01"/>
    <w:rsid w:val="003A4973"/>
    <w:rsid w:val="003C1C96"/>
    <w:rsid w:val="003C69F8"/>
    <w:rsid w:val="003E40BA"/>
    <w:rsid w:val="003E7165"/>
    <w:rsid w:val="0041579D"/>
    <w:rsid w:val="00427074"/>
    <w:rsid w:val="00434D04"/>
    <w:rsid w:val="004656A7"/>
    <w:rsid w:val="00465C0F"/>
    <w:rsid w:val="004822FA"/>
    <w:rsid w:val="004A728E"/>
    <w:rsid w:val="004C4D73"/>
    <w:rsid w:val="004D7D0E"/>
    <w:rsid w:val="004E0A74"/>
    <w:rsid w:val="005234F5"/>
    <w:rsid w:val="00531745"/>
    <w:rsid w:val="00562446"/>
    <w:rsid w:val="00574196"/>
    <w:rsid w:val="0058791C"/>
    <w:rsid w:val="005C604C"/>
    <w:rsid w:val="00601049"/>
    <w:rsid w:val="006123AD"/>
    <w:rsid w:val="00616417"/>
    <w:rsid w:val="00635098"/>
    <w:rsid w:val="00645B83"/>
    <w:rsid w:val="0066173C"/>
    <w:rsid w:val="006D677A"/>
    <w:rsid w:val="007117C8"/>
    <w:rsid w:val="0071654E"/>
    <w:rsid w:val="0074399C"/>
    <w:rsid w:val="00762788"/>
    <w:rsid w:val="007640BB"/>
    <w:rsid w:val="00771953"/>
    <w:rsid w:val="00776E0B"/>
    <w:rsid w:val="00777263"/>
    <w:rsid w:val="007A0641"/>
    <w:rsid w:val="007B34BD"/>
    <w:rsid w:val="007B66A5"/>
    <w:rsid w:val="007C52E7"/>
    <w:rsid w:val="007C54EA"/>
    <w:rsid w:val="007C776D"/>
    <w:rsid w:val="007D7CE3"/>
    <w:rsid w:val="007E2F6C"/>
    <w:rsid w:val="00817C69"/>
    <w:rsid w:val="00823A94"/>
    <w:rsid w:val="00824151"/>
    <w:rsid w:val="00827F1C"/>
    <w:rsid w:val="008315A9"/>
    <w:rsid w:val="00834354"/>
    <w:rsid w:val="00886F52"/>
    <w:rsid w:val="008A57B4"/>
    <w:rsid w:val="008F1B95"/>
    <w:rsid w:val="008F4AE2"/>
    <w:rsid w:val="008F6882"/>
    <w:rsid w:val="00921BE1"/>
    <w:rsid w:val="00934C72"/>
    <w:rsid w:val="00946CCF"/>
    <w:rsid w:val="0097216B"/>
    <w:rsid w:val="00975CD9"/>
    <w:rsid w:val="0097721B"/>
    <w:rsid w:val="009831F8"/>
    <w:rsid w:val="00995E2D"/>
    <w:rsid w:val="00996E4E"/>
    <w:rsid w:val="009B3E00"/>
    <w:rsid w:val="009D1667"/>
    <w:rsid w:val="00A003EA"/>
    <w:rsid w:val="00A07CCE"/>
    <w:rsid w:val="00A27624"/>
    <w:rsid w:val="00A358E6"/>
    <w:rsid w:val="00A860C8"/>
    <w:rsid w:val="00AA78EE"/>
    <w:rsid w:val="00AB53E1"/>
    <w:rsid w:val="00AD1ED3"/>
    <w:rsid w:val="00AE5F66"/>
    <w:rsid w:val="00AF5DCB"/>
    <w:rsid w:val="00B07A0B"/>
    <w:rsid w:val="00B22F28"/>
    <w:rsid w:val="00B37453"/>
    <w:rsid w:val="00B45479"/>
    <w:rsid w:val="00B60171"/>
    <w:rsid w:val="00B7136A"/>
    <w:rsid w:val="00B837AC"/>
    <w:rsid w:val="00B8436C"/>
    <w:rsid w:val="00B95286"/>
    <w:rsid w:val="00BB4FB8"/>
    <w:rsid w:val="00BC6BFA"/>
    <w:rsid w:val="00BD315D"/>
    <w:rsid w:val="00BD7E7E"/>
    <w:rsid w:val="00C3279E"/>
    <w:rsid w:val="00C34857"/>
    <w:rsid w:val="00C55EC3"/>
    <w:rsid w:val="00C9156A"/>
    <w:rsid w:val="00CA2E26"/>
    <w:rsid w:val="00CC3548"/>
    <w:rsid w:val="00CD0C3F"/>
    <w:rsid w:val="00D00918"/>
    <w:rsid w:val="00D14326"/>
    <w:rsid w:val="00D548C1"/>
    <w:rsid w:val="00D559F2"/>
    <w:rsid w:val="00D60BEF"/>
    <w:rsid w:val="00D67199"/>
    <w:rsid w:val="00D7526E"/>
    <w:rsid w:val="00D772CC"/>
    <w:rsid w:val="00D84F30"/>
    <w:rsid w:val="00D878A6"/>
    <w:rsid w:val="00DE74BD"/>
    <w:rsid w:val="00DE7D07"/>
    <w:rsid w:val="00DF4F41"/>
    <w:rsid w:val="00E4207C"/>
    <w:rsid w:val="00E46E5D"/>
    <w:rsid w:val="00E557A5"/>
    <w:rsid w:val="00E73352"/>
    <w:rsid w:val="00E74015"/>
    <w:rsid w:val="00EB7822"/>
    <w:rsid w:val="00EC50A9"/>
    <w:rsid w:val="00ED04DB"/>
    <w:rsid w:val="00F121B6"/>
    <w:rsid w:val="00F21455"/>
    <w:rsid w:val="00F242CB"/>
    <w:rsid w:val="00F5354B"/>
    <w:rsid w:val="00F62FCE"/>
    <w:rsid w:val="00F95135"/>
    <w:rsid w:val="00F9658C"/>
    <w:rsid w:val="00F978FD"/>
    <w:rsid w:val="00FA738E"/>
    <w:rsid w:val="00FB027F"/>
    <w:rsid w:val="00FC438B"/>
    <w:rsid w:val="00FE2A05"/>
    <w:rsid w:val="00FF0FB7"/>
    <w:rsid w:val="01234E98"/>
    <w:rsid w:val="015A13AA"/>
    <w:rsid w:val="015F1951"/>
    <w:rsid w:val="020C171D"/>
    <w:rsid w:val="0216715F"/>
    <w:rsid w:val="02E0291A"/>
    <w:rsid w:val="04E54546"/>
    <w:rsid w:val="05992762"/>
    <w:rsid w:val="05CE7667"/>
    <w:rsid w:val="0721282E"/>
    <w:rsid w:val="076D38BD"/>
    <w:rsid w:val="07B0770E"/>
    <w:rsid w:val="0942143F"/>
    <w:rsid w:val="096D38F0"/>
    <w:rsid w:val="09C6146A"/>
    <w:rsid w:val="0B046A64"/>
    <w:rsid w:val="0B2D1830"/>
    <w:rsid w:val="0B30303F"/>
    <w:rsid w:val="0B4677BD"/>
    <w:rsid w:val="0BD50DE5"/>
    <w:rsid w:val="0BEB6F66"/>
    <w:rsid w:val="0CDB6FDB"/>
    <w:rsid w:val="0D100297"/>
    <w:rsid w:val="0D202B45"/>
    <w:rsid w:val="0D6671EC"/>
    <w:rsid w:val="0D682F64"/>
    <w:rsid w:val="0D8D2669"/>
    <w:rsid w:val="0E8A1382"/>
    <w:rsid w:val="0ED32451"/>
    <w:rsid w:val="0F0B2EB5"/>
    <w:rsid w:val="0F8D4C87"/>
    <w:rsid w:val="10104FC1"/>
    <w:rsid w:val="101747CE"/>
    <w:rsid w:val="10505FAA"/>
    <w:rsid w:val="105F7E7E"/>
    <w:rsid w:val="11E56B5B"/>
    <w:rsid w:val="125C77AB"/>
    <w:rsid w:val="12BE7183"/>
    <w:rsid w:val="1340228E"/>
    <w:rsid w:val="14CB726E"/>
    <w:rsid w:val="155D0ED5"/>
    <w:rsid w:val="15EA028F"/>
    <w:rsid w:val="16EA2C3C"/>
    <w:rsid w:val="17DB2585"/>
    <w:rsid w:val="17E92249"/>
    <w:rsid w:val="18D304F1"/>
    <w:rsid w:val="192D5062"/>
    <w:rsid w:val="19D021C2"/>
    <w:rsid w:val="19F32577"/>
    <w:rsid w:val="19F45B80"/>
    <w:rsid w:val="1AAA64D3"/>
    <w:rsid w:val="1AD611BB"/>
    <w:rsid w:val="1B040045"/>
    <w:rsid w:val="1B0C078D"/>
    <w:rsid w:val="1B2B31E2"/>
    <w:rsid w:val="1B4C295A"/>
    <w:rsid w:val="1B8934AF"/>
    <w:rsid w:val="1B973C63"/>
    <w:rsid w:val="1BA1001E"/>
    <w:rsid w:val="1BAF6202"/>
    <w:rsid w:val="1BD63639"/>
    <w:rsid w:val="1C4921B3"/>
    <w:rsid w:val="1C9154A4"/>
    <w:rsid w:val="1CC41839"/>
    <w:rsid w:val="1D24052A"/>
    <w:rsid w:val="1D317259"/>
    <w:rsid w:val="1D7A3220"/>
    <w:rsid w:val="1DFE6FCD"/>
    <w:rsid w:val="1E664F5B"/>
    <w:rsid w:val="1EB34BE1"/>
    <w:rsid w:val="1FB01685"/>
    <w:rsid w:val="202251F5"/>
    <w:rsid w:val="204213F3"/>
    <w:rsid w:val="20CA3197"/>
    <w:rsid w:val="21465C2C"/>
    <w:rsid w:val="215E639F"/>
    <w:rsid w:val="21EC3183"/>
    <w:rsid w:val="225E72CD"/>
    <w:rsid w:val="240A6118"/>
    <w:rsid w:val="246E2F77"/>
    <w:rsid w:val="254B4E2B"/>
    <w:rsid w:val="261401B2"/>
    <w:rsid w:val="264A7253"/>
    <w:rsid w:val="282940B5"/>
    <w:rsid w:val="283D7C94"/>
    <w:rsid w:val="284D60B9"/>
    <w:rsid w:val="29412512"/>
    <w:rsid w:val="29480E03"/>
    <w:rsid w:val="29496228"/>
    <w:rsid w:val="29571CE9"/>
    <w:rsid w:val="2983634D"/>
    <w:rsid w:val="2AEF2177"/>
    <w:rsid w:val="2BB02055"/>
    <w:rsid w:val="2BEC6833"/>
    <w:rsid w:val="2C575A56"/>
    <w:rsid w:val="2C5F332D"/>
    <w:rsid w:val="2CB812B9"/>
    <w:rsid w:val="2CDD4252"/>
    <w:rsid w:val="2D202ABC"/>
    <w:rsid w:val="2D4C1B03"/>
    <w:rsid w:val="2D7050C6"/>
    <w:rsid w:val="2E5A0250"/>
    <w:rsid w:val="2E7A444E"/>
    <w:rsid w:val="2E7F7CB6"/>
    <w:rsid w:val="2F257714"/>
    <w:rsid w:val="2F3275E5"/>
    <w:rsid w:val="2FE204FD"/>
    <w:rsid w:val="30AA08EF"/>
    <w:rsid w:val="30D23D1C"/>
    <w:rsid w:val="31221CF5"/>
    <w:rsid w:val="31400178"/>
    <w:rsid w:val="317B1722"/>
    <w:rsid w:val="31921AAF"/>
    <w:rsid w:val="31A83080"/>
    <w:rsid w:val="321E3342"/>
    <w:rsid w:val="321F2AA7"/>
    <w:rsid w:val="327759C8"/>
    <w:rsid w:val="33185FE3"/>
    <w:rsid w:val="335F3C12"/>
    <w:rsid w:val="3461207D"/>
    <w:rsid w:val="34EE2E36"/>
    <w:rsid w:val="360372E3"/>
    <w:rsid w:val="36777241"/>
    <w:rsid w:val="36E81955"/>
    <w:rsid w:val="371E78D5"/>
    <w:rsid w:val="371F3DE4"/>
    <w:rsid w:val="37B00EE0"/>
    <w:rsid w:val="37CE7466"/>
    <w:rsid w:val="3828316D"/>
    <w:rsid w:val="38A951DB"/>
    <w:rsid w:val="38B31605"/>
    <w:rsid w:val="39003F4F"/>
    <w:rsid w:val="394B27E7"/>
    <w:rsid w:val="3995038E"/>
    <w:rsid w:val="39E135D3"/>
    <w:rsid w:val="39F81B9E"/>
    <w:rsid w:val="3A4F4075"/>
    <w:rsid w:val="3B5A646E"/>
    <w:rsid w:val="3C07002B"/>
    <w:rsid w:val="3C7A386B"/>
    <w:rsid w:val="3C7B06AE"/>
    <w:rsid w:val="3C8C0B3C"/>
    <w:rsid w:val="3D0D152A"/>
    <w:rsid w:val="3D404AB5"/>
    <w:rsid w:val="3DF62756"/>
    <w:rsid w:val="3ED50388"/>
    <w:rsid w:val="3F1B7587"/>
    <w:rsid w:val="3F23643C"/>
    <w:rsid w:val="3FAE784F"/>
    <w:rsid w:val="412C28CA"/>
    <w:rsid w:val="416B2215"/>
    <w:rsid w:val="41E57B4F"/>
    <w:rsid w:val="426C3C56"/>
    <w:rsid w:val="432F26F6"/>
    <w:rsid w:val="433504EC"/>
    <w:rsid w:val="434C5D40"/>
    <w:rsid w:val="43727992"/>
    <w:rsid w:val="43880F63"/>
    <w:rsid w:val="441C5A6F"/>
    <w:rsid w:val="44C44FCC"/>
    <w:rsid w:val="44CC7369"/>
    <w:rsid w:val="44E346A3"/>
    <w:rsid w:val="457F5108"/>
    <w:rsid w:val="45D87F80"/>
    <w:rsid w:val="46951B6B"/>
    <w:rsid w:val="46CC1167"/>
    <w:rsid w:val="47AF2F63"/>
    <w:rsid w:val="484D0086"/>
    <w:rsid w:val="49900B72"/>
    <w:rsid w:val="49A34401"/>
    <w:rsid w:val="4A266DE0"/>
    <w:rsid w:val="4A3E30AB"/>
    <w:rsid w:val="4AC14DAC"/>
    <w:rsid w:val="4BD5286C"/>
    <w:rsid w:val="4C325F10"/>
    <w:rsid w:val="4C6D4097"/>
    <w:rsid w:val="4C7402D7"/>
    <w:rsid w:val="4CAE2D72"/>
    <w:rsid w:val="4CC8743B"/>
    <w:rsid w:val="4D154C85"/>
    <w:rsid w:val="4D7560B4"/>
    <w:rsid w:val="4D957A01"/>
    <w:rsid w:val="4EB35ECE"/>
    <w:rsid w:val="4EBB3F9B"/>
    <w:rsid w:val="4ED35788"/>
    <w:rsid w:val="4FDA2B47"/>
    <w:rsid w:val="502D0EC8"/>
    <w:rsid w:val="508F4E24"/>
    <w:rsid w:val="50CA73DD"/>
    <w:rsid w:val="51461E90"/>
    <w:rsid w:val="51463753"/>
    <w:rsid w:val="51B51175"/>
    <w:rsid w:val="51F779E0"/>
    <w:rsid w:val="5209326F"/>
    <w:rsid w:val="52553A93"/>
    <w:rsid w:val="52554706"/>
    <w:rsid w:val="53521F8B"/>
    <w:rsid w:val="53A26F61"/>
    <w:rsid w:val="53D0673A"/>
    <w:rsid w:val="53E22F47"/>
    <w:rsid w:val="542D593B"/>
    <w:rsid w:val="54522FF8"/>
    <w:rsid w:val="547F4E16"/>
    <w:rsid w:val="54CF6D6B"/>
    <w:rsid w:val="55450629"/>
    <w:rsid w:val="56692963"/>
    <w:rsid w:val="568B0F48"/>
    <w:rsid w:val="57482A8C"/>
    <w:rsid w:val="5786217B"/>
    <w:rsid w:val="57DD1426"/>
    <w:rsid w:val="588C0756"/>
    <w:rsid w:val="59337A15"/>
    <w:rsid w:val="593C199B"/>
    <w:rsid w:val="59810274"/>
    <w:rsid w:val="59F12F67"/>
    <w:rsid w:val="5A186745"/>
    <w:rsid w:val="5AA05D5B"/>
    <w:rsid w:val="5B085A6F"/>
    <w:rsid w:val="5BAF5AA5"/>
    <w:rsid w:val="5C902F0B"/>
    <w:rsid w:val="5CA6628A"/>
    <w:rsid w:val="5CA96A00"/>
    <w:rsid w:val="5CF730BC"/>
    <w:rsid w:val="5D4635C9"/>
    <w:rsid w:val="5D706898"/>
    <w:rsid w:val="5E5F0DCE"/>
    <w:rsid w:val="5ED6097D"/>
    <w:rsid w:val="5F294F51"/>
    <w:rsid w:val="5F3758C0"/>
    <w:rsid w:val="5F772160"/>
    <w:rsid w:val="5FA40A7B"/>
    <w:rsid w:val="5FD56D29"/>
    <w:rsid w:val="5FDC720B"/>
    <w:rsid w:val="5FEC7F3F"/>
    <w:rsid w:val="60567FC7"/>
    <w:rsid w:val="606B66F5"/>
    <w:rsid w:val="60F74BC3"/>
    <w:rsid w:val="617D3BF8"/>
    <w:rsid w:val="61841F6A"/>
    <w:rsid w:val="619A2136"/>
    <w:rsid w:val="623007A9"/>
    <w:rsid w:val="625543D8"/>
    <w:rsid w:val="637D7558"/>
    <w:rsid w:val="64355C74"/>
    <w:rsid w:val="644F19AC"/>
    <w:rsid w:val="65AA4920"/>
    <w:rsid w:val="65B34C8C"/>
    <w:rsid w:val="65E31D0B"/>
    <w:rsid w:val="65F56B8B"/>
    <w:rsid w:val="67694F1E"/>
    <w:rsid w:val="67786A75"/>
    <w:rsid w:val="67AE693B"/>
    <w:rsid w:val="68380BF5"/>
    <w:rsid w:val="69116C18"/>
    <w:rsid w:val="69597934"/>
    <w:rsid w:val="69AF24F6"/>
    <w:rsid w:val="6A2749C4"/>
    <w:rsid w:val="6A7C062B"/>
    <w:rsid w:val="6B964DDC"/>
    <w:rsid w:val="6BA114EB"/>
    <w:rsid w:val="6BE97F42"/>
    <w:rsid w:val="6C2B67AC"/>
    <w:rsid w:val="6C2C42D2"/>
    <w:rsid w:val="6C783074"/>
    <w:rsid w:val="6CDC1854"/>
    <w:rsid w:val="6D9E65C6"/>
    <w:rsid w:val="6DA81947"/>
    <w:rsid w:val="6DA8381C"/>
    <w:rsid w:val="6DAF6F69"/>
    <w:rsid w:val="6EB66DE2"/>
    <w:rsid w:val="6ED3075F"/>
    <w:rsid w:val="6F2A2D4B"/>
    <w:rsid w:val="6F8A0C1E"/>
    <w:rsid w:val="703F45D4"/>
    <w:rsid w:val="707F181E"/>
    <w:rsid w:val="715D6546"/>
    <w:rsid w:val="71A50F85"/>
    <w:rsid w:val="71B66B18"/>
    <w:rsid w:val="71BE069E"/>
    <w:rsid w:val="71EF3DD8"/>
    <w:rsid w:val="72096CEB"/>
    <w:rsid w:val="726F091C"/>
    <w:rsid w:val="727918F3"/>
    <w:rsid w:val="735A34D3"/>
    <w:rsid w:val="73953409"/>
    <w:rsid w:val="73E069A3"/>
    <w:rsid w:val="7489001F"/>
    <w:rsid w:val="74EC45FF"/>
    <w:rsid w:val="75991870"/>
    <w:rsid w:val="77A94A29"/>
    <w:rsid w:val="78104AA8"/>
    <w:rsid w:val="782642CC"/>
    <w:rsid w:val="784C1F84"/>
    <w:rsid w:val="78CE08ED"/>
    <w:rsid w:val="78E257C5"/>
    <w:rsid w:val="794B35BE"/>
    <w:rsid w:val="79870D9A"/>
    <w:rsid w:val="79A342A0"/>
    <w:rsid w:val="7AF406B1"/>
    <w:rsid w:val="7B0A3A31"/>
    <w:rsid w:val="7B3360ED"/>
    <w:rsid w:val="7B713AB0"/>
    <w:rsid w:val="7BBB4D2B"/>
    <w:rsid w:val="7BC9569A"/>
    <w:rsid w:val="7BDF037E"/>
    <w:rsid w:val="7BF50948"/>
    <w:rsid w:val="7C0F5A6A"/>
    <w:rsid w:val="7C795E78"/>
    <w:rsid w:val="7CE66A78"/>
    <w:rsid w:val="7D0A6654"/>
    <w:rsid w:val="7D124E1E"/>
    <w:rsid w:val="7D23564C"/>
    <w:rsid w:val="7D592A4D"/>
    <w:rsid w:val="7D5E062D"/>
    <w:rsid w:val="7DB36601"/>
    <w:rsid w:val="7DF76CD8"/>
    <w:rsid w:val="7E9957F7"/>
    <w:rsid w:val="7EF27BEA"/>
    <w:rsid w:val="7F10538E"/>
    <w:rsid w:val="7F2350C1"/>
    <w:rsid w:val="7F695C26"/>
    <w:rsid w:val="7FB0104A"/>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913368832"/>
        <c:axId val="913369224"/>
      </c:barChart>
      <c:catAx>
        <c:axId val="913368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69224"/>
        <c:crosses val="autoZero"/>
        <c:auto val="1"/>
        <c:lblAlgn val="ctr"/>
        <c:lblOffset val="100"/>
        <c:noMultiLvlLbl val="0"/>
      </c:catAx>
      <c:valAx>
        <c:axId val="913369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68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888595416"/>
        <c:axId val="888593848"/>
      </c:barChart>
      <c:catAx>
        <c:axId val="8885954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593848"/>
        <c:crosses val="autoZero"/>
        <c:auto val="1"/>
        <c:lblAlgn val="ctr"/>
        <c:lblOffset val="100"/>
        <c:noMultiLvlLbl val="0"/>
      </c:catAx>
      <c:valAx>
        <c:axId val="888593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595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888596200"/>
        <c:axId val="888594632"/>
      </c:barChart>
      <c:catAx>
        <c:axId val="8885962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594632"/>
        <c:crosses val="autoZero"/>
        <c:auto val="1"/>
        <c:lblAlgn val="ctr"/>
        <c:lblOffset val="100"/>
        <c:noMultiLvlLbl val="0"/>
      </c:catAx>
      <c:valAx>
        <c:axId val="8885946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596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389860143120114"/>
          <c:y val="0.18552259448407"/>
          <c:w val="0.898427469135802"/>
          <c:h val="0.40932773109243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教育支出</c:v>
                </c:pt>
                <c:pt idx="2">
                  <c:v>社会保障和就业支出</c:v>
                </c:pt>
                <c:pt idx="3">
                  <c:v>住房保障支出</c:v>
                </c:pt>
              </c:strCache>
            </c:strRef>
          </c:cat>
          <c:val>
            <c:numRef>
              <c:f>Sheet1!$B$2:$B$5</c:f>
              <c:numCache>
                <c:formatCode>General</c:formatCode>
                <c:ptCount val="4"/>
                <c:pt idx="0">
                  <c:v>0</c:v>
                </c:pt>
                <c:pt idx="1">
                  <c:v>15.2</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3"/>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教育支出</c:v>
                </c:pt>
                <c:pt idx="2">
                  <c:v>社会保障和就业支出</c:v>
                </c:pt>
                <c:pt idx="3">
                  <c:v>住房保障支出</c:v>
                </c:pt>
              </c:strCache>
            </c:strRef>
          </c:cat>
          <c:val>
            <c:numRef>
              <c:f>Sheet1!$C$2:$C$5</c:f>
              <c:numCache>
                <c:formatCode>General</c:formatCode>
                <c:ptCount val="4"/>
                <c:pt idx="0">
                  <c:v>0.42</c:v>
                </c:pt>
                <c:pt idx="1">
                  <c:v>90.79</c:v>
                </c:pt>
                <c:pt idx="2">
                  <c:v>2.94</c:v>
                </c:pt>
                <c:pt idx="3">
                  <c:v>2.21</c:v>
                </c:pt>
              </c:numCache>
            </c:numRef>
          </c:val>
        </c:ser>
        <c:dLbls>
          <c:showLegendKey val="0"/>
          <c:showVal val="0"/>
          <c:showCatName val="0"/>
          <c:showSerName val="0"/>
          <c:showPercent val="0"/>
          <c:showBubbleSize val="0"/>
        </c:dLbls>
        <c:gapWidth val="150"/>
        <c:overlap val="-25"/>
        <c:axId val="266914032"/>
        <c:axId val="266915992"/>
      </c:barChart>
      <c:catAx>
        <c:axId val="2669140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915992"/>
        <c:crosses val="autoZero"/>
        <c:auto val="1"/>
        <c:lblAlgn val="ctr"/>
        <c:lblOffset val="100"/>
        <c:noMultiLvlLbl val="0"/>
      </c:catAx>
      <c:valAx>
        <c:axId val="26691599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9140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0.42</c:v>
                </c:pt>
                <c:pt idx="1">
                  <c:v>0.42</c:v>
                </c:pt>
              </c:numCache>
            </c:numRef>
          </c:val>
        </c:ser>
        <c:dLbls>
          <c:showLegendKey val="0"/>
          <c:showVal val="0"/>
          <c:showCatName val="0"/>
          <c:showSerName val="0"/>
          <c:showPercent val="0"/>
          <c:showBubbleSize val="0"/>
        </c:dLbls>
        <c:gapWidth val="219"/>
        <c:overlap val="-27"/>
        <c:axId val="266915208"/>
        <c:axId val="266915600"/>
      </c:barChart>
      <c:catAx>
        <c:axId val="2669152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915600"/>
        <c:crosses val="autoZero"/>
        <c:auto val="1"/>
        <c:lblAlgn val="ctr"/>
        <c:lblOffset val="100"/>
        <c:noMultiLvlLbl val="0"/>
      </c:catAx>
      <c:valAx>
        <c:axId val="266915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915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2050201</c:v>
                </c:pt>
                <c:pt idx="1">
                  <c:v>2050299</c:v>
                </c:pt>
                <c:pt idx="2">
                  <c:v>205x</c:v>
                </c:pt>
              </c:strCache>
            </c:strRef>
          </c:cat>
          <c:val>
            <c:numRef>
              <c:f>Sheet1!$B$2:$B$4</c:f>
              <c:numCache>
                <c:formatCode>General</c:formatCode>
                <c:ptCount val="3"/>
                <c:pt idx="0">
                  <c:v>90.52</c:v>
                </c:pt>
                <c:pt idx="1">
                  <c:v>0.27</c:v>
                </c:pt>
                <c:pt idx="2">
                  <c:v>90.79</c:v>
                </c:pt>
              </c:numCache>
            </c:numRef>
          </c:val>
        </c:ser>
        <c:dLbls>
          <c:showLegendKey val="0"/>
          <c:showVal val="0"/>
          <c:showCatName val="0"/>
          <c:showSerName val="0"/>
          <c:showPercent val="0"/>
          <c:showBubbleSize val="0"/>
        </c:dLbls>
        <c:gapWidth val="75"/>
        <c:axId val="768984952"/>
        <c:axId val="768985344"/>
      </c:barChart>
      <c:catAx>
        <c:axId val="7689849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8985344"/>
        <c:crosses val="autoZero"/>
        <c:auto val="1"/>
        <c:lblAlgn val="ctr"/>
        <c:lblOffset val="100"/>
        <c:noMultiLvlLbl val="0"/>
      </c:catAx>
      <c:valAx>
        <c:axId val="768985344"/>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8984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2.94</c:v>
                </c:pt>
                <c:pt idx="1">
                  <c:v>2.94</c:v>
                </c:pt>
              </c:numCache>
            </c:numRef>
          </c:val>
        </c:ser>
        <c:dLbls>
          <c:showLegendKey val="0"/>
          <c:showVal val="0"/>
          <c:showCatName val="0"/>
          <c:showSerName val="0"/>
          <c:showPercent val="0"/>
          <c:showBubbleSize val="0"/>
        </c:dLbls>
        <c:gapWidth val="150"/>
        <c:axId val="768986912"/>
        <c:axId val="768987304"/>
      </c:barChart>
      <c:catAx>
        <c:axId val="7689869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8987304"/>
        <c:crosses val="autoZero"/>
        <c:auto val="1"/>
        <c:lblAlgn val="ctr"/>
        <c:lblOffset val="100"/>
        <c:noMultiLvlLbl val="0"/>
      </c:catAx>
      <c:valAx>
        <c:axId val="768987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89869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2210201</c:v>
                </c:pt>
                <c:pt idx="1">
                  <c:v>221x</c:v>
                </c:pt>
              </c:strCache>
            </c:strRef>
          </c:cat>
          <c:val>
            <c:numRef>
              <c:f>Sheet1!$B$2:$B$3</c:f>
              <c:numCache>
                <c:formatCode>General</c:formatCode>
                <c:ptCount val="2"/>
                <c:pt idx="0">
                  <c:v>2.52</c:v>
                </c:pt>
                <c:pt idx="1">
                  <c:v>2.52</c:v>
                </c:pt>
              </c:numCache>
            </c:numRef>
          </c:val>
        </c:ser>
        <c:dLbls>
          <c:showLegendKey val="0"/>
          <c:showVal val="0"/>
          <c:showCatName val="0"/>
          <c:showSerName val="0"/>
          <c:showPercent val="0"/>
          <c:showBubbleSize val="0"/>
        </c:dLbls>
        <c:gapWidth val="75"/>
        <c:axId val="892624512"/>
        <c:axId val="649634392"/>
      </c:barChart>
      <c:catAx>
        <c:axId val="8926245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634392"/>
        <c:crosses val="autoZero"/>
        <c:auto val="1"/>
        <c:lblAlgn val="ctr"/>
        <c:lblOffset val="100"/>
        <c:noMultiLvlLbl val="0"/>
      </c:catAx>
      <c:valAx>
        <c:axId val="649634392"/>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624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numCache>
            </c:numRef>
          </c:cat>
          <c:val>
            <c:numRef>
              <c:f>Sheet1!$B$2:$B$13</c:f>
              <c:numCache>
                <c:formatCode>General</c:formatCode>
                <c:ptCount val="12"/>
                <c:pt idx="0">
                  <c:v>9.54</c:v>
                </c:pt>
                <c:pt idx="1">
                  <c:v>0.5</c:v>
                </c:pt>
                <c:pt idx="2">
                  <c:v>3.19</c:v>
                </c:pt>
                <c:pt idx="3">
                  <c:v>0</c:v>
                </c:pt>
                <c:pt idx="4">
                  <c:v>4.22</c:v>
                </c:pt>
                <c:pt idx="5">
                  <c:v>2.94</c:v>
                </c:pt>
                <c:pt idx="6">
                  <c:v>0</c:v>
                </c:pt>
                <c:pt idx="7">
                  <c:v>1.18</c:v>
                </c:pt>
                <c:pt idx="8">
                  <c:v>0</c:v>
                </c:pt>
                <c:pt idx="9">
                  <c:v>0.14</c:v>
                </c:pt>
                <c:pt idx="10">
                  <c:v>2.21</c:v>
                </c:pt>
                <c:pt idx="11">
                  <c:v>0</c:v>
                </c:pt>
              </c:numCache>
            </c:numRef>
          </c:val>
        </c:ser>
        <c:dLbls>
          <c:showLegendKey val="0"/>
          <c:showVal val="0"/>
          <c:showCatName val="0"/>
          <c:showSerName val="0"/>
          <c:showPercent val="0"/>
          <c:showBubbleSize val="0"/>
        </c:dLbls>
        <c:gapWidth val="219"/>
        <c:overlap val="-27"/>
        <c:axId val="888622056"/>
        <c:axId val="913369616"/>
      </c:barChart>
      <c:catAx>
        <c:axId val="8886220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69616"/>
        <c:crosses val="autoZero"/>
        <c:auto val="1"/>
        <c:lblAlgn val="ctr"/>
        <c:lblOffset val="100"/>
        <c:noMultiLvlLbl val="0"/>
      </c:catAx>
      <c:valAx>
        <c:axId val="913369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622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0.42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913370400"/>
        <c:axId val="913370008"/>
      </c:barChart>
      <c:catAx>
        <c:axId val="913370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70008"/>
        <c:crosses val="autoZero"/>
        <c:auto val="1"/>
        <c:lblAlgn val="ctr"/>
        <c:lblOffset val="100"/>
        <c:noMultiLvlLbl val="0"/>
      </c:catAx>
      <c:valAx>
        <c:axId val="9133700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70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Sheet1!$A$3:$A$14</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Sheet1!$B$3:$B$14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913368440"/>
        <c:axId val="913371184"/>
      </c:barChart>
      <c:catAx>
        <c:axId val="9133684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71184"/>
        <c:crosses val="autoZero"/>
        <c:auto val="1"/>
        <c:lblAlgn val="ctr"/>
        <c:lblOffset val="100"/>
        <c:noMultiLvlLbl val="0"/>
      </c:catAx>
      <c:valAx>
        <c:axId val="9133711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368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2283</Words>
  <Characters>13014</Characters>
  <Lines>108</Lines>
  <Paragraphs>30</Paragraphs>
  <TotalTime>0</TotalTime>
  <ScaleCrop>false</ScaleCrop>
  <LinksUpToDate>false</LinksUpToDate>
  <CharactersWithSpaces>15267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2025-01-02T01:42:07Z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75A9A8059C494777A52BC54DC9E0E91E_13</vt:lpwstr>
  </property>
  <property fmtid="{D5CDD505-2E9C-101B-9397-08002B2CF9AE}" pid="4" name="KSOTemplateDocerSaveRecord">
    <vt:lpwstr>eyJoZGlkIjoiN2Q4OTc3ODc5NTliMTk2YmVjYTliZWVmMDNhODIxZTYifQ==</vt:lpwstr>
  </property>
</Properties>
</file>