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环江毛南族自治县</w:t>
      </w:r>
      <w:r>
        <w:rPr>
          <w:rFonts w:hint="eastAsia" w:ascii="黑体" w:hAnsi="黑体" w:eastAsia="黑体" w:cs="黑体"/>
          <w:b/>
          <w:bCs/>
          <w:sz w:val="52"/>
          <w:szCs w:val="52"/>
          <w:highlight w:val="none"/>
          <w:lang w:val="en-US" w:eastAsia="zh-CN"/>
        </w:rPr>
        <w:t>第二</w:t>
      </w:r>
      <w:r>
        <w:rPr>
          <w:rFonts w:hint="eastAsia" w:ascii="黑体" w:hAnsi="黑体" w:eastAsia="黑体" w:cs="黑体"/>
          <w:b/>
          <w:bCs/>
          <w:sz w:val="52"/>
          <w:szCs w:val="52"/>
          <w:highlight w:val="none"/>
        </w:rPr>
        <w:t>中学202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黑体" w:hAnsi="黑体" w:eastAsia="黑体" w:cs="黑体"/>
          <w:sz w:val="36"/>
          <w:szCs w:val="36"/>
          <w:highlight w:val="none"/>
          <w:lang w:val="en-US" w:eastAsia="zh-CN"/>
        </w:rPr>
      </w:pPr>
      <w:r>
        <w:rPr>
          <w:rFonts w:hint="eastAsia" w:ascii="黑体" w:hAnsi="黑体" w:eastAsia="黑体" w:cs="黑体"/>
          <w:sz w:val="36"/>
          <w:szCs w:val="36"/>
          <w:highlight w:val="none"/>
          <w:lang w:val="en-US" w:eastAsia="zh-CN"/>
        </w:rPr>
        <w:t>单位负责人：蒙继烟</w:t>
      </w:r>
    </w:p>
    <w:p>
      <w:pPr>
        <w:jc w:val="left"/>
        <w:rPr>
          <w:rFonts w:ascii="仿宋" w:hAnsi="仿宋" w:eastAsia="仿宋" w:cs="仿宋"/>
          <w:sz w:val="32"/>
          <w:szCs w:val="32"/>
          <w:highlight w:val="none"/>
        </w:rPr>
      </w:pPr>
    </w:p>
    <w:p>
      <w:pPr>
        <w:jc w:val="center"/>
        <w:rPr>
          <w:rFonts w:hint="eastAsia" w:ascii="黑体" w:hAnsi="黑体" w:eastAsia="黑体" w:cs="黑体"/>
          <w:b/>
          <w:bCs/>
          <w:sz w:val="36"/>
          <w:szCs w:val="36"/>
          <w:highlight w:val="none"/>
          <w:lang w:val="en-US" w:eastAsia="zh-CN"/>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r>
        <w:rPr>
          <w:rFonts w:hint="eastAsia" w:ascii="黑体" w:hAnsi="黑体" w:eastAsia="黑体" w:cs="黑体"/>
          <w:b/>
          <w:bCs/>
          <w:sz w:val="36"/>
          <w:szCs w:val="36"/>
          <w:highlight w:val="none"/>
          <w:lang w:val="en-US" w:eastAsia="zh-CN"/>
        </w:rPr>
        <w:t>3日</w:t>
      </w:r>
      <w:bookmarkStart w:id="5" w:name="_GoBack"/>
      <w:bookmarkEnd w:id="5"/>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环江毛南族自治县</w:t>
      </w:r>
      <w:r>
        <w:rPr>
          <w:rFonts w:hint="eastAsia" w:ascii="黑体" w:hAnsi="黑体" w:eastAsia="黑体" w:cs="黑体"/>
          <w:sz w:val="32"/>
          <w:u w:color="auto"/>
          <w:lang w:eastAsia="zh-CN"/>
        </w:rPr>
        <w:t>第二</w:t>
      </w:r>
      <w:r>
        <w:rPr>
          <w:rFonts w:ascii="黑体" w:hAnsi="黑体" w:eastAsia="黑体" w:cs="黑体"/>
          <w:sz w:val="32"/>
          <w:u w:color="auto"/>
        </w:rPr>
        <w:t>中学</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w:t>
      </w:r>
      <w:r>
        <w:rPr>
          <w:rFonts w:hint="eastAsia" w:ascii="黑体" w:hAnsi="黑体" w:eastAsia="黑体" w:cs="黑体"/>
          <w:sz w:val="32"/>
          <w:u w:color="auto"/>
          <w:lang w:eastAsia="zh-CN"/>
        </w:rPr>
        <w:t>第二</w:t>
      </w:r>
      <w:r>
        <w:rPr>
          <w:rFonts w:ascii="黑体" w:hAnsi="黑体" w:eastAsia="黑体" w:cs="黑体"/>
          <w:sz w:val="32"/>
          <w:u w:color="auto"/>
        </w:rPr>
        <w:t>中学</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w:t>
      </w:r>
      <w:r>
        <w:rPr>
          <w:rFonts w:hint="eastAsia" w:ascii="黑体" w:hAnsi="黑体" w:eastAsia="黑体" w:cs="黑体"/>
          <w:sz w:val="32"/>
          <w:u w:color="auto"/>
          <w:lang w:eastAsia="zh-CN"/>
        </w:rPr>
        <w:t>第二</w:t>
      </w:r>
      <w:r>
        <w:rPr>
          <w:rFonts w:ascii="黑体" w:hAnsi="黑体" w:eastAsia="黑体" w:cs="黑体"/>
          <w:sz w:val="32"/>
          <w:u w:color="auto"/>
        </w:rPr>
        <w:t>中学</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u w:color="auto"/>
        </w:rPr>
        <w:t>环江毛南族自治县</w:t>
      </w:r>
      <w:r>
        <w:rPr>
          <w:rFonts w:hint="eastAsia" w:ascii="黑体" w:hAnsi="黑体" w:eastAsia="黑体" w:cs="黑体"/>
          <w:b/>
          <w:sz w:val="32"/>
          <w:u w:color="auto"/>
          <w:lang w:eastAsia="zh-CN"/>
        </w:rPr>
        <w:t>第二</w:t>
      </w:r>
      <w:r>
        <w:rPr>
          <w:rFonts w:ascii="黑体" w:hAnsi="黑体" w:eastAsia="黑体" w:cs="黑体"/>
          <w:b/>
          <w:sz w:val="32"/>
          <w:u w:color="auto"/>
        </w:rPr>
        <w:t>中学</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autoSpaceDE w:val="0"/>
        <w:autoSpaceDN w:val="0"/>
        <w:adjustRightInd w:val="0"/>
        <w:spacing w:line="520" w:lineRule="exact"/>
        <w:ind w:firstLine="640" w:firstLineChars="200"/>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环江毛南族自治县第二中学的主要职能是：</w:t>
      </w:r>
    </w:p>
    <w:p>
      <w:pPr>
        <w:autoSpaceDE w:val="0"/>
        <w:autoSpaceDN w:val="0"/>
        <w:adjustRightInd w:val="0"/>
        <w:spacing w:line="52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（一）学校贯彻执行党和国家的教育方针、政策和法律法规；拟订学校教育改革与发展规划并组织实施。</w:t>
      </w:r>
    </w:p>
    <w:p>
      <w:pPr>
        <w:autoSpaceDE w:val="0"/>
        <w:autoSpaceDN w:val="0"/>
        <w:adjustRightInd w:val="0"/>
        <w:spacing w:line="52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（二）编制学校教育事业发展规划并检查实施情况，向自治县人民政府和上级教育部门作出报告。</w:t>
      </w:r>
    </w:p>
    <w:p>
      <w:pPr>
        <w:autoSpaceDE w:val="0"/>
        <w:autoSpaceDN w:val="0"/>
        <w:adjustRightInd w:val="0"/>
        <w:spacing w:line="52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（三）督促检查学校贯彻执行教育方针、政策、法令、法规和上级的各项规定；评估学校教育教学工作。</w:t>
      </w:r>
    </w:p>
    <w:p>
      <w:pPr>
        <w:autoSpaceDE w:val="0"/>
        <w:autoSpaceDN w:val="0"/>
        <w:adjustRightInd w:val="0"/>
        <w:spacing w:line="52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（四）执行义务教育均衡发展和促进教育公平。</w:t>
      </w:r>
    </w:p>
    <w:p>
      <w:pPr>
        <w:autoSpaceDE w:val="0"/>
        <w:autoSpaceDN w:val="0"/>
        <w:adjustRightInd w:val="0"/>
        <w:spacing w:line="52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（五）负责学校教师队伍建设，包括教师岗位培训、后备干部队伍建设、教师学历教育、继续教育等。</w:t>
      </w:r>
    </w:p>
    <w:p>
      <w:pPr>
        <w:autoSpaceDE w:val="0"/>
        <w:autoSpaceDN w:val="0"/>
        <w:adjustRightInd w:val="0"/>
        <w:spacing w:line="52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（六）学校做好中考和学生学籍管理工作。</w:t>
      </w:r>
    </w:p>
    <w:p>
      <w:pPr>
        <w:autoSpaceDE w:val="0"/>
        <w:autoSpaceDN w:val="0"/>
        <w:adjustRightInd w:val="0"/>
        <w:spacing w:line="52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（七）按照中央关于全面推进素质教育要求，负责学校教育教学管理、教育教学改革及教育教学科学研究工作，检查指导教师实施素质教育工作，并组织推广先进的教育教学经验。</w:t>
      </w:r>
    </w:p>
    <w:p>
      <w:pPr>
        <w:autoSpaceDE w:val="0"/>
        <w:autoSpaceDN w:val="0"/>
        <w:adjustRightInd w:val="0"/>
        <w:spacing w:line="52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（八）检查教师的教育教学设备装备、管理和使用工作。</w:t>
      </w:r>
    </w:p>
    <w:p>
      <w:pPr>
        <w:autoSpaceDE w:val="0"/>
        <w:autoSpaceDN w:val="0"/>
        <w:adjustRightInd w:val="0"/>
        <w:spacing w:line="52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（九）检查学校教师开展电化教育和信息化教学工作。</w:t>
      </w:r>
    </w:p>
    <w:p>
      <w:pPr>
        <w:autoSpaceDE w:val="0"/>
        <w:autoSpaceDN w:val="0"/>
        <w:adjustRightInd w:val="0"/>
        <w:spacing w:line="52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（十）组织学校教师参加初级专业技术职务资格和中、高级专业技术职务资格的申报工作。按照管理权限对教师进行考核、聘任、奖惩、晋升等工作。</w:t>
      </w:r>
    </w:p>
    <w:p>
      <w:pPr>
        <w:autoSpaceDE w:val="0"/>
        <w:autoSpaceDN w:val="0"/>
        <w:adjustRightInd w:val="0"/>
        <w:spacing w:line="52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（十一）规范学校经费管理与使用工作。</w:t>
      </w:r>
    </w:p>
    <w:p>
      <w:pPr>
        <w:autoSpaceDE w:val="0"/>
        <w:autoSpaceDN w:val="0"/>
        <w:adjustRightInd w:val="0"/>
        <w:spacing w:line="52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（十二）负责组织学校教学教育常规管理工作，包括德育、体育、卫生、艺术、安全等。</w:t>
      </w:r>
    </w:p>
    <w:p>
      <w:pPr>
        <w:autoSpaceDE w:val="0"/>
        <w:autoSpaceDN w:val="0"/>
        <w:adjustRightInd w:val="0"/>
        <w:spacing w:line="52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（十三）组织学生进行其中和期末教学质量检测工作。</w:t>
      </w:r>
    </w:p>
    <w:p>
      <w:pPr>
        <w:autoSpaceDE w:val="0"/>
        <w:autoSpaceDN w:val="0"/>
        <w:adjustRightInd w:val="0"/>
        <w:spacing w:line="52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（十四）负责指导学校学生资助管理工作。</w:t>
      </w:r>
    </w:p>
    <w:p>
      <w:pPr>
        <w:autoSpaceDE w:val="0"/>
        <w:autoSpaceDN w:val="0"/>
        <w:adjustRightInd w:val="0"/>
        <w:spacing w:line="52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（十五）负责语言文字和指导推广普通话工作。</w:t>
      </w:r>
    </w:p>
    <w:p>
      <w:pPr>
        <w:autoSpaceDE w:val="0"/>
        <w:autoSpaceDN w:val="0"/>
        <w:adjustRightInd w:val="0"/>
        <w:spacing w:line="52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（十六）完成上级部门交办的其他工作。</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spacing w:line="460" w:lineRule="exact"/>
        <w:ind w:firstLine="640" w:firstLineChars="200"/>
        <w:rPr>
          <w:rFonts w:hint="eastAsia" w:ascii="仿宋_GB2312" w:eastAsia="仿宋_GB2312" w:cs="仿宋_GB2312"/>
          <w:kern w:val="0"/>
          <w:sz w:val="32"/>
          <w:szCs w:val="32"/>
        </w:rPr>
      </w:pPr>
      <w:r>
        <w:rPr>
          <w:rFonts w:hint="eastAsia" w:ascii="仿宋_GB2312" w:hAnsi="仿宋_GB2312" w:eastAsia="仿宋_GB2312" w:cs="仿宋_GB2312"/>
          <w:color w:val="auto"/>
          <w:sz w:val="32"/>
          <w:szCs w:val="32"/>
        </w:rPr>
        <w:t>我部门没有下属单位，按照部门决算编报要求，单独编制本部门决算。</w:t>
      </w:r>
      <w:r>
        <w:rPr>
          <w:rFonts w:hint="eastAsia" w:ascii="仿宋_GB2312" w:eastAsia="仿宋_GB2312" w:cs="仿宋_GB2312"/>
          <w:kern w:val="0"/>
          <w:sz w:val="32"/>
          <w:szCs w:val="32"/>
        </w:rPr>
        <w:t>学校设有1</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个处室，分别为：行政办公室、总务处、教务处、教研处、政教处、</w:t>
      </w:r>
      <w:r>
        <w:rPr>
          <w:rFonts w:hint="eastAsia" w:ascii="仿宋_GB2312" w:eastAsia="仿宋_GB2312" w:cs="仿宋_GB2312"/>
          <w:kern w:val="0"/>
          <w:sz w:val="32"/>
          <w:szCs w:val="32"/>
          <w:lang w:eastAsia="zh-CN"/>
        </w:rPr>
        <w:t>安全办、</w:t>
      </w:r>
      <w:r>
        <w:rPr>
          <w:rFonts w:hint="eastAsia" w:ascii="仿宋_GB2312" w:eastAsia="仿宋_GB2312" w:cs="仿宋_GB2312"/>
          <w:kern w:val="0"/>
          <w:sz w:val="32"/>
          <w:szCs w:val="32"/>
        </w:rPr>
        <w:t>资助办、财务室、工会室、团委办公室、</w:t>
      </w:r>
      <w:r>
        <w:rPr>
          <w:rFonts w:hint="eastAsia" w:ascii="仿宋_GB2312" w:eastAsia="仿宋_GB2312" w:cs="仿宋_GB2312"/>
          <w:kern w:val="0"/>
          <w:sz w:val="32"/>
          <w:szCs w:val="32"/>
          <w:lang w:eastAsia="zh-CN"/>
        </w:rPr>
        <w:t>体育室、</w:t>
      </w:r>
      <w:r>
        <w:rPr>
          <w:rFonts w:hint="eastAsia" w:ascii="仿宋_GB2312" w:eastAsia="仿宋_GB2312" w:cs="仿宋_GB2312"/>
          <w:kern w:val="0"/>
          <w:sz w:val="32"/>
          <w:szCs w:val="32"/>
        </w:rPr>
        <w:t>心理辅导室。</w:t>
      </w:r>
    </w:p>
    <w:p>
      <w:pPr>
        <w:jc w:val="both"/>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both"/>
        <w:rPr>
          <w:rFonts w:hint="eastAsia" w:ascii="黑体" w:hAnsi="黑体" w:eastAsia="黑体" w:cs="黑体"/>
          <w:sz w:val="32"/>
          <w:szCs w:val="32"/>
          <w:highlight w:val="none"/>
          <w:lang w:val="en-US" w:eastAsia="zh-CN"/>
        </w:rPr>
      </w:pPr>
    </w:p>
    <w:p>
      <w:pPr>
        <w:jc w:val="both"/>
        <w:rPr>
          <w:rFonts w:hint="default" w:ascii="黑体" w:hAnsi="黑体" w:eastAsia="黑体" w:cs="黑体"/>
          <w:sz w:val="32"/>
          <w:szCs w:val="32"/>
          <w:highlight w:val="none"/>
          <w:lang w:val="en-US" w:eastAsia="zh-CN"/>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w:t>
      </w:r>
      <w:r>
        <w:rPr>
          <w:rFonts w:hint="eastAsia" w:ascii="黑体" w:hAnsi="黑体" w:eastAsia="黑体" w:cs="黑体"/>
          <w:sz w:val="32"/>
          <w:u w:color="auto"/>
          <w:lang w:eastAsia="zh-CN"/>
        </w:rPr>
        <w:t>第二</w:t>
      </w:r>
      <w:r>
        <w:rPr>
          <w:rFonts w:ascii="黑体" w:hAnsi="黑体" w:eastAsia="黑体" w:cs="黑体"/>
          <w:sz w:val="32"/>
          <w:u w:color="auto"/>
        </w:rPr>
        <w:t>中学</w:t>
      </w:r>
      <w:r>
        <w:rPr>
          <w:rFonts w:hint="eastAsia" w:ascii="黑体" w:hAnsi="黑体" w:eastAsia="黑体" w:cs="黑体"/>
          <w:sz w:val="32"/>
          <w:szCs w:val="32"/>
          <w:highlight w:val="none"/>
        </w:rPr>
        <w:t xml:space="preserve"> 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tbl>
      <w:tblPr>
        <w:tblStyle w:val="6"/>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w:t>
            </w:r>
            <w:r>
              <w:rPr>
                <w:rFonts w:hint="eastAsia" w:ascii="宋体" w:hAnsi="宋体" w:eastAsia="宋体" w:cs="宋体"/>
                <w:color w:val="000000"/>
                <w:sz w:val="20"/>
                <w:u w:color="auto"/>
                <w:lang w:eastAsia="zh-CN"/>
              </w:rPr>
              <w:t>第二</w:t>
            </w:r>
            <w:r>
              <w:rPr>
                <w:rFonts w:hint="default" w:ascii="宋体" w:hAnsi="宋体" w:eastAsia="宋体" w:cs="宋体"/>
                <w:color w:val="000000"/>
                <w:sz w:val="20"/>
                <w:u w:color="auto"/>
              </w:rPr>
              <w:t>中学</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2807.23</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22.41</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2262.6</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kern w:val="0"/>
                <w:sz w:val="22"/>
                <w:szCs w:val="22"/>
                <w:highlight w:val="none"/>
                <w:lang w:val="en-US" w:eastAsia="zh-CN" w:bidi="ar"/>
              </w:rPr>
              <w:t>201.95</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150.61</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169.66</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2807.23</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2807.23</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b/>
                <w:bCs/>
                <w:highlight w:val="none"/>
              </w:rPr>
            </w:pPr>
            <w:r>
              <w:rPr>
                <w:rFonts w:hint="eastAsia"/>
                <w:b/>
                <w:bCs/>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b/>
                <w:bCs/>
                <w:color w:val="000000"/>
                <w:kern w:val="0"/>
                <w:sz w:val="22"/>
                <w:szCs w:val="22"/>
                <w:highlight w:val="none"/>
                <w:lang w:val="en-US" w:eastAsia="zh-CN" w:bidi="ar"/>
              </w:rPr>
              <w:t>2807.23</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b/>
                <w:bCs/>
                <w:color w:val="000000"/>
                <w:kern w:val="0"/>
                <w:sz w:val="22"/>
                <w:szCs w:val="22"/>
                <w:highlight w:val="none"/>
                <w:lang w:val="en-US" w:eastAsia="zh-CN" w:bidi="ar"/>
              </w:rPr>
              <w:t>2807.23</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w:t>
            </w:r>
            <w:r>
              <w:rPr>
                <w:rFonts w:hint="eastAsia" w:ascii="宋体" w:hAnsi="宋体" w:eastAsia="宋体" w:cs="宋体"/>
                <w:color w:val="000000"/>
                <w:sz w:val="20"/>
                <w:u w:color="auto"/>
                <w:lang w:eastAsia="zh-CN"/>
              </w:rPr>
              <w:t>第二</w:t>
            </w:r>
            <w:r>
              <w:rPr>
                <w:rFonts w:hint="default" w:ascii="宋体" w:hAnsi="宋体" w:eastAsia="宋体" w:cs="宋体"/>
                <w:color w:val="000000"/>
                <w:sz w:val="20"/>
                <w:u w:color="auto"/>
              </w:rPr>
              <w:t>中学</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2807.23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2807.23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其他群众团体事务支出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22.41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22.41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2050203</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初中教育</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2222.81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2222.81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其他普通教育支出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39.06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39.06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2050701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特殊学校教育</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0.73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0.73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201.95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201.95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150.61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150.61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169.66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169.66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w:t>
            </w:r>
            <w:r>
              <w:rPr>
                <w:rFonts w:hint="eastAsia" w:ascii="宋体" w:hAnsi="宋体" w:eastAsia="宋体" w:cs="宋体"/>
                <w:color w:val="000000"/>
                <w:sz w:val="20"/>
                <w:u w:color="auto"/>
                <w:lang w:eastAsia="zh-CN"/>
              </w:rPr>
              <w:t>第二</w:t>
            </w:r>
            <w:r>
              <w:rPr>
                <w:rFonts w:hint="default" w:ascii="宋体" w:hAnsi="宋体" w:eastAsia="宋体" w:cs="宋体"/>
                <w:color w:val="000000"/>
                <w:sz w:val="20"/>
                <w:u w:color="auto"/>
              </w:rPr>
              <w:t>中学</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2807.23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2077.36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729.87</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22.41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22.41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2050203</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初中教育</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2222.81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1532.1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690.71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其他普通教育支出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39.06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0.63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38.43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2050701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特殊学校教育</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0.73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val="en-US" w:eastAsia="zh-CN" w:bidi="ar"/>
              </w:rPr>
            </w:pP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0.73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201.95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201.95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150.61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150.61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169.66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169.66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val="en-US" w:eastAsia="zh-CN" w:bidi="ar"/>
              </w:rPr>
              <w:t>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4966"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6"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w:t>
            </w:r>
            <w:r>
              <w:rPr>
                <w:rFonts w:hint="eastAsia" w:ascii="宋体" w:hAnsi="宋体" w:eastAsia="宋体" w:cs="宋体"/>
                <w:color w:val="000000"/>
                <w:sz w:val="20"/>
                <w:u w:color="auto"/>
                <w:lang w:eastAsia="zh-CN"/>
              </w:rPr>
              <w:t>第二</w:t>
            </w:r>
            <w:r>
              <w:rPr>
                <w:rFonts w:hint="default" w:ascii="宋体" w:hAnsi="宋体" w:eastAsia="宋体" w:cs="宋体"/>
                <w:color w:val="000000"/>
                <w:sz w:val="20"/>
                <w:u w:color="auto"/>
              </w:rPr>
              <w:t>中学</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b/>
                <w:bCs/>
                <w:color w:val="000000"/>
                <w:kern w:val="0"/>
                <w:sz w:val="22"/>
                <w:szCs w:val="22"/>
                <w:highlight w:val="none"/>
                <w:lang w:val="en-US" w:eastAsia="zh-CN" w:bidi="ar"/>
              </w:rPr>
              <w:t>2807.23</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22.41</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22.41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2262.6</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2262.6</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201.95</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201.95</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150.61</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150.61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169.66</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169.66</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b/>
                <w:bCs/>
                <w:color w:val="000000"/>
                <w:kern w:val="0"/>
                <w:sz w:val="22"/>
                <w:szCs w:val="22"/>
                <w:highlight w:val="none"/>
                <w:lang w:val="en-US" w:eastAsia="zh-CN" w:bidi="ar"/>
              </w:rPr>
              <w:t>2807.23</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b/>
                <w:bCs/>
                <w:color w:val="000000"/>
                <w:kern w:val="0"/>
                <w:sz w:val="22"/>
                <w:szCs w:val="22"/>
                <w:highlight w:val="none"/>
                <w:lang w:val="en-US" w:eastAsia="zh-CN" w:bidi="ar"/>
              </w:rPr>
              <w:t>2807.23</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b/>
                <w:bCs/>
                <w:color w:val="000000"/>
                <w:kern w:val="0"/>
                <w:sz w:val="22"/>
                <w:szCs w:val="22"/>
                <w:highlight w:val="none"/>
                <w:lang w:val="en-US" w:eastAsia="zh-CN" w:bidi="ar"/>
              </w:rPr>
              <w:t>2807.23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b/>
                <w:bCs/>
                <w:color w:val="000000"/>
                <w:kern w:val="0"/>
                <w:sz w:val="22"/>
                <w:szCs w:val="22"/>
                <w:highlight w:val="none"/>
                <w:lang w:val="en-US" w:eastAsia="zh-CN" w:bidi="ar"/>
              </w:rPr>
              <w:t>2807.23</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b/>
                <w:bCs/>
                <w:color w:val="000000"/>
                <w:kern w:val="0"/>
                <w:sz w:val="22"/>
                <w:szCs w:val="22"/>
                <w:highlight w:val="none"/>
                <w:lang w:bidi="ar"/>
              </w:rPr>
              <w:t>2</w:t>
            </w:r>
            <w:r>
              <w:rPr>
                <w:rFonts w:hint="eastAsia" w:ascii="宋体" w:hAnsi="宋体" w:eastAsia="宋体" w:cs="宋体"/>
                <w:b/>
                <w:bCs/>
                <w:color w:val="000000"/>
                <w:kern w:val="0"/>
                <w:sz w:val="22"/>
                <w:szCs w:val="22"/>
                <w:highlight w:val="none"/>
                <w:lang w:val="en-US" w:eastAsia="zh-CN" w:bidi="ar"/>
              </w:rPr>
              <w:t>807.23</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b/>
                <w:bCs/>
                <w:color w:val="000000"/>
                <w:kern w:val="0"/>
                <w:sz w:val="22"/>
                <w:szCs w:val="22"/>
                <w:highlight w:val="none"/>
                <w:lang w:bidi="ar"/>
              </w:rPr>
              <w:t>2</w:t>
            </w:r>
            <w:r>
              <w:rPr>
                <w:rFonts w:hint="eastAsia" w:ascii="宋体" w:hAnsi="宋体" w:eastAsia="宋体" w:cs="宋体"/>
                <w:b/>
                <w:bCs/>
                <w:color w:val="000000"/>
                <w:kern w:val="0"/>
                <w:sz w:val="22"/>
                <w:szCs w:val="22"/>
                <w:highlight w:val="none"/>
                <w:lang w:val="en-US" w:eastAsia="zh-CN" w:bidi="ar"/>
              </w:rPr>
              <w:t>807.23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w:t>
            </w:r>
            <w:r>
              <w:rPr>
                <w:rFonts w:hint="eastAsia" w:ascii="宋体" w:hAnsi="宋体" w:eastAsia="宋体" w:cs="宋体"/>
                <w:color w:val="000000"/>
                <w:sz w:val="20"/>
                <w:u w:color="auto"/>
                <w:lang w:eastAsia="zh-CN"/>
              </w:rPr>
              <w:t>第二</w:t>
            </w:r>
            <w:r>
              <w:rPr>
                <w:rFonts w:hint="default" w:ascii="宋体" w:hAnsi="宋体" w:eastAsia="宋体" w:cs="宋体"/>
                <w:color w:val="000000"/>
                <w:sz w:val="20"/>
                <w:u w:color="auto"/>
              </w:rPr>
              <w:t>中学</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default" w:ascii="宋体" w:hAnsi="宋体" w:eastAsia="宋体" w:cs="宋体"/>
                <w:b/>
                <w:bCs/>
                <w:color w:val="000000"/>
                <w:sz w:val="22"/>
                <w:szCs w:val="22"/>
                <w:highlight w:val="none"/>
              </w:rPr>
              <w:t>2</w:t>
            </w:r>
            <w:r>
              <w:rPr>
                <w:rFonts w:hint="eastAsia" w:ascii="宋体" w:hAnsi="宋体" w:eastAsia="宋体" w:cs="宋体"/>
                <w:b/>
                <w:bCs/>
                <w:color w:val="000000"/>
                <w:sz w:val="22"/>
                <w:szCs w:val="22"/>
                <w:highlight w:val="none"/>
                <w:lang w:val="en-US" w:eastAsia="zh-CN"/>
              </w:rPr>
              <w:t>807.23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2077.36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729.87</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其他群众团体事务支出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22.41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22.41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2050203</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初中教育</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2222.81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1532.1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690.71</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2050299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其他普通教育支出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39.06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0.63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38.43</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2050701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特殊学校教育</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0.73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szCs w:val="22"/>
                <w:highlight w:val="none"/>
                <w:lang w:val="en-US" w:eastAsia="zh-CN"/>
              </w:rPr>
            </w:pP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0.73</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201.95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201.95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150.61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150.61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169.66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169.66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w:t>
            </w:r>
            <w:r>
              <w:rPr>
                <w:rFonts w:hint="eastAsia" w:ascii="宋体" w:hAnsi="宋体" w:eastAsia="宋体" w:cs="宋体"/>
                <w:color w:val="000000"/>
                <w:sz w:val="20"/>
                <w:u w:color="auto"/>
                <w:lang w:eastAsia="zh-CN"/>
              </w:rPr>
              <w:t>第二</w:t>
            </w:r>
            <w:r>
              <w:rPr>
                <w:rFonts w:hint="default" w:ascii="宋体" w:hAnsi="宋体" w:eastAsia="宋体" w:cs="宋体"/>
                <w:color w:val="000000"/>
                <w:sz w:val="20"/>
                <w:u w:color="auto"/>
              </w:rPr>
              <w:t>中学</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bookmarkStart w:id="0" w:name="OLE_LINK4"/>
            <w:bookmarkStart w:id="1" w:name="OLE_LINK3"/>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2008.9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default" w:ascii="宋体" w:hAnsi="宋体" w:eastAsia="宋体" w:cs="宋体"/>
                <w:color w:val="000000"/>
                <w:kern w:val="0"/>
                <w:sz w:val="22"/>
                <w:szCs w:val="22"/>
                <w:highlight w:val="none"/>
                <w:lang w:bidi="ar"/>
              </w:rPr>
              <w:t>2</w:t>
            </w:r>
            <w:r>
              <w:rPr>
                <w:rFonts w:hint="eastAsia" w:ascii="宋体" w:hAnsi="宋体" w:eastAsia="宋体" w:cs="宋体"/>
                <w:color w:val="000000"/>
                <w:kern w:val="0"/>
                <w:sz w:val="22"/>
                <w:szCs w:val="22"/>
                <w:highlight w:val="none"/>
                <w:lang w:val="en-US" w:eastAsia="zh-CN" w:bidi="ar"/>
              </w:rPr>
              <w:t>5.56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708.13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62.54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610.63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27.81</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184.09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23.93</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201.95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3.88</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80.96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150.61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42.9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42.65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default" w:ascii="宋体" w:hAnsi="宋体" w:eastAsia="宋体" w:cs="宋体"/>
                <w:color w:val="000000"/>
                <w:kern w:val="0"/>
                <w:sz w:val="22"/>
                <w:szCs w:val="22"/>
                <w:highlight w:val="none"/>
                <w:lang w:bidi="ar"/>
              </w:rPr>
              <w:t>3.</w:t>
            </w:r>
            <w:r>
              <w:rPr>
                <w:rFonts w:hint="eastAsia" w:ascii="宋体" w:hAnsi="宋体" w:eastAsia="宋体" w:cs="宋体"/>
                <w:color w:val="000000"/>
                <w:kern w:val="0"/>
                <w:sz w:val="22"/>
                <w:szCs w:val="22"/>
                <w:highlight w:val="none"/>
                <w:lang w:val="en-US" w:eastAsia="zh-CN" w:bidi="ar"/>
              </w:rPr>
              <w:t>15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default" w:ascii="宋体" w:hAnsi="宋体" w:eastAsia="宋体" w:cs="宋体"/>
                <w:color w:val="000000"/>
                <w:kern w:val="0"/>
                <w:sz w:val="22"/>
                <w:szCs w:val="22"/>
                <w:highlight w:val="none"/>
                <w:lang w:bidi="ar"/>
              </w:rPr>
              <w:t>0.</w:t>
            </w:r>
            <w:r>
              <w:rPr>
                <w:rFonts w:hint="eastAsia" w:ascii="宋体" w:hAnsi="宋体" w:eastAsia="宋体" w:cs="宋体"/>
                <w:color w:val="000000"/>
                <w:kern w:val="0"/>
                <w:sz w:val="22"/>
                <w:szCs w:val="22"/>
                <w:highlight w:val="none"/>
                <w:lang w:val="en-US" w:eastAsia="zh-CN" w:bidi="ar"/>
              </w:rPr>
              <w:t>19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22.41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2051.8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25.56</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w:t>
            </w:r>
            <w:r>
              <w:rPr>
                <w:rFonts w:hint="eastAsia" w:ascii="宋体" w:hAnsi="宋体" w:eastAsia="宋体" w:cs="宋体"/>
                <w:color w:val="000000"/>
                <w:sz w:val="20"/>
                <w:u w:color="auto"/>
                <w:lang w:eastAsia="zh-CN"/>
              </w:rPr>
              <w:t>第二</w:t>
            </w:r>
            <w:r>
              <w:rPr>
                <w:rFonts w:hint="default" w:ascii="宋体" w:hAnsi="宋体" w:eastAsia="宋体" w:cs="宋体"/>
                <w:color w:val="000000"/>
                <w:sz w:val="20"/>
                <w:u w:color="auto"/>
              </w:rPr>
              <w:t>中学</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本部门2022年度没有政府性基金预算财政拨款收入，也没有政府性基金预算财政拨款安排的支出，故本表无数据。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w:t>
            </w:r>
            <w:r>
              <w:rPr>
                <w:rFonts w:hint="eastAsia" w:ascii="宋体" w:hAnsi="宋体" w:eastAsia="宋体" w:cs="宋体"/>
                <w:color w:val="000000"/>
                <w:sz w:val="20"/>
                <w:u w:color="auto"/>
                <w:lang w:eastAsia="zh-CN"/>
              </w:rPr>
              <w:t>第二</w:t>
            </w:r>
            <w:r>
              <w:rPr>
                <w:rFonts w:hint="default" w:ascii="宋体" w:hAnsi="宋体" w:eastAsia="宋体" w:cs="宋体"/>
                <w:color w:val="000000"/>
                <w:sz w:val="20"/>
                <w:u w:color="auto"/>
              </w:rPr>
              <w:t>中学</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2022</w:t>
      </w:r>
      <w:r>
        <w:rPr>
          <w:rFonts w:hint="eastAsia" w:ascii="宋体" w:hAnsi="宋体" w:eastAsia="宋体" w:cs="宋体"/>
          <w:color w:val="000000" w:themeColor="text1"/>
          <w:kern w:val="2"/>
          <w:sz w:val="21"/>
          <w:szCs w:val="21"/>
          <w:lang w:val="en-US" w:eastAsia="zh-CN" w:bidi="ar"/>
          <w14:textFill>
            <w14:solidFill>
              <w14:schemeClr w14:val="tx1"/>
            </w14:solidFill>
          </w14:textFill>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财政拨款“三公”经费支出决算表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w:t>
            </w:r>
            <w:r>
              <w:rPr>
                <w:rFonts w:hint="eastAsia" w:ascii="宋体" w:hAnsi="宋体" w:eastAsia="宋体" w:cs="宋体"/>
                <w:color w:val="000000"/>
                <w:sz w:val="20"/>
                <w:u w:color="auto"/>
                <w:lang w:eastAsia="zh-CN"/>
              </w:rPr>
              <w:t>第二</w:t>
            </w:r>
            <w:r>
              <w:rPr>
                <w:rFonts w:hint="default" w:ascii="宋体" w:hAnsi="宋体" w:eastAsia="宋体" w:cs="宋体"/>
                <w:color w:val="000000"/>
                <w:sz w:val="20"/>
                <w:u w:color="auto"/>
              </w:rPr>
              <w:t>中学</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default"/>
                <w:highlight w:val="none"/>
              </w:rPr>
              <w:t>0.00</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2022</w:t>
            </w:r>
            <w:r>
              <w:rPr>
                <w:rFonts w:hint="eastAsia" w:ascii="宋体" w:hAnsi="宋体" w:eastAsia="宋体" w:cs="宋体"/>
                <w:color w:val="000000" w:themeColor="text1"/>
                <w:kern w:val="2"/>
                <w:sz w:val="21"/>
                <w:szCs w:val="21"/>
                <w:lang w:val="en-US" w:eastAsia="zh-CN" w:bidi="ar"/>
                <w14:textFill>
                  <w14:solidFill>
                    <w14:schemeClr w14:val="tx1"/>
                  </w14:solidFill>
                </w14:textFill>
              </w:rPr>
              <w:t>年度没有财政拨款“三公”经费收入，也没有财政拨款“三公”经费安排的支出，故本表无数据。</w:t>
            </w:r>
            <w:r>
              <w:rPr>
                <w:rFonts w:hint="eastAsia" w:ascii="宋体" w:hAnsi="宋体" w:eastAsia="宋体" w:cs="宋体"/>
                <w:color w:val="FF0000"/>
                <w:kern w:val="2"/>
                <w:sz w:val="21"/>
                <w:szCs w:val="21"/>
                <w:lang w:val="en-US" w:eastAsia="zh-CN" w:bidi="ar"/>
              </w:rPr>
              <w:t xml:space="preserve"> </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w:t>
      </w:r>
      <w:r>
        <w:rPr>
          <w:rFonts w:hint="eastAsia" w:ascii="黑体" w:hAnsi="黑体" w:eastAsia="黑体" w:cs="黑体"/>
          <w:sz w:val="32"/>
          <w:u w:color="auto"/>
          <w:lang w:eastAsia="zh-CN"/>
        </w:rPr>
        <w:t>第二</w:t>
      </w:r>
      <w:r>
        <w:rPr>
          <w:rFonts w:ascii="黑体" w:hAnsi="黑体" w:eastAsia="黑体" w:cs="黑体"/>
          <w:sz w:val="32"/>
          <w:u w:color="auto"/>
        </w:rPr>
        <w:t>中学</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年度总收入</w:t>
      </w:r>
      <w:r>
        <w:rPr>
          <w:rFonts w:hint="eastAsia" w:ascii="仿宋" w:hAnsi="仿宋" w:eastAsia="仿宋" w:cs="仿宋"/>
          <w:sz w:val="32"/>
          <w:u w:color="auto"/>
          <w:lang w:val="en-US" w:eastAsia="zh-CN"/>
        </w:rPr>
        <w:t>2807.23</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2195.79万元</w:t>
      </w:r>
      <w:r>
        <w:rPr>
          <w:rFonts w:ascii="仿宋" w:hAnsi="仿宋" w:eastAsia="仿宋" w:cs="仿宋"/>
          <w:sz w:val="32"/>
          <w:u w:color="auto"/>
        </w:rPr>
        <w:t>增加</w:t>
      </w:r>
      <w:r>
        <w:rPr>
          <w:rFonts w:hint="eastAsia" w:ascii="仿宋" w:hAnsi="仿宋" w:eastAsia="仿宋" w:cs="仿宋"/>
          <w:sz w:val="32"/>
          <w:u w:color="auto"/>
          <w:lang w:val="en-US" w:eastAsia="zh-CN"/>
        </w:rPr>
        <w:t>611.44</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27.85</w:t>
      </w:r>
      <w:r>
        <w:rPr>
          <w:rFonts w:ascii="仿宋" w:hAnsi="仿宋" w:eastAsia="仿宋" w:cs="仿宋"/>
          <w:sz w:val="32"/>
          <w:u w:color="auto"/>
        </w:rPr>
        <w:t>%</w:t>
      </w:r>
      <w:r>
        <w:rPr>
          <w:rFonts w:hint="eastAsia" w:ascii="仿宋" w:hAnsi="仿宋" w:eastAsia="仿宋" w:cs="仿宋"/>
          <w:sz w:val="32"/>
          <w:szCs w:val="32"/>
          <w:highlight w:val="none"/>
        </w:rPr>
        <w:t>。收入具体情况如下。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1.一般公共预算财政拨款收入</w:t>
      </w:r>
      <w:r>
        <w:rPr>
          <w:rFonts w:ascii="仿宋" w:hAnsi="仿宋" w:eastAsia="仿宋" w:cs="仿宋"/>
          <w:sz w:val="32"/>
          <w:u w:color="auto"/>
        </w:rPr>
        <w:t>2</w:t>
      </w:r>
      <w:r>
        <w:rPr>
          <w:rFonts w:hint="eastAsia" w:ascii="仿宋" w:hAnsi="仿宋" w:eastAsia="仿宋" w:cs="仿宋"/>
          <w:sz w:val="32"/>
          <w:u w:color="auto"/>
          <w:lang w:val="en-US" w:eastAsia="zh-CN"/>
        </w:rPr>
        <w:t>807.23</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w:t>
      </w:r>
      <w:r>
        <w:rPr>
          <w:rFonts w:hint="eastAsia" w:ascii="仿宋" w:hAnsi="仿宋" w:eastAsia="仿宋" w:cs="仿宋"/>
          <w:sz w:val="32"/>
          <w:u w:color="auto"/>
          <w:lang w:val="en-US" w:eastAsia="zh-CN"/>
        </w:rPr>
        <w:t>611.44</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增长2</w:t>
      </w:r>
      <w:r>
        <w:rPr>
          <w:rFonts w:hint="eastAsia" w:ascii="仿宋" w:hAnsi="仿宋" w:eastAsia="仿宋" w:cs="仿宋"/>
          <w:sz w:val="32"/>
          <w:u w:color="auto"/>
          <w:lang w:val="en-US" w:eastAsia="zh-CN"/>
        </w:rPr>
        <w:t>7.85</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主要原因：学校学生数增加，教师调入人员增加，补发2022年度的政府绩效奖。</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主要原因：学校</w:t>
      </w:r>
      <w:r>
        <w:rPr>
          <w:rFonts w:hint="eastAsia" w:ascii="仿宋" w:hAnsi="仿宋" w:eastAsia="仿宋" w:cs="仿宋"/>
          <w:color w:val="000000" w:themeColor="text1"/>
          <w:kern w:val="2"/>
          <w:sz w:val="32"/>
          <w:szCs w:val="32"/>
          <w:lang w:val="en-US" w:eastAsia="zh-CN" w:bidi="ar"/>
          <w14:textFill>
            <w14:solidFill>
              <w14:schemeClr w14:val="tx1"/>
            </w14:solidFill>
          </w14:textFill>
        </w:rPr>
        <w:t>没有政府性基金预算财政拨款收入，也没有政府性基金预算财政拨款安排的支出</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主要原因是：本部门</w:t>
      </w:r>
      <w:r>
        <w:rPr>
          <w:rFonts w:hint="eastAsia" w:ascii="仿宋" w:hAnsi="仿宋" w:eastAsia="仿宋" w:cs="仿宋"/>
          <w:color w:val="000000" w:themeColor="text1"/>
          <w:kern w:val="2"/>
          <w:sz w:val="32"/>
          <w:szCs w:val="32"/>
          <w:lang w:val="en-US" w:eastAsia="zh-CN" w:bidi="ar"/>
          <w14:textFill>
            <w14:solidFill>
              <w14:schemeClr w14:val="tx1"/>
            </w14:solidFill>
          </w14:textFill>
        </w:rPr>
        <w:t>没有国有资本经营预算财政拨款收入，也没有国有资本经营预算财政拨款安排的支出。</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万元，为上级部门当年拨付的资金。较2022年度决算数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主要原因是：本单位没有上级补助收入，也没有安排此项支出资金。</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8.其他收入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主要原因是：本单位没有非财政拨款结余。</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10.上年结转和结余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万元，本年度结转结余0万元。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主要原因：本年度所以项目已在本年执行完毕，不需要结转至下年继续执行。</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年度总支出</w:t>
      </w:r>
      <w:r>
        <w:rPr>
          <w:rFonts w:ascii="仿宋" w:hAnsi="仿宋" w:eastAsia="仿宋" w:cs="仿宋"/>
          <w:sz w:val="32"/>
          <w:u w:color="auto"/>
        </w:rPr>
        <w:t>2</w:t>
      </w:r>
      <w:r>
        <w:rPr>
          <w:rFonts w:hint="eastAsia" w:ascii="仿宋" w:hAnsi="仿宋" w:eastAsia="仿宋" w:cs="仿宋"/>
          <w:sz w:val="32"/>
          <w:u w:color="auto"/>
          <w:lang w:val="en-US" w:eastAsia="zh-CN"/>
        </w:rPr>
        <w:t>807.23</w:t>
      </w:r>
      <w:r>
        <w:rPr>
          <w:rFonts w:hint="eastAsia" w:ascii="仿宋" w:hAnsi="仿宋" w:eastAsia="仿宋" w:cs="仿宋"/>
          <w:sz w:val="32"/>
          <w:szCs w:val="32"/>
          <w:highlight w:val="none"/>
        </w:rPr>
        <w:t>万元，其中本年支出</w:t>
      </w:r>
      <w:r>
        <w:rPr>
          <w:rFonts w:ascii="仿宋" w:hAnsi="仿宋" w:eastAsia="仿宋" w:cs="仿宋"/>
          <w:sz w:val="32"/>
          <w:u w:color="auto"/>
        </w:rPr>
        <w:t>2</w:t>
      </w:r>
      <w:r>
        <w:rPr>
          <w:rFonts w:hint="eastAsia" w:ascii="仿宋" w:hAnsi="仿宋" w:eastAsia="仿宋" w:cs="仿宋"/>
          <w:sz w:val="32"/>
          <w:u w:color="auto"/>
          <w:lang w:val="en-US" w:eastAsia="zh-CN"/>
        </w:rPr>
        <w:t>807.23</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2195.79万元</w:t>
      </w:r>
      <w:r>
        <w:rPr>
          <w:rFonts w:ascii="仿宋" w:hAnsi="仿宋" w:eastAsia="仿宋" w:cs="仿宋"/>
          <w:sz w:val="32"/>
          <w:u w:color="auto"/>
        </w:rPr>
        <w:t>增加</w:t>
      </w:r>
      <w:r>
        <w:rPr>
          <w:rFonts w:hint="eastAsia" w:ascii="仿宋" w:hAnsi="仿宋" w:eastAsia="仿宋" w:cs="仿宋"/>
          <w:sz w:val="32"/>
          <w:u w:color="auto"/>
          <w:lang w:val="en-US" w:eastAsia="zh-CN"/>
        </w:rPr>
        <w:t>611.44</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27.85</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22.41</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val="en-US" w:eastAsia="zh-CN"/>
          <w14:textFill>
            <w14:solidFill>
              <w14:schemeClr w14:val="tx1"/>
            </w14:solidFill>
          </w14:textFill>
        </w:rPr>
        <w:t>学校教职工工会开展文体活动经费、重要节假日慰问等支出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18.19万元</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4.22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23.2</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主要原因是：2022年度的学校教职工调入增加，工会委员增加，开展工会活动多。</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教育支出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205</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2262.6</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初中教育</w:t>
      </w:r>
      <w:r>
        <w:rPr>
          <w:rFonts w:hint="eastAsia" w:ascii="仿宋" w:hAnsi="仿宋" w:eastAsia="仿宋" w:cs="仿宋"/>
          <w:color w:val="000000" w:themeColor="text1"/>
          <w:sz w:val="32"/>
          <w:szCs w:val="32"/>
          <w:highlight w:val="none"/>
          <w:lang w:val="en-US" w:eastAsia="zh-CN"/>
          <w14:textFill>
            <w14:solidFill>
              <w14:schemeClr w14:val="tx1"/>
            </w14:solidFill>
          </w14:textFill>
        </w:rPr>
        <w:t>2222.81万元；其他普通教育支出39.06万元。</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1747.36万元</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515.24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29.49</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主要原因是：学生数增多，教职工人数增加，所以支出数增加。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201.95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val="en-US" w:eastAsia="zh-CN"/>
          <w14:textFill>
            <w14:solidFill>
              <w14:schemeClr w14:val="tx1"/>
            </w14:solidFill>
          </w14:textFill>
        </w:rPr>
        <w:t>缴纳教职工的养老保险、医疗保险、失业保险、工伤保险的单位部分资金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140.66万元</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61.29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43.57</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主要原因是：教师调入人数增加，所以这方面的支出也随之增加。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150.61</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val="en-US" w:eastAsia="zh-CN"/>
          <w14:textFill>
            <w14:solidFill>
              <w14:schemeClr w14:val="tx1"/>
            </w14:solidFill>
          </w14:textFill>
        </w:rPr>
        <w:t>缴纳学校教职工的住房公积金单位部分</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106.46</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44.15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41.47</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主要原因是：教师调入人数增加，所以支出增加。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5</w:t>
      </w:r>
      <w:r>
        <w:rPr>
          <w:rFonts w:ascii="仿宋" w:hAnsi="仿宋" w:eastAsia="仿宋" w:cs="仿宋"/>
          <w:sz w:val="32"/>
          <w:u w:color="auto"/>
        </w:rPr>
        <w:t>.</w:t>
      </w:r>
      <w:r>
        <w:rPr>
          <w:rFonts w:hint="eastAsia" w:ascii="仿宋" w:hAnsi="仿宋" w:eastAsia="仿宋" w:cs="仿宋"/>
          <w:sz w:val="32"/>
          <w:szCs w:val="32"/>
          <w:highlight w:val="none"/>
          <w:lang w:bidi="ar"/>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169.66</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val="en-US" w:eastAsia="zh-CN"/>
          <w14:textFill>
            <w14:solidFill>
              <w14:schemeClr w14:val="tx1"/>
            </w14:solidFill>
          </w14:textFill>
        </w:rPr>
        <w:t>发放教职工的绩效考评奖励金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183.12万元</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13.46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7.35</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主要原因是：部分绩效考评奖励金在2022年度预发和有部分到2024年度才清算发放。</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：学校没有结余分配资金。</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ascii="仿宋" w:hAnsi="仿宋" w:eastAsia="仿宋" w:cs="仿宋"/>
          <w:sz w:val="32"/>
          <w:u w:color="auto"/>
        </w:rPr>
        <w:t>增长0%</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主要原因是：学校没有年末结转和结余资金。</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5715" b="571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w:t>
      </w:r>
      <w:bookmarkStart w:id="2" w:name="OLE_LINK1"/>
      <w:r>
        <w:rPr>
          <w:rFonts w:hint="eastAsia" w:ascii="黑体" w:hAnsi="黑体" w:eastAsia="黑体" w:cs="黑体"/>
          <w:sz w:val="32"/>
          <w:szCs w:val="32"/>
          <w:highlight w:val="none"/>
        </w:rPr>
        <w:t>一般公共预算财政拨款支出决算情况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w:t>
      </w:r>
      <w:r>
        <w:rPr>
          <w:rFonts w:hint="eastAsia" w:ascii="仿宋" w:hAnsi="仿宋" w:eastAsia="仿宋" w:cs="仿宋"/>
          <w:sz w:val="32"/>
          <w:szCs w:val="32"/>
          <w:highlight w:val="none"/>
          <w:lang w:eastAsia="zh-CN"/>
        </w:rPr>
        <w:t>第二</w:t>
      </w:r>
      <w:r>
        <w:rPr>
          <w:rFonts w:hint="eastAsia" w:ascii="仿宋" w:hAnsi="仿宋" w:eastAsia="仿宋" w:cs="仿宋"/>
          <w:sz w:val="32"/>
          <w:szCs w:val="32"/>
          <w:highlight w:val="none"/>
        </w:rPr>
        <w:t>中学202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u w:color="auto"/>
          <w:lang w:val="en-US" w:eastAsia="zh-CN"/>
        </w:rPr>
        <w:t>2807.23</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611.44</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27.85</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2077.36</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729.87</w:t>
      </w:r>
      <w:r>
        <w:rPr>
          <w:rFonts w:hint="eastAsia" w:ascii="仿宋" w:hAnsi="仿宋" w:eastAsia="仿宋" w:cs="仿宋"/>
          <w:sz w:val="32"/>
          <w:szCs w:val="32"/>
          <w:highlight w:val="none"/>
        </w:rPr>
        <w:t>万元。</w:t>
      </w:r>
    </w:p>
    <w:p>
      <w:pPr>
        <w:ind w:firstLine="640" w:firstLineChars="200"/>
        <w:jc w:val="left"/>
        <w:rPr>
          <w:rFonts w:ascii="仿宋" w:hAnsi="仿宋" w:eastAsia="仿宋"/>
          <w:sz w:val="32"/>
          <w:szCs w:val="32"/>
          <w:highlight w:val="none"/>
        </w:rPr>
      </w:pPr>
      <w:r>
        <w:rPr>
          <w:rFonts w:hint="eastAsia" w:ascii="仿宋" w:hAnsi="仿宋" w:eastAsia="仿宋" w:cs="仿宋"/>
          <w:sz w:val="32"/>
          <w:szCs w:val="32"/>
          <w:highlight w:val="none"/>
        </w:rPr>
        <w:t>环江毛南族自治县</w:t>
      </w:r>
      <w:r>
        <w:rPr>
          <w:rFonts w:hint="eastAsia" w:ascii="仿宋" w:hAnsi="仿宋" w:eastAsia="仿宋" w:cs="仿宋"/>
          <w:sz w:val="32"/>
          <w:szCs w:val="32"/>
          <w:highlight w:val="none"/>
          <w:lang w:eastAsia="zh-CN"/>
        </w:rPr>
        <w:t>第二</w:t>
      </w:r>
      <w:r>
        <w:rPr>
          <w:rFonts w:hint="eastAsia" w:ascii="仿宋" w:hAnsi="仿宋" w:eastAsia="仿宋" w:cs="仿宋"/>
          <w:sz w:val="32"/>
          <w:szCs w:val="32"/>
          <w:highlight w:val="none"/>
        </w:rPr>
        <w:t>中学202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年度一般公共预算财政拨款支出年初预算为</w:t>
      </w:r>
      <w:r>
        <w:rPr>
          <w:rFonts w:hint="eastAsia" w:ascii="仿宋" w:hAnsi="仿宋" w:eastAsia="仿宋" w:cs="仿宋"/>
          <w:sz w:val="32"/>
          <w:u w:color="auto"/>
          <w:lang w:val="en-US" w:eastAsia="zh-CN"/>
        </w:rPr>
        <w:t>1497.7</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2807.23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完成</w:t>
      </w:r>
      <w:r>
        <w:rPr>
          <w:rFonts w:hint="eastAsia" w:ascii="仿宋" w:hAnsi="仿宋" w:eastAsia="仿宋" w:cs="仿宋"/>
          <w:sz w:val="32"/>
          <w:szCs w:val="32"/>
          <w:highlight w:val="none"/>
        </w:rPr>
        <w:t>年初预算的</w:t>
      </w:r>
      <w:r>
        <w:rPr>
          <w:rFonts w:hint="eastAsia" w:ascii="仿宋" w:hAnsi="仿宋" w:eastAsia="仿宋" w:cs="仿宋"/>
          <w:sz w:val="32"/>
          <w:szCs w:val="32"/>
          <w:highlight w:val="none"/>
          <w:lang w:val="en-US" w:eastAsia="zh-CN"/>
        </w:rPr>
        <w:t>187.44</w:t>
      </w:r>
      <w:r>
        <w:rPr>
          <w:rFonts w:ascii="仿宋" w:hAnsi="仿宋" w:eastAsia="仿宋" w:cs="仿宋"/>
          <w:sz w:val="32"/>
          <w:u w:color="auto"/>
        </w:rPr>
        <w:t>%</w:t>
      </w:r>
      <w:r>
        <w:rPr>
          <w:rFonts w:hint="eastAsia" w:ascii="仿宋" w:hAnsi="仿宋" w:eastAsia="仿宋" w:cs="仿宋"/>
          <w:sz w:val="32"/>
          <w:szCs w:val="32"/>
          <w:highlight w:val="none"/>
        </w:rPr>
        <w:t>。</w:t>
      </w:r>
      <w:bookmarkStart w:id="3" w:name="OLE_LINK2"/>
      <w:bookmarkEnd w:id="3"/>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22.41</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22.41</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原因是：无差异，学校严格按照年初预算安排使用此项资金。</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22.41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22.41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学校教职工工会活动经费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无差异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22.41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22.41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学校教职工工会活动经费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无差异</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教育支出</w:t>
      </w:r>
      <w:r>
        <w:rPr>
          <w:rFonts w:ascii="仿宋" w:hAnsi="仿宋" w:eastAsia="仿宋"/>
          <w:sz w:val="32"/>
          <w:u w:color="auto"/>
        </w:rPr>
        <w:t>（205</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1225.93</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2262.6</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超额</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84.56</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原因是：一是该类支出部分资金上级部门每年都有预算，直接下达，本部门无需做预算，二是教职工调入人员增加，支出增加</w:t>
      </w:r>
      <w:r>
        <w:rPr>
          <w:rFonts w:hint="eastAsia" w:ascii="仿宋" w:hAnsi="仿宋" w:eastAsia="仿宋" w:cs="仿宋"/>
          <w:b/>
          <w:bCs/>
          <w:color w:val="auto"/>
          <w:kern w:val="2"/>
          <w:sz w:val="32"/>
          <w:szCs w:val="32"/>
          <w:highlight w:val="none"/>
          <w:lang w:val="en-US" w:eastAsia="zh-CN" w:bidi="ar"/>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2050203</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初中教育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1225.93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2222.81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181.32%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教职工的工资福利及保学校运转等支出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olor w:val="000000" w:themeColor="text1"/>
                <w:sz w:val="18"/>
                <w:szCs w:val="18"/>
                <w:highlight w:val="none"/>
                <w:lang w:val="en-US" w:eastAsia="zh-CN"/>
                <w14:textFill>
                  <w14:solidFill>
                    <w14:schemeClr w14:val="tx1"/>
                  </w14:solidFill>
                </w14:textFill>
              </w:rPr>
              <w:t>一是该类支出部分资金上级部门每年都有预算，直接下达，本部门无需做预算，二是教职工调入人员增加，支出增</w:t>
            </w:r>
            <w:r>
              <w:rPr>
                <w:rFonts w:hint="eastAsia" w:ascii="仿宋" w:hAnsi="仿宋" w:eastAsia="仿宋"/>
                <w:color w:val="000000" w:themeColor="text1"/>
                <w:sz w:val="21"/>
                <w:szCs w:val="21"/>
                <w:highlight w:val="none"/>
                <w:lang w:val="en-US" w:eastAsia="zh-CN"/>
                <w14:textFill>
                  <w14:solidFill>
                    <w14:schemeClr w14:val="tx1"/>
                  </w14:solidFill>
                </w14:textFill>
              </w:rPr>
              <w:t>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其他普通教育支出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39.06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学校教学活动等支出出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此部分资金上级部门每年都有预算直接下达，本部门无需预算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2050701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特殊学校教育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0.73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教师送教上门差旅支出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tabs>
                <w:tab w:val="left" w:pos="219"/>
              </w:tabs>
              <w:spacing w:before="0" w:beforeAutospacing="0" w:after="0" w:afterAutospacing="0"/>
              <w:ind w:left="0" w:right="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ab/>
            </w:r>
            <w:r>
              <w:rPr>
                <w:rFonts w:hint="eastAsia" w:ascii="宋体" w:hAnsi="宋体" w:eastAsia="宋体" w:cs="宋体"/>
                <w:i w:val="0"/>
                <w:iCs w:val="0"/>
                <w:color w:val="auto"/>
                <w:sz w:val="18"/>
                <w:szCs w:val="18"/>
                <w:highlight w:val="none"/>
                <w:u w:val="none"/>
                <w:lang w:val="en-US" w:eastAsia="zh-CN"/>
              </w:rPr>
              <w:t>此部分资金上级部门每年都有预算直接下达，本部门无需预算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1225.93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2262.6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drawing>
          <wp:inline distT="0" distB="0" distL="114300" distR="114300">
            <wp:extent cx="4980940" cy="3866515"/>
            <wp:effectExtent l="4445" t="4445" r="5715" b="15240"/>
            <wp:docPr id="103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ascii="仿宋" w:hAnsi="仿宋" w:eastAsia="仿宋"/>
          <w:sz w:val="32"/>
          <w:szCs w:val="32"/>
          <w:highlight w:val="none"/>
        </w:rPr>
        <w:t>1</w:t>
      </w:r>
      <w:r>
        <w:rPr>
          <w:rFonts w:hint="eastAsia" w:ascii="仿宋" w:hAnsi="仿宋" w:eastAsia="仿宋"/>
          <w:sz w:val="32"/>
          <w:szCs w:val="32"/>
          <w:highlight w:val="none"/>
          <w:lang w:val="en-US" w:eastAsia="zh-CN"/>
        </w:rPr>
        <w:t>86.72</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201.95</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超额</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108.16</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原因是：由于实际缴纳的基数比年初预算的基数高，教职工调入人员增加，支出也增加。</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186.72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201.95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108.16%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支付学校教职工的基本养老保险金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实际基数比年初预算的基数高，人员增加支出也增加。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186.72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201.95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108.16%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支付学校教职工的基本养老保险金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实际基数比年初预算的基数高，人员增加，支出也增加。</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drawing>
          <wp:inline distT="0" distB="0" distL="114300" distR="114300">
            <wp:extent cx="4980940" cy="2552065"/>
            <wp:effectExtent l="4445" t="4445" r="5715" b="15240"/>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ascii="仿宋" w:hAnsi="仿宋" w:eastAsia="仿宋"/>
          <w:sz w:val="32"/>
          <w:szCs w:val="32"/>
          <w:highlight w:val="none"/>
        </w:rPr>
        <w:t>1</w:t>
      </w:r>
      <w:r>
        <w:rPr>
          <w:rFonts w:hint="eastAsia" w:ascii="仿宋" w:hAnsi="仿宋" w:eastAsia="仿宋"/>
          <w:sz w:val="32"/>
          <w:szCs w:val="32"/>
          <w:highlight w:val="none"/>
          <w:lang w:val="en-US" w:eastAsia="zh-CN"/>
        </w:rPr>
        <w:t>40.04</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150.61</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超额</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107.55</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原因是：实际缴纳公积金的基数比年初预算基数高，人员增加，支出也增加。</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超额完成预算百分比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140.04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150.61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107.55%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支付学校教职工住房公积金单位部分</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实际基数比年初预算的基数高，人员增加，支出也增加。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140.04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150.61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107.55%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支付学校教职工住房公积金单位部分</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实际基数比年初预算的基数高，人员增加，支出也增加。</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drawing>
          <wp:inline distT="0" distB="0" distL="114300" distR="114300">
            <wp:extent cx="4980940" cy="3866515"/>
            <wp:effectExtent l="4445" t="4445" r="5715" b="1524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其他支出</w:t>
      </w:r>
      <w:r>
        <w:rPr>
          <w:rFonts w:ascii="仿宋" w:hAnsi="仿宋" w:eastAsia="仿宋"/>
          <w:sz w:val="32"/>
          <w:u w:color="auto"/>
        </w:rPr>
        <w:t>（229</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ascii="仿宋" w:hAnsi="仿宋" w:eastAsia="仿宋"/>
          <w:sz w:val="32"/>
          <w:szCs w:val="32"/>
          <w:highlight w:val="none"/>
        </w:rPr>
        <w:t>1</w:t>
      </w:r>
      <w:r>
        <w:rPr>
          <w:rFonts w:hint="eastAsia" w:ascii="仿宋" w:hAnsi="仿宋" w:eastAsia="仿宋"/>
          <w:sz w:val="32"/>
          <w:szCs w:val="32"/>
          <w:highlight w:val="none"/>
          <w:lang w:val="en-US" w:eastAsia="zh-CN"/>
        </w:rPr>
        <w:t>69.66</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i w:val="0"/>
          <w:iCs w:val="0"/>
          <w:color w:val="auto"/>
          <w:sz w:val="30"/>
          <w:szCs w:val="30"/>
          <w:highlight w:val="none"/>
          <w:u w:val="none"/>
          <w:lang w:val="en-US" w:eastAsia="zh-CN"/>
        </w:rPr>
        <w:t>此部分资金上级部门每年都有预算直接下达，本部门无需预算</w:t>
      </w:r>
      <w:r>
        <w:rPr>
          <w:rFonts w:hint="eastAsia" w:ascii="仿宋" w:hAnsi="仿宋" w:eastAsia="仿宋"/>
          <w:color w:val="000000" w:themeColor="text1"/>
          <w:sz w:val="32"/>
          <w:szCs w:val="32"/>
          <w:highlight w:val="none"/>
          <w:lang w:val="en-US" w:eastAsia="zh-CN"/>
          <w14:textFill>
            <w14:solidFill>
              <w14:schemeClr w14:val="tx1"/>
            </w14:solidFill>
          </w14:textFill>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169.66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用于支付2023年度绩效考评奖励金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此部分资金上级部门每年都有预算直接下达，本部门无需预算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169.66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用于支付2023年度绩效考评奖励金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此部分资金上级部门每年都有预算直接下达，本部门无需预算</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drawing>
          <wp:inline distT="0" distB="0" distL="114300" distR="114300">
            <wp:extent cx="4904740" cy="3475990"/>
            <wp:effectExtent l="4445" t="4445" r="5715" b="5715"/>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w:t>
      </w:r>
      <w:r>
        <w:rPr>
          <w:rFonts w:hint="eastAsia" w:ascii="仿宋" w:hAnsi="仿宋" w:eastAsia="仿宋" w:cs="仿宋"/>
          <w:sz w:val="32"/>
          <w:szCs w:val="32"/>
          <w:highlight w:val="none"/>
          <w:lang w:eastAsia="zh-CN"/>
        </w:rPr>
        <w:t>第二</w:t>
      </w:r>
      <w:r>
        <w:rPr>
          <w:rFonts w:hint="eastAsia" w:ascii="仿宋" w:hAnsi="仿宋" w:eastAsia="仿宋" w:cs="仿宋"/>
          <w:sz w:val="32"/>
          <w:szCs w:val="32"/>
          <w:highlight w:val="none"/>
        </w:rPr>
        <w:t>中学202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szCs w:val="32"/>
          <w:highlight w:val="none"/>
          <w:lang w:val="en-US" w:eastAsia="zh-CN"/>
        </w:rPr>
        <w:t>2077.36</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2051.8</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25.56</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szCs w:val="32"/>
          <w:highlight w:val="none"/>
          <w:lang w:val="en-US" w:eastAsia="zh-CN"/>
        </w:rPr>
        <w:t>2008.9</w:t>
      </w:r>
      <w:r>
        <w:rPr>
          <w:rFonts w:ascii="仿宋" w:hAnsi="仿宋" w:eastAsia="仿宋" w:cs="仿宋"/>
          <w:sz w:val="32"/>
          <w:u w:color="auto"/>
        </w:rPr>
        <w:t>万元，</w:t>
      </w:r>
      <w:r>
        <w:rPr>
          <w:rFonts w:hint="eastAsia" w:ascii="仿宋" w:hAnsi="仿宋" w:eastAsia="仿宋" w:cs="仿宋"/>
          <w:sz w:val="32"/>
          <w:u w:color="auto"/>
          <w:lang w:eastAsia="zh-CN"/>
        </w:rPr>
        <w:t>超额</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1396.03万元</w:t>
      </w:r>
      <w:r>
        <w:rPr>
          <w:rFonts w:hint="default" w:ascii="仿宋_GB2312" w:hAnsi="微软雅黑" w:eastAsia="仿宋_GB2312" w:cs="仿宋_GB2312"/>
          <w:i w:val="0"/>
          <w:iCs w:val="0"/>
          <w:caps w:val="0"/>
          <w:color w:val="000000"/>
          <w:spacing w:val="0"/>
          <w:sz w:val="31"/>
          <w:szCs w:val="31"/>
          <w:highlight w:val="none"/>
          <w:shd w:val="clear" w:color="auto" w:fill="FFFFFF"/>
        </w:rPr>
        <w:t>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143.9</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主要原因是：教师调入，人员增加，支出增加。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708.13万元，30102津贴补贴62.54万元，30103奖金610.63万元，30107绩效工资184.09万元，30108机关事业单位基本养老保险缴费201.95万元，30110职工基本医疗保险缴费80.96万元，30112其他社会保障缴费10万元，30113住房公积金150.61万元。</w:t>
      </w:r>
    </w:p>
    <w:p>
      <w:pPr>
        <w:jc w:val="center"/>
        <w:rPr>
          <w:rFonts w:hint="eastAsia" w:ascii="仿宋" w:hAnsi="仿宋" w:eastAsia="仿宋" w:cs="仿宋"/>
          <w:sz w:val="32"/>
          <w:szCs w:val="32"/>
          <w:highlight w:val="none"/>
        </w:rPr>
      </w:pPr>
      <w:r>
        <w:drawing>
          <wp:inline distT="0" distB="0" distL="114300" distR="114300">
            <wp:extent cx="4781550" cy="2962910"/>
            <wp:effectExtent l="4445" t="4445" r="14605" b="23495"/>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商品和服务支出</w:t>
      </w:r>
      <w:r>
        <w:rPr>
          <w:rFonts w:hint="eastAsia" w:ascii="仿宋" w:hAnsi="仿宋" w:eastAsia="仿宋" w:cs="仿宋"/>
          <w:sz w:val="32"/>
          <w:szCs w:val="32"/>
          <w:highlight w:val="none"/>
          <w:lang w:val="en-US" w:eastAsia="zh-CN"/>
        </w:rPr>
        <w:t>25.56</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22.42万元</w:t>
      </w:r>
      <w:r>
        <w:rPr>
          <w:rFonts w:hint="default" w:ascii="仿宋_GB2312" w:hAnsi="微软雅黑" w:eastAsia="仿宋_GB2312" w:cs="仿宋_GB2312"/>
          <w:i w:val="0"/>
          <w:iCs w:val="0"/>
          <w:caps w:val="0"/>
          <w:color w:val="000000"/>
          <w:spacing w:val="0"/>
          <w:sz w:val="31"/>
          <w:szCs w:val="31"/>
          <w:highlight w:val="none"/>
          <w:shd w:val="clear" w:color="auto" w:fill="FFFFFF"/>
        </w:rPr>
        <w:t>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114.01</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主要原因是：2023年度商品和服务支出年初预算没有劳务费这项支出预算，但实际有这项支出安排3.15万元。</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30226劳务费3.15万元，30228工会经费22.41万元。</w:t>
      </w:r>
    </w:p>
    <w:p>
      <w:pPr>
        <w:jc w:val="center"/>
        <w:rPr>
          <w:rFonts w:hint="eastAsia" w:ascii="仿宋" w:hAnsi="仿宋" w:eastAsia="仿宋" w:cs="仿宋"/>
          <w:sz w:val="32"/>
          <w:szCs w:val="32"/>
          <w:highlight w:val="none"/>
        </w:rPr>
      </w:pPr>
      <w:r>
        <w:drawing>
          <wp:inline distT="0" distB="0" distL="114300" distR="114300">
            <wp:extent cx="4418965" cy="2533650"/>
            <wp:effectExtent l="4445" t="4445" r="15240" b="14605"/>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szCs w:val="32"/>
          <w:highlight w:val="none"/>
          <w:lang w:val="en-US" w:eastAsia="zh-CN"/>
        </w:rPr>
        <w:t>42.9</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21.81万元</w:t>
      </w:r>
      <w:r>
        <w:rPr>
          <w:rFonts w:hint="default" w:ascii="仿宋_GB2312" w:hAnsi="微软雅黑" w:eastAsia="仿宋_GB2312" w:cs="仿宋_GB2312"/>
          <w:i w:val="0"/>
          <w:iCs w:val="0"/>
          <w:caps w:val="0"/>
          <w:color w:val="000000"/>
          <w:spacing w:val="0"/>
          <w:sz w:val="31"/>
          <w:szCs w:val="31"/>
          <w:highlight w:val="none"/>
          <w:shd w:val="clear" w:color="auto" w:fill="FFFFFF"/>
        </w:rPr>
        <w:t>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196.7</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主要原因是：2023年度有退休人员、遗属人员增加。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30305生活补助42.65万元，30307医疗费补助0.19万元，30399其他对个人和家庭的补助0.05万元。</w:t>
      </w:r>
    </w:p>
    <w:p>
      <w:pPr>
        <w:jc w:val="center"/>
        <w:rPr>
          <w:rFonts w:hint="eastAsia" w:ascii="仿宋" w:hAnsi="仿宋" w:eastAsia="仿宋" w:cs="仿宋"/>
          <w:sz w:val="32"/>
          <w:szCs w:val="32"/>
          <w:highlight w:val="none"/>
        </w:rPr>
      </w:pPr>
      <w:r>
        <w:drawing>
          <wp:inline distT="0" distB="0" distL="114300" distR="114300">
            <wp:extent cx="4980940" cy="3866515"/>
            <wp:effectExtent l="4445" t="4445" r="5715" b="15240"/>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主要原因是：学校无债务利息及费用资金。</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hint="eastAsia" w:ascii="仿宋" w:hAnsi="仿宋" w:eastAsia="仿宋" w:cs="仿宋"/>
          <w:sz w:val="32"/>
          <w:szCs w:val="32"/>
          <w:highlight w:val="none"/>
          <w:lang w:val="en-US" w:eastAsia="zh-CN"/>
        </w:rPr>
        <w:t>0</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主要原因是：学校严格按照年初预算安排使用该项资金。</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31002办公设备购置0万元，31003专用设备购置0万元。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312920" cy="2644140"/>
            <wp:effectExtent l="4445" t="4445" r="6985"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主要原因是：学校没有其他支出资金安排。</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both"/>
        <w:rPr>
          <w:rFonts w:hint="eastAsia"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w:t>
      </w:r>
      <w:r>
        <w:rPr>
          <w:rFonts w:hint="eastAsia" w:ascii="仿宋" w:hAnsi="仿宋" w:eastAsia="仿宋" w:cs="仿宋"/>
          <w:sz w:val="32"/>
          <w:szCs w:val="32"/>
          <w:highlight w:val="none"/>
          <w:lang w:eastAsia="zh-CN"/>
        </w:rPr>
        <w:t>第二</w:t>
      </w:r>
      <w:r>
        <w:rPr>
          <w:rFonts w:hint="eastAsia" w:ascii="仿宋" w:hAnsi="仿宋" w:eastAsia="仿宋" w:cs="仿宋"/>
          <w:sz w:val="32"/>
          <w:szCs w:val="32"/>
          <w:highlight w:val="none"/>
        </w:rPr>
        <w:t>中学202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w:t>
      </w:r>
      <w:r>
        <w:rPr>
          <w:rFonts w:hint="eastAsia" w:ascii="仿宋" w:hAnsi="仿宋" w:eastAsia="仿宋" w:cs="仿宋"/>
          <w:sz w:val="32"/>
          <w:szCs w:val="32"/>
          <w:highlight w:val="none"/>
          <w:lang w:eastAsia="zh-CN"/>
        </w:rPr>
        <w:t>第二</w:t>
      </w:r>
      <w:r>
        <w:rPr>
          <w:rFonts w:hint="eastAsia" w:ascii="仿宋" w:hAnsi="仿宋" w:eastAsia="仿宋" w:cs="仿宋"/>
          <w:sz w:val="32"/>
          <w:szCs w:val="32"/>
          <w:highlight w:val="none"/>
        </w:rPr>
        <w:t>中学202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_GB2312" w:hAnsi="Times New Roman" w:eastAsia="仿宋_GB2312" w:cs="Times New Roman"/>
          <w:color w:val="FF0000"/>
          <w:sz w:val="32"/>
          <w:szCs w:val="32"/>
          <w:lang w:eastAsia="zh-CN"/>
        </w:rPr>
      </w:pPr>
      <w:r>
        <w:rPr>
          <w:rFonts w:hint="eastAsia" w:ascii="仿宋_GB2312" w:hAnsi="Times New Roman" w:eastAsia="仿宋_GB2312" w:cs="Times New Roman"/>
          <w:color w:val="000000" w:themeColor="text1"/>
          <w:sz w:val="32"/>
          <w:szCs w:val="32"/>
          <w14:textFill>
            <w14:solidFill>
              <w14:schemeClr w14:val="tx1"/>
            </w14:solidFill>
          </w14:textFill>
        </w:rPr>
        <w:t>环江毛南族自治县</w:t>
      </w:r>
      <w:r>
        <w:rPr>
          <w:rFonts w:hint="eastAsia" w:ascii="仿宋_GB2312" w:hAnsi="Times New Roman" w:eastAsia="仿宋_GB2312" w:cs="Times New Roman"/>
          <w:color w:val="000000" w:themeColor="text1"/>
          <w:sz w:val="32"/>
          <w:szCs w:val="32"/>
          <w:lang w:eastAsia="zh-CN"/>
          <w14:textFill>
            <w14:solidFill>
              <w14:schemeClr w14:val="tx1"/>
            </w14:solidFill>
          </w14:textFill>
        </w:rPr>
        <w:t>第二</w:t>
      </w:r>
      <w:r>
        <w:rPr>
          <w:rFonts w:hint="eastAsia" w:ascii="仿宋_GB2312" w:hAnsi="Times New Roman" w:eastAsia="仿宋_GB2312" w:cs="Times New Roman"/>
          <w:color w:val="000000" w:themeColor="text1"/>
          <w:sz w:val="32"/>
          <w:szCs w:val="32"/>
          <w14:textFill>
            <w14:solidFill>
              <w14:schemeClr w14:val="tx1"/>
            </w14:solidFill>
          </w14:textFill>
        </w:rPr>
        <w:t>中学</w:t>
      </w:r>
      <w:r>
        <w:rPr>
          <w:rFonts w:ascii="仿宋_GB2312" w:hAnsi="仿宋_GB2312" w:eastAsia="仿宋_GB2312" w:cs="仿宋_GB2312"/>
          <w:color w:val="000000" w:themeColor="text1"/>
          <w:sz w:val="32"/>
          <w:u w:color="auto"/>
          <w14:textFill>
            <w14:solidFill>
              <w14:schemeClr w14:val="tx1"/>
            </w14:solidFill>
          </w14:textFill>
        </w:rPr>
        <w:t>没有政府性基金收入，也没有政府性基金收入安排的支出</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p>
    <w:p>
      <w:pPr>
        <w:ind w:firstLine="640" w:firstLineChars="200"/>
        <w:jc w:val="left"/>
        <w:rPr>
          <w:rFonts w:hint="eastAsia" w:ascii="仿宋_GB2312" w:hAnsi="Times New Roman" w:eastAsia="仿宋_GB2312" w:cs="Times New Roman"/>
          <w:color w:val="FF0000"/>
          <w:sz w:val="32"/>
          <w:szCs w:val="32"/>
          <w:lang w:eastAsia="zh-CN"/>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w:t>
      </w:r>
      <w:r>
        <w:rPr>
          <w:rFonts w:hint="eastAsia" w:ascii="仿宋" w:hAnsi="仿宋" w:eastAsia="仿宋" w:cs="仿宋"/>
          <w:sz w:val="32"/>
          <w:szCs w:val="32"/>
          <w:highlight w:val="none"/>
          <w:lang w:eastAsia="zh-CN"/>
        </w:rPr>
        <w:t>第二</w:t>
      </w:r>
      <w:r>
        <w:rPr>
          <w:rFonts w:hint="eastAsia" w:ascii="仿宋" w:hAnsi="仿宋" w:eastAsia="仿宋" w:cs="仿宋"/>
          <w:sz w:val="32"/>
          <w:szCs w:val="32"/>
          <w:highlight w:val="none"/>
        </w:rPr>
        <w:t>中学202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w:t>
      </w:r>
      <w:r>
        <w:rPr>
          <w:rFonts w:hint="eastAsia" w:ascii="仿宋" w:hAnsi="仿宋" w:eastAsia="仿宋" w:cs="仿宋"/>
          <w:sz w:val="32"/>
          <w:szCs w:val="32"/>
          <w:highlight w:val="none"/>
          <w:lang w:eastAsia="zh-CN"/>
        </w:rPr>
        <w:t>第二</w:t>
      </w:r>
      <w:r>
        <w:rPr>
          <w:rFonts w:hint="eastAsia" w:ascii="仿宋" w:hAnsi="仿宋" w:eastAsia="仿宋" w:cs="仿宋"/>
          <w:sz w:val="32"/>
          <w:szCs w:val="32"/>
          <w:highlight w:val="none"/>
        </w:rPr>
        <w:t>中学2022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sz w:val="32"/>
          <w:szCs w:val="32"/>
          <w:highlight w:val="none"/>
        </w:rPr>
      </w:pPr>
      <w:bookmarkStart w:id="4" w:name="PO_part3A5B1C1DiffReason1"/>
      <w:r>
        <w:rPr>
          <w:rFonts w:hint="eastAsia" w:ascii="仿宋_GB2312" w:hAnsi="Times New Roman" w:eastAsia="仿宋_GB2312" w:cs="Times New Roman"/>
          <w:color w:val="000000" w:themeColor="text1"/>
          <w:sz w:val="32"/>
          <w:szCs w:val="32"/>
          <w14:textFill>
            <w14:solidFill>
              <w14:schemeClr w14:val="tx1"/>
            </w14:solidFill>
          </w14:textFill>
        </w:rPr>
        <w:t>环江毛南族自治县</w:t>
      </w:r>
      <w:r>
        <w:rPr>
          <w:rFonts w:hint="eastAsia" w:ascii="仿宋_GB2312" w:hAnsi="Times New Roman" w:eastAsia="仿宋_GB2312" w:cs="Times New Roman"/>
          <w:color w:val="000000" w:themeColor="text1"/>
          <w:sz w:val="32"/>
          <w:szCs w:val="32"/>
          <w:lang w:eastAsia="zh-CN"/>
          <w14:textFill>
            <w14:solidFill>
              <w14:schemeClr w14:val="tx1"/>
            </w14:solidFill>
          </w14:textFill>
        </w:rPr>
        <w:t>第二</w:t>
      </w:r>
      <w:r>
        <w:rPr>
          <w:rFonts w:hint="eastAsia" w:ascii="仿宋_GB2312" w:hAnsi="Times New Roman" w:eastAsia="仿宋_GB2312" w:cs="Times New Roman"/>
          <w:color w:val="000000" w:themeColor="text1"/>
          <w:sz w:val="32"/>
          <w:szCs w:val="32"/>
          <w14:textFill>
            <w14:solidFill>
              <w14:schemeClr w14:val="tx1"/>
            </w14:solidFill>
          </w14:textFill>
        </w:rPr>
        <w:t>中学</w:t>
      </w:r>
      <w:r>
        <w:rPr>
          <w:rFonts w:ascii="仿宋_GB2312" w:hAnsi="仿宋_GB2312" w:eastAsia="仿宋_GB2312" w:cs="仿宋_GB2312"/>
          <w:color w:val="000000" w:themeColor="text1"/>
          <w:sz w:val="32"/>
          <w:u w:color="auto"/>
          <w14:textFill>
            <w14:solidFill>
              <w14:schemeClr w14:val="tx1"/>
            </w14:solidFill>
          </w14:textFill>
        </w:rPr>
        <w:t>没有国有资本经营预算收入，也没有国有资本经营预算收入</w:t>
      </w:r>
      <w:r>
        <w:rPr>
          <w:rFonts w:hint="eastAsia" w:ascii="仿宋_GB2312" w:hAnsi="Times New Roman" w:eastAsia="仿宋_GB2312" w:cs="Times New Roman"/>
          <w:color w:val="000000" w:themeColor="text1"/>
          <w:sz w:val="32"/>
          <w:szCs w:val="32"/>
          <w14:textFill>
            <w14:solidFill>
              <w14:schemeClr w14:val="tx1"/>
            </w14:solidFill>
          </w14:textFill>
        </w:rPr>
        <w:t>安排的支出</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bookmarkEnd w:id="4"/>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六、财政拨款“三公”经费支出决算情况说明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年预算财政拨款安排的“三公”经费支出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学校严格执行环江毛南族自治县“三公”经费的管理规定，严格控制“三公”经费支出。</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学校严格执行环江毛南族自治县“因公出国（境）”的管理规定，严格控制“因公出国（境）”经费支出。</w:t>
      </w:r>
      <w:r>
        <w:rPr>
          <w:rFonts w:hint="eastAsia" w:ascii="仿宋" w:hAnsi="仿宋" w:eastAsia="仿宋" w:cs="仿宋"/>
          <w:sz w:val="32"/>
          <w:szCs w:val="32"/>
          <w:highlight w:val="none"/>
        </w:rPr>
        <w:t>全年因公出国（境）团组共计</w:t>
      </w:r>
      <w:r>
        <w:rPr>
          <w:rFonts w:ascii="仿宋" w:hAnsi="仿宋" w:eastAsia="仿宋" w:cs="仿宋"/>
          <w:sz w:val="32"/>
          <w:szCs w:val="32"/>
          <w:highlight w:val="none"/>
        </w:rPr>
        <w:t>0</w:t>
      </w:r>
      <w:r>
        <w:rPr>
          <w:rFonts w:hint="eastAsia" w:ascii="仿宋" w:hAnsi="仿宋" w:eastAsia="仿宋" w:cs="仿宋"/>
          <w:sz w:val="32"/>
          <w:szCs w:val="32"/>
          <w:highlight w:val="none"/>
        </w:rPr>
        <w:t>个，累计</w:t>
      </w:r>
      <w:r>
        <w:rPr>
          <w:rFonts w:ascii="仿宋" w:hAnsi="仿宋" w:eastAsia="仿宋" w:cs="仿宋"/>
          <w:sz w:val="32"/>
          <w:szCs w:val="32"/>
          <w:highlight w:val="none"/>
        </w:rPr>
        <w:t>0</w:t>
      </w:r>
      <w:r>
        <w:rPr>
          <w:rFonts w:hint="eastAsia" w:ascii="仿宋" w:hAnsi="仿宋" w:eastAsia="仿宋" w:cs="仿宋"/>
          <w:sz w:val="32"/>
          <w:szCs w:val="32"/>
          <w:highlight w:val="none"/>
        </w:rPr>
        <w:t>人次。</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r>
        <w:rPr>
          <w:rFonts w:hint="eastAsia" w:ascii="仿宋" w:hAnsi="仿宋" w:eastAsia="仿宋" w:cs="仿宋"/>
          <w:color w:val="auto"/>
          <w:kern w:val="2"/>
          <w:sz w:val="32"/>
          <w:szCs w:val="32"/>
          <w:highlight w:val="none"/>
          <w:lang w:val="en-US" w:eastAsia="zh-CN" w:bidi="ar"/>
        </w:rPr>
        <w:t>学校严格执行环江毛南族自治县“公务车购置及运行”的管理规定，严格控制“公务车购置及运行”经费支出。</w:t>
      </w:r>
      <w:r>
        <w:rPr>
          <w:rFonts w:hint="eastAsia" w:ascii="仿宋" w:hAnsi="仿宋" w:eastAsia="仿宋" w:cs="仿宋"/>
          <w:sz w:val="32"/>
          <w:szCs w:val="32"/>
          <w:highlight w:val="none"/>
        </w:rPr>
        <w:t>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w:t>
      </w:r>
    </w:p>
    <w:p>
      <w:pPr>
        <w:ind w:firstLine="640" w:firstLineChars="2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ascii="仿宋" w:hAnsi="仿宋" w:eastAsia="仿宋" w:cs="仿宋"/>
          <w:sz w:val="32"/>
          <w:u w:color="auto"/>
        </w:rPr>
        <w:t>环江毛南族自治县</w:t>
      </w:r>
      <w:r>
        <w:rPr>
          <w:rFonts w:hint="eastAsia" w:ascii="仿宋" w:hAnsi="仿宋" w:eastAsia="仿宋" w:cs="仿宋"/>
          <w:sz w:val="32"/>
          <w:u w:color="auto"/>
          <w:lang w:eastAsia="zh-CN"/>
        </w:rPr>
        <w:t>第二</w:t>
      </w:r>
      <w:r>
        <w:rPr>
          <w:rFonts w:ascii="仿宋" w:hAnsi="仿宋" w:eastAsia="仿宋" w:cs="仿宋"/>
          <w:sz w:val="32"/>
          <w:u w:color="auto"/>
        </w:rPr>
        <w:t>中学</w:t>
      </w:r>
      <w:r>
        <w:rPr>
          <w:rFonts w:hint="eastAsia" w:ascii="仿宋" w:hAnsi="仿宋" w:eastAsia="仿宋" w:cs="仿宋"/>
          <w:sz w:val="32"/>
          <w:szCs w:val="32"/>
          <w:highlight w:val="none"/>
        </w:rPr>
        <w:t>开支财政拨款的公务用车保有量为</w:t>
      </w:r>
      <w:r>
        <w:rPr>
          <w:rFonts w:ascii="仿宋" w:hAnsi="仿宋" w:eastAsia="仿宋" w:cs="仿宋"/>
          <w:sz w:val="32"/>
          <w:u w:color="auto"/>
        </w:rPr>
        <w:t>0</w:t>
      </w:r>
      <w:r>
        <w:rPr>
          <w:rFonts w:hint="eastAsia" w:ascii="仿宋" w:hAnsi="仿宋" w:eastAsia="仿宋" w:cs="仿宋"/>
          <w:sz w:val="32"/>
          <w:szCs w:val="32"/>
          <w:highlight w:val="none"/>
        </w:rPr>
        <w:t>辆，全年运行费支出</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auto"/>
          <w:kern w:val="2"/>
          <w:sz w:val="32"/>
          <w:szCs w:val="32"/>
          <w:highlight w:val="none"/>
          <w:lang w:val="en-US" w:eastAsia="zh-CN" w:bidi="ar"/>
        </w:rPr>
        <w:t>学校严格执行环江毛南族自治县“公务接待”的管理规定，严格控制“公务接待”经费支出。</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年度机关运行经费支出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比</w:t>
      </w:r>
      <w:r>
        <w:rPr>
          <w:rFonts w:hint="eastAsia" w:ascii="仿宋" w:hAnsi="仿宋" w:eastAsia="仿宋" w:cs="仿宋"/>
          <w:sz w:val="32"/>
          <w:szCs w:val="32"/>
          <w:highlight w:val="none"/>
          <w:lang w:val="en-US" w:eastAsia="zh-CN"/>
        </w:rPr>
        <w:t>2022年度减少了0万元，降低0%。减少的主要原因是：学校严格执行贯彻中央八项规定精神，减少行政运行成本。</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年度政府采购支出总额</w:t>
      </w:r>
      <w:r>
        <w:rPr>
          <w:rFonts w:ascii="仿宋" w:hAnsi="仿宋" w:eastAsia="仿宋" w:cs="仿宋"/>
          <w:sz w:val="32"/>
          <w:szCs w:val="32"/>
          <w:highlight w:val="none"/>
        </w:rPr>
        <w:t>0.00</w:t>
      </w:r>
      <w:r>
        <w:rPr>
          <w:rFonts w:hint="eastAsia" w:ascii="仿宋" w:hAnsi="仿宋" w:eastAsia="仿宋" w:cs="仿宋"/>
          <w:sz w:val="32"/>
          <w:szCs w:val="32"/>
          <w:highlight w:val="none"/>
        </w:rPr>
        <w:t>万元，其中：政府采购货物支出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18</w:t>
      </w:r>
      <w:r>
        <w:rPr>
          <w:rFonts w:hint="eastAsia" w:ascii="仿宋" w:hAnsi="仿宋" w:eastAsia="仿宋" w:cs="仿宋"/>
          <w:color w:val="000000" w:themeColor="text1"/>
          <w:sz w:val="32"/>
          <w:szCs w:val="32"/>
          <w14:textFill>
            <w14:solidFill>
              <w14:schemeClr w14:val="tx1"/>
            </w14:solidFill>
          </w14:textFill>
        </w:rPr>
        <w:t>个，二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0个，</w:t>
      </w:r>
      <w:r>
        <w:rPr>
          <w:rFonts w:hint="eastAsia" w:ascii="仿宋" w:hAnsi="仿宋" w:eastAsia="仿宋" w:cs="仿宋"/>
          <w:color w:val="000000" w:themeColor="text1"/>
          <w:sz w:val="32"/>
          <w:szCs w:val="32"/>
          <w14:textFill>
            <w14:solidFill>
              <w14:schemeClr w14:val="tx1"/>
            </w14:solidFill>
          </w14:textFill>
        </w:rPr>
        <w:t>共涉及资</w:t>
      </w:r>
      <w:r>
        <w:rPr>
          <w:rFonts w:hint="eastAsia" w:ascii="仿宋" w:hAnsi="仿宋" w:eastAsia="仿宋" w:cs="仿宋"/>
          <w:color w:val="000000" w:themeColor="text1"/>
          <w:sz w:val="32"/>
          <w:szCs w:val="32"/>
          <w:lang w:eastAsia="zh-CN"/>
          <w14:textFill>
            <w14:solidFill>
              <w14:schemeClr w14:val="tx1"/>
            </w14:solidFill>
          </w14:textFill>
        </w:rPr>
        <w:t>金</w:t>
      </w:r>
      <w:r>
        <w:rPr>
          <w:rFonts w:hint="eastAsia" w:ascii="仿宋" w:hAnsi="仿宋" w:eastAsia="仿宋" w:cs="仿宋"/>
          <w:color w:val="000000" w:themeColor="text1"/>
          <w:sz w:val="32"/>
          <w:szCs w:val="32"/>
          <w:lang w:val="en-US" w:eastAsia="zh-CN"/>
          <w14:textFill>
            <w14:solidFill>
              <w14:schemeClr w14:val="tx1"/>
            </w14:solidFill>
          </w14:textFill>
        </w:rPr>
        <w:t>1065.93</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37.97</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一般公共服务支出</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21</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1065.93</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万元，国有资本经营预算支出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color w:val="000000" w:themeColor="text1"/>
          <w:sz w:val="32"/>
          <w:szCs w:val="32"/>
          <w:lang w:eastAsia="zh-CN"/>
          <w14:textFill>
            <w14:solidFill>
              <w14:schemeClr w14:val="tx1"/>
            </w14:solidFill>
          </w14:textFill>
        </w:rPr>
        <w:t>：</w:t>
      </w:r>
    </w:p>
    <w:p>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）根据财政预算管理要求，</w:t>
      </w:r>
      <w:r>
        <w:rPr>
          <w:rFonts w:hint="eastAsia" w:ascii="仿宋" w:hAnsi="仿宋" w:eastAsia="仿宋" w:cs="仿宋"/>
          <w:color w:val="auto"/>
          <w:sz w:val="32"/>
          <w:szCs w:val="32"/>
          <w:lang w:val="en-US" w:eastAsia="zh-CN"/>
        </w:rPr>
        <w:t>2023年我校预算绩效评价达到了项目申请时的各项绩效目标。</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）本部门尚未开展部门整体支出绩效评价试点工作。</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2.部门决算中项目绩效自评结果</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我部门根据年初设定的绩效目标，</w:t>
      </w:r>
      <w:r>
        <w:rPr>
          <w:rFonts w:hint="eastAsia" w:ascii="仿宋" w:hAnsi="仿宋" w:eastAsia="仿宋" w:cs="仿宋"/>
          <w:color w:val="000000" w:themeColor="text1"/>
          <w:sz w:val="32"/>
          <w:szCs w:val="32"/>
          <w:lang w:eastAsia="zh-CN"/>
          <w14:textFill>
            <w14:solidFill>
              <w14:schemeClr w14:val="tx1"/>
            </w14:solidFill>
          </w14:textFill>
        </w:rPr>
        <w:t>对（</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）顶岗教师工资、（</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）义务教育阶段家庭经济困难学生生活自治区补助资金、（</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）党建工作经费、（</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）教师节经费、（</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）奖励性补贴（非三保）、（</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lang w:eastAsia="zh-CN"/>
          <w14:textFill>
            <w14:solidFill>
              <w14:schemeClr w14:val="tx1"/>
            </w14:solidFill>
          </w14:textFill>
        </w:rPr>
        <w:t>）奖励性补贴、（</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lang w:eastAsia="zh-CN"/>
          <w14:textFill>
            <w14:solidFill>
              <w14:schemeClr w14:val="tx1"/>
            </w14:solidFill>
          </w14:textFill>
        </w:rPr>
        <w:t>）公用经费（特教）自治区补助、（</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lang w:eastAsia="zh-CN"/>
          <w14:textFill>
            <w14:solidFill>
              <w14:schemeClr w14:val="tx1"/>
            </w14:solidFill>
          </w14:textFill>
        </w:rPr>
        <w:t>）第二班及壮文经费、（</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lang w:eastAsia="zh-CN"/>
          <w14:textFill>
            <w14:solidFill>
              <w14:schemeClr w14:val="tx1"/>
            </w14:solidFill>
          </w14:textFill>
        </w:rPr>
        <w:t>）环江第二初级中学生活老师补助经费、（</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lang w:eastAsia="zh-CN"/>
          <w14:textFill>
            <w14:solidFill>
              <w14:schemeClr w14:val="tx1"/>
            </w14:solidFill>
          </w14:textFill>
        </w:rPr>
        <w:t>）营养改善计划膳食补助资金、（</w:t>
      </w:r>
      <w:r>
        <w:rPr>
          <w:rFonts w:hint="eastAsia" w:ascii="仿宋" w:hAnsi="仿宋" w:eastAsia="仿宋" w:cs="仿宋"/>
          <w:color w:val="000000" w:themeColor="text1"/>
          <w:sz w:val="32"/>
          <w:szCs w:val="32"/>
          <w:lang w:val="en-US" w:eastAsia="zh-CN"/>
          <w14:textFill>
            <w14:solidFill>
              <w14:schemeClr w14:val="tx1"/>
            </w14:solidFill>
          </w14:textFill>
        </w:rPr>
        <w:t>11</w:t>
      </w:r>
      <w:r>
        <w:rPr>
          <w:rFonts w:hint="eastAsia" w:ascii="仿宋" w:hAnsi="仿宋" w:eastAsia="仿宋" w:cs="仿宋"/>
          <w:color w:val="000000" w:themeColor="text1"/>
          <w:sz w:val="32"/>
          <w:szCs w:val="32"/>
          <w:lang w:eastAsia="zh-CN"/>
          <w14:textFill>
            <w14:solidFill>
              <w14:schemeClr w14:val="tx1"/>
            </w14:solidFill>
          </w14:textFill>
        </w:rPr>
        <w:t>）环江毛南族自治县第二初级中学年初预算经费、（</w:t>
      </w:r>
      <w:r>
        <w:rPr>
          <w:rFonts w:hint="eastAsia" w:ascii="仿宋" w:hAnsi="仿宋" w:eastAsia="仿宋" w:cs="仿宋"/>
          <w:color w:val="000000" w:themeColor="text1"/>
          <w:sz w:val="32"/>
          <w:szCs w:val="32"/>
          <w:lang w:val="en-US" w:eastAsia="zh-CN"/>
          <w14:textFill>
            <w14:solidFill>
              <w14:schemeClr w14:val="tx1"/>
            </w14:solidFill>
          </w14:textFill>
        </w:rPr>
        <w:t>12</w:t>
      </w:r>
      <w:r>
        <w:rPr>
          <w:rFonts w:hint="eastAsia" w:ascii="仿宋" w:hAnsi="仿宋" w:eastAsia="仿宋" w:cs="仿宋"/>
          <w:color w:val="000000" w:themeColor="text1"/>
          <w:sz w:val="32"/>
          <w:szCs w:val="32"/>
          <w:lang w:eastAsia="zh-CN"/>
          <w14:textFill>
            <w14:solidFill>
              <w14:schemeClr w14:val="tx1"/>
            </w14:solidFill>
          </w14:textFill>
        </w:rPr>
        <w:t>）班主任津贴、（</w:t>
      </w:r>
      <w:r>
        <w:rPr>
          <w:rFonts w:hint="eastAsia" w:ascii="仿宋" w:hAnsi="仿宋" w:eastAsia="仿宋" w:cs="仿宋"/>
          <w:color w:val="000000" w:themeColor="text1"/>
          <w:sz w:val="32"/>
          <w:szCs w:val="32"/>
          <w:lang w:val="en-US" w:eastAsia="zh-CN"/>
          <w14:textFill>
            <w14:solidFill>
              <w14:schemeClr w14:val="tx1"/>
            </w14:solidFill>
          </w14:textFill>
        </w:rPr>
        <w:t>13</w:t>
      </w:r>
      <w:r>
        <w:rPr>
          <w:rFonts w:hint="eastAsia" w:ascii="仿宋" w:hAnsi="仿宋" w:eastAsia="仿宋" w:cs="仿宋"/>
          <w:color w:val="000000" w:themeColor="text1"/>
          <w:sz w:val="32"/>
          <w:szCs w:val="32"/>
          <w:lang w:eastAsia="zh-CN"/>
          <w14:textFill>
            <w14:solidFill>
              <w14:schemeClr w14:val="tx1"/>
            </w14:solidFill>
          </w14:textFill>
        </w:rPr>
        <w:t>）环江县第二初级中学年初预算经费（门面租金）等</w:t>
      </w:r>
      <w:r>
        <w:rPr>
          <w:rFonts w:hint="eastAsia" w:ascii="仿宋" w:hAnsi="仿宋" w:eastAsia="仿宋" w:cs="仿宋"/>
          <w:color w:val="000000" w:themeColor="text1"/>
          <w:sz w:val="32"/>
          <w:szCs w:val="32"/>
          <w:lang w:val="en-US" w:eastAsia="zh-CN"/>
          <w14:textFill>
            <w14:solidFill>
              <w14:schemeClr w14:val="tx1"/>
            </w14:solidFill>
          </w14:textFill>
        </w:rPr>
        <w:t>21个</w:t>
      </w:r>
      <w:r>
        <w:rPr>
          <w:rFonts w:hint="eastAsia" w:ascii="仿宋" w:hAnsi="仿宋" w:eastAsia="仿宋" w:cs="仿宋"/>
          <w:color w:val="000000" w:themeColor="text1"/>
          <w:sz w:val="32"/>
          <w:szCs w:val="32"/>
          <w14:textFill>
            <w14:solidFill>
              <w14:schemeClr w14:val="tx1"/>
            </w14:solidFill>
          </w14:textFill>
        </w:rPr>
        <w:t>项目评得</w:t>
      </w:r>
      <w:r>
        <w:rPr>
          <w:rFonts w:hint="eastAsia" w:ascii="仿宋" w:hAnsi="仿宋" w:eastAsia="仿宋" w:cs="仿宋"/>
          <w:color w:val="000000" w:themeColor="text1"/>
          <w:sz w:val="32"/>
          <w:szCs w:val="32"/>
          <w:lang w:eastAsia="zh-CN"/>
          <w14:textFill>
            <w14:solidFill>
              <w14:schemeClr w14:val="tx1"/>
            </w14:solidFill>
          </w14:textFill>
        </w:rPr>
        <w:t>结果得</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均为</w:t>
      </w:r>
      <w:r>
        <w:rPr>
          <w:rFonts w:hint="eastAsia" w:ascii="仿宋" w:hAnsi="仿宋" w:eastAsia="仿宋" w:cs="仿宋"/>
          <w:color w:val="000000" w:themeColor="text1"/>
          <w:sz w:val="32"/>
          <w:szCs w:val="32"/>
          <w:lang w:val="en-US" w:eastAsia="zh-CN"/>
          <w14:textFill>
            <w14:solidFill>
              <w14:schemeClr w14:val="tx1"/>
            </w14:solidFill>
          </w14:textFill>
        </w:rPr>
        <w:t>90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以上</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未</w:t>
      </w:r>
      <w:r>
        <w:rPr>
          <w:rFonts w:hint="eastAsia" w:ascii="仿宋" w:hAnsi="仿宋" w:eastAsia="仿宋" w:cs="仿宋"/>
          <w:color w:val="000000" w:themeColor="text1"/>
          <w:sz w:val="32"/>
          <w:szCs w:val="32"/>
          <w14:textFill>
            <w14:solidFill>
              <w14:schemeClr w14:val="tx1"/>
            </w14:solidFill>
          </w14:textFill>
        </w:rPr>
        <w:t>发现</w:t>
      </w:r>
      <w:r>
        <w:rPr>
          <w:rFonts w:hint="eastAsia" w:ascii="仿宋" w:hAnsi="仿宋" w:eastAsia="仿宋" w:cs="仿宋"/>
          <w:color w:val="000000" w:themeColor="text1"/>
          <w:sz w:val="32"/>
          <w:szCs w:val="32"/>
          <w:lang w:eastAsia="zh-CN"/>
          <w14:textFill>
            <w14:solidFill>
              <w14:schemeClr w14:val="tx1"/>
            </w14:solidFill>
          </w14:textFill>
        </w:rPr>
        <w:t>什么</w:t>
      </w:r>
      <w:r>
        <w:rPr>
          <w:rFonts w:hint="eastAsia" w:ascii="仿宋" w:hAnsi="仿宋" w:eastAsia="仿宋" w:cs="仿宋"/>
          <w:color w:val="000000" w:themeColor="text1"/>
          <w:sz w:val="32"/>
          <w:szCs w:val="32"/>
          <w14:textFill>
            <w14:solidFill>
              <w14:schemeClr w14:val="tx1"/>
            </w14:solidFill>
          </w14:textFill>
        </w:rPr>
        <w:t>主要问题</w:t>
      </w:r>
      <w:r>
        <w:rPr>
          <w:rFonts w:hint="eastAsia" w:ascii="仿宋" w:hAnsi="仿宋" w:eastAsia="仿宋" w:cs="仿宋"/>
          <w:color w:val="000000" w:themeColor="text1"/>
          <w:sz w:val="32"/>
          <w:szCs w:val="32"/>
          <w:lang w:eastAsia="zh-CN"/>
          <w14:textFill>
            <w14:solidFill>
              <w14:schemeClr w14:val="tx1"/>
            </w14:solidFill>
          </w14:textFill>
        </w:rPr>
        <w:t>。</w:t>
      </w: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hint="eastAsia" w:ascii="仿宋" w:hAnsi="仿宋" w:eastAsia="仿宋" w:cs="仿宋"/>
          <w:sz w:val="32"/>
          <w:szCs w:val="32"/>
          <w:highlight w:val="none"/>
        </w:rPr>
      </w:pPr>
    </w:p>
    <w:p>
      <w:pPr>
        <w:jc w:val="left"/>
        <w:rPr>
          <w:rFonts w:hint="default" w:ascii="仿宋" w:hAnsi="仿宋" w:eastAsia="仿宋" w:cs="仿宋"/>
          <w:b/>
          <w:bCs/>
          <w:sz w:val="32"/>
          <w:szCs w:val="32"/>
          <w:highlight w:val="none"/>
          <w:lang w:val="en-US" w:eastAsia="zh-CN"/>
        </w:rPr>
      </w:pP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lOWE3ZjE1NzMyZjljZDYzN2ZlOGZiOTY2YjBmMDg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1AC14CD"/>
    <w:rsid w:val="020C171D"/>
    <w:rsid w:val="0216715F"/>
    <w:rsid w:val="023A2E4D"/>
    <w:rsid w:val="027D0F8C"/>
    <w:rsid w:val="028C1C74"/>
    <w:rsid w:val="02C136FC"/>
    <w:rsid w:val="02E0291A"/>
    <w:rsid w:val="040B2C55"/>
    <w:rsid w:val="04E54546"/>
    <w:rsid w:val="058014BF"/>
    <w:rsid w:val="05992762"/>
    <w:rsid w:val="06046C5E"/>
    <w:rsid w:val="06755988"/>
    <w:rsid w:val="079617D0"/>
    <w:rsid w:val="07B0770E"/>
    <w:rsid w:val="088A4403"/>
    <w:rsid w:val="08BA6A96"/>
    <w:rsid w:val="08BD0334"/>
    <w:rsid w:val="08EF4AFC"/>
    <w:rsid w:val="0942143F"/>
    <w:rsid w:val="098B0C62"/>
    <w:rsid w:val="0995305F"/>
    <w:rsid w:val="09A210E9"/>
    <w:rsid w:val="0B515613"/>
    <w:rsid w:val="0D100297"/>
    <w:rsid w:val="0D202B45"/>
    <w:rsid w:val="0D8B6C53"/>
    <w:rsid w:val="0D9E5DAE"/>
    <w:rsid w:val="0ECA53D4"/>
    <w:rsid w:val="0F075642"/>
    <w:rsid w:val="0F222B14"/>
    <w:rsid w:val="0F44355D"/>
    <w:rsid w:val="0F8D4C87"/>
    <w:rsid w:val="0F9F2542"/>
    <w:rsid w:val="0FC05753"/>
    <w:rsid w:val="10076938"/>
    <w:rsid w:val="10505FAA"/>
    <w:rsid w:val="105F7E7E"/>
    <w:rsid w:val="106B556A"/>
    <w:rsid w:val="10B464C1"/>
    <w:rsid w:val="10FA14F2"/>
    <w:rsid w:val="11B118CB"/>
    <w:rsid w:val="11BD75F7"/>
    <w:rsid w:val="11BE57B6"/>
    <w:rsid w:val="11E56B5B"/>
    <w:rsid w:val="120C0CA8"/>
    <w:rsid w:val="12176D07"/>
    <w:rsid w:val="121865DB"/>
    <w:rsid w:val="125C77AB"/>
    <w:rsid w:val="12A03596"/>
    <w:rsid w:val="13AD2D1F"/>
    <w:rsid w:val="13EC6E8F"/>
    <w:rsid w:val="14865BA4"/>
    <w:rsid w:val="14CB726E"/>
    <w:rsid w:val="15EF58A5"/>
    <w:rsid w:val="162B54DF"/>
    <w:rsid w:val="16493207"/>
    <w:rsid w:val="17E92249"/>
    <w:rsid w:val="18641B6C"/>
    <w:rsid w:val="18D304F1"/>
    <w:rsid w:val="18ED431E"/>
    <w:rsid w:val="19BE215E"/>
    <w:rsid w:val="19F32577"/>
    <w:rsid w:val="19F45B80"/>
    <w:rsid w:val="1B0C078D"/>
    <w:rsid w:val="1B0D5489"/>
    <w:rsid w:val="1B2B31E2"/>
    <w:rsid w:val="1B4C295A"/>
    <w:rsid w:val="1B8050BF"/>
    <w:rsid w:val="1B973C63"/>
    <w:rsid w:val="1BA1001E"/>
    <w:rsid w:val="1BB41164"/>
    <w:rsid w:val="1CB533A4"/>
    <w:rsid w:val="1CD96164"/>
    <w:rsid w:val="1CF36F41"/>
    <w:rsid w:val="1D1D719C"/>
    <w:rsid w:val="1D317259"/>
    <w:rsid w:val="1D46264A"/>
    <w:rsid w:val="1DCF493A"/>
    <w:rsid w:val="1E664F5B"/>
    <w:rsid w:val="1E780220"/>
    <w:rsid w:val="1EB34BE1"/>
    <w:rsid w:val="211803A6"/>
    <w:rsid w:val="215E639F"/>
    <w:rsid w:val="21E40288"/>
    <w:rsid w:val="21E84729"/>
    <w:rsid w:val="21EC3183"/>
    <w:rsid w:val="225E72CD"/>
    <w:rsid w:val="22737F8A"/>
    <w:rsid w:val="23BE293E"/>
    <w:rsid w:val="23C95123"/>
    <w:rsid w:val="24521E21"/>
    <w:rsid w:val="246E2F77"/>
    <w:rsid w:val="24E64E46"/>
    <w:rsid w:val="25205A7B"/>
    <w:rsid w:val="25491E8D"/>
    <w:rsid w:val="254B4E2B"/>
    <w:rsid w:val="25CE197B"/>
    <w:rsid w:val="26C50012"/>
    <w:rsid w:val="26C81D34"/>
    <w:rsid w:val="26D147F9"/>
    <w:rsid w:val="2713040A"/>
    <w:rsid w:val="27E86D24"/>
    <w:rsid w:val="27EB075A"/>
    <w:rsid w:val="27EB0F20"/>
    <w:rsid w:val="28140A19"/>
    <w:rsid w:val="283D7C94"/>
    <w:rsid w:val="29066833"/>
    <w:rsid w:val="292B0FEE"/>
    <w:rsid w:val="29480E03"/>
    <w:rsid w:val="2983634D"/>
    <w:rsid w:val="29C65B73"/>
    <w:rsid w:val="29F43A2A"/>
    <w:rsid w:val="2A9F7442"/>
    <w:rsid w:val="2AD7713E"/>
    <w:rsid w:val="2BB02055"/>
    <w:rsid w:val="2C22657D"/>
    <w:rsid w:val="2C575A56"/>
    <w:rsid w:val="2CB26622"/>
    <w:rsid w:val="2CDC0A8B"/>
    <w:rsid w:val="2D0B0465"/>
    <w:rsid w:val="2D4250DE"/>
    <w:rsid w:val="2D48234F"/>
    <w:rsid w:val="2D8079FF"/>
    <w:rsid w:val="2E6425B8"/>
    <w:rsid w:val="2F257714"/>
    <w:rsid w:val="2F3275E5"/>
    <w:rsid w:val="2F633D50"/>
    <w:rsid w:val="2F9A23AE"/>
    <w:rsid w:val="30466CDD"/>
    <w:rsid w:val="30AA08EF"/>
    <w:rsid w:val="30D23D1C"/>
    <w:rsid w:val="30E958BB"/>
    <w:rsid w:val="31221CF5"/>
    <w:rsid w:val="31400178"/>
    <w:rsid w:val="31E16592"/>
    <w:rsid w:val="321E3342"/>
    <w:rsid w:val="327759C8"/>
    <w:rsid w:val="32F343CD"/>
    <w:rsid w:val="330306F8"/>
    <w:rsid w:val="33185FE3"/>
    <w:rsid w:val="335E0002"/>
    <w:rsid w:val="34151C0A"/>
    <w:rsid w:val="345B6AD0"/>
    <w:rsid w:val="34B2081D"/>
    <w:rsid w:val="34EE2E36"/>
    <w:rsid w:val="352E1899"/>
    <w:rsid w:val="35DE3514"/>
    <w:rsid w:val="36407D2B"/>
    <w:rsid w:val="36777241"/>
    <w:rsid w:val="369A5D50"/>
    <w:rsid w:val="36D90920"/>
    <w:rsid w:val="36E25286"/>
    <w:rsid w:val="371E78D5"/>
    <w:rsid w:val="374D6BA3"/>
    <w:rsid w:val="37E414FC"/>
    <w:rsid w:val="380D6DA8"/>
    <w:rsid w:val="38433B03"/>
    <w:rsid w:val="38A951DB"/>
    <w:rsid w:val="38B31605"/>
    <w:rsid w:val="38B60778"/>
    <w:rsid w:val="38D34E86"/>
    <w:rsid w:val="38D5691A"/>
    <w:rsid w:val="38EF3C8A"/>
    <w:rsid w:val="39003F4F"/>
    <w:rsid w:val="39323DFD"/>
    <w:rsid w:val="3A54637B"/>
    <w:rsid w:val="3BF51D99"/>
    <w:rsid w:val="3C07002B"/>
    <w:rsid w:val="3CE008E6"/>
    <w:rsid w:val="3D0D152A"/>
    <w:rsid w:val="3DB539B2"/>
    <w:rsid w:val="3DF62756"/>
    <w:rsid w:val="3DFC4E7F"/>
    <w:rsid w:val="3E801694"/>
    <w:rsid w:val="3F047B0D"/>
    <w:rsid w:val="3F1B7587"/>
    <w:rsid w:val="3F7C3F52"/>
    <w:rsid w:val="40664F28"/>
    <w:rsid w:val="40DF0C5D"/>
    <w:rsid w:val="41997E32"/>
    <w:rsid w:val="41D127AC"/>
    <w:rsid w:val="41E57B4F"/>
    <w:rsid w:val="420A671C"/>
    <w:rsid w:val="423E2F0A"/>
    <w:rsid w:val="432F26F6"/>
    <w:rsid w:val="43880F63"/>
    <w:rsid w:val="441C5A6F"/>
    <w:rsid w:val="44C44FCC"/>
    <w:rsid w:val="44CC7369"/>
    <w:rsid w:val="451C1963"/>
    <w:rsid w:val="457F5108"/>
    <w:rsid w:val="45C85BE6"/>
    <w:rsid w:val="45F76F34"/>
    <w:rsid w:val="46951B6B"/>
    <w:rsid w:val="4716260D"/>
    <w:rsid w:val="471E3C15"/>
    <w:rsid w:val="474B4782"/>
    <w:rsid w:val="479B1265"/>
    <w:rsid w:val="47CE2A93"/>
    <w:rsid w:val="48985697"/>
    <w:rsid w:val="48EE278F"/>
    <w:rsid w:val="493E02D2"/>
    <w:rsid w:val="49617F5E"/>
    <w:rsid w:val="49A34401"/>
    <w:rsid w:val="4A3E30AB"/>
    <w:rsid w:val="4AC14DAC"/>
    <w:rsid w:val="4B047E79"/>
    <w:rsid w:val="4B446F80"/>
    <w:rsid w:val="4B5F25AA"/>
    <w:rsid w:val="4CFD651E"/>
    <w:rsid w:val="4D154C85"/>
    <w:rsid w:val="4D46378C"/>
    <w:rsid w:val="4D987957"/>
    <w:rsid w:val="4DDC6134"/>
    <w:rsid w:val="4DDD3C5A"/>
    <w:rsid w:val="4E0659E0"/>
    <w:rsid w:val="4E9F2EED"/>
    <w:rsid w:val="4EB35ECE"/>
    <w:rsid w:val="4F38383D"/>
    <w:rsid w:val="4F911096"/>
    <w:rsid w:val="501823B7"/>
    <w:rsid w:val="50487AB0"/>
    <w:rsid w:val="508F4E24"/>
    <w:rsid w:val="51461E90"/>
    <w:rsid w:val="51463753"/>
    <w:rsid w:val="51D63F96"/>
    <w:rsid w:val="52466271"/>
    <w:rsid w:val="52553A93"/>
    <w:rsid w:val="531B76FE"/>
    <w:rsid w:val="53521F8B"/>
    <w:rsid w:val="53E22F47"/>
    <w:rsid w:val="53F561A1"/>
    <w:rsid w:val="54522FF8"/>
    <w:rsid w:val="548E50B1"/>
    <w:rsid w:val="54F91008"/>
    <w:rsid w:val="55450629"/>
    <w:rsid w:val="561D378D"/>
    <w:rsid w:val="56212AE6"/>
    <w:rsid w:val="56592006"/>
    <w:rsid w:val="56692963"/>
    <w:rsid w:val="568B0F48"/>
    <w:rsid w:val="5786217B"/>
    <w:rsid w:val="57D45CF1"/>
    <w:rsid w:val="584119B5"/>
    <w:rsid w:val="591A2E7E"/>
    <w:rsid w:val="591E3AA4"/>
    <w:rsid w:val="59232E69"/>
    <w:rsid w:val="59337A15"/>
    <w:rsid w:val="59397F36"/>
    <w:rsid w:val="59810274"/>
    <w:rsid w:val="59BA66BC"/>
    <w:rsid w:val="59C83E99"/>
    <w:rsid w:val="5A48519F"/>
    <w:rsid w:val="5A5D05FC"/>
    <w:rsid w:val="5B064D8F"/>
    <w:rsid w:val="5B463441"/>
    <w:rsid w:val="5CA96A00"/>
    <w:rsid w:val="5CBE16E7"/>
    <w:rsid w:val="5CF730BC"/>
    <w:rsid w:val="5D3E2967"/>
    <w:rsid w:val="5E5F0DCE"/>
    <w:rsid w:val="5EAA5DDA"/>
    <w:rsid w:val="5EC84BB5"/>
    <w:rsid w:val="5F0E0117"/>
    <w:rsid w:val="5F7F61D2"/>
    <w:rsid w:val="5FA40A7B"/>
    <w:rsid w:val="5FAF36A8"/>
    <w:rsid w:val="5FD56D29"/>
    <w:rsid w:val="5FEC7F3F"/>
    <w:rsid w:val="606F1089"/>
    <w:rsid w:val="60923262"/>
    <w:rsid w:val="60F74BC3"/>
    <w:rsid w:val="615D5386"/>
    <w:rsid w:val="61702EF6"/>
    <w:rsid w:val="617D3BF8"/>
    <w:rsid w:val="61841F6A"/>
    <w:rsid w:val="61C70794"/>
    <w:rsid w:val="623007A9"/>
    <w:rsid w:val="62A274F4"/>
    <w:rsid w:val="633D57C5"/>
    <w:rsid w:val="637D7558"/>
    <w:rsid w:val="63E1404C"/>
    <w:rsid w:val="63E31B72"/>
    <w:rsid w:val="644F19AC"/>
    <w:rsid w:val="64954B7D"/>
    <w:rsid w:val="651D303F"/>
    <w:rsid w:val="654037D3"/>
    <w:rsid w:val="658360F8"/>
    <w:rsid w:val="65AA4920"/>
    <w:rsid w:val="65E31D0B"/>
    <w:rsid w:val="66171FA7"/>
    <w:rsid w:val="668F7603"/>
    <w:rsid w:val="67551ABB"/>
    <w:rsid w:val="67566EED"/>
    <w:rsid w:val="67694F1E"/>
    <w:rsid w:val="679A6900"/>
    <w:rsid w:val="680179FD"/>
    <w:rsid w:val="69597934"/>
    <w:rsid w:val="699245CE"/>
    <w:rsid w:val="699D0A15"/>
    <w:rsid w:val="69C50996"/>
    <w:rsid w:val="6A3B4F72"/>
    <w:rsid w:val="6A876FCF"/>
    <w:rsid w:val="6ADF3B08"/>
    <w:rsid w:val="6B5E6C44"/>
    <w:rsid w:val="6B964DDC"/>
    <w:rsid w:val="6BBE0789"/>
    <w:rsid w:val="6C783074"/>
    <w:rsid w:val="6C8E61B5"/>
    <w:rsid w:val="6CB301FF"/>
    <w:rsid w:val="6D0D4104"/>
    <w:rsid w:val="6D1E3C1B"/>
    <w:rsid w:val="6D9E65C6"/>
    <w:rsid w:val="6DA81947"/>
    <w:rsid w:val="6E7B1309"/>
    <w:rsid w:val="6EB66DE2"/>
    <w:rsid w:val="6ED3075F"/>
    <w:rsid w:val="6F2A2D4B"/>
    <w:rsid w:val="6F337466"/>
    <w:rsid w:val="6F8A0C1E"/>
    <w:rsid w:val="70291503"/>
    <w:rsid w:val="703F45D4"/>
    <w:rsid w:val="70DD3DED"/>
    <w:rsid w:val="713A7A58"/>
    <w:rsid w:val="715D6546"/>
    <w:rsid w:val="71B71E6E"/>
    <w:rsid w:val="71BE069E"/>
    <w:rsid w:val="729445D6"/>
    <w:rsid w:val="733A5FED"/>
    <w:rsid w:val="736B3504"/>
    <w:rsid w:val="73953409"/>
    <w:rsid w:val="73E069A3"/>
    <w:rsid w:val="745822D4"/>
    <w:rsid w:val="74E41BEE"/>
    <w:rsid w:val="75CD4430"/>
    <w:rsid w:val="75CE0331"/>
    <w:rsid w:val="761F2421"/>
    <w:rsid w:val="76E9EA5D"/>
    <w:rsid w:val="77152EE5"/>
    <w:rsid w:val="774C09C9"/>
    <w:rsid w:val="77BF7AAA"/>
    <w:rsid w:val="78104AA8"/>
    <w:rsid w:val="78446C36"/>
    <w:rsid w:val="78D37FAF"/>
    <w:rsid w:val="78E257C5"/>
    <w:rsid w:val="78F93D7E"/>
    <w:rsid w:val="794B35BE"/>
    <w:rsid w:val="79AB6836"/>
    <w:rsid w:val="7A700C4D"/>
    <w:rsid w:val="7A8C079F"/>
    <w:rsid w:val="7AB404E5"/>
    <w:rsid w:val="7B0A3A31"/>
    <w:rsid w:val="7B3360ED"/>
    <w:rsid w:val="7BDF037E"/>
    <w:rsid w:val="7BF50948"/>
    <w:rsid w:val="7C2E19A1"/>
    <w:rsid w:val="7CDE44DD"/>
    <w:rsid w:val="7CE66A78"/>
    <w:rsid w:val="7D081A47"/>
    <w:rsid w:val="7D2232B3"/>
    <w:rsid w:val="7D23564C"/>
    <w:rsid w:val="7D5E062D"/>
    <w:rsid w:val="7DD02D0F"/>
    <w:rsid w:val="7DF76CD8"/>
    <w:rsid w:val="7E851D4C"/>
    <w:rsid w:val="7E9C3627"/>
    <w:rsid w:val="7F5931D8"/>
    <w:rsid w:val="7F695C26"/>
    <w:rsid w:val="7F7D0C75"/>
    <w:rsid w:val="7FCF62D3"/>
    <w:rsid w:val="7FD840FD"/>
    <w:rsid w:val="7FE80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10.xml.rels><?xml version="1.0" encoding="UTF-8" standalone="yes"?>
<Relationships xmlns="http://schemas.openxmlformats.org/package/2006/relationships"><Relationship Id="rId1" Type="http://schemas.openxmlformats.org/officeDocument/2006/relationships/oleObject" Target="file:///C:\Users\hjxjyj\Desktop\&#36130;&#21153;&#20154;&#21592;&#32852;&#31995;&#20449;&#24687;2023-10-11%20-%20&#21103;&#26412;.xls"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hjxjyj\Desktop\&#36130;&#21153;&#20154;&#21592;&#32852;&#31995;&#20449;&#24687;2023-10-11%20-%20&#21103;&#2641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jxjyj\Desktop\&#36130;&#21153;&#20154;&#21592;&#32852;&#31995;&#20449;&#24687;2023-10-11%20-%20&#21103;&#26412;.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jxjyj\Desktop\&#36130;&#21153;&#20154;&#21592;&#32852;&#31995;&#20449;&#24687;2023-10-11%20-%20&#21103;&#26412;.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hjxjyj\Desktop\&#36130;&#21153;&#20154;&#21592;&#32852;&#31995;&#20449;&#24687;2023-10-11%20-%20&#21103;&#26412;.xls"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hjxjyj\Desktop\&#36130;&#21153;&#20154;&#21592;&#32852;&#31995;&#20449;&#24687;2023-10-11%20-%20&#21103;&#26412;.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hjxjyj\Desktop\&#36130;&#21153;&#20154;&#21592;&#32852;&#31995;&#20449;&#24687;2023-10-11%20-%20&#21103;&#2641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2807.23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8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rPr>
              <a:t>对个人和家庭的补助</a:t>
            </a: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898266190719021"/>
          <c:y val="0.162095582197405"/>
          <c:w val="0.891687914329424"/>
          <c:h val="0.681622598127771"/>
        </c:manualLayout>
      </c:layout>
      <c:barChart>
        <c:barDir val="col"/>
        <c:grouping val="clustered"/>
        <c:varyColors val="0"/>
        <c:ser>
          <c:idx val="0"/>
          <c:order val="0"/>
          <c:tx>
            <c:strRef>
              <c:f>'[财务人员联系信息2023-10-11 - 副本.xls]Sheet1'!$D$10</c:f>
              <c:strCache>
                <c:ptCount val="1"/>
                <c:pt idx="0">
                  <c:v>科目代码</c:v>
                </c:pt>
              </c:strCache>
            </c:strRef>
          </c:tx>
          <c:spPr>
            <a:solidFill>
              <a:schemeClr val="accent1"/>
            </a:solidFill>
            <a:ln>
              <a:noFill/>
            </a:ln>
            <a:effectLst/>
          </c:spPr>
          <c:invertIfNegative val="0"/>
          <c:dLbls>
            <c:delete val="1"/>
          </c:dLbls>
          <c:cat>
            <c:numRef>
              <c:f>'[财务人员联系信息2023-10-11 - 副本.xls]Sheet1'!$C$11:$C$13</c:f>
              <c:numCache>
                <c:formatCode>General</c:formatCode>
                <c:ptCount val="3"/>
                <c:pt idx="0">
                  <c:v>30305</c:v>
                </c:pt>
                <c:pt idx="1">
                  <c:v>30307</c:v>
                </c:pt>
                <c:pt idx="2">
                  <c:v>30399</c:v>
                </c:pt>
              </c:numCache>
            </c:numRef>
          </c:cat>
          <c:val>
            <c:numRef>
              <c:f>'[财务人员联系信息2023-10-11 - 副本.xls]Sheet1'!$D$11:$D$13</c:f>
              <c:numCache>
                <c:formatCode>General</c:formatCode>
                <c:ptCount val="3"/>
                <c:pt idx="0">
                  <c:v>42.65</c:v>
                </c:pt>
                <c:pt idx="1">
                  <c:v>0.15</c:v>
                </c:pt>
                <c:pt idx="2">
                  <c:v>0.05</c:v>
                </c:pt>
              </c:numCache>
            </c:numRef>
          </c:val>
        </c:ser>
        <c:dLbls>
          <c:showLegendKey val="0"/>
          <c:showVal val="0"/>
          <c:showCatName val="0"/>
          <c:showSerName val="0"/>
          <c:showPercent val="0"/>
          <c:showBubbleSize val="0"/>
        </c:dLbls>
        <c:gapWidth val="219"/>
        <c:overlap val="-27"/>
        <c:axId val="205312676"/>
        <c:axId val="467244373"/>
      </c:barChart>
      <c:catAx>
        <c:axId val="20531267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7244373"/>
        <c:crosses val="autoZero"/>
        <c:auto val="1"/>
        <c:lblAlgn val="ctr"/>
        <c:lblOffset val="100"/>
        <c:noMultiLvlLbl val="0"/>
      </c:catAx>
      <c:valAx>
        <c:axId val="467244373"/>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53126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30701</c:v>
                </c:pt>
                <c:pt idx="1">
                  <c:v>30702</c:v>
                </c:pt>
              </c:numCache>
            </c:num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Sheet1!$A$2:$A$6</c:f>
              <c:numCache>
                <c:formatCode>General</c:formatCode>
                <c:ptCount val="5"/>
                <c:pt idx="0">
                  <c:v>39907</c:v>
                </c:pt>
                <c:pt idx="1">
                  <c:v>39908</c:v>
                </c:pt>
                <c:pt idx="2">
                  <c:v>39909</c:v>
                </c:pt>
                <c:pt idx="3">
                  <c:v>39910</c:v>
                </c:pt>
                <c:pt idx="4">
                  <c:v>39999</c:v>
                </c:pt>
              </c:numCache>
            </c:num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18.19</c:v>
                </c:pt>
                <c:pt idx="1">
                  <c:v>1747.36</c:v>
                </c:pt>
                <c:pt idx="2">
                  <c:v>140.66</c:v>
                </c:pt>
                <c:pt idx="3">
                  <c:v>106.46</c:v>
                </c:pt>
                <c:pt idx="4">
                  <c:v>183.12</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22.41</c:v>
                </c:pt>
                <c:pt idx="1">
                  <c:v>2262.6</c:v>
                </c:pt>
                <c:pt idx="2">
                  <c:v>201.95</c:v>
                </c:pt>
                <c:pt idx="3">
                  <c:v>150.61</c:v>
                </c:pt>
                <c:pt idx="4">
                  <c:v>169.66</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22.41</c:v>
                </c:pt>
                <c:pt idx="1">
                  <c:v>22.41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rPr>
              <a:t>教育支出</a:t>
            </a: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860020397756247"/>
          <c:y val="0.162095582197405"/>
          <c:w val="0.891687914329424"/>
          <c:h val="0.681622598127771"/>
        </c:manualLayout>
      </c:layout>
      <c:barChart>
        <c:barDir val="col"/>
        <c:grouping val="clustered"/>
        <c:varyColors val="0"/>
        <c:ser>
          <c:idx val="0"/>
          <c:order val="0"/>
          <c:tx>
            <c:strRef>
              <c:f>'[财务人员联系信息2023-10-11 - 副本.xls]Sheet1'!$D$10</c:f>
              <c:strCache>
                <c:ptCount val="1"/>
                <c:pt idx="0">
                  <c:v>科目代码</c:v>
                </c:pt>
              </c:strCache>
            </c:strRef>
          </c:tx>
          <c:spPr>
            <a:solidFill>
              <a:schemeClr val="accent1"/>
            </a:solidFill>
            <a:ln>
              <a:noFill/>
            </a:ln>
            <a:effectLst/>
          </c:spPr>
          <c:invertIfNegative val="0"/>
          <c:dLbls>
            <c:delete val="1"/>
          </c:dLbls>
          <c:cat>
            <c:strRef>
              <c:f>'[财务人员联系信息2023-10-11 - 副本.xls]Sheet1'!$C$11:$C$14</c:f>
              <c:strCache>
                <c:ptCount val="4"/>
                <c:pt idx="0">
                  <c:v>2050203</c:v>
                </c:pt>
                <c:pt idx="1">
                  <c:v>2050299</c:v>
                </c:pt>
                <c:pt idx="2">
                  <c:v>2050701</c:v>
                </c:pt>
                <c:pt idx="3">
                  <c:v>205x</c:v>
                </c:pt>
              </c:strCache>
            </c:strRef>
          </c:cat>
          <c:val>
            <c:numRef>
              <c:f>'[财务人员联系信息2023-10-11 - 副本.xls]Sheet1'!$D$11:$D$14</c:f>
              <c:numCache>
                <c:formatCode>General</c:formatCode>
                <c:ptCount val="4"/>
                <c:pt idx="0">
                  <c:v>2222.81</c:v>
                </c:pt>
                <c:pt idx="1">
                  <c:v>39.06</c:v>
                </c:pt>
                <c:pt idx="2">
                  <c:v>0.73</c:v>
                </c:pt>
                <c:pt idx="3">
                  <c:v>2262.6</c:v>
                </c:pt>
              </c:numCache>
            </c:numRef>
          </c:val>
        </c:ser>
        <c:dLbls>
          <c:showLegendKey val="0"/>
          <c:showVal val="0"/>
          <c:showCatName val="0"/>
          <c:showSerName val="0"/>
          <c:showPercent val="0"/>
          <c:showBubbleSize val="0"/>
        </c:dLbls>
        <c:gapWidth val="219"/>
        <c:overlap val="-27"/>
        <c:axId val="205312676"/>
        <c:axId val="467244373"/>
      </c:barChart>
      <c:catAx>
        <c:axId val="20531267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7244373"/>
        <c:crosses val="autoZero"/>
        <c:auto val="1"/>
        <c:lblAlgn val="ctr"/>
        <c:lblOffset val="100"/>
        <c:noMultiLvlLbl val="0"/>
      </c:catAx>
      <c:valAx>
        <c:axId val="467244373"/>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53126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rPr>
              <a:t>社会保障和就业支出</a:t>
            </a: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860020397756247"/>
          <c:y val="0.162095582197405"/>
          <c:w val="0.891687914329424"/>
          <c:h val="0.681622598127771"/>
        </c:manualLayout>
      </c:layout>
      <c:barChart>
        <c:barDir val="col"/>
        <c:grouping val="clustered"/>
        <c:varyColors val="0"/>
        <c:ser>
          <c:idx val="0"/>
          <c:order val="0"/>
          <c:tx>
            <c:strRef>
              <c:f>'[财务人员联系信息2023-10-11 - 副本.xls]Sheet1'!$D$10</c:f>
              <c:strCache>
                <c:ptCount val="1"/>
                <c:pt idx="0">
                  <c:v>科目代码</c:v>
                </c:pt>
              </c:strCache>
            </c:strRef>
          </c:tx>
          <c:spPr>
            <a:solidFill>
              <a:schemeClr val="accent1"/>
            </a:solidFill>
            <a:ln>
              <a:noFill/>
            </a:ln>
            <a:effectLst/>
          </c:spPr>
          <c:invertIfNegative val="0"/>
          <c:dLbls>
            <c:delete val="1"/>
          </c:dLbls>
          <c:cat>
            <c:strRef>
              <c:f>'[财务人员联系信息2023-10-11 - 副本.xls]Sheet1'!$C$11:$C$12</c:f>
              <c:strCache>
                <c:ptCount val="2"/>
                <c:pt idx="0">
                  <c:v>2080505</c:v>
                </c:pt>
                <c:pt idx="1">
                  <c:v>208x</c:v>
                </c:pt>
              </c:strCache>
            </c:strRef>
          </c:cat>
          <c:val>
            <c:numRef>
              <c:f>'[财务人员联系信息2023-10-11 - 副本.xls]Sheet1'!$D$11:$D$12</c:f>
              <c:numCache>
                <c:formatCode>General</c:formatCode>
                <c:ptCount val="2"/>
                <c:pt idx="0">
                  <c:v>201.95</c:v>
                </c:pt>
                <c:pt idx="1">
                  <c:v>201.95</c:v>
                </c:pt>
              </c:numCache>
            </c:numRef>
          </c:val>
        </c:ser>
        <c:dLbls>
          <c:showLegendKey val="0"/>
          <c:showVal val="0"/>
          <c:showCatName val="0"/>
          <c:showSerName val="0"/>
          <c:showPercent val="0"/>
          <c:showBubbleSize val="0"/>
        </c:dLbls>
        <c:gapWidth val="219"/>
        <c:overlap val="-27"/>
        <c:axId val="205312676"/>
        <c:axId val="467244373"/>
      </c:barChart>
      <c:catAx>
        <c:axId val="20531267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7244373"/>
        <c:crosses val="autoZero"/>
        <c:auto val="1"/>
        <c:lblAlgn val="ctr"/>
        <c:lblOffset val="100"/>
        <c:noMultiLvlLbl val="0"/>
      </c:catAx>
      <c:valAx>
        <c:axId val="467244373"/>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53126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rPr>
              <a:t>住房保障支出</a:t>
            </a: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860020397756247"/>
          <c:y val="0.162095582197405"/>
          <c:w val="0.891687914329424"/>
          <c:h val="0.681622598127771"/>
        </c:manualLayout>
      </c:layout>
      <c:barChart>
        <c:barDir val="col"/>
        <c:grouping val="clustered"/>
        <c:varyColors val="0"/>
        <c:ser>
          <c:idx val="0"/>
          <c:order val="0"/>
          <c:tx>
            <c:strRef>
              <c:f>'[财务人员联系信息2023-10-11 - 副本.xls]Sheet1'!$D$10</c:f>
              <c:strCache>
                <c:ptCount val="1"/>
                <c:pt idx="0">
                  <c:v>科目代码</c:v>
                </c:pt>
              </c:strCache>
            </c:strRef>
          </c:tx>
          <c:spPr>
            <a:solidFill>
              <a:schemeClr val="accent1"/>
            </a:solidFill>
            <a:ln>
              <a:noFill/>
            </a:ln>
            <a:effectLst/>
          </c:spPr>
          <c:invertIfNegative val="0"/>
          <c:dLbls>
            <c:delete val="1"/>
          </c:dLbls>
          <c:cat>
            <c:strRef>
              <c:f>'[财务人员联系信息2023-10-11 - 副本.xls]Sheet1'!$C$11:$C$12</c:f>
              <c:strCache>
                <c:ptCount val="2"/>
                <c:pt idx="0">
                  <c:v>2210201</c:v>
                </c:pt>
                <c:pt idx="1">
                  <c:v>221x</c:v>
                </c:pt>
              </c:strCache>
            </c:strRef>
          </c:cat>
          <c:val>
            <c:numRef>
              <c:f>'[财务人员联系信息2023-10-11 - 副本.xls]Sheet1'!$D$11:$D$12</c:f>
              <c:numCache>
                <c:formatCode>General</c:formatCode>
                <c:ptCount val="2"/>
                <c:pt idx="0">
                  <c:v>150.61</c:v>
                </c:pt>
                <c:pt idx="1">
                  <c:v>150.61</c:v>
                </c:pt>
              </c:numCache>
            </c:numRef>
          </c:val>
        </c:ser>
        <c:dLbls>
          <c:showLegendKey val="0"/>
          <c:showVal val="0"/>
          <c:showCatName val="0"/>
          <c:showSerName val="0"/>
          <c:showPercent val="0"/>
          <c:showBubbleSize val="0"/>
        </c:dLbls>
        <c:gapWidth val="219"/>
        <c:overlap val="-27"/>
        <c:axId val="205312676"/>
        <c:axId val="467244373"/>
      </c:barChart>
      <c:catAx>
        <c:axId val="20531267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7244373"/>
        <c:crosses val="autoZero"/>
        <c:auto val="1"/>
        <c:lblAlgn val="ctr"/>
        <c:lblOffset val="100"/>
        <c:noMultiLvlLbl val="0"/>
      </c:catAx>
      <c:valAx>
        <c:axId val="467244373"/>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53126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rPr>
              <a:t>其他支出</a:t>
            </a: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860020397756247"/>
          <c:y val="0.162095582197405"/>
          <c:w val="0.891687914329424"/>
          <c:h val="0.681622598127771"/>
        </c:manualLayout>
      </c:layout>
      <c:barChart>
        <c:barDir val="col"/>
        <c:grouping val="clustered"/>
        <c:varyColors val="0"/>
        <c:ser>
          <c:idx val="0"/>
          <c:order val="0"/>
          <c:tx>
            <c:strRef>
              <c:f>'[财务人员联系信息2023-10-11 - 副本.xls]Sheet1'!$D$10</c:f>
              <c:strCache>
                <c:ptCount val="1"/>
                <c:pt idx="0">
                  <c:v>科目代码</c:v>
                </c:pt>
              </c:strCache>
            </c:strRef>
          </c:tx>
          <c:spPr>
            <a:solidFill>
              <a:schemeClr val="accent1"/>
            </a:solidFill>
            <a:ln>
              <a:noFill/>
            </a:ln>
            <a:effectLst/>
          </c:spPr>
          <c:invertIfNegative val="0"/>
          <c:dLbls>
            <c:delete val="1"/>
          </c:dLbls>
          <c:cat>
            <c:strRef>
              <c:f>'[财务人员联系信息2023-10-11 - 副本.xls]Sheet1'!$C$11:$C$12</c:f>
              <c:strCache>
                <c:ptCount val="2"/>
                <c:pt idx="0">
                  <c:v>2299999</c:v>
                </c:pt>
                <c:pt idx="1">
                  <c:v>229x</c:v>
                </c:pt>
              </c:strCache>
            </c:strRef>
          </c:cat>
          <c:val>
            <c:numRef>
              <c:f>'[财务人员联系信息2023-10-11 - 副本.xls]Sheet1'!$D$11:$D$12</c:f>
              <c:numCache>
                <c:formatCode>General</c:formatCode>
                <c:ptCount val="2"/>
                <c:pt idx="0">
                  <c:v>169.66</c:v>
                </c:pt>
                <c:pt idx="1">
                  <c:v>169.66</c:v>
                </c:pt>
              </c:numCache>
            </c:numRef>
          </c:val>
        </c:ser>
        <c:dLbls>
          <c:showLegendKey val="0"/>
          <c:showVal val="0"/>
          <c:showCatName val="0"/>
          <c:showSerName val="0"/>
          <c:showPercent val="0"/>
          <c:showBubbleSize val="0"/>
        </c:dLbls>
        <c:gapWidth val="219"/>
        <c:overlap val="-27"/>
        <c:axId val="205312676"/>
        <c:axId val="467244373"/>
      </c:barChart>
      <c:catAx>
        <c:axId val="20531267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7244373"/>
        <c:crosses val="autoZero"/>
        <c:auto val="1"/>
        <c:lblAlgn val="ctr"/>
        <c:lblOffset val="100"/>
        <c:noMultiLvlLbl val="0"/>
      </c:catAx>
      <c:valAx>
        <c:axId val="467244373"/>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53126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r>
              <a:rPr sz="2000" b="1">
                <a:latin typeface="宋体" panose="02010600030101010101" charset="-122"/>
                <a:ea typeface="宋体" panose="02010600030101010101" charset="-122"/>
                <a:cs typeface="宋体" panose="02010600030101010101" charset="-122"/>
                <a:sym typeface="宋体" panose="02010600030101010101" charset="-122"/>
              </a:rPr>
              <a:t>工资福利支出</a:t>
            </a:r>
            <a:endParaRPr sz="2000" b="1">
              <a:latin typeface="宋体" panose="02010600030101010101" charset="-122"/>
              <a:ea typeface="宋体" panose="02010600030101010101" charset="-122"/>
              <a:cs typeface="宋体" panose="02010600030101010101" charset="-122"/>
              <a:sym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'[财务人员联系信息2023-10-11 - 副本.xls]Sheet2'!$D$10</c:f>
              <c:strCache>
                <c:ptCount val="1"/>
                <c:pt idx="0">
                  <c:v>科目代码</c:v>
                </c:pt>
              </c:strCache>
            </c:strRef>
          </c:tx>
          <c:spPr>
            <a:solidFill>
              <a:schemeClr val="accent1"/>
            </a:solidFill>
            <a:ln>
              <a:noFill/>
            </a:ln>
            <a:effectLst/>
          </c:spPr>
          <c:invertIfNegative val="0"/>
          <c:dLbls>
            <c:delete val="1"/>
          </c:dLbls>
          <c:cat>
            <c:numRef>
              <c:f>'[财务人员联系信息2023-10-11 - 副本.xls]Sheet2'!$C$11:$C$18</c:f>
              <c:numCache>
                <c:formatCode>General</c:formatCode>
                <c:ptCount val="8"/>
                <c:pt idx="0">
                  <c:v>30101</c:v>
                </c:pt>
                <c:pt idx="1">
                  <c:v>30102</c:v>
                </c:pt>
                <c:pt idx="2">
                  <c:v>30103</c:v>
                </c:pt>
                <c:pt idx="3">
                  <c:v>30107</c:v>
                </c:pt>
                <c:pt idx="4">
                  <c:v>30108</c:v>
                </c:pt>
                <c:pt idx="5">
                  <c:v>30110</c:v>
                </c:pt>
                <c:pt idx="6">
                  <c:v>30112</c:v>
                </c:pt>
                <c:pt idx="7">
                  <c:v>30113</c:v>
                </c:pt>
              </c:numCache>
            </c:numRef>
          </c:cat>
          <c:val>
            <c:numRef>
              <c:f>'[财务人员联系信息2023-10-11 - 副本.xls]Sheet2'!$D$11:$D$18</c:f>
              <c:numCache>
                <c:formatCode>General</c:formatCode>
                <c:ptCount val="8"/>
                <c:pt idx="0">
                  <c:v>708.13</c:v>
                </c:pt>
                <c:pt idx="1">
                  <c:v>62.54</c:v>
                </c:pt>
                <c:pt idx="2">
                  <c:v>610.63</c:v>
                </c:pt>
                <c:pt idx="3">
                  <c:v>184.09</c:v>
                </c:pt>
                <c:pt idx="4">
                  <c:v>201.95</c:v>
                </c:pt>
                <c:pt idx="5">
                  <c:v>80.96</c:v>
                </c:pt>
                <c:pt idx="6">
                  <c:v>10</c:v>
                </c:pt>
                <c:pt idx="7">
                  <c:v>150.61</c:v>
                </c:pt>
              </c:numCache>
            </c:numRef>
          </c:val>
        </c:ser>
        <c:dLbls>
          <c:showLegendKey val="0"/>
          <c:showVal val="0"/>
          <c:showCatName val="0"/>
          <c:showSerName val="0"/>
          <c:showPercent val="0"/>
          <c:showBubbleSize val="0"/>
        </c:dLbls>
        <c:gapWidth val="219"/>
        <c:overlap val="-27"/>
        <c:axId val="218456054"/>
        <c:axId val="156000418"/>
      </c:barChart>
      <c:catAx>
        <c:axId val="21845605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6000418"/>
        <c:crosses val="autoZero"/>
        <c:auto val="1"/>
        <c:lblAlgn val="ctr"/>
        <c:lblOffset val="100"/>
        <c:noMultiLvlLbl val="0"/>
      </c:catAx>
      <c:valAx>
        <c:axId val="15600041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845605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rPr>
              <a:t>商品和服务支出</a:t>
            </a: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860020397756247"/>
          <c:y val="0.162095582197405"/>
          <c:w val="0.891687914329424"/>
          <c:h val="0.681622598127771"/>
        </c:manualLayout>
      </c:layout>
      <c:barChart>
        <c:barDir val="col"/>
        <c:grouping val="clustered"/>
        <c:varyColors val="0"/>
        <c:ser>
          <c:idx val="0"/>
          <c:order val="0"/>
          <c:tx>
            <c:strRef>
              <c:f>'[财务人员联系信息2023-10-11 - 副本.xls]Sheet1'!$D$10</c:f>
              <c:strCache>
                <c:ptCount val="1"/>
                <c:pt idx="0">
                  <c:v>科目代码</c:v>
                </c:pt>
              </c:strCache>
            </c:strRef>
          </c:tx>
          <c:spPr>
            <a:solidFill>
              <a:schemeClr val="accent1"/>
            </a:solidFill>
            <a:ln>
              <a:noFill/>
            </a:ln>
            <a:effectLst/>
          </c:spPr>
          <c:invertIfNegative val="0"/>
          <c:dLbls>
            <c:delete val="1"/>
          </c:dLbls>
          <c:cat>
            <c:numRef>
              <c:f>'[财务人员联系信息2023-10-11 - 副本.xls]Sheet1'!$C$11:$C$12</c:f>
              <c:numCache>
                <c:formatCode>General</c:formatCode>
                <c:ptCount val="2"/>
                <c:pt idx="0">
                  <c:v>30226</c:v>
                </c:pt>
                <c:pt idx="1">
                  <c:v>30228</c:v>
                </c:pt>
              </c:numCache>
            </c:numRef>
          </c:cat>
          <c:val>
            <c:numRef>
              <c:f>'[财务人员联系信息2023-10-11 - 副本.xls]Sheet1'!$D$11:$D$12</c:f>
              <c:numCache>
                <c:formatCode>General</c:formatCode>
                <c:ptCount val="2"/>
                <c:pt idx="0">
                  <c:v>3.15</c:v>
                </c:pt>
                <c:pt idx="1">
                  <c:v>22.41</c:v>
                </c:pt>
              </c:numCache>
            </c:numRef>
          </c:val>
        </c:ser>
        <c:dLbls>
          <c:showLegendKey val="0"/>
          <c:showVal val="0"/>
          <c:showCatName val="0"/>
          <c:showSerName val="0"/>
          <c:showPercent val="0"/>
          <c:showBubbleSize val="0"/>
        </c:dLbls>
        <c:gapWidth val="219"/>
        <c:overlap val="-27"/>
        <c:axId val="205312676"/>
        <c:axId val="467244373"/>
      </c:barChart>
      <c:catAx>
        <c:axId val="20531267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7244373"/>
        <c:crosses val="autoZero"/>
        <c:auto val="1"/>
        <c:lblAlgn val="ctr"/>
        <c:lblOffset val="100"/>
        <c:noMultiLvlLbl val="0"/>
      </c:catAx>
      <c:valAx>
        <c:axId val="467244373"/>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53126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2218</Words>
  <Characters>2943</Characters>
  <Lines>90</Lines>
  <Paragraphs>25</Paragraphs>
  <TotalTime>4</TotalTime>
  <ScaleCrop>false</ScaleCrop>
  <LinksUpToDate>false</LinksUpToDate>
  <CharactersWithSpaces>2971</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2023-08-17T10:06:00Z</dcterms:created>
  <dc:creator>C D D</dc:creator>
  <cp:lastModifiedBy>Administrator</cp:lastModifiedBy>
  <dcterms:modified xsi:type="dcterms:W3CDTF">2024-12-30T08:52:33Z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843F27823027460BAAAF19DF60EFFF0C_13</vt:lpwstr>
  </property>
  <property fmtid="{D5CDD505-2E9C-101B-9397-08002B2CF9AE}" pid="4" name="KSOTemplateDocerSaveRecord">
    <vt:lpwstr>eyJoZGlkIjoiNTllOWE3ZjE1NzMyZjljZDYzN2ZlOGZiOTY2YjBmMDgifQ==</vt:lpwstr>
  </property>
</Properties>
</file>