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环江毛南族自治县第二小学</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hint="default" w:ascii="仿宋" w:hAnsi="仿宋" w:eastAsia="仿宋" w:cs="仿宋"/>
          <w:color w:val="auto"/>
          <w:sz w:val="32"/>
          <w:szCs w:val="32"/>
          <w:highlight w:val="none"/>
          <w:lang w:val="en-US"/>
        </w:rPr>
      </w:pPr>
      <w:r>
        <w:rPr>
          <w:rFonts w:hint="eastAsia" w:ascii="黑体" w:hAnsi="黑体" w:eastAsia="黑体" w:cs="黑体"/>
          <w:sz w:val="36"/>
          <w:szCs w:val="36"/>
          <w:lang w:val="en-US" w:eastAsia="zh-CN"/>
        </w:rPr>
        <w:t xml:space="preserve">                单位负责人：莫陶微</w:t>
      </w: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keepNext w:val="0"/>
        <w:keepLines w:val="0"/>
        <w:pageBreakBefore w:val="0"/>
        <w:widowControl w:val="0"/>
        <w:kinsoku/>
        <w:wordWrap/>
        <w:overflowPunct/>
        <w:topLinePunct w:val="0"/>
        <w:bidi w:val="0"/>
        <w:snapToGrid/>
        <w:spacing w:line="46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环江毛南族自治县第二小学</w:t>
      </w:r>
      <w:r>
        <w:rPr>
          <w:rFonts w:hint="eastAsia" w:ascii="黑体" w:hAnsi="黑体" w:eastAsia="黑体" w:cs="黑体"/>
          <w:sz w:val="32"/>
          <w:szCs w:val="32"/>
          <w:highlight w:val="none"/>
        </w:rPr>
        <w:t>概况</w:t>
      </w:r>
    </w:p>
    <w:p>
      <w:pPr>
        <w:keepNext w:val="0"/>
        <w:keepLines w:val="0"/>
        <w:pageBreakBefore w:val="0"/>
        <w:widowControl w:val="0"/>
        <w:kinsoku/>
        <w:wordWrap/>
        <w:overflowPunct/>
        <w:topLinePunct w:val="0"/>
        <w:bidi w:val="0"/>
        <w:snapToGrid/>
        <w:spacing w:line="46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keepNext w:val="0"/>
        <w:keepLines w:val="0"/>
        <w:pageBreakBefore w:val="0"/>
        <w:widowControl w:val="0"/>
        <w:kinsoku/>
        <w:wordWrap/>
        <w:overflowPunct/>
        <w:topLinePunct w:val="0"/>
        <w:bidi w:val="0"/>
        <w:snapToGrid/>
        <w:spacing w:line="46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keepNext w:val="0"/>
        <w:keepLines w:val="0"/>
        <w:pageBreakBefore w:val="0"/>
        <w:widowControl w:val="0"/>
        <w:kinsoku/>
        <w:wordWrap/>
        <w:overflowPunct/>
        <w:topLinePunct w:val="0"/>
        <w:bidi w:val="0"/>
        <w:snapToGrid/>
        <w:spacing w:line="46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环江毛南族自治县第二小学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keepNext w:val="0"/>
        <w:keepLines w:val="0"/>
        <w:pageBreakBefore w:val="0"/>
        <w:widowControl w:val="0"/>
        <w:kinsoku/>
        <w:wordWrap/>
        <w:overflowPunct/>
        <w:topLinePunct w:val="0"/>
        <w:bidi w:val="0"/>
        <w:snapToGrid/>
        <w:spacing w:line="46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keepNext w:val="0"/>
        <w:keepLines w:val="0"/>
        <w:pageBreakBefore w:val="0"/>
        <w:widowControl w:val="0"/>
        <w:kinsoku/>
        <w:wordWrap/>
        <w:overflowPunct/>
        <w:topLinePunct w:val="0"/>
        <w:bidi w:val="0"/>
        <w:snapToGrid/>
        <w:spacing w:line="46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keepNext w:val="0"/>
        <w:keepLines w:val="0"/>
        <w:pageBreakBefore w:val="0"/>
        <w:widowControl w:val="0"/>
        <w:kinsoku/>
        <w:wordWrap/>
        <w:overflowPunct/>
        <w:topLinePunct w:val="0"/>
        <w:bidi w:val="0"/>
        <w:snapToGrid/>
        <w:spacing w:line="46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keepNext w:val="0"/>
        <w:keepLines w:val="0"/>
        <w:pageBreakBefore w:val="0"/>
        <w:widowControl w:val="0"/>
        <w:kinsoku/>
        <w:wordWrap/>
        <w:overflowPunct/>
        <w:topLinePunct w:val="0"/>
        <w:bidi w:val="0"/>
        <w:snapToGrid/>
        <w:spacing w:line="46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keepNext w:val="0"/>
        <w:keepLines w:val="0"/>
        <w:pageBreakBefore w:val="0"/>
        <w:widowControl w:val="0"/>
        <w:kinsoku/>
        <w:wordWrap/>
        <w:overflowPunct/>
        <w:topLinePunct w:val="0"/>
        <w:bidi w:val="0"/>
        <w:snapToGrid/>
        <w:spacing w:line="46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keepNext w:val="0"/>
        <w:keepLines w:val="0"/>
        <w:pageBreakBefore w:val="0"/>
        <w:widowControl w:val="0"/>
        <w:kinsoku/>
        <w:wordWrap/>
        <w:overflowPunct/>
        <w:topLinePunct w:val="0"/>
        <w:bidi w:val="0"/>
        <w:snapToGrid/>
        <w:spacing w:line="46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keepNext w:val="0"/>
        <w:keepLines w:val="0"/>
        <w:pageBreakBefore w:val="0"/>
        <w:widowControl w:val="0"/>
        <w:kinsoku/>
        <w:wordWrap/>
        <w:overflowPunct/>
        <w:topLinePunct w:val="0"/>
        <w:bidi w:val="0"/>
        <w:snapToGrid/>
        <w:spacing w:line="46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keepNext w:val="0"/>
        <w:keepLines w:val="0"/>
        <w:pageBreakBefore w:val="0"/>
        <w:widowControl w:val="0"/>
        <w:kinsoku/>
        <w:wordWrap/>
        <w:overflowPunct/>
        <w:topLinePunct w:val="0"/>
        <w:bidi w:val="0"/>
        <w:snapToGrid/>
        <w:spacing w:line="46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keepNext w:val="0"/>
        <w:keepLines w:val="0"/>
        <w:pageBreakBefore w:val="0"/>
        <w:widowControl w:val="0"/>
        <w:kinsoku/>
        <w:wordWrap/>
        <w:overflowPunct/>
        <w:topLinePunct w:val="0"/>
        <w:bidi w:val="0"/>
        <w:snapToGrid/>
        <w:spacing w:line="46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keepNext w:val="0"/>
        <w:keepLines w:val="0"/>
        <w:pageBreakBefore w:val="0"/>
        <w:widowControl w:val="0"/>
        <w:kinsoku/>
        <w:wordWrap/>
        <w:overflowPunct/>
        <w:topLinePunct w:val="0"/>
        <w:bidi w:val="0"/>
        <w:snapToGrid/>
        <w:spacing w:line="46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环江毛南族自治县第二小学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eastAsia="zh-CN"/>
        </w:rPr>
        <w:t>23</w:t>
      </w:r>
      <w:r>
        <w:rPr>
          <w:rFonts w:hint="eastAsia" w:ascii="仿宋_GB2312" w:eastAsia="仿宋_GB2312" w:cs="仿宋_GB2312"/>
          <w:kern w:val="0"/>
          <w:sz w:val="32"/>
          <w:szCs w:val="32"/>
          <w:highlight w:val="none"/>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keepNext w:val="0"/>
        <w:keepLines w:val="0"/>
        <w:pageBreakBefore w:val="0"/>
        <w:widowControl w:val="0"/>
        <w:kinsoku/>
        <w:wordWrap/>
        <w:overflowPunct/>
        <w:topLinePunct w:val="0"/>
        <w:bidi w:val="0"/>
        <w:snapToGrid/>
        <w:spacing w:line="460" w:lineRule="exact"/>
        <w:jc w:val="left"/>
        <w:textAlignment w:val="auto"/>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bidi w:val="0"/>
        <w:snapToGrid/>
        <w:spacing w:line="46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keepNext w:val="0"/>
        <w:keepLines w:val="0"/>
        <w:pageBreakBefore w:val="0"/>
        <w:widowControl w:val="0"/>
        <w:kinsoku/>
        <w:wordWrap/>
        <w:overflowPunct/>
        <w:topLinePunct w:val="0"/>
        <w:bidi w:val="0"/>
        <w:snapToGrid/>
        <w:spacing w:line="46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环江毛南族自治县第二小学</w:t>
      </w:r>
      <w:r>
        <w:rPr>
          <w:rFonts w:hint="eastAsia" w:ascii="黑体" w:hAnsi="黑体" w:eastAsia="黑体" w:cs="黑体"/>
          <w:b/>
          <w:bCs/>
          <w:sz w:val="32"/>
          <w:szCs w:val="32"/>
          <w:highlight w:val="none"/>
        </w:rPr>
        <w:t>概况</w:t>
      </w:r>
    </w:p>
    <w:p>
      <w:pPr>
        <w:ind w:firstLine="646"/>
        <w:rPr>
          <w:rFonts w:hint="eastAsia" w:ascii="仿宋_GB2312" w:eastAsia="仿宋_GB2312"/>
          <w:b/>
          <w:bCs/>
          <w:sz w:val="32"/>
          <w:szCs w:val="32"/>
        </w:rPr>
      </w:pPr>
      <w:r>
        <w:rPr>
          <w:rFonts w:hint="eastAsia" w:ascii="仿宋_GB2312" w:eastAsia="仿宋_GB2312"/>
          <w:b/>
          <w:bCs/>
          <w:sz w:val="32"/>
          <w:szCs w:val="32"/>
        </w:rPr>
        <w:t>一、主要职能</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负责贯彻党的教育方针，坚持社会主义办学方向，实行教育与生产劳动相结合，对学生进行德育、智育、体育、美育和劳动等方面的教育。</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（二）</w:t>
      </w:r>
      <w:r>
        <w:rPr>
          <w:rFonts w:hint="eastAsia" w:ascii="仿宋_GB2312" w:eastAsia="仿宋_GB2312" w:cs="仿宋_GB2312"/>
          <w:kern w:val="0"/>
          <w:sz w:val="32"/>
          <w:szCs w:val="32"/>
        </w:rPr>
        <w:t>负责依法制定学校章程，并按照章程自主管理。</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rPr>
        <w:t>负责配合各级人民政府依法动员、组织适龄儿童、少年入学，严格控制学生辍学，依法保证适龄儿童、少年接受九年义务教育。</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（四）</w:t>
      </w:r>
      <w:r>
        <w:rPr>
          <w:rFonts w:hint="eastAsia" w:ascii="仿宋_GB2312" w:eastAsia="仿宋_GB2312" w:cs="仿宋_GB2312"/>
          <w:kern w:val="0"/>
          <w:sz w:val="32"/>
          <w:szCs w:val="32"/>
        </w:rPr>
        <w:t>负责制定学校教育发展规划，并抓好组织实施和落实工作。</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（五）</w:t>
      </w:r>
      <w:r>
        <w:rPr>
          <w:rFonts w:hint="eastAsia" w:ascii="仿宋_GB2312" w:eastAsia="仿宋_GB2312" w:cs="仿宋_GB2312"/>
          <w:kern w:val="0"/>
          <w:sz w:val="32"/>
          <w:szCs w:val="32"/>
        </w:rPr>
        <w:t>负责按照教育主管部门发布的指导性教学计划、教学大纲，组织实施教育教学活动。</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（六）</w:t>
      </w:r>
      <w:r>
        <w:rPr>
          <w:rFonts w:hint="eastAsia" w:ascii="仿宋_GB2312" w:eastAsia="仿宋_GB2312" w:cs="仿宋_GB2312"/>
          <w:kern w:val="0"/>
          <w:sz w:val="32"/>
          <w:szCs w:val="32"/>
        </w:rPr>
        <w:t>负责依据国家教育主管部门有关教学计划、课程设置等方面的规定，决定和实施本校的教学计划，组织教学评比、集体备课，对学生进行统考核、考试等。</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ascii="仿宋_GB2312" w:eastAsia="仿宋_GB2312" w:cs="仿宋_GB2312"/>
          <w:kern w:val="0"/>
          <w:sz w:val="32"/>
          <w:szCs w:val="32"/>
        </w:rPr>
        <w:t>负责学籍管理并对学生实施奖励或处分</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负责依法制定本校教师及其他职工聘任办法并对教师及其他员工实施包括奖励、处分在内的具体管理活动，依法聘任、解聘有关教师和其他职1</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（九）</w:t>
      </w:r>
      <w:r>
        <w:rPr>
          <w:rFonts w:hint="eastAsia" w:ascii="仿宋_GB2312" w:eastAsia="仿宋_GB2312" w:cs="仿宋_GB2312"/>
          <w:kern w:val="0"/>
          <w:sz w:val="32"/>
          <w:szCs w:val="32"/>
        </w:rPr>
        <w:t>负责聘任、培训、考核教师，依法奖励或处分教师和其他职工</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（十）负责科学管理、合理使用学校的设施和经费并积极筹措资金，改善办学条件</w:t>
      </w:r>
      <w:r>
        <w:rPr>
          <w:rFonts w:hint="eastAsia" w:ascii="仿宋_GB2312" w:eastAsia="仿宋_GB2312" w:cs="仿宋_GB2312"/>
          <w:kern w:val="0"/>
          <w:sz w:val="32"/>
          <w:szCs w:val="32"/>
        </w:rPr>
        <w:t>。</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（十一）</w:t>
      </w:r>
      <w:r>
        <w:rPr>
          <w:rFonts w:hint="eastAsia" w:ascii="仿宋_GB2312" w:eastAsia="仿宋_GB2312" w:cs="仿宋_GB2312"/>
          <w:kern w:val="0"/>
          <w:sz w:val="32"/>
          <w:szCs w:val="32"/>
        </w:rPr>
        <w:t>负责维护学校、师生的合法权益，有权拒绝任何组织和个人对教育教学活动进行非法干</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（十二）</w:t>
      </w:r>
      <w:r>
        <w:rPr>
          <w:rFonts w:hint="eastAsia" w:ascii="仿宋_GB2312" w:eastAsia="仿宋_GB2312" w:cs="仿宋_GB2312"/>
          <w:kern w:val="0"/>
          <w:sz w:val="32"/>
          <w:szCs w:val="32"/>
        </w:rPr>
        <w:t>依法接受各级教育行政部门的检查指导和人民群众的监督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620" w:firstLineChars="193"/>
        <w:textAlignment w:val="auto"/>
        <w:outlineLvl w:val="9"/>
        <w:rPr>
          <w:rFonts w:hint="eastAsia" w:ascii="宋体" w:hAnsi="宋体" w:eastAsia="宋体" w:cs="宋体"/>
          <w:b/>
          <w:bCs/>
          <w:color w:val="333333"/>
          <w:sz w:val="32"/>
          <w:szCs w:val="32"/>
        </w:rPr>
      </w:pPr>
      <w:r>
        <w:rPr>
          <w:rFonts w:hint="eastAsia" w:ascii="宋体" w:hAnsi="宋体" w:eastAsia="宋体" w:cs="宋体"/>
          <w:b/>
          <w:bCs/>
          <w:color w:val="333333"/>
          <w:sz w:val="32"/>
          <w:szCs w:val="32"/>
          <w:lang w:eastAsia="zh-CN"/>
        </w:rPr>
        <w:t>二、机构设置情况</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lang w:eastAsia="zh-CN"/>
        </w:rPr>
        <w:t>有</w:t>
      </w:r>
      <w:r>
        <w:rPr>
          <w:rFonts w:hint="eastAsia" w:ascii="仿宋_GB2312" w:hAnsi="宋体" w:eastAsia="仿宋_GB2312" w:cs="宋体"/>
          <w:sz w:val="32"/>
          <w:szCs w:val="32"/>
          <w:lang w:val="en-US" w:eastAsia="zh-CN"/>
        </w:rPr>
        <w:t>七</w:t>
      </w:r>
      <w:r>
        <w:rPr>
          <w:rFonts w:hint="eastAsia" w:ascii="仿宋_GB2312" w:hAnsi="宋体" w:eastAsia="仿宋_GB2312" w:cs="宋体"/>
          <w:sz w:val="32"/>
          <w:szCs w:val="32"/>
          <w:lang w:eastAsia="zh-CN"/>
        </w:rPr>
        <w:t>个内设机构，分别为：党工委办公室、行政办公室、</w:t>
      </w:r>
      <w:r>
        <w:rPr>
          <w:rFonts w:hint="eastAsia" w:ascii="仿宋_GB2312" w:hAnsi="宋体" w:eastAsia="仿宋_GB2312" w:cs="宋体"/>
          <w:sz w:val="32"/>
          <w:szCs w:val="32"/>
          <w:lang w:val="en-US" w:eastAsia="zh-CN"/>
        </w:rPr>
        <w:t>工会室、安全办、政教处、教务处、总务处</w:t>
      </w:r>
      <w:r>
        <w:rPr>
          <w:rFonts w:hint="eastAsia" w:ascii="仿宋_GB2312" w:hAnsi="宋体" w:eastAsia="仿宋_GB2312" w:cs="宋体"/>
          <w:sz w:val="32"/>
          <w:szCs w:val="32"/>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b/>
          <w:sz w:val="32"/>
          <w:szCs w:val="32"/>
        </w:rPr>
      </w:pPr>
      <w:r>
        <w:rPr>
          <w:rFonts w:hint="eastAsia" w:ascii="宋体" w:hAnsi="宋体" w:eastAsia="宋体" w:cs="宋体"/>
          <w:b/>
          <w:sz w:val="28"/>
          <w:szCs w:val="28"/>
          <w:lang w:val="en-US" w:eastAsia="zh-CN"/>
        </w:rPr>
        <w:t xml:space="preserve">   </w:t>
      </w:r>
      <w:r>
        <w:rPr>
          <w:rFonts w:hint="eastAsia" w:ascii="宋体" w:hAnsi="宋体" w:cs="宋体"/>
          <w:b/>
          <w:sz w:val="28"/>
          <w:szCs w:val="28"/>
          <w:lang w:val="en-US" w:eastAsia="zh-CN"/>
        </w:rPr>
        <w:t xml:space="preserve"> </w:t>
      </w:r>
      <w:r>
        <w:rPr>
          <w:rFonts w:hint="eastAsia" w:ascii="宋体" w:hAnsi="宋体" w:eastAsia="宋体" w:cs="宋体"/>
          <w:b/>
          <w:sz w:val="32"/>
          <w:szCs w:val="32"/>
          <w:lang w:eastAsia="zh-CN"/>
        </w:rPr>
        <w:t>三</w:t>
      </w:r>
      <w:r>
        <w:rPr>
          <w:rFonts w:hint="eastAsia" w:ascii="宋体" w:hAnsi="宋体" w:eastAsia="宋体" w:cs="宋体"/>
          <w:b/>
          <w:sz w:val="32"/>
          <w:szCs w:val="32"/>
        </w:rPr>
        <w:t>、</w:t>
      </w:r>
      <w:r>
        <w:rPr>
          <w:rFonts w:hint="eastAsia" w:ascii="宋体" w:hAnsi="宋体" w:eastAsia="宋体" w:cs="宋体"/>
          <w:b/>
          <w:sz w:val="32"/>
          <w:szCs w:val="32"/>
          <w:lang w:eastAsia="zh-CN"/>
        </w:rPr>
        <w:t>人员</w:t>
      </w:r>
      <w:r>
        <w:rPr>
          <w:rFonts w:hint="eastAsia" w:ascii="宋体" w:hAnsi="宋体" w:cs="宋体"/>
          <w:b/>
          <w:sz w:val="32"/>
          <w:szCs w:val="32"/>
          <w:lang w:eastAsia="zh-CN"/>
        </w:rPr>
        <w:t>构成</w:t>
      </w:r>
      <w:r>
        <w:rPr>
          <w:rFonts w:hint="eastAsia" w:ascii="宋体" w:hAnsi="宋体" w:eastAsia="宋体" w:cs="宋体"/>
          <w:b/>
          <w:sz w:val="32"/>
          <w:szCs w:val="32"/>
        </w:rPr>
        <w:t>情况</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20</w:t>
      </w:r>
      <w:r>
        <w:rPr>
          <w:rFonts w:hint="eastAsia" w:ascii="仿宋_GB2312" w:hAnsi="宋体" w:eastAsia="仿宋_GB2312" w:cs="宋体"/>
          <w:sz w:val="32"/>
          <w:szCs w:val="32"/>
          <w:lang w:val="en-US" w:eastAsia="zh-CN"/>
        </w:rPr>
        <w:t>23</w:t>
      </w:r>
      <w:r>
        <w:rPr>
          <w:rFonts w:hint="eastAsia" w:ascii="仿宋_GB2312" w:hAnsi="宋体" w:eastAsia="仿宋_GB2312" w:cs="宋体"/>
          <w:sz w:val="32"/>
          <w:szCs w:val="32"/>
          <w:lang w:eastAsia="zh-CN"/>
        </w:rPr>
        <w:t>年</w:t>
      </w: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lang w:eastAsia="zh-CN"/>
        </w:rPr>
        <w:t>总编制人数</w:t>
      </w:r>
      <w:r>
        <w:rPr>
          <w:rFonts w:hint="eastAsia" w:ascii="仿宋_GB2312" w:hAnsi="宋体" w:eastAsia="仿宋_GB2312" w:cs="宋体"/>
          <w:sz w:val="32"/>
          <w:szCs w:val="32"/>
          <w:lang w:val="en-US" w:eastAsia="zh-CN"/>
        </w:rPr>
        <w:t>94</w:t>
      </w:r>
      <w:r>
        <w:rPr>
          <w:rFonts w:hint="eastAsia" w:ascii="仿宋_GB2312" w:hAnsi="宋体" w:eastAsia="仿宋_GB2312" w:cs="宋体"/>
          <w:sz w:val="32"/>
          <w:szCs w:val="32"/>
          <w:lang w:eastAsia="zh-CN"/>
        </w:rPr>
        <w:t>人，其中事业编制数</w:t>
      </w:r>
      <w:r>
        <w:rPr>
          <w:rFonts w:hint="eastAsia" w:ascii="仿宋_GB2312" w:hAnsi="宋体" w:eastAsia="仿宋_GB2312" w:cs="宋体"/>
          <w:sz w:val="32"/>
          <w:szCs w:val="32"/>
          <w:lang w:val="en-US" w:eastAsia="zh-CN"/>
        </w:rPr>
        <w:t>90</w:t>
      </w:r>
      <w:r>
        <w:rPr>
          <w:rFonts w:hint="eastAsia" w:ascii="仿宋_GB2312" w:hAnsi="宋体" w:eastAsia="仿宋_GB2312" w:cs="宋体"/>
          <w:sz w:val="32"/>
          <w:szCs w:val="32"/>
          <w:lang w:eastAsia="zh-CN"/>
        </w:rPr>
        <w:t>人</w:t>
      </w:r>
      <w:r>
        <w:rPr>
          <w:rFonts w:hint="eastAsia" w:ascii="仿宋_GB2312" w:hAnsi="宋体" w:eastAsia="仿宋_GB2312" w:cs="宋体"/>
          <w:sz w:val="32"/>
          <w:szCs w:val="32"/>
          <w:lang w:val="en-US" w:eastAsia="zh-CN"/>
        </w:rPr>
        <w:t>，</w:t>
      </w:r>
      <w:r>
        <w:rPr>
          <w:rFonts w:hint="eastAsia" w:ascii="仿宋_GB2312" w:eastAsia="仿宋_GB2312"/>
          <w:sz w:val="32"/>
          <w:szCs w:val="32"/>
        </w:rPr>
        <w:t>机关控制数</w:t>
      </w:r>
      <w:r>
        <w:rPr>
          <w:rFonts w:hint="eastAsia" w:ascii="仿宋_GB2312" w:eastAsia="仿宋_GB2312"/>
          <w:sz w:val="32"/>
          <w:szCs w:val="32"/>
          <w:lang w:val="en-US" w:eastAsia="zh-CN"/>
        </w:rPr>
        <w:t>4</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实有在职人数</w:t>
      </w:r>
      <w:r>
        <w:rPr>
          <w:rFonts w:hint="eastAsia" w:ascii="仿宋_GB2312" w:hAnsi="宋体" w:eastAsia="仿宋_GB2312" w:cs="宋体"/>
          <w:sz w:val="32"/>
          <w:szCs w:val="32"/>
          <w:lang w:val="en-US" w:eastAsia="zh-CN"/>
        </w:rPr>
        <w:t>90</w:t>
      </w:r>
      <w:r>
        <w:rPr>
          <w:rFonts w:hint="eastAsia" w:ascii="仿宋_GB2312" w:hAnsi="宋体" w:eastAsia="仿宋_GB2312" w:cs="宋体"/>
          <w:sz w:val="32"/>
          <w:szCs w:val="32"/>
          <w:lang w:eastAsia="zh-CN"/>
        </w:rPr>
        <w:t>人，其中事业在职</w:t>
      </w:r>
      <w:r>
        <w:rPr>
          <w:rFonts w:hint="eastAsia" w:ascii="仿宋_GB2312" w:hAnsi="宋体" w:eastAsia="仿宋_GB2312" w:cs="宋体"/>
          <w:sz w:val="32"/>
          <w:szCs w:val="32"/>
          <w:lang w:val="en-US" w:eastAsia="zh-CN"/>
        </w:rPr>
        <w:t>86</w:t>
      </w:r>
      <w:r>
        <w:rPr>
          <w:rFonts w:hint="eastAsia" w:ascii="仿宋_GB2312" w:hAnsi="宋体" w:eastAsia="仿宋_GB2312" w:cs="宋体"/>
          <w:sz w:val="32"/>
          <w:szCs w:val="32"/>
          <w:lang w:eastAsia="zh-CN"/>
        </w:rPr>
        <w:t>人，</w:t>
      </w:r>
      <w:r>
        <w:rPr>
          <w:rFonts w:hint="eastAsia" w:ascii="仿宋_GB2312" w:eastAsia="仿宋_GB2312"/>
          <w:sz w:val="32"/>
          <w:szCs w:val="32"/>
        </w:rPr>
        <w:t>控制数</w:t>
      </w:r>
      <w:r>
        <w:rPr>
          <w:rFonts w:hint="eastAsia" w:ascii="仿宋_GB2312" w:eastAsia="仿宋_GB2312"/>
          <w:sz w:val="32"/>
          <w:szCs w:val="32"/>
          <w:lang w:val="en-US" w:eastAsia="zh-CN"/>
        </w:rPr>
        <w:t>4</w:t>
      </w:r>
      <w:r>
        <w:rPr>
          <w:rFonts w:hint="eastAsia" w:ascii="仿宋_GB2312" w:eastAsia="仿宋_GB2312"/>
          <w:sz w:val="32"/>
          <w:szCs w:val="32"/>
        </w:rPr>
        <w:t>人</w:t>
      </w:r>
      <w:r>
        <w:rPr>
          <w:rFonts w:hint="eastAsia" w:ascii="仿宋_GB2312" w:hAnsi="宋体" w:eastAsia="仿宋_GB2312" w:cs="宋体"/>
          <w:sz w:val="32"/>
          <w:szCs w:val="32"/>
          <w:lang w:eastAsia="zh-CN"/>
        </w:rPr>
        <w:t>；退休人员</w:t>
      </w:r>
      <w:r>
        <w:rPr>
          <w:rFonts w:hint="eastAsia" w:ascii="仿宋_GB2312" w:hAnsi="宋体" w:eastAsia="仿宋_GB2312" w:cs="宋体"/>
          <w:sz w:val="32"/>
          <w:szCs w:val="32"/>
          <w:lang w:val="en-US" w:eastAsia="zh-CN"/>
        </w:rPr>
        <w:t>29</w:t>
      </w:r>
      <w:r>
        <w:rPr>
          <w:rFonts w:hint="eastAsia" w:ascii="仿宋_GB2312" w:hAnsi="宋体" w:eastAsia="仿宋_GB2312" w:cs="宋体"/>
          <w:sz w:val="32"/>
          <w:szCs w:val="32"/>
          <w:lang w:eastAsia="zh-CN"/>
        </w:rPr>
        <w:t>人。</w:t>
      </w:r>
    </w:p>
    <w:p>
      <w:pPr>
        <w:keepNext w:val="0"/>
        <w:keepLines w:val="0"/>
        <w:pageBreakBefore w:val="0"/>
        <w:kinsoku/>
        <w:wordWrap/>
        <w:overflowPunct/>
        <w:topLinePunct w:val="0"/>
        <w:autoSpaceDE/>
        <w:autoSpaceDN/>
        <w:bidi w:val="0"/>
        <w:adjustRightInd/>
        <w:snapToGrid/>
        <w:spacing w:line="440" w:lineRule="exact"/>
        <w:ind w:right="0" w:rightChars="0"/>
        <w:textAlignment w:val="auto"/>
        <w:outlineLvl w:val="9"/>
        <w:rPr>
          <w:rFonts w:hint="eastAsia" w:ascii="仿宋_GB2312" w:hAnsi="宋体" w:eastAsia="仿宋_GB2312" w:cs="宋体"/>
          <w:sz w:val="32"/>
          <w:szCs w:val="32"/>
          <w:lang w:eastAsia="zh-CN"/>
        </w:rPr>
        <w:sectPr>
          <w:headerReference r:id="rId5" w:type="default"/>
          <w:pgSz w:w="11906" w:h="16838"/>
          <w:pgMar w:top="1247" w:right="1417" w:bottom="1247" w:left="1417" w:header="851" w:footer="992" w:gutter="0"/>
          <w:cols w:space="720" w:num="1"/>
          <w:rtlGutter w:val="0"/>
          <w:docGrid w:type="lines" w:linePitch="312" w:charSpace="0"/>
        </w:sect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环江毛南族自治县第二小学</w:t>
      </w:r>
      <w:r>
        <w:rPr>
          <w:rFonts w:hint="eastAsia" w:ascii="黑体" w:hAnsi="黑体" w:eastAsia="黑体" w:cs="黑体"/>
          <w:sz w:val="32"/>
          <w:szCs w:val="32"/>
          <w:highlight w:val="none"/>
        </w:rPr>
        <w:t xml:space="preserve"> 20</w:t>
      </w:r>
      <w:r>
        <w:rPr>
          <w:rFonts w:hint="eastAsia" w:ascii="黑体" w:hAnsi="黑体" w:eastAsia="黑体" w:cs="黑体"/>
          <w:sz w:val="32"/>
          <w:szCs w:val="32"/>
          <w:highlight w:val="none"/>
          <w:lang w:eastAsia="zh-CN"/>
        </w:rPr>
        <w:t>23</w:t>
      </w:r>
      <w:r>
        <w:rPr>
          <w:rFonts w:hint="eastAsia" w:ascii="黑体" w:hAnsi="黑体" w:eastAsia="黑体" w:cs="黑体"/>
          <w:sz w:val="32"/>
          <w:szCs w:val="32"/>
          <w:highlight w:val="none"/>
        </w:rPr>
        <w:t>年度部门决算报表</w:t>
      </w:r>
    </w:p>
    <w:tbl>
      <w:tblPr>
        <w:tblStyle w:val="6"/>
        <w:tblW w:w="5000" w:type="pct"/>
        <w:tblInd w:w="0" w:type="dxa"/>
        <w:tblLayout w:type="autofit"/>
        <w:tblCellMar>
          <w:top w:w="0" w:type="dxa"/>
          <w:left w:w="108" w:type="dxa"/>
          <w:bottom w:w="0" w:type="dxa"/>
          <w:right w:w="108" w:type="dxa"/>
        </w:tblCellMar>
      </w:tblPr>
      <w:tblGrid>
        <w:gridCol w:w="3736"/>
        <w:gridCol w:w="656"/>
        <w:gridCol w:w="973"/>
        <w:gridCol w:w="1528"/>
        <w:gridCol w:w="3516"/>
        <w:gridCol w:w="656"/>
        <w:gridCol w:w="1444"/>
        <w:gridCol w:w="1665"/>
      </w:tblGrid>
      <w:tr>
        <w:tblPrEx>
          <w:tblCellMar>
            <w:top w:w="0" w:type="dxa"/>
            <w:left w:w="108" w:type="dxa"/>
            <w:bottom w:w="0" w:type="dxa"/>
            <w:right w:w="108" w:type="dxa"/>
          </w:tblCellMar>
        </w:tblPrEx>
        <w:trPr>
          <w:trHeight w:val="902" w:hRule="atLeast"/>
        </w:trPr>
        <w:tc>
          <w:tcPr>
            <w:tcW w:w="5000" w:type="pct"/>
            <w:gridSpan w:val="8"/>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652"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8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2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65"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0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71"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2359" w:type="pct"/>
            <w:gridSpan w:val="4"/>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765" w:type="pct"/>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0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71"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235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收入</w:t>
            </w:r>
          </w:p>
        </w:tc>
        <w:tc>
          <w:tcPr>
            <w:tcW w:w="264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支出</w:t>
            </w:r>
          </w:p>
        </w:tc>
      </w:tr>
      <w:tr>
        <w:tblPrEx>
          <w:tblCellMar>
            <w:top w:w="0" w:type="dxa"/>
            <w:left w:w="108" w:type="dxa"/>
            <w:bottom w:w="0" w:type="dxa"/>
            <w:right w:w="108" w:type="dxa"/>
          </w:tblCellMar>
        </w:tblPrEx>
        <w:trPr>
          <w:trHeight w:val="315"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r>
      <w:tr>
        <w:tblPrEx>
          <w:tblCellMar>
            <w:top w:w="0" w:type="dxa"/>
            <w:left w:w="108" w:type="dxa"/>
            <w:bottom w:w="0" w:type="dxa"/>
            <w:right w:w="108" w:type="dxa"/>
          </w:tblCellMar>
        </w:tblPrEx>
        <w:trPr>
          <w:trHeight w:val="315"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1,693.58</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32</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16.29</w:t>
            </w: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二、外交支出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33</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三、国防支出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34</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35</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五、事业收入</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五、教育支出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36</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1,289.37</w:t>
            </w: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六、经营收入</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37</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7</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38</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八、其他收入</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39</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146.22</w:t>
            </w: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9</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40</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10</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41</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11</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42</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12</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43</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13</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44</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14</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45</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15</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46</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16</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十六、金融支出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47</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17</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48</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18</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49</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19</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50</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109.84</w:t>
            </w: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20</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51</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21</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52</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22</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53</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23</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54</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131.85</w:t>
            </w: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24</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55</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25</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56</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26</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57</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27</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1,693.58</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58</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1,693.58</w:t>
            </w: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28</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结余分配</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59</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29</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年末结转和结余</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60</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highlight w:val="none"/>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30</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61</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31</w:t>
            </w:r>
          </w:p>
        </w:tc>
        <w:tc>
          <w:tcPr>
            <w:tcW w:w="17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1,693.58</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62</w:t>
            </w:r>
          </w:p>
        </w:tc>
        <w:tc>
          <w:tcPr>
            <w:tcW w:w="187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1,693.58</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5000" w:type="pct"/>
        <w:tblInd w:w="0" w:type="dxa"/>
        <w:tblLayout w:type="autofit"/>
        <w:tblCellMar>
          <w:top w:w="0" w:type="dxa"/>
          <w:left w:w="108" w:type="dxa"/>
          <w:bottom w:w="0" w:type="dxa"/>
          <w:right w:w="108" w:type="dxa"/>
        </w:tblCellMar>
      </w:tblPr>
      <w:tblGrid>
        <w:gridCol w:w="2414"/>
        <w:gridCol w:w="883"/>
        <w:gridCol w:w="883"/>
        <w:gridCol w:w="1970"/>
        <w:gridCol w:w="1411"/>
        <w:gridCol w:w="1414"/>
        <w:gridCol w:w="1006"/>
        <w:gridCol w:w="1088"/>
        <w:gridCol w:w="1099"/>
        <w:gridCol w:w="1065"/>
        <w:gridCol w:w="941"/>
      </w:tblGrid>
      <w:tr>
        <w:tblPrEx>
          <w:tblCellMar>
            <w:top w:w="0" w:type="dxa"/>
            <w:left w:w="108" w:type="dxa"/>
            <w:bottom w:w="0" w:type="dxa"/>
            <w:right w:w="108" w:type="dxa"/>
          </w:tblCellMar>
        </w:tblPrEx>
        <w:trPr>
          <w:trHeight w:val="951" w:hRule="atLeast"/>
        </w:trPr>
        <w:tc>
          <w:tcPr>
            <w:tcW w:w="5000" w:type="pct"/>
            <w:gridSpan w:val="11"/>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86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39"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3080"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372"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1"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39" w:type="pct"/>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90" w:hRule="atLeast"/>
        </w:trPr>
        <w:tc>
          <w:tcPr>
            <w:tcW w:w="20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5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事业收入</w:t>
            </w:r>
          </w:p>
        </w:tc>
        <w:tc>
          <w:tcPr>
            <w:tcW w:w="4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经营收入</w:t>
            </w:r>
          </w:p>
        </w:tc>
        <w:tc>
          <w:tcPr>
            <w:tcW w:w="3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3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其他收入</w:t>
            </w:r>
          </w:p>
        </w:tc>
      </w:tr>
      <w:tr>
        <w:tblPrEx>
          <w:tblCellMar>
            <w:top w:w="0" w:type="dxa"/>
            <w:left w:w="108" w:type="dxa"/>
            <w:bottom w:w="0" w:type="dxa"/>
            <w:right w:w="108" w:type="dxa"/>
          </w:tblCellMar>
        </w:tblPrEx>
        <w:trPr>
          <w:trHeight w:val="327" w:hRule="atLeast"/>
        </w:trPr>
        <w:tc>
          <w:tcPr>
            <w:tcW w:w="8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179" w:type="pct"/>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8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9"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8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9"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20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108" w:type="dxa"/>
            <w:bottom w:w="0" w:type="dxa"/>
            <w:right w:w="108" w:type="dxa"/>
          </w:tblCellMar>
        </w:tblPrEx>
        <w:trPr>
          <w:trHeight w:val="961" w:hRule="atLeast"/>
        </w:trPr>
        <w:tc>
          <w:tcPr>
            <w:tcW w:w="20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1,693.58</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1,693.58</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327" w:hRule="atLeast"/>
        </w:trPr>
        <w:tc>
          <w:tcPr>
            <w:tcW w:w="8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117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16.29</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16.29</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8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2050202</w:t>
            </w:r>
          </w:p>
        </w:tc>
        <w:tc>
          <w:tcPr>
            <w:tcW w:w="117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小学教育</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1,263.29</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1,263.29</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8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117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其他普通教育支出</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25.44</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25.44</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8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2050701</w:t>
            </w:r>
          </w:p>
        </w:tc>
        <w:tc>
          <w:tcPr>
            <w:tcW w:w="117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特殊学校教育</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0.64</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0.64</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8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117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146.22</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146.22</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8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117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109.84</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109.84</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8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117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131.85</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131.85</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5000" w:type="pct"/>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5000" w:type="pct"/>
        <w:tblInd w:w="0" w:type="dxa"/>
        <w:tblLayout w:type="autofit"/>
        <w:tblCellMar>
          <w:top w:w="0" w:type="dxa"/>
          <w:left w:w="108" w:type="dxa"/>
          <w:bottom w:w="0" w:type="dxa"/>
          <w:right w:w="108" w:type="dxa"/>
        </w:tblCellMar>
      </w:tblPr>
      <w:tblGrid>
        <w:gridCol w:w="986"/>
        <w:gridCol w:w="424"/>
        <w:gridCol w:w="281"/>
        <w:gridCol w:w="357"/>
        <w:gridCol w:w="2860"/>
        <w:gridCol w:w="1690"/>
        <w:gridCol w:w="1653"/>
        <w:gridCol w:w="1639"/>
        <w:gridCol w:w="1157"/>
        <w:gridCol w:w="1497"/>
        <w:gridCol w:w="1630"/>
      </w:tblGrid>
      <w:tr>
        <w:tblPrEx>
          <w:tblCellMar>
            <w:top w:w="0" w:type="dxa"/>
            <w:left w:w="108" w:type="dxa"/>
            <w:bottom w:w="0" w:type="dxa"/>
            <w:right w:w="108" w:type="dxa"/>
          </w:tblCellMar>
        </w:tblPrEx>
        <w:trPr>
          <w:trHeight w:val="623"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498"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0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7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73"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3489" w:type="pct"/>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408" w:type="pct"/>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8" w:type="pct"/>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73" w:type="pct"/>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173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5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5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5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经营支出</w:t>
            </w:r>
          </w:p>
        </w:tc>
        <w:tc>
          <w:tcPr>
            <w:tcW w:w="5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22" w:hRule="atLeast"/>
        </w:trPr>
        <w:tc>
          <w:tcPr>
            <w:tcW w:w="3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384"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5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84"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3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84"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173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633" w:hRule="atLeast"/>
        </w:trPr>
        <w:tc>
          <w:tcPr>
            <w:tcW w:w="173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1,693.58</w:t>
            </w:r>
          </w:p>
        </w:tc>
        <w:tc>
          <w:tcPr>
            <w:tcW w:w="5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1,496.95</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196.63</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322" w:hRule="atLeast"/>
        </w:trPr>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138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16.29</w:t>
            </w:r>
          </w:p>
        </w:tc>
        <w:tc>
          <w:tcPr>
            <w:tcW w:w="5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16.29</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2050202</w:t>
            </w:r>
          </w:p>
        </w:tc>
        <w:tc>
          <w:tcPr>
            <w:tcW w:w="138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小学教育</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1,263.29</w:t>
            </w:r>
          </w:p>
        </w:tc>
        <w:tc>
          <w:tcPr>
            <w:tcW w:w="5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1,092.11</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171.17</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138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其他普通教育支出</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25.44</w:t>
            </w:r>
          </w:p>
        </w:tc>
        <w:tc>
          <w:tcPr>
            <w:tcW w:w="5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0.63</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24.81</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2050701</w:t>
            </w:r>
          </w:p>
        </w:tc>
        <w:tc>
          <w:tcPr>
            <w:tcW w:w="138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特殊学校教育</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0.64</w:t>
            </w:r>
          </w:p>
        </w:tc>
        <w:tc>
          <w:tcPr>
            <w:tcW w:w="5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0.64</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138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146.22</w:t>
            </w:r>
          </w:p>
        </w:tc>
        <w:tc>
          <w:tcPr>
            <w:tcW w:w="5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146.22</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138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109.84</w:t>
            </w:r>
          </w:p>
        </w:tc>
        <w:tc>
          <w:tcPr>
            <w:tcW w:w="5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109.84</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138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131.85</w:t>
            </w:r>
          </w:p>
        </w:tc>
        <w:tc>
          <w:tcPr>
            <w:tcW w:w="5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131.85</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5000" w:type="pct"/>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5000" w:type="pct"/>
        <w:tblInd w:w="0" w:type="dxa"/>
        <w:tblLayout w:type="autofit"/>
        <w:tblCellMar>
          <w:top w:w="0" w:type="dxa"/>
          <w:left w:w="108" w:type="dxa"/>
          <w:bottom w:w="0" w:type="dxa"/>
          <w:right w:w="108" w:type="dxa"/>
        </w:tblCellMar>
      </w:tblPr>
      <w:tblGrid>
        <w:gridCol w:w="2497"/>
        <w:gridCol w:w="262"/>
        <w:gridCol w:w="488"/>
        <w:gridCol w:w="106"/>
        <w:gridCol w:w="1263"/>
        <w:gridCol w:w="2384"/>
        <w:gridCol w:w="570"/>
        <w:gridCol w:w="370"/>
        <w:gridCol w:w="208"/>
        <w:gridCol w:w="939"/>
        <w:gridCol w:w="1301"/>
        <w:gridCol w:w="997"/>
        <w:gridCol w:w="222"/>
        <w:gridCol w:w="867"/>
        <w:gridCol w:w="332"/>
        <w:gridCol w:w="1368"/>
      </w:tblGrid>
      <w:tr>
        <w:tblPrEx>
          <w:tblCellMar>
            <w:top w:w="0" w:type="dxa"/>
            <w:left w:w="108" w:type="dxa"/>
            <w:bottom w:w="0" w:type="dxa"/>
            <w:right w:w="108" w:type="dxa"/>
          </w:tblCellMar>
        </w:tblPrEx>
        <w:trPr>
          <w:trHeight w:val="520" w:hRule="atLeast"/>
        </w:trPr>
        <w:tc>
          <w:tcPr>
            <w:tcW w:w="5000" w:type="pct"/>
            <w:gridSpan w:val="1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94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9" w:type="pct"/>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9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4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0"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14" w:type="pct"/>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3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922" w:type="pct"/>
            <w:gridSpan w:val="1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426" w:type="pct"/>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33"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758"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     入</w:t>
            </w:r>
          </w:p>
        </w:tc>
        <w:tc>
          <w:tcPr>
            <w:tcW w:w="3241"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312"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合计</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CellMar>
            <w:top w:w="0" w:type="dxa"/>
            <w:left w:w="108" w:type="dxa"/>
            <w:bottom w:w="0" w:type="dxa"/>
            <w:right w:w="108" w:type="dxa"/>
          </w:tblCellMar>
        </w:tblPrEx>
        <w:trPr>
          <w:trHeight w:val="536"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1,693.58</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16.29</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16.29</w:t>
            </w: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二、外交支出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三、国防支出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五、教育支出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1,289.37</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1,289.37</w:t>
            </w: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39</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146.22</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146.22</w:t>
            </w: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45</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46</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49</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50</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109.84</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109.84</w:t>
            </w: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52</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54</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23</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131.85</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131.85</w:t>
            </w: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26</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1,693.58</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1,693.58</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1,693.58</w:t>
            </w: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29</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61</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62</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63</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0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1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1,693.58</w:t>
            </w:r>
          </w:p>
        </w:tc>
        <w:tc>
          <w:tcPr>
            <w:tcW w:w="10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1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w:t>
            </w:r>
          </w:p>
        </w:tc>
        <w:tc>
          <w:tcPr>
            <w:tcW w:w="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1,693.58</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1,693.58</w:t>
            </w:r>
          </w:p>
        </w:tc>
        <w:tc>
          <w:tcPr>
            <w:tcW w:w="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9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758"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收     入</w:t>
            </w:r>
          </w:p>
        </w:tc>
        <w:tc>
          <w:tcPr>
            <w:tcW w:w="3241"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268" w:hRule="atLeast"/>
        </w:trPr>
        <w:tc>
          <w:tcPr>
            <w:tcW w:w="4466" w:type="pct"/>
            <w:gridSpan w:val="15"/>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533"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5000" w:type="pct"/>
        <w:tblInd w:w="0" w:type="dxa"/>
        <w:tblLayout w:type="autofit"/>
        <w:tblCellMar>
          <w:top w:w="0" w:type="dxa"/>
          <w:left w:w="108" w:type="dxa"/>
          <w:bottom w:w="0" w:type="dxa"/>
          <w:right w:w="108" w:type="dxa"/>
        </w:tblCellMar>
      </w:tblPr>
      <w:tblGrid>
        <w:gridCol w:w="1955"/>
        <w:gridCol w:w="505"/>
        <w:gridCol w:w="505"/>
        <w:gridCol w:w="3994"/>
        <w:gridCol w:w="2200"/>
        <w:gridCol w:w="2112"/>
        <w:gridCol w:w="2903"/>
      </w:tblGrid>
      <w:tr>
        <w:tblPrEx>
          <w:tblCellMar>
            <w:top w:w="0" w:type="dxa"/>
            <w:left w:w="108" w:type="dxa"/>
            <w:bottom w:w="0" w:type="dxa"/>
            <w:right w:w="108" w:type="dxa"/>
          </w:tblCellMar>
        </w:tblPrEx>
        <w:trPr>
          <w:trHeight w:val="693"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6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0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7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2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3231" w:type="pct"/>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74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23"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245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254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53" w:hRule="atLeast"/>
        </w:trPr>
        <w:tc>
          <w:tcPr>
            <w:tcW w:w="6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764" w:type="pct"/>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7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7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10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319" w:hRule="atLeast"/>
        </w:trPr>
        <w:tc>
          <w:tcPr>
            <w:tcW w:w="6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4"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6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4"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245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0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58" w:hRule="atLeast"/>
        </w:trPr>
        <w:tc>
          <w:tcPr>
            <w:tcW w:w="245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1,693.58</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1,496.95</w:t>
            </w:r>
          </w:p>
        </w:tc>
        <w:tc>
          <w:tcPr>
            <w:tcW w:w="10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196.63</w:t>
            </w:r>
          </w:p>
        </w:tc>
      </w:tr>
      <w:tr>
        <w:tblPrEx>
          <w:tblCellMar>
            <w:top w:w="0" w:type="dxa"/>
            <w:left w:w="108" w:type="dxa"/>
            <w:bottom w:w="0" w:type="dxa"/>
            <w:right w:w="108" w:type="dxa"/>
          </w:tblCellMar>
        </w:tblPrEx>
        <w:trPr>
          <w:trHeight w:val="358" w:hRule="atLeast"/>
        </w:trPr>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176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16.29</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16.29</w:t>
            </w:r>
          </w:p>
        </w:tc>
        <w:tc>
          <w:tcPr>
            <w:tcW w:w="10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2050202</w:t>
            </w:r>
          </w:p>
        </w:tc>
        <w:tc>
          <w:tcPr>
            <w:tcW w:w="176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小学教育</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1,263.29</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1,092.11</w:t>
            </w:r>
          </w:p>
        </w:tc>
        <w:tc>
          <w:tcPr>
            <w:tcW w:w="10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171.17</w:t>
            </w:r>
          </w:p>
        </w:tc>
      </w:tr>
      <w:tr>
        <w:tblPrEx>
          <w:tblCellMar>
            <w:top w:w="0" w:type="dxa"/>
            <w:left w:w="108" w:type="dxa"/>
            <w:bottom w:w="0" w:type="dxa"/>
            <w:right w:w="108" w:type="dxa"/>
          </w:tblCellMar>
        </w:tblPrEx>
        <w:trPr>
          <w:trHeight w:val="358" w:hRule="atLeast"/>
        </w:trPr>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2050299</w:t>
            </w:r>
          </w:p>
        </w:tc>
        <w:tc>
          <w:tcPr>
            <w:tcW w:w="176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25.44</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0.63</w:t>
            </w:r>
          </w:p>
        </w:tc>
        <w:tc>
          <w:tcPr>
            <w:tcW w:w="10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24.81</w:t>
            </w:r>
          </w:p>
        </w:tc>
      </w:tr>
      <w:tr>
        <w:tblPrEx>
          <w:tblCellMar>
            <w:top w:w="0" w:type="dxa"/>
            <w:left w:w="108" w:type="dxa"/>
            <w:bottom w:w="0" w:type="dxa"/>
            <w:right w:w="108" w:type="dxa"/>
          </w:tblCellMar>
        </w:tblPrEx>
        <w:trPr>
          <w:trHeight w:val="358" w:hRule="atLeast"/>
        </w:trPr>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2050701</w:t>
            </w:r>
          </w:p>
        </w:tc>
        <w:tc>
          <w:tcPr>
            <w:tcW w:w="176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0.64</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0.64</w:t>
            </w:r>
          </w:p>
        </w:tc>
      </w:tr>
      <w:tr>
        <w:tblPrEx>
          <w:tblCellMar>
            <w:top w:w="0" w:type="dxa"/>
            <w:left w:w="108" w:type="dxa"/>
            <w:bottom w:w="0" w:type="dxa"/>
            <w:right w:w="108" w:type="dxa"/>
          </w:tblCellMar>
        </w:tblPrEx>
        <w:trPr>
          <w:trHeight w:val="358" w:hRule="atLeast"/>
        </w:trPr>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176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146.22</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146.22</w:t>
            </w:r>
          </w:p>
        </w:tc>
        <w:tc>
          <w:tcPr>
            <w:tcW w:w="10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176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109.84</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109.84</w:t>
            </w:r>
          </w:p>
        </w:tc>
        <w:tc>
          <w:tcPr>
            <w:tcW w:w="10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176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131.85</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131.85</w:t>
            </w:r>
          </w:p>
        </w:tc>
        <w:tc>
          <w:tcPr>
            <w:tcW w:w="10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5000" w:type="pct"/>
            <w:gridSpan w:val="7"/>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5000" w:type="pct"/>
        <w:tblInd w:w="0" w:type="dxa"/>
        <w:tblLayout w:type="autofit"/>
        <w:tblCellMar>
          <w:top w:w="0" w:type="dxa"/>
          <w:left w:w="108" w:type="dxa"/>
          <w:bottom w:w="0" w:type="dxa"/>
          <w:right w:w="108" w:type="dxa"/>
        </w:tblCellMar>
      </w:tblPr>
      <w:tblGrid>
        <w:gridCol w:w="705"/>
        <w:gridCol w:w="662"/>
        <w:gridCol w:w="2500"/>
        <w:gridCol w:w="187"/>
        <w:gridCol w:w="817"/>
        <w:gridCol w:w="705"/>
        <w:gridCol w:w="746"/>
        <w:gridCol w:w="1433"/>
        <w:gridCol w:w="493"/>
        <w:gridCol w:w="214"/>
        <w:gridCol w:w="705"/>
        <w:gridCol w:w="217"/>
        <w:gridCol w:w="1354"/>
        <w:gridCol w:w="2391"/>
        <w:gridCol w:w="27"/>
        <w:gridCol w:w="1018"/>
      </w:tblGrid>
      <w:tr>
        <w:tblPrEx>
          <w:tblCellMar>
            <w:top w:w="0" w:type="dxa"/>
            <w:left w:w="108" w:type="dxa"/>
            <w:bottom w:w="0" w:type="dxa"/>
            <w:right w:w="108" w:type="dxa"/>
          </w:tblCellMar>
        </w:tblPrEx>
        <w:trPr>
          <w:trHeight w:val="614" w:hRule="atLeast"/>
        </w:trPr>
        <w:tc>
          <w:tcPr>
            <w:tcW w:w="5000" w:type="pct"/>
            <w:gridSpan w:val="1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395"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4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9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5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4" w:type="pct"/>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6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9"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2931" w:type="pct"/>
            <w:gridSpan w:val="9"/>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414" w:type="pct"/>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35" w:type="pct"/>
            <w:gridSpan w:val="3"/>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1636"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w:t>
            </w:r>
          </w:p>
        </w:tc>
        <w:tc>
          <w:tcPr>
            <w:tcW w:w="3363"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科目代码</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1237" w:hRule="atLeast"/>
        </w:trPr>
        <w:tc>
          <w:tcPr>
            <w:tcW w:w="1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1,439.73</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16.29</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4"/>
            <w:bookmarkStart w:id="1" w:name="OLE_LINK3"/>
            <w:r>
              <w:rPr>
                <w:rFonts w:hint="eastAsia" w:ascii="宋体" w:hAnsi="宋体" w:eastAsia="宋体" w:cs="宋体"/>
                <w:i w:val="0"/>
                <w:iCs w:val="0"/>
                <w:color w:val="000000"/>
                <w:kern w:val="0"/>
                <w:sz w:val="22"/>
                <w:szCs w:val="22"/>
                <w:u w:val="none"/>
                <w:lang w:val="en-US" w:eastAsia="zh-CN" w:bidi="ar"/>
              </w:rPr>
              <w:t xml:space="preserve">  基本工资</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450.55</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30701</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48.36</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30702</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408.78</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31001</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209.91</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31002</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146.22</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31003</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31005</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58.81</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31006</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31007</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7.24</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31008</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109.84</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31009</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31010</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31011</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40.93</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31012</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31013</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31019</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31021</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31022</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40.93</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31099</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39907</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16.29</w:t>
            </w: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39908</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39909</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39910</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39999</w:t>
            </w: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9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7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12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5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48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1,480.66</w:t>
            </w:r>
          </w:p>
        </w:tc>
        <w:tc>
          <w:tcPr>
            <w:tcW w:w="2871"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16.29</w:t>
            </w:r>
          </w:p>
        </w:tc>
      </w:tr>
      <w:bookmarkEnd w:id="0"/>
      <w:bookmarkEnd w:id="1"/>
      <w:tr>
        <w:tblPrEx>
          <w:tblCellMar>
            <w:top w:w="0" w:type="dxa"/>
            <w:left w:w="108" w:type="dxa"/>
            <w:bottom w:w="0" w:type="dxa"/>
            <w:right w:w="108" w:type="dxa"/>
          </w:tblCellMar>
        </w:tblPrEx>
        <w:trPr>
          <w:trHeight w:val="319" w:hRule="atLeast"/>
        </w:trPr>
        <w:tc>
          <w:tcPr>
            <w:tcW w:w="5000" w:type="pct"/>
            <w:gridSpan w:val="16"/>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w:t>
            </w:r>
            <w:r>
              <w:rPr>
                <w:rFonts w:hint="eastAsia" w:ascii="Times New Roman" w:hAnsi="Times New Roman" w:eastAsia="宋体" w:cs="Times New Roman"/>
                <w:color w:val="auto"/>
                <w:kern w:val="2"/>
                <w:sz w:val="21"/>
                <w:szCs w:val="21"/>
                <w:lang w:val="en-US" w:eastAsia="zh-CN" w:bidi="ar"/>
              </w:rPr>
              <w:t>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rPr>
          <w:rFonts w:ascii="仿宋" w:hAnsi="仿宋" w:eastAsia="仿宋" w:cs="仿宋"/>
          <w:color w:val="auto"/>
          <w:sz w:val="24"/>
          <w:highlight w:val="none"/>
        </w:rPr>
      </w:pP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p>
      <w:pPr>
        <w:jc w:val="left"/>
        <w:rPr>
          <w:rFonts w:hint="eastAsia" w:ascii="仿宋" w:hAnsi="仿宋" w:eastAsia="仿宋" w:cs="仿宋"/>
          <w:color w:val="auto"/>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环江毛南族自治县第二小学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w:t>
      </w:r>
      <w:r>
        <w:rPr>
          <w:rFonts w:hint="eastAsia" w:ascii="Times New Roman" w:hAnsi="Times New Roman" w:eastAsia="宋体" w:cs="Times New Roman"/>
          <w:color w:val="auto"/>
          <w:kern w:val="2"/>
          <w:sz w:val="21"/>
          <w:szCs w:val="21"/>
          <w:lang w:val="en-US" w:eastAsia="zh-CN" w:bidi="ar"/>
        </w:rPr>
        <w:t>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auto"/>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auto"/>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环江毛南族自治县第二小学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r>
              <w:rPr>
                <w:rFonts w:hint="default"/>
                <w:color w:val="auto"/>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r>
              <w:rPr>
                <w:rFonts w:hint="eastAsia"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w:t>
            </w:r>
            <w:r>
              <w:rPr>
                <w:rFonts w:hint="eastAsia" w:ascii="Times New Roman" w:hAnsi="Times New Roman" w:eastAsia="宋体" w:cs="Times New Roman"/>
                <w:color w:val="auto"/>
                <w:kern w:val="2"/>
                <w:sz w:val="21"/>
                <w:szCs w:val="21"/>
                <w:lang w:val="en-US" w:eastAsia="zh-CN" w:bidi="ar"/>
              </w:rPr>
              <w:t>23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环江毛南族自治县第二小学</w:t>
      </w:r>
      <w:r>
        <w:rPr>
          <w:rFonts w:hint="eastAsia" w:ascii="黑体" w:hAnsi="黑体" w:eastAsia="黑体" w:cs="黑体"/>
          <w:sz w:val="32"/>
          <w:szCs w:val="32"/>
          <w:highlight w:val="none"/>
        </w:rPr>
        <w:t>20</w:t>
      </w:r>
      <w:r>
        <w:rPr>
          <w:rFonts w:hint="eastAsia" w:ascii="黑体" w:hAnsi="黑体" w:eastAsia="黑体" w:cs="黑体"/>
          <w:sz w:val="32"/>
          <w:szCs w:val="32"/>
          <w:highlight w:val="none"/>
          <w:lang w:eastAsia="zh-CN"/>
        </w:rPr>
        <w:t>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w:t>
      </w:r>
      <w:r>
        <w:rPr>
          <w:rFonts w:hint="eastAsia" w:ascii="黑体" w:hAnsi="黑体" w:eastAsia="黑体" w:cs="黑体"/>
          <w:sz w:val="32"/>
          <w:szCs w:val="32"/>
          <w:highlight w:val="none"/>
          <w:lang w:eastAsia="zh-CN"/>
        </w:rPr>
        <w:t>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年度总收入</w:t>
      </w:r>
      <w:r>
        <w:rPr>
          <w:rFonts w:hint="eastAsia" w:ascii="仿宋" w:hAnsi="仿宋" w:eastAsia="仿宋" w:cs="仿宋"/>
          <w:sz w:val="32"/>
          <w:szCs w:val="32"/>
          <w:highlight w:val="none"/>
          <w:lang w:val="en-US" w:eastAsia="zh-CN"/>
        </w:rPr>
        <w:t>1693.58</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476.16</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增长39.11</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1693.58</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华文仿宋" w:hAnsi="华文仿宋" w:eastAsia="华文仿宋" w:cs="华文仿宋"/>
          <w:kern w:val="0"/>
          <w:sz w:val="32"/>
          <w:szCs w:val="32"/>
          <w:lang w:val="en-US" w:eastAsia="zh-CN"/>
        </w:rPr>
      </w:pPr>
      <w:r>
        <w:rPr>
          <w:rFonts w:hint="eastAsia" w:ascii="仿宋" w:hAnsi="仿宋" w:eastAsia="仿宋" w:cs="仿宋"/>
          <w:kern w:val="2"/>
          <w:sz w:val="32"/>
          <w:szCs w:val="32"/>
          <w:highlight w:val="none"/>
          <w:lang w:val="en-US" w:eastAsia="zh-CN" w:bidi="ar"/>
        </w:rPr>
        <w:t>1.一般公共预算财政拨款收入1693.58万元，为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476.16</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增长39.11</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华文仿宋" w:hAnsi="华文仿宋" w:eastAsia="华文仿宋" w:cs="华文仿宋"/>
          <w:kern w:val="0"/>
          <w:sz w:val="32"/>
          <w:szCs w:val="32"/>
          <w:lang w:val="en-US" w:eastAsia="zh-CN"/>
        </w:rPr>
        <w:t>上级专款收入增加。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主要原因：无</w:t>
      </w:r>
      <w:r>
        <w:rPr>
          <w:rFonts w:hint="eastAsia" w:ascii="仿宋" w:hAnsi="仿宋" w:eastAsia="仿宋" w:cs="仿宋"/>
          <w:kern w:val="2"/>
          <w:sz w:val="32"/>
          <w:szCs w:val="32"/>
          <w:highlight w:val="none"/>
          <w:lang w:val="en-US" w:eastAsia="zh-CN" w:bidi="ar"/>
        </w:rPr>
        <w:t>政府性基金。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r>
        <w:rPr>
          <w:rFonts w:hint="eastAsia" w:ascii="仿宋" w:hAnsi="仿宋" w:eastAsia="仿宋" w:cs="仿宋"/>
          <w:kern w:val="2"/>
          <w:sz w:val="32"/>
          <w:szCs w:val="32"/>
          <w:highlight w:val="none"/>
          <w:lang w:val="en-US" w:eastAsia="zh-CN" w:bidi="ar"/>
        </w:rPr>
        <w:t>国有资本经营。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hint="eastAsia" w:ascii="仿宋" w:hAnsi="仿宋" w:eastAsia="仿宋" w:cs="仿宋"/>
          <w:sz w:val="32"/>
          <w:u w:color="auto"/>
          <w:lang w:val="en-US" w:eastAsia="zh-CN"/>
        </w:rPr>
        <w:t>不变，</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left"/>
        <w:rPr>
          <w:rFonts w:ascii="仿宋" w:hAnsi="仿宋" w:eastAsia="仿宋" w:cs="仿宋"/>
          <w:sz w:val="32"/>
          <w:szCs w:val="32"/>
          <w:highlight w:val="none"/>
          <w:u w:color="auto"/>
        </w:rPr>
      </w:pPr>
      <w:r>
        <w:rPr>
          <w:rFonts w:hint="eastAsia" w:ascii="仿宋" w:hAnsi="仿宋" w:eastAsia="仿宋" w:cs="仿宋"/>
          <w:sz w:val="32"/>
          <w:szCs w:val="32"/>
          <w:highlight w:val="none"/>
        </w:rPr>
        <w:t>（二）本部门20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年度总支出</w:t>
      </w:r>
      <w:r>
        <w:rPr>
          <w:rFonts w:hint="eastAsia" w:ascii="仿宋" w:hAnsi="仿宋" w:eastAsia="仿宋" w:cs="仿宋"/>
          <w:sz w:val="32"/>
          <w:u w:color="auto"/>
        </w:rPr>
        <w:t>1693.58万元，较2022年度决算数增加476.16万元，增长39.11%，其中本年</w:t>
      </w:r>
      <w:r>
        <w:rPr>
          <w:rFonts w:hint="eastAsia" w:ascii="仿宋" w:hAnsi="仿宋" w:eastAsia="仿宋" w:cs="仿宋"/>
          <w:sz w:val="32"/>
          <w:u w:color="auto"/>
          <w:lang w:val="en-US" w:eastAsia="zh-CN"/>
        </w:rPr>
        <w:t>支出</w:t>
      </w:r>
      <w:r>
        <w:rPr>
          <w:rFonts w:hint="eastAsia" w:ascii="仿宋" w:hAnsi="仿宋" w:eastAsia="仿宋" w:cs="仿宋"/>
          <w:sz w:val="32"/>
          <w:u w:color="auto"/>
        </w:rPr>
        <w:t>1693.58万元。收入具体情况如下。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16.29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FF0000"/>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工会经费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1.35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工会人员增加，预算经费增加。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1289.37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人员经费，</w:t>
      </w:r>
      <w:r>
        <w:rPr>
          <w:rFonts w:hint="eastAsia" w:ascii="仿宋" w:hAnsi="仿宋" w:eastAsia="仿宋" w:cs="仿宋"/>
          <w:color w:val="auto"/>
          <w:sz w:val="32"/>
          <w:szCs w:val="32"/>
          <w:lang w:val="en-US" w:eastAsia="zh-CN"/>
        </w:rPr>
        <w:t>学校日常办公、水电费、网络费、日常维修、教师培训出差等经费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增加449.95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增加53.6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是：在职人员增加，在职人员经费增加。</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146.22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缴纳教职工养老、医疗、工伤、失业保险费支出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增加34.29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增加30.63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 在职</w:t>
      </w:r>
      <w:r>
        <w:rPr>
          <w:rFonts w:hint="eastAsia" w:ascii="仿宋" w:hAnsi="仿宋" w:eastAsia="仿宋" w:cs="仿宋"/>
          <w:color w:val="auto"/>
          <w:kern w:val="2"/>
          <w:sz w:val="32"/>
          <w:szCs w:val="32"/>
          <w:highlight w:val="none"/>
          <w:lang w:val="en-US" w:eastAsia="zh-CN" w:bidi="ar"/>
        </w:rPr>
        <w:t>人员增加，全年社会保障缴费比去年有所增加。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bidi="ar"/>
        </w:rPr>
        <w:t>23</w:t>
      </w:r>
      <w:r>
        <w:rPr>
          <w:rFonts w:hint="eastAsia" w:ascii="仿宋" w:hAnsi="仿宋" w:eastAsia="仿宋" w:cs="仿宋"/>
          <w:sz w:val="32"/>
          <w:szCs w:val="32"/>
          <w:highlight w:val="none"/>
          <w:lang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109.84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住房公积金</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32.82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42.61</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主要原因是：2023年在职人员增加，教师住房公积金缴纳基数比2022年有了提高。</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bidi="ar"/>
        </w:rPr>
        <w:t>23</w:t>
      </w:r>
      <w:r>
        <w:rPr>
          <w:rFonts w:hint="eastAsia" w:ascii="仿宋" w:hAnsi="仿宋" w:eastAsia="仿宋" w:cs="仿宋"/>
          <w:sz w:val="32"/>
          <w:szCs w:val="32"/>
          <w:highlight w:val="none"/>
          <w:lang w:bidi="ar"/>
        </w:rPr>
        <w:t>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131.85</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lang w:val="en-US" w:eastAsia="zh-CN"/>
        </w:rPr>
        <w:t>用于奖励性</w:t>
      </w:r>
      <w:r>
        <w:rPr>
          <w:rFonts w:hint="eastAsia" w:ascii="仿宋" w:hAnsi="仿宋" w:eastAsia="仿宋" w:cs="仿宋"/>
          <w:i w:val="0"/>
          <w:iCs w:val="0"/>
          <w:color w:val="auto"/>
          <w:sz w:val="30"/>
          <w:szCs w:val="30"/>
          <w:highlight w:val="none"/>
          <w:u w:val="none"/>
          <w:lang w:val="en-US" w:eastAsia="zh-CN"/>
        </w:rPr>
        <w:t>补助支出。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42.26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24.27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lang w:eastAsia="zh-CN"/>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w:t>
      </w:r>
      <w:r>
        <w:rPr>
          <w:rFonts w:hint="eastAsia" w:ascii="黑体" w:hAnsi="黑体" w:eastAsia="黑体" w:cs="黑体"/>
          <w:sz w:val="32"/>
          <w:szCs w:val="32"/>
          <w:highlight w:val="none"/>
          <w:lang w:eastAsia="zh-CN"/>
        </w:rPr>
        <w:t>23</w:t>
      </w:r>
      <w:r>
        <w:rPr>
          <w:rFonts w:hint="eastAsia" w:ascii="黑体" w:hAnsi="黑体" w:eastAsia="黑体" w:cs="黑体"/>
          <w:sz w:val="32"/>
          <w:szCs w:val="32"/>
          <w:highlight w:val="none"/>
        </w:rPr>
        <w:t xml:space="preserve">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环江毛南族自治县第二小学20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rPr>
        <w:t>1693.58万元，较2022年度决算数增加476.16万元，增长39.11%，</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1496.95</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196.63</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环江毛南族自治县第二小学20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1054.61</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1693.58</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160.59</w:t>
      </w:r>
      <w:r>
        <w:rPr>
          <w:rFonts w:ascii="仿宋" w:hAnsi="仿宋" w:eastAsia="仿宋" w:cs="仿宋"/>
          <w:sz w:val="32"/>
          <w:u w:color="auto"/>
        </w:rPr>
        <w:t>%</w:t>
      </w:r>
      <w:r>
        <w:rPr>
          <w:rFonts w:hint="eastAsia" w:ascii="仿宋" w:hAnsi="仿宋" w:eastAsia="仿宋" w:cs="仿宋"/>
          <w:sz w:val="32"/>
          <w:szCs w:val="32"/>
          <w:highlight w:val="none"/>
        </w:rPr>
        <w:t>。</w:t>
      </w:r>
    </w:p>
    <w:p>
      <w:pPr>
        <w:jc w:val="left"/>
        <w:rPr>
          <w:rFonts w:ascii="仿宋" w:hAnsi="仿宋" w:eastAsia="仿宋"/>
          <w:sz w:val="32"/>
          <w:szCs w:val="32"/>
          <w:highlight w:val="none"/>
        </w:rPr>
      </w:pPr>
      <w:bookmarkStart w:id="3" w:name="OLE_LINK2"/>
      <w:bookmarkEnd w:id="3"/>
      <w:r>
        <w:rPr>
          <w:rFonts w:hint="eastAsia" w:ascii="仿宋" w:hAnsi="仿宋" w:eastAsia="仿宋"/>
          <w:sz w:val="32"/>
          <w:szCs w:val="32"/>
          <w:highlight w:val="none"/>
        </w:rPr>
        <w:t xml:space="preserve"> </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16.29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16.29</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p>
      <w:pPr>
        <w:jc w:val="left"/>
        <w:rPr>
          <w:rFonts w:hint="eastAsia" w:ascii="仿宋" w:hAnsi="仿宋" w:eastAsia="仿宋"/>
          <w:sz w:val="32"/>
          <w:szCs w:val="32"/>
          <w:highlight w:val="none"/>
        </w:rPr>
      </w:pP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16.29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16.29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 xml:space="preserve"> 16.29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16.29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default" w:eastAsia="仿宋"/>
          <w:color w:val="auto"/>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883.29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1289.37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145.97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原因是：在职人员增加，人员经费增加，</w:t>
      </w:r>
      <w:r>
        <w:rPr>
          <w:rFonts w:hint="eastAsia" w:ascii="仿宋" w:hAnsi="仿宋" w:eastAsia="仿宋"/>
          <w:color w:val="auto"/>
          <w:sz w:val="32"/>
          <w:szCs w:val="32"/>
          <w:highlight w:val="none"/>
          <w:lang w:val="en-US" w:eastAsia="zh-CN"/>
        </w:rPr>
        <w:t>调整基本工资标准、岗位工资变动及正常晋薪工资的发放。</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小学教育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883.29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1263.29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143.07%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工资福利、商品服务、对个人和家庭补助支出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调整基本工资标准、岗位工资变动及正常晋薪工资的发放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25.44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学校开展教学活动支出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 xml:space="preserve">支出功能科目调整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特殊学校教育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0.64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送教上门支出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由上级部门预算，本部门无需预算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883.29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1298.37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146.99%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5180965"/>
            <wp:effectExtent l="4445" t="4445" r="16510" b="15240"/>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4" w:name="_GoBack"/>
      <w:bookmarkEnd w:id="4"/>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sz w:val="32"/>
          <w:szCs w:val="32"/>
          <w:highlight w:val="none"/>
        </w:rPr>
      </w:pPr>
    </w:p>
    <w:p>
      <w:pPr>
        <w:keepNext w:val="0"/>
        <w:keepLines w:val="0"/>
        <w:widowControl w:val="0"/>
        <w:suppressLineNumbers w:val="0"/>
        <w:spacing w:before="0" w:beforeAutospacing="0" w:after="0" w:afterAutospacing="0"/>
        <w:ind w:left="0" w:right="0" w:firstLine="640" w:firstLineChars="200"/>
        <w:jc w:val="left"/>
        <w:rPr>
          <w:rFonts w:hint="eastAsia" w:eastAsia="仿宋"/>
          <w:color w:val="auto"/>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135.70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146.22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107.75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在职教职工人数增加，全年社会保障缴费年初预算有了增加。</w:t>
      </w:r>
    </w:p>
    <w:p>
      <w:pPr>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135.7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146.22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107.75%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缴纳教职工养老、保险费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18"/>
                <w:szCs w:val="18"/>
                <w:highlight w:val="none"/>
                <w:lang w:val="en-US" w:eastAsia="zh-CN" w:bidi="ar"/>
              </w:rPr>
              <w:t>教职工人数增加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135.7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146.22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107.75%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4240530"/>
            <wp:effectExtent l="4445" t="4445" r="16510" b="2222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firstLine="640" w:firstLineChars="200"/>
        <w:jc w:val="left"/>
        <w:rPr>
          <w:rFonts w:hint="eastAsia" w:eastAsia="仿宋"/>
          <w:color w:val="auto"/>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住房保障支出</w:t>
      </w:r>
      <w:r>
        <w:rPr>
          <w:rFonts w:ascii="仿宋" w:hAnsi="仿宋" w:eastAsia="仿宋"/>
          <w:sz w:val="32"/>
          <w:u w:color="auto"/>
        </w:rPr>
        <w:t>（</w:t>
      </w:r>
      <w:r>
        <w:rPr>
          <w:rFonts w:hint="eastAsia" w:ascii="仿宋" w:hAnsi="仿宋" w:eastAsia="仿宋"/>
          <w:sz w:val="32"/>
          <w:u w:color="auto"/>
          <w:lang w:eastAsia="zh-CN"/>
        </w:rPr>
        <w:t>23</w:t>
      </w:r>
      <w:r>
        <w:rPr>
          <w:rFonts w:ascii="仿宋" w:hAnsi="仿宋" w:eastAsia="仿宋"/>
          <w:sz w:val="32"/>
          <w:u w:color="auto"/>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101.77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109.85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107.94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教职工人数增加，全年住房保障缴费比去年有了增加</w:t>
      </w:r>
    </w:p>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2310201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109.85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107.94%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缴纳教师住房公积金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在职人员增加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109.85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107.94%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4716780"/>
            <wp:effectExtent l="4445" t="4445" r="16510" b="2222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rPr>
        <w:t>其他支出</w:t>
      </w:r>
      <w:r>
        <w:rPr>
          <w:rFonts w:ascii="仿宋" w:hAnsi="仿宋" w:eastAsia="仿宋"/>
          <w:sz w:val="32"/>
          <w:u w:color="auto"/>
        </w:rPr>
        <w:t>（</w:t>
      </w:r>
      <w:r>
        <w:rPr>
          <w:rFonts w:hint="eastAsia" w:ascii="仿宋" w:hAnsi="仿宋" w:eastAsia="仿宋"/>
          <w:sz w:val="32"/>
          <w:u w:color="auto"/>
          <w:lang w:eastAsia="zh-CN"/>
        </w:rPr>
        <w:t>23</w:t>
      </w:r>
      <w:r>
        <w:rPr>
          <w:rFonts w:ascii="仿宋" w:hAnsi="仿宋" w:eastAsia="仿宋"/>
          <w:sz w:val="32"/>
          <w:u w:color="auto"/>
        </w:rPr>
        <w:t>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131.85</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2399999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发放奖励性补贴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由上级部门预算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5499100"/>
            <wp:effectExtent l="4445" t="4445" r="16510" b="2095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w:t>
      </w:r>
      <w:r>
        <w:rPr>
          <w:rFonts w:hint="eastAsia" w:ascii="黑体" w:hAnsi="黑体" w:eastAsia="黑体" w:cs="黑体"/>
          <w:sz w:val="32"/>
          <w:szCs w:val="32"/>
          <w:highlight w:val="none"/>
          <w:lang w:eastAsia="zh-CN"/>
        </w:rPr>
        <w:t>23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环江毛南族自治县第二小学20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年度一般公共预算财政拨款基本支出</w:t>
      </w:r>
      <w:r>
        <w:rPr>
          <w:rFonts w:ascii="仿宋" w:hAnsi="仿宋" w:eastAsia="仿宋" w:cs="仿宋"/>
          <w:sz w:val="32"/>
          <w:u w:color="auto"/>
        </w:rPr>
        <w:t>1</w:t>
      </w:r>
      <w:r>
        <w:rPr>
          <w:rFonts w:hint="eastAsia" w:ascii="仿宋" w:hAnsi="仿宋" w:eastAsia="仿宋" w:cs="仿宋"/>
          <w:sz w:val="32"/>
          <w:u w:color="auto"/>
          <w:lang w:val="en-US" w:eastAsia="zh-CN"/>
        </w:rPr>
        <w:t>496.95</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1480.66</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16.29</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1439.73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138.82</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主要原因是：在职人员增加，人员经费增加；</w:t>
      </w:r>
      <w:r>
        <w:rPr>
          <w:rFonts w:hint="eastAsia" w:ascii="仿宋" w:hAnsi="仿宋" w:eastAsia="仿宋"/>
          <w:color w:val="auto"/>
          <w:sz w:val="32"/>
          <w:szCs w:val="32"/>
          <w:highlight w:val="none"/>
          <w:lang w:val="en-US" w:eastAsia="zh-CN"/>
        </w:rPr>
        <w:t>调整基本工资标准、岗位工资变动及正常晋薪工资的发放。</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450.55万元，30102津贴补贴48.36万元，30103奖金408.78万元，30107绩效工资209.91万元，30108机关事业单位基本养老保险缴费146.22万元，30110职工基本医疗保险缴费58.81万元，30112其他社会保障缴费7.24万元，30113住房公积金109.85万元，30199其他工资福利支出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16.29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30238工会经费16.29万元。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40.93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30305生活补助40.93万元。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w:t>
      </w:r>
      <w:r>
        <w:rPr>
          <w:rFonts w:hint="eastAsia" w:ascii="黑体" w:hAnsi="黑体" w:eastAsia="黑体" w:cs="黑体"/>
          <w:sz w:val="32"/>
          <w:szCs w:val="32"/>
          <w:highlight w:val="none"/>
          <w:lang w:eastAsia="zh-CN"/>
        </w:rPr>
        <w:t>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环江毛南族自治县第二小学20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环江毛南族自治县第二小学20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五、20</w:t>
      </w:r>
      <w:r>
        <w:rPr>
          <w:rFonts w:hint="eastAsia" w:ascii="黑体" w:hAnsi="黑体" w:eastAsia="黑体" w:cs="黑体"/>
          <w:sz w:val="32"/>
          <w:szCs w:val="32"/>
          <w:highlight w:val="none"/>
          <w:lang w:eastAsia="zh-CN"/>
        </w:rPr>
        <w:t>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环江毛南族自治县第二小学20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环江毛南族自治县第二小学20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p>
    <w:p>
      <w:pPr>
        <w:numPr>
          <w:ilvl w:val="0"/>
          <w:numId w:val="3"/>
        </w:numPr>
        <w:ind w:left="0" w:leftChars="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p>
    <w:p>
      <w:pPr>
        <w:numPr>
          <w:ilvl w:val="0"/>
          <w:numId w:val="0"/>
        </w:numPr>
        <w:ind w:leftChars="20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_GB2312" w:hAnsi="仿宋_GB2312" w:eastAsia="仿宋_GB2312" w:cs="仿宋_GB2312"/>
          <w:color w:val="FF0000"/>
          <w:sz w:val="32"/>
          <w:szCs w:val="32"/>
          <w:highlight w:val="none"/>
          <w:lang w:eastAsia="zh-CN"/>
        </w:rPr>
      </w:pPr>
      <w:r>
        <w:rPr>
          <w:rFonts w:hint="eastAsia" w:ascii="仿宋" w:hAnsi="仿宋" w:eastAsia="仿宋" w:cs="仿宋"/>
          <w:sz w:val="32"/>
          <w:szCs w:val="32"/>
          <w:highlight w:val="none"/>
        </w:rPr>
        <w:t>本部门20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kern w:val="2"/>
          <w:sz w:val="32"/>
          <w:szCs w:val="32"/>
          <w:highlight w:val="none"/>
          <w:lang w:val="en-US" w:eastAsia="zh-CN" w:bidi="ar"/>
        </w:rPr>
        <w:t>主要原因是：</w:t>
      </w:r>
      <w:r>
        <w:rPr>
          <w:rFonts w:hint="eastAsia" w:ascii="仿宋_GB2312" w:hAnsi="仿宋_GB2312" w:eastAsia="仿宋_GB2312" w:cs="仿宋_GB2312"/>
          <w:sz w:val="32"/>
          <w:szCs w:val="32"/>
        </w:rPr>
        <w:t>机关运行经费：是行政单位（含参照公务员法管理的事业单位）才有，我们没有预算也没有支出</w:t>
      </w:r>
      <w:r>
        <w:rPr>
          <w:rFonts w:hint="eastAsia" w:ascii="仿宋_GB2312" w:hAnsi="仿宋_GB2312" w:eastAsia="仿宋_GB2312" w:cs="仿宋_GB2312"/>
          <w:color w:val="FF000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w:t>
      </w:r>
      <w:r>
        <w:rPr>
          <w:rFonts w:hint="eastAsia" w:ascii="仿宋" w:hAnsi="仿宋" w:eastAsia="仿宋" w:cs="仿宋"/>
          <w:sz w:val="32"/>
          <w:szCs w:val="32"/>
          <w:highlight w:val="none"/>
          <w:lang w:eastAsia="zh-CN"/>
        </w:rPr>
        <w:t>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numPr>
          <w:ilvl w:val="0"/>
          <w:numId w:val="0"/>
        </w:num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根据财政预算管理要求，本部门组织对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度一般公共预算项目支出全面开展绩效自评。其中，一</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个，二</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个，共涉及资金</w:t>
      </w:r>
      <w:r>
        <w:rPr>
          <w:rFonts w:hint="eastAsia" w:ascii="仿宋" w:hAnsi="仿宋" w:eastAsia="仿宋" w:cs="仿宋"/>
          <w:color w:val="auto"/>
          <w:sz w:val="32"/>
          <w:szCs w:val="32"/>
          <w:lang w:val="en-US" w:eastAsia="zh-CN"/>
        </w:rPr>
        <w:t>330.37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部门决算中项目绩效自评结果。</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我校对17个项目进行</w:t>
      </w:r>
      <w:r>
        <w:rPr>
          <w:rFonts w:hint="eastAsia" w:ascii="仿宋" w:hAnsi="仿宋" w:eastAsia="仿宋" w:cs="仿宋"/>
          <w:b w:val="0"/>
          <w:bCs/>
          <w:sz w:val="32"/>
          <w:szCs w:val="32"/>
        </w:rPr>
        <w:t>自评</w:t>
      </w:r>
      <w:r>
        <w:rPr>
          <w:rFonts w:hint="eastAsia" w:ascii="仿宋" w:hAnsi="仿宋" w:eastAsia="仿宋" w:cs="仿宋"/>
          <w:b w:val="0"/>
          <w:bCs/>
          <w:sz w:val="32"/>
          <w:szCs w:val="32"/>
          <w:lang w:eastAsia="zh-CN"/>
        </w:rPr>
        <w:t>，</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有8个，99.9分1个，98.58分1个，95分1个，94.92分1个，90分2个，80分2个。</w:t>
      </w:r>
    </w:p>
    <w:p>
      <w:pPr>
        <w:numPr>
          <w:ilvl w:val="0"/>
          <w:numId w:val="0"/>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3.发现的主要问题及原因。</w:t>
      </w:r>
    </w:p>
    <w:p>
      <w:pPr>
        <w:numPr>
          <w:ilvl w:val="0"/>
          <w:numId w:val="0"/>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学校的相关制度还不够健全，</w:t>
      </w:r>
      <w:r>
        <w:rPr>
          <w:rFonts w:hint="eastAsia" w:ascii="仿宋" w:hAnsi="仿宋" w:eastAsia="仿宋" w:cs="仿宋"/>
          <w:sz w:val="32"/>
          <w:szCs w:val="32"/>
        </w:rPr>
        <w:t>报账材料整理比较慢，不能及时支付</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在项目实施方面还需要不断完善。</w:t>
      </w:r>
    </w:p>
    <w:p>
      <w:pPr>
        <w:numPr>
          <w:ilvl w:val="0"/>
          <w:numId w:val="0"/>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4.下一步改进的措施。</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组织制定完善相关</w:t>
      </w:r>
      <w:r>
        <w:rPr>
          <w:rFonts w:hint="eastAsia" w:ascii="仿宋" w:hAnsi="仿宋" w:eastAsia="仿宋" w:cs="仿宋"/>
          <w:sz w:val="32"/>
          <w:szCs w:val="32"/>
        </w:rPr>
        <w:t>管理制度</w:t>
      </w:r>
      <w:r>
        <w:rPr>
          <w:rFonts w:hint="eastAsia" w:ascii="仿宋" w:hAnsi="仿宋" w:eastAsia="仿宋" w:cs="仿宋"/>
          <w:sz w:val="32"/>
          <w:szCs w:val="32"/>
          <w:lang w:eastAsia="zh-CN"/>
        </w:rPr>
        <w:t>，</w:t>
      </w:r>
      <w:r>
        <w:rPr>
          <w:rFonts w:hint="eastAsia" w:ascii="仿宋" w:hAnsi="仿宋" w:eastAsia="仿宋" w:cs="仿宋"/>
          <w:sz w:val="32"/>
          <w:szCs w:val="32"/>
        </w:rPr>
        <w:t>完善项目实施</w:t>
      </w:r>
      <w:r>
        <w:rPr>
          <w:rFonts w:hint="eastAsia" w:ascii="仿宋" w:hAnsi="仿宋" w:eastAsia="仿宋" w:cs="仿宋"/>
          <w:sz w:val="32"/>
          <w:szCs w:val="32"/>
          <w:lang w:val="en-US" w:eastAsia="zh-CN"/>
        </w:rPr>
        <w:t>方案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项目完成后，及时收集</w:t>
      </w:r>
      <w:r>
        <w:rPr>
          <w:rFonts w:hint="eastAsia" w:ascii="仿宋" w:hAnsi="仿宋" w:eastAsia="仿宋" w:cs="仿宋"/>
          <w:sz w:val="32"/>
          <w:szCs w:val="32"/>
        </w:rPr>
        <w:t>报账材料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及时支付</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auto"/>
          <w:sz w:val="32"/>
          <w:szCs w:val="32"/>
          <w:lang w:val="en-US" w:eastAsia="zh-CN"/>
        </w:rPr>
        <w:t>通过这次自评，进一步提高了我单位的绩效管理水平，更加认识了绩效对部门综合管理提升的重要性，自评结果将用于2023年及以后年度编制部门预算的重要参考和日常管理的标靶，吸取经验，改进工作，让工作与绩效目标匹配，让成果与工作推进互动。</w:t>
      </w:r>
    </w:p>
    <w:p>
      <w:pPr>
        <w:jc w:val="left"/>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10083A2"/>
    <w:multiLevelType w:val="singleLevel"/>
    <w:tmpl w:val="C10083A2"/>
    <w:lvl w:ilvl="0" w:tentative="0">
      <w:start w:val="1"/>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wOWRiYThhMWE1ZjFlNWY3NjUyY2NhNDc1NmZhZmQ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3AF786B"/>
    <w:rsid w:val="03DF1EFE"/>
    <w:rsid w:val="04E54546"/>
    <w:rsid w:val="056A1C9B"/>
    <w:rsid w:val="05992762"/>
    <w:rsid w:val="05E641F3"/>
    <w:rsid w:val="07B0770E"/>
    <w:rsid w:val="0942143F"/>
    <w:rsid w:val="0D100297"/>
    <w:rsid w:val="0D202B45"/>
    <w:rsid w:val="0F8D4C87"/>
    <w:rsid w:val="10505FAA"/>
    <w:rsid w:val="105F7E7E"/>
    <w:rsid w:val="11E56B5B"/>
    <w:rsid w:val="125C77AB"/>
    <w:rsid w:val="14777F31"/>
    <w:rsid w:val="14CB726E"/>
    <w:rsid w:val="17E92249"/>
    <w:rsid w:val="18D304F1"/>
    <w:rsid w:val="19F32577"/>
    <w:rsid w:val="19F45B80"/>
    <w:rsid w:val="1B0C078D"/>
    <w:rsid w:val="1B2B31E2"/>
    <w:rsid w:val="1B4C295A"/>
    <w:rsid w:val="1B973C63"/>
    <w:rsid w:val="1BA1001E"/>
    <w:rsid w:val="1D317259"/>
    <w:rsid w:val="1E664F5B"/>
    <w:rsid w:val="1EB34BE1"/>
    <w:rsid w:val="215E639F"/>
    <w:rsid w:val="21EC3183"/>
    <w:rsid w:val="225E72CD"/>
    <w:rsid w:val="232E2103"/>
    <w:rsid w:val="24630E87"/>
    <w:rsid w:val="246E2F77"/>
    <w:rsid w:val="254B4E2B"/>
    <w:rsid w:val="283D7C94"/>
    <w:rsid w:val="28A54C15"/>
    <w:rsid w:val="2925246D"/>
    <w:rsid w:val="29480E03"/>
    <w:rsid w:val="2983634D"/>
    <w:rsid w:val="2B4F70BA"/>
    <w:rsid w:val="2BB02055"/>
    <w:rsid w:val="2BD4136D"/>
    <w:rsid w:val="2C575A56"/>
    <w:rsid w:val="2F257714"/>
    <w:rsid w:val="2F3275E5"/>
    <w:rsid w:val="2F8037EC"/>
    <w:rsid w:val="30AA08EF"/>
    <w:rsid w:val="30C940B7"/>
    <w:rsid w:val="30D23D1C"/>
    <w:rsid w:val="31221CF5"/>
    <w:rsid w:val="31400178"/>
    <w:rsid w:val="321E3342"/>
    <w:rsid w:val="327759C8"/>
    <w:rsid w:val="33185FE3"/>
    <w:rsid w:val="343B01DB"/>
    <w:rsid w:val="34545741"/>
    <w:rsid w:val="34EE2E36"/>
    <w:rsid w:val="36777241"/>
    <w:rsid w:val="367E562E"/>
    <w:rsid w:val="371E78D5"/>
    <w:rsid w:val="38A951DB"/>
    <w:rsid w:val="38B31605"/>
    <w:rsid w:val="39003F4F"/>
    <w:rsid w:val="39225A89"/>
    <w:rsid w:val="3B69689C"/>
    <w:rsid w:val="3C07002B"/>
    <w:rsid w:val="3D0D152A"/>
    <w:rsid w:val="3DF62756"/>
    <w:rsid w:val="3F1B7587"/>
    <w:rsid w:val="41E225DE"/>
    <w:rsid w:val="41E57B4F"/>
    <w:rsid w:val="432F26F6"/>
    <w:rsid w:val="43880F63"/>
    <w:rsid w:val="441C5A6F"/>
    <w:rsid w:val="44C44FCC"/>
    <w:rsid w:val="44CC7369"/>
    <w:rsid w:val="453857B5"/>
    <w:rsid w:val="457F5108"/>
    <w:rsid w:val="468123C6"/>
    <w:rsid w:val="46951B6B"/>
    <w:rsid w:val="48C75150"/>
    <w:rsid w:val="4989070E"/>
    <w:rsid w:val="49A34401"/>
    <w:rsid w:val="4A3E30AB"/>
    <w:rsid w:val="4AB16FF2"/>
    <w:rsid w:val="4AC14DAC"/>
    <w:rsid w:val="4C6D519A"/>
    <w:rsid w:val="4D154C85"/>
    <w:rsid w:val="4EB35ECE"/>
    <w:rsid w:val="4FF572BC"/>
    <w:rsid w:val="508F4E24"/>
    <w:rsid w:val="50BE6E0A"/>
    <w:rsid w:val="51461E90"/>
    <w:rsid w:val="51463753"/>
    <w:rsid w:val="52553A93"/>
    <w:rsid w:val="531B5950"/>
    <w:rsid w:val="53521F8B"/>
    <w:rsid w:val="53BD4F69"/>
    <w:rsid w:val="53D61D1B"/>
    <w:rsid w:val="53E22F47"/>
    <w:rsid w:val="54522FF8"/>
    <w:rsid w:val="55450629"/>
    <w:rsid w:val="56692963"/>
    <w:rsid w:val="568B0F48"/>
    <w:rsid w:val="5786217B"/>
    <w:rsid w:val="59337A15"/>
    <w:rsid w:val="59810274"/>
    <w:rsid w:val="5A02755C"/>
    <w:rsid w:val="5BAD213A"/>
    <w:rsid w:val="5CA96A00"/>
    <w:rsid w:val="5CF730BC"/>
    <w:rsid w:val="5E5F0DCE"/>
    <w:rsid w:val="5FA40A7B"/>
    <w:rsid w:val="5FD56D29"/>
    <w:rsid w:val="5FEC7F3F"/>
    <w:rsid w:val="60256F33"/>
    <w:rsid w:val="606B07A8"/>
    <w:rsid w:val="60F74BC3"/>
    <w:rsid w:val="617D3BF8"/>
    <w:rsid w:val="61841F6A"/>
    <w:rsid w:val="623007A9"/>
    <w:rsid w:val="636659FD"/>
    <w:rsid w:val="637D7558"/>
    <w:rsid w:val="64287ECD"/>
    <w:rsid w:val="644F19AC"/>
    <w:rsid w:val="65AA4920"/>
    <w:rsid w:val="65E31D0B"/>
    <w:rsid w:val="67694F1E"/>
    <w:rsid w:val="69597934"/>
    <w:rsid w:val="69707C9F"/>
    <w:rsid w:val="69D56401"/>
    <w:rsid w:val="6B964DDC"/>
    <w:rsid w:val="6C783074"/>
    <w:rsid w:val="6D9E65C6"/>
    <w:rsid w:val="6DA81947"/>
    <w:rsid w:val="6EB66DE2"/>
    <w:rsid w:val="6ED3075F"/>
    <w:rsid w:val="6F2A2D4B"/>
    <w:rsid w:val="6F5B369E"/>
    <w:rsid w:val="6F8A0C1E"/>
    <w:rsid w:val="703F45D4"/>
    <w:rsid w:val="71347EB1"/>
    <w:rsid w:val="715D6546"/>
    <w:rsid w:val="71BE069E"/>
    <w:rsid w:val="73953409"/>
    <w:rsid w:val="73E069A3"/>
    <w:rsid w:val="77D777E8"/>
    <w:rsid w:val="78104AA8"/>
    <w:rsid w:val="78E257C5"/>
    <w:rsid w:val="794B35BE"/>
    <w:rsid w:val="7987487A"/>
    <w:rsid w:val="7B0A3A31"/>
    <w:rsid w:val="7B3360ED"/>
    <w:rsid w:val="7BDF037E"/>
    <w:rsid w:val="7BF50948"/>
    <w:rsid w:val="7CE66A78"/>
    <w:rsid w:val="7D23564C"/>
    <w:rsid w:val="7D5E062D"/>
    <w:rsid w:val="7DF76CD8"/>
    <w:rsid w:val="7F695C26"/>
    <w:rsid w:val="7F8F6BFA"/>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1693.58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4">
                  <c:v>40.93</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14.94</c:v>
                </c:pt>
                <c:pt idx="1">
                  <c:v>839.42</c:v>
                </c:pt>
                <c:pt idx="2">
                  <c:v>111.93</c:v>
                </c:pt>
                <c:pt idx="3">
                  <c:v>77.02</c:v>
                </c:pt>
                <c:pt idx="4">
                  <c:v>174.11</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16.29</c:v>
                </c:pt>
                <c:pt idx="1">
                  <c:v>1289.37</c:v>
                </c:pt>
                <c:pt idx="2">
                  <c:v>146.22</c:v>
                </c:pt>
                <c:pt idx="3">
                  <c:v>109.84</c:v>
                </c:pt>
                <c:pt idx="4">
                  <c:v>131.85</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16.29</c:v>
                </c:pt>
                <c:pt idx="1">
                  <c:v>16.29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2050202</c:v>
                </c:pt>
                <c:pt idx="1">
                  <c:v>2050299</c:v>
                </c:pt>
                <c:pt idx="2">
                  <c:v>2050701</c:v>
                </c:pt>
                <c:pt idx="3">
                  <c:v>205x</c:v>
                </c:pt>
              </c:strCache>
            </c:strRef>
          </c:cat>
          <c:val>
            <c:numRef>
              <c:f>Sheet1!$B$2:$B$5</c:f>
              <c:numCache>
                <c:formatCode>General</c:formatCode>
                <c:ptCount val="4"/>
                <c:pt idx="0">
                  <c:v>1263.29</c:v>
                </c:pt>
                <c:pt idx="1">
                  <c:v>25.44</c:v>
                </c:pt>
                <c:pt idx="2">
                  <c:v>0.64</c:v>
                </c:pt>
                <c:pt idx="3">
                  <c:v>1298.37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146.22</c:v>
                </c:pt>
                <c:pt idx="1">
                  <c:v>146.22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109.85</c:v>
                </c:pt>
                <c:pt idx="1">
                  <c:v>109.85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131.85</c:v>
                </c:pt>
                <c:pt idx="1">
                  <c:v>131.85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450.55</c:v>
                </c:pt>
                <c:pt idx="1">
                  <c:v>48.36</c:v>
                </c:pt>
                <c:pt idx="2">
                  <c:v>408.78</c:v>
                </c:pt>
                <c:pt idx="3">
                  <c:v>0</c:v>
                </c:pt>
                <c:pt idx="4">
                  <c:v>209.91</c:v>
                </c:pt>
                <c:pt idx="5">
                  <c:v>146.22</c:v>
                </c:pt>
                <c:pt idx="6">
                  <c:v>0</c:v>
                </c:pt>
                <c:pt idx="7">
                  <c:v>58.81</c:v>
                </c:pt>
                <c:pt idx="8">
                  <c:v>0</c:v>
                </c:pt>
                <c:pt idx="9">
                  <c:v>7.24</c:v>
                </c:pt>
                <c:pt idx="10">
                  <c:v>109.84</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16.29</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1655</Words>
  <Characters>1810</Characters>
  <Lines>90</Lines>
  <Paragraphs>25</Paragraphs>
  <TotalTime>21</TotalTime>
  <ScaleCrop>false</ScaleCrop>
  <LinksUpToDate>false</LinksUpToDate>
  <CharactersWithSpaces>1834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hjxjyj</cp:lastModifiedBy>
  <dcterms:modified xsi:type="dcterms:W3CDTF">2025-01-04T07:46:01Z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11B0E77699E741A18315171F5BC08E22_13</vt:lpwstr>
  </property>
  <property fmtid="{D5CDD505-2E9C-101B-9397-08002B2CF9AE}" pid="4" name="KSOTemplateDocerSaveRecord">
    <vt:lpwstr>eyJoZGlkIjoiZjIwOWRiYThhMWE1ZjFlNWY3NjUyY2NhNDc1NmZhZmQiLCJ1c2VySWQiOiI1MDQ1MTgwMzQifQ==</vt:lpwstr>
  </property>
</Properties>
</file>