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center"/>
        <w:rPr>
          <w:rFonts w:ascii="黑体" w:hAnsi="黑体" w:eastAsia="黑体" w:cs="黑体"/>
          <w:b/>
          <w:bCs/>
          <w:color w:val="000000" w:themeColor="text1"/>
          <w:sz w:val="52"/>
          <w:szCs w:val="52"/>
          <w:highlight w:val="none"/>
          <w14:textFill>
            <w14:solidFill>
              <w14:schemeClr w14:val="tx1"/>
            </w14:solidFill>
          </w14:textFill>
        </w:rPr>
      </w:pPr>
      <w:r>
        <w:rPr>
          <w:rFonts w:hint="eastAsia" w:ascii="黑体" w:hAnsi="黑体" w:eastAsia="黑体" w:cs="黑体"/>
          <w:b/>
          <w:bCs/>
          <w:color w:val="000000" w:themeColor="text1"/>
          <w:sz w:val="48"/>
          <w:szCs w:val="48"/>
          <w:highlight w:val="none"/>
          <w14:textFill>
            <w14:solidFill>
              <w14:schemeClr w14:val="tx1"/>
            </w14:solidFill>
          </w14:textFill>
        </w:rPr>
        <w:t>环江毛南族自治县大才乡中心幼儿园</w:t>
      </w:r>
      <w:r>
        <w:rPr>
          <w:rFonts w:hint="eastAsia" w:ascii="黑体" w:hAnsi="黑体" w:eastAsia="黑体" w:cs="黑体"/>
          <w:b/>
          <w:bCs/>
          <w:color w:val="000000" w:themeColor="text1"/>
          <w:sz w:val="48"/>
          <w:szCs w:val="48"/>
          <w:highlight w:val="none"/>
          <w:lang w:eastAsia="zh-CN"/>
          <w14:textFill>
            <w14:solidFill>
              <w14:schemeClr w14:val="tx1"/>
            </w14:solidFill>
          </w14:textFill>
        </w:rPr>
        <w:t>2023</w:t>
      </w:r>
      <w:r>
        <w:rPr>
          <w:rFonts w:hint="eastAsia" w:ascii="黑体" w:hAnsi="黑体" w:eastAsia="黑体" w:cs="黑体"/>
          <w:b/>
          <w:bCs/>
          <w:color w:val="000000" w:themeColor="text1"/>
          <w:sz w:val="48"/>
          <w:szCs w:val="48"/>
          <w:highlight w:val="none"/>
          <w14:textFill>
            <w14:solidFill>
              <w14:schemeClr w14:val="tx1"/>
            </w14:solidFill>
          </w14:textFill>
        </w:rPr>
        <w:t>年度部门决算</w:t>
      </w:r>
    </w:p>
    <w:p>
      <w:pPr>
        <w:jc w:val="center"/>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center"/>
        <w:rPr>
          <w:rFonts w:hint="default" w:ascii="黑体" w:hAnsi="黑体" w:eastAsia="黑体" w:cs="黑体"/>
          <w:b/>
          <w:bCs/>
          <w:color w:val="000000" w:themeColor="text1"/>
          <w:sz w:val="36"/>
          <w:szCs w:val="36"/>
          <w:highlight w:val="none"/>
          <w:lang w:val="en-US" w:eastAsia="zh-CN"/>
          <w14:textFill>
            <w14:solidFill>
              <w14:schemeClr w14:val="tx1"/>
            </w14:solidFill>
          </w14:textFill>
        </w:rPr>
      </w:pPr>
      <w:r>
        <w:rPr>
          <w:rFonts w:hint="eastAsia" w:ascii="黑体" w:hAnsi="黑体" w:eastAsia="黑体" w:cs="黑体"/>
          <w:b/>
          <w:bCs/>
          <w:color w:val="000000" w:themeColor="text1"/>
          <w:sz w:val="36"/>
          <w:szCs w:val="36"/>
          <w:highlight w:val="none"/>
          <w:lang w:val="en-US" w:eastAsia="zh-CN"/>
          <w14:textFill>
            <w14:solidFill>
              <w14:schemeClr w14:val="tx1"/>
            </w14:solidFill>
          </w14:textFill>
        </w:rPr>
        <w:t>单位负责人：莫爱研</w:t>
      </w:r>
    </w:p>
    <w:p>
      <w:pPr>
        <w:jc w:val="center"/>
        <w:rPr>
          <w:rFonts w:hint="eastAsia" w:ascii="黑体" w:hAnsi="黑体" w:eastAsia="黑体" w:cs="黑体"/>
          <w:b/>
          <w:bCs/>
          <w:color w:val="000000" w:themeColor="text1"/>
          <w:sz w:val="36"/>
          <w:szCs w:val="36"/>
          <w:highlight w:val="none"/>
          <w:lang w:val="en-US" w:eastAsia="zh-CN"/>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202</w:t>
      </w:r>
      <w:r>
        <w:rPr>
          <w:rFonts w:hint="eastAsia" w:ascii="黑体" w:hAnsi="黑体" w:eastAsia="黑体" w:cs="黑体"/>
          <w:b/>
          <w:bCs/>
          <w:color w:val="000000" w:themeColor="text1"/>
          <w:sz w:val="36"/>
          <w:szCs w:val="36"/>
          <w:highlight w:val="none"/>
          <w:lang w:val="en-US" w:eastAsia="zh-CN"/>
          <w14:textFill>
            <w14:solidFill>
              <w14:schemeClr w14:val="tx1"/>
            </w14:solidFill>
          </w14:textFill>
        </w:rPr>
        <w:t>4</w:t>
      </w:r>
      <w:r>
        <w:rPr>
          <w:rFonts w:hint="eastAsia" w:ascii="黑体" w:hAnsi="黑体" w:eastAsia="黑体" w:cs="黑体"/>
          <w:b/>
          <w:bCs/>
          <w:color w:val="000000" w:themeColor="text1"/>
          <w:sz w:val="36"/>
          <w:szCs w:val="36"/>
          <w:highlight w:val="none"/>
          <w14:textFill>
            <w14:solidFill>
              <w14:schemeClr w14:val="tx1"/>
            </w14:solidFill>
          </w14:textFill>
        </w:rPr>
        <w:t>年</w:t>
      </w:r>
      <w:r>
        <w:rPr>
          <w:rFonts w:hint="eastAsia" w:ascii="黑体" w:hAnsi="黑体" w:eastAsia="黑体" w:cs="黑体"/>
          <w:b/>
          <w:bCs/>
          <w:color w:val="000000" w:themeColor="text1"/>
          <w:sz w:val="36"/>
          <w:szCs w:val="36"/>
          <w:highlight w:val="none"/>
          <w:lang w:val="en-US" w:eastAsia="zh-CN"/>
          <w14:textFill>
            <w14:solidFill>
              <w14:schemeClr w14:val="tx1"/>
            </w14:solidFill>
          </w14:textFill>
        </w:rPr>
        <w:t>12</w:t>
      </w:r>
      <w:r>
        <w:rPr>
          <w:rFonts w:hint="eastAsia" w:ascii="黑体" w:hAnsi="黑体" w:eastAsia="黑体" w:cs="黑体"/>
          <w:b/>
          <w:bCs/>
          <w:color w:val="000000" w:themeColor="text1"/>
          <w:sz w:val="36"/>
          <w:szCs w:val="36"/>
          <w:highlight w:val="none"/>
          <w14:textFill>
            <w14:solidFill>
              <w14:schemeClr w14:val="tx1"/>
            </w14:solidFill>
          </w14:textFill>
        </w:rPr>
        <w:t>月</w:t>
      </w:r>
      <w:r>
        <w:rPr>
          <w:rFonts w:hint="eastAsia" w:ascii="黑体" w:hAnsi="黑体" w:eastAsia="黑体" w:cs="黑体"/>
          <w:b/>
          <w:bCs/>
          <w:color w:val="000000" w:themeColor="text1"/>
          <w:sz w:val="36"/>
          <w:szCs w:val="36"/>
          <w:highlight w:val="none"/>
          <w:lang w:val="en-US" w:eastAsia="zh-CN"/>
          <w14:textFill>
            <w14:solidFill>
              <w14:schemeClr w14:val="tx1"/>
            </w14:solidFill>
          </w14:textFill>
        </w:rPr>
        <w:t>3日</w:t>
      </w:r>
    </w:p>
    <w:p>
      <w:pPr>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br w:type="page"/>
      </w:r>
    </w:p>
    <w:p>
      <w:pPr>
        <w:jc w:val="center"/>
        <w:rPr>
          <w:rFonts w:ascii="黑体" w:hAnsi="黑体" w:eastAsia="黑体" w:cs="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目</w:t>
      </w:r>
      <w:r>
        <w:rPr>
          <w:rFonts w:hint="eastAsia" w:ascii="黑体" w:hAnsi="黑体" w:eastAsia="黑体" w:cs="黑体"/>
          <w:b/>
          <w:bCs/>
          <w:color w:val="000000" w:themeColor="text1"/>
          <w:sz w:val="36"/>
          <w:szCs w:val="36"/>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 xml:space="preserve"> 录</w:t>
      </w:r>
    </w:p>
    <w:p>
      <w:pPr>
        <w:jc w:val="left"/>
        <w:rPr>
          <w:rFonts w:ascii="黑体" w:hAnsi="黑体" w:eastAsia="黑体" w:cs="黑体"/>
          <w:b/>
          <w:bCs/>
          <w:color w:val="000000" w:themeColor="text1"/>
          <w:sz w:val="36"/>
          <w:szCs w:val="36"/>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第一部分：</w:t>
      </w:r>
      <w:r>
        <w:rPr>
          <w:rFonts w:ascii="黑体" w:hAnsi="黑体" w:eastAsia="黑体" w:cs="黑体"/>
          <w:color w:val="000000" w:themeColor="text1"/>
          <w:sz w:val="32"/>
          <w:highlight w:val="none"/>
          <w:u w:color="auto"/>
          <w14:textFill>
            <w14:solidFill>
              <w14:schemeClr w14:val="tx1"/>
            </w14:solidFill>
          </w14:textFill>
        </w:rPr>
        <w:t>环江毛南族自治县大才乡中心幼儿园</w:t>
      </w:r>
      <w:r>
        <w:rPr>
          <w:rFonts w:hint="eastAsia" w:ascii="黑体" w:hAnsi="黑体" w:eastAsia="黑体" w:cs="黑体"/>
          <w:color w:val="000000" w:themeColor="text1"/>
          <w:sz w:val="32"/>
          <w:szCs w:val="32"/>
          <w:highlight w:val="none"/>
          <w14:textFill>
            <w14:solidFill>
              <w14:schemeClr w14:val="tx1"/>
            </w14:solidFill>
          </w14:textFill>
        </w:rPr>
        <w:t>概况</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一、主要职能</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二、部门决算单位构成</w:t>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第二部分：</w:t>
      </w:r>
      <w:r>
        <w:rPr>
          <w:rFonts w:ascii="黑体" w:hAnsi="黑体" w:eastAsia="黑体" w:cs="黑体"/>
          <w:color w:val="000000" w:themeColor="text1"/>
          <w:sz w:val="32"/>
          <w:highlight w:val="none"/>
          <w:u w:color="auto"/>
          <w14:textFill>
            <w14:solidFill>
              <w14:schemeClr w14:val="tx1"/>
            </w14:solidFill>
          </w14:textFill>
        </w:rPr>
        <w:t>环江毛南族自治县大才乡中心幼儿园</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年度部门决算报表</w:t>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表一：收入支出决算总表</w:t>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表二：收入决算表</w:t>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表三：支出决算表</w:t>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表四：财政拨款收入支出决算总表</w:t>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表五：一般公共预算财政拨款支出决算表</w:t>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表六：一般公共预算财政拨款基本支出决算明细表</w:t>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表七：政府性基金</w:t>
      </w:r>
      <w:r>
        <w:rPr>
          <w:rFonts w:hint="eastAsia" w:ascii="仿宋_GB2312" w:hAnsi="黑体" w:eastAsia="仿宋_GB2312"/>
          <w:color w:val="000000" w:themeColor="text1"/>
          <w:sz w:val="32"/>
          <w:szCs w:val="32"/>
          <w:highlight w:val="none"/>
          <w14:textFill>
            <w14:solidFill>
              <w14:schemeClr w14:val="tx1"/>
            </w14:solidFill>
          </w14:textFill>
        </w:rPr>
        <w:t>预算财政拨款</w:t>
      </w:r>
      <w:r>
        <w:rPr>
          <w:rFonts w:hint="eastAsia" w:ascii="仿宋_GB2312" w:eastAsia="仿宋_GB2312"/>
          <w:color w:val="000000" w:themeColor="text1"/>
          <w:sz w:val="32"/>
          <w:szCs w:val="32"/>
          <w:highlight w:val="none"/>
          <w14:textFill>
            <w14:solidFill>
              <w14:schemeClr w14:val="tx1"/>
            </w14:solidFill>
          </w14:textFill>
        </w:rPr>
        <w:t>收入支出决算表</w:t>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表八：国有资本经营预算</w:t>
      </w:r>
      <w:r>
        <w:rPr>
          <w:rFonts w:hint="eastAsia" w:ascii="仿宋_GB2312" w:hAnsi="黑体" w:eastAsia="仿宋_GB2312"/>
          <w:color w:val="000000" w:themeColor="text1"/>
          <w:sz w:val="32"/>
          <w:szCs w:val="32"/>
          <w:highlight w:val="none"/>
          <w14:textFill>
            <w14:solidFill>
              <w14:schemeClr w14:val="tx1"/>
            </w14:solidFill>
          </w14:textFill>
        </w:rPr>
        <w:t>财政拨款</w:t>
      </w:r>
      <w:r>
        <w:rPr>
          <w:rFonts w:hint="eastAsia" w:ascii="仿宋_GB2312" w:eastAsia="仿宋_GB2312"/>
          <w:color w:val="000000" w:themeColor="text1"/>
          <w:sz w:val="32"/>
          <w:szCs w:val="32"/>
          <w:highlight w:val="none"/>
          <w14:textFill>
            <w14:solidFill>
              <w14:schemeClr w14:val="tx1"/>
            </w14:solidFill>
          </w14:textFill>
        </w:rPr>
        <w:t>支出决算表</w:t>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表九：财政拨款“三公”经费支出决算表</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第三部分：</w:t>
      </w:r>
      <w:r>
        <w:rPr>
          <w:rFonts w:ascii="黑体" w:hAnsi="黑体" w:eastAsia="黑体" w:cs="黑体"/>
          <w:color w:val="000000" w:themeColor="text1"/>
          <w:sz w:val="32"/>
          <w:highlight w:val="none"/>
          <w:u w:color="auto"/>
          <w14:textFill>
            <w14:solidFill>
              <w14:schemeClr w14:val="tx1"/>
            </w14:solidFill>
          </w14:textFill>
        </w:rPr>
        <w:t>环江毛南族自治县大才乡中心幼儿园</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年度部门决算情况说明</w:t>
      </w:r>
    </w:p>
    <w:p>
      <w:pPr>
        <w:autoSpaceDE w:val="0"/>
        <w:autoSpaceDN w:val="0"/>
        <w:adjustRightInd w:val="0"/>
        <w:jc w:val="left"/>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eastAsia="仿宋_GB2312"/>
          <w:color w:val="000000" w:themeColor="text1"/>
          <w:kern w:val="0"/>
          <w:sz w:val="32"/>
          <w:szCs w:val="32"/>
          <w:highlight w:val="none"/>
          <w:lang w:eastAsia="zh-CN"/>
          <w14:textFill>
            <w14:solidFill>
              <w14:schemeClr w14:val="tx1"/>
            </w14:solidFill>
          </w14:textFill>
        </w:rPr>
        <w:t>2023</w:t>
      </w:r>
      <w:r>
        <w:rPr>
          <w:rFonts w:hint="eastAsia" w:ascii="仿宋_GB2312" w:eastAsia="仿宋_GB2312" w:cs="仿宋_GB2312"/>
          <w:color w:val="000000" w:themeColor="text1"/>
          <w:kern w:val="0"/>
          <w:sz w:val="32"/>
          <w:szCs w:val="32"/>
          <w:highlight w:val="none"/>
          <w14:textFill>
            <w14:solidFill>
              <w14:schemeClr w14:val="tx1"/>
            </w14:solidFill>
          </w14:textFill>
        </w:rPr>
        <w:t>年度收入支出决算总体情况。</w:t>
      </w:r>
    </w:p>
    <w:p>
      <w:pPr>
        <w:autoSpaceDE w:val="0"/>
        <w:autoSpaceDN w:val="0"/>
        <w:adjustRightInd w:val="0"/>
        <w:jc w:val="left"/>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二、</w:t>
      </w:r>
      <w:r>
        <w:rPr>
          <w:rFonts w:hint="eastAsia" w:ascii="仿宋_GB2312" w:eastAsia="仿宋_GB2312"/>
          <w:color w:val="000000" w:themeColor="text1"/>
          <w:kern w:val="0"/>
          <w:sz w:val="32"/>
          <w:szCs w:val="32"/>
          <w:highlight w:val="none"/>
          <w:lang w:eastAsia="zh-CN"/>
          <w14:textFill>
            <w14:solidFill>
              <w14:schemeClr w14:val="tx1"/>
            </w14:solidFill>
          </w14:textFill>
        </w:rPr>
        <w:t>2023</w:t>
      </w:r>
      <w:r>
        <w:rPr>
          <w:rFonts w:hint="eastAsia" w:ascii="仿宋_GB2312" w:eastAsia="仿宋_GB2312" w:cs="仿宋_GB2312"/>
          <w:color w:val="000000" w:themeColor="text1"/>
          <w:kern w:val="0"/>
          <w:sz w:val="32"/>
          <w:szCs w:val="32"/>
          <w:highlight w:val="none"/>
          <w14:textFill>
            <w14:solidFill>
              <w14:schemeClr w14:val="tx1"/>
            </w14:solidFill>
          </w14:textFill>
        </w:rPr>
        <w:t>年度</w:t>
      </w:r>
      <w:r>
        <w:rPr>
          <w:rFonts w:hint="eastAsia" w:ascii="仿宋_GB2312" w:eastAsia="仿宋_GB2312"/>
          <w:color w:val="000000" w:themeColor="text1"/>
          <w:sz w:val="32"/>
          <w:szCs w:val="32"/>
          <w:highlight w:val="none"/>
          <w14:textFill>
            <w14:solidFill>
              <w14:schemeClr w14:val="tx1"/>
            </w14:solidFill>
          </w14:textFill>
        </w:rPr>
        <w:t>一般</w:t>
      </w:r>
      <w:r>
        <w:rPr>
          <w:rFonts w:hint="eastAsia" w:ascii="仿宋_GB2312" w:eastAsia="仿宋_GB2312" w:cs="仿宋_GB2312"/>
          <w:color w:val="000000" w:themeColor="text1"/>
          <w:kern w:val="0"/>
          <w:sz w:val="32"/>
          <w:szCs w:val="32"/>
          <w:highlight w:val="none"/>
          <w14:textFill>
            <w14:solidFill>
              <w14:schemeClr w14:val="tx1"/>
            </w14:solidFill>
          </w14:textFill>
        </w:rPr>
        <w:t>公共预算财政拨款支出决算情况。</w:t>
      </w:r>
    </w:p>
    <w:p>
      <w:pPr>
        <w:autoSpaceDE w:val="0"/>
        <w:autoSpaceDN w:val="0"/>
        <w:adjustRightInd w:val="0"/>
        <w:jc w:val="left"/>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三、</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2023</w:t>
      </w:r>
      <w:r>
        <w:rPr>
          <w:rFonts w:hint="eastAsia" w:ascii="仿宋_GB2312" w:eastAsia="仿宋_GB2312" w:cs="仿宋_GB2312"/>
          <w:color w:val="000000" w:themeColor="text1"/>
          <w:kern w:val="0"/>
          <w:sz w:val="32"/>
          <w:szCs w:val="32"/>
          <w:highlight w:val="none"/>
          <w14:textFill>
            <w14:solidFill>
              <w14:schemeClr w14:val="tx1"/>
            </w14:solidFill>
          </w14:textFill>
        </w:rPr>
        <w:t>年度一般公共预算财政拨款基本支出决算情况说明。</w:t>
      </w:r>
    </w:p>
    <w:p>
      <w:pPr>
        <w:autoSpaceDE w:val="0"/>
        <w:autoSpaceDN w:val="0"/>
        <w:adjustRightInd w:val="0"/>
        <w:jc w:val="left"/>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四、</w:t>
      </w:r>
      <w:r>
        <w:rPr>
          <w:rFonts w:hint="eastAsia" w:ascii="仿宋_GB2312" w:eastAsia="仿宋_GB2312"/>
          <w:color w:val="000000" w:themeColor="text1"/>
          <w:kern w:val="0"/>
          <w:sz w:val="32"/>
          <w:szCs w:val="32"/>
          <w:highlight w:val="none"/>
          <w:lang w:eastAsia="zh-CN"/>
          <w14:textFill>
            <w14:solidFill>
              <w14:schemeClr w14:val="tx1"/>
            </w14:solidFill>
          </w14:textFill>
        </w:rPr>
        <w:t>2023</w:t>
      </w:r>
      <w:r>
        <w:rPr>
          <w:rFonts w:hint="eastAsia" w:ascii="仿宋_GB2312" w:eastAsia="仿宋_GB2312" w:cs="仿宋_GB2312"/>
          <w:color w:val="000000" w:themeColor="text1"/>
          <w:kern w:val="0"/>
          <w:sz w:val="32"/>
          <w:szCs w:val="32"/>
          <w:highlight w:val="none"/>
          <w14:textFill>
            <w14:solidFill>
              <w14:schemeClr w14:val="tx1"/>
            </w14:solidFill>
          </w14:textFill>
        </w:rPr>
        <w:t>年度政府性基金支出决算情况。</w:t>
      </w:r>
    </w:p>
    <w:p>
      <w:pPr>
        <w:autoSpaceDE w:val="0"/>
        <w:autoSpaceDN w:val="0"/>
        <w:adjustRightInd w:val="0"/>
        <w:jc w:val="left"/>
        <w:rPr>
          <w:rFonts w:hint="eastAsia" w:asci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五、</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2023</w:t>
      </w:r>
      <w:r>
        <w:rPr>
          <w:rFonts w:hint="eastAsia" w:ascii="仿宋_GB2312" w:eastAsia="仿宋_GB2312" w:cs="仿宋_GB2312"/>
          <w:color w:val="000000" w:themeColor="text1"/>
          <w:kern w:val="0"/>
          <w:sz w:val="32"/>
          <w:szCs w:val="32"/>
          <w:highlight w:val="none"/>
          <w14:textFill>
            <w14:solidFill>
              <w14:schemeClr w14:val="tx1"/>
            </w14:solidFill>
          </w14:textFill>
        </w:rPr>
        <w:t>年度国有资本经营预算支出决算情况</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w:t>
      </w:r>
    </w:p>
    <w:p>
      <w:pPr>
        <w:autoSpaceDE w:val="0"/>
        <w:autoSpaceDN w:val="0"/>
        <w:adjustRightInd w:val="0"/>
        <w:jc w:val="left"/>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六、财政拨款“三公”经费支出决算情况说明。</w:t>
      </w:r>
    </w:p>
    <w:p>
      <w:pPr>
        <w:autoSpaceDE w:val="0"/>
        <w:autoSpaceDN w:val="0"/>
        <w:adjustRightInd w:val="0"/>
        <w:jc w:val="left"/>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七、其他重要事项情况说明。</w:t>
      </w:r>
    </w:p>
    <w:p>
      <w:pPr>
        <w:jc w:val="left"/>
        <w:rPr>
          <w:rFonts w:hint="eastAsia" w:ascii="仿宋_GB2312" w:eastAsia="仿宋_GB2312" w:cs="仿宋_GB2312"/>
          <w:color w:val="000000" w:themeColor="text1"/>
          <w:kern w:val="0"/>
          <w:sz w:val="32"/>
          <w:szCs w:val="32"/>
          <w:highlight w:val="none"/>
          <w:lang w:eastAsia="zh-CN"/>
          <w14:textFill>
            <w14:solidFill>
              <w14:schemeClr w14:val="tx1"/>
            </w14:solidFill>
          </w14:textFill>
        </w:rPr>
      </w:pPr>
      <w:r>
        <w:rPr>
          <w:rFonts w:hint="default" w:ascii="仿宋_GB2312" w:eastAsia="仿宋_GB2312" w:cs="仿宋_GB2312"/>
          <w:color w:val="000000" w:themeColor="text1"/>
          <w:kern w:val="0"/>
          <w:sz w:val="32"/>
          <w:szCs w:val="32"/>
          <w:highlight w:val="none"/>
          <w14:textFill>
            <w14:solidFill>
              <w14:schemeClr w14:val="tx1"/>
            </w14:solidFill>
          </w14:textFill>
        </w:rPr>
        <w:t>八、预算绩效管理工作开展情况</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w:t>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第四部分：名词解释</w:t>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p>
    <w:p>
      <w:pPr>
        <w:jc w:val="center"/>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第一部分：</w:t>
      </w:r>
      <w:r>
        <w:rPr>
          <w:rFonts w:ascii="黑体" w:hAnsi="黑体" w:eastAsia="黑体" w:cs="黑体"/>
          <w:b/>
          <w:color w:val="000000" w:themeColor="text1"/>
          <w:sz w:val="32"/>
          <w:highlight w:val="none"/>
          <w:u w:color="auto"/>
          <w14:textFill>
            <w14:solidFill>
              <w14:schemeClr w14:val="tx1"/>
            </w14:solidFill>
          </w14:textFill>
        </w:rPr>
        <w:t>环江毛南族自治县大才乡中心幼儿园</w:t>
      </w:r>
      <w:r>
        <w:rPr>
          <w:rFonts w:hint="eastAsia" w:ascii="黑体" w:hAnsi="黑体" w:eastAsia="黑体" w:cs="黑体"/>
          <w:b/>
          <w:bCs/>
          <w:color w:val="000000" w:themeColor="text1"/>
          <w:sz w:val="32"/>
          <w:szCs w:val="32"/>
          <w:highlight w:val="none"/>
          <w14:textFill>
            <w14:solidFill>
              <w14:schemeClr w14:val="tx1"/>
            </w14:solidFill>
          </w14:textFill>
        </w:rPr>
        <w:t>概况</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一、主要职能</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（一）贯彻执行党和国家的教育方针、政策和法律法规；拟订全园教育改革与发展规划并组织实施。</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（二）编制本园教育事业发展规划并检查实施情况，向自治县人民政府和上级教育部门作出报告。</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（三）督促检查全园贯彻执行教育方针、政策、法令、法规和上级的各项规定；评估指导全乡幼儿园教育教学工作。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（四）负责推进全乡幼儿教育均衡发展和促进教育公平。</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（五）负责全园人才队伍和教师队伍建设，包括园长岗位培训、后备干部队伍建设、教师学历教育、继续教育等。</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（六）负责组织全乡幼儿园做好学籍管理工作。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（七）按照中央关于全面推进素质教育要求，负责教育教学管理、教育教学改革及教育教学科学研究工作，检查指导全乡幼儿园实施素质教育工作，并组织推广先进的教育教学经验。</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（八）检查指导</w:t>
      </w:r>
      <w:r>
        <w:rPr>
          <w:rFonts w:hint="eastAsia" w:ascii="仿宋" w:hAnsi="仿宋" w:eastAsia="仿宋" w:cs="仿宋"/>
          <w:color w:val="000000" w:themeColor="text1"/>
          <w:sz w:val="32"/>
          <w:szCs w:val="32"/>
          <w:highlight w:val="none"/>
          <w:lang w:val="en-US" w:eastAsia="zh-CN"/>
          <w14:textFill>
            <w14:solidFill>
              <w14:schemeClr w14:val="tx1"/>
            </w14:solidFill>
          </w14:textFill>
        </w:rPr>
        <w:t>本园</w:t>
      </w:r>
      <w:r>
        <w:rPr>
          <w:rFonts w:hint="eastAsia" w:ascii="仿宋" w:hAnsi="仿宋" w:eastAsia="仿宋" w:cs="仿宋"/>
          <w:color w:val="000000" w:themeColor="text1"/>
          <w:sz w:val="32"/>
          <w:szCs w:val="32"/>
          <w:highlight w:val="none"/>
          <w14:textFill>
            <w14:solidFill>
              <w14:schemeClr w14:val="tx1"/>
            </w14:solidFill>
          </w14:textFill>
        </w:rPr>
        <w:t>教育教学设备的装备、管理和使用工作。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（九）检查指导全乡幼儿园开展电化教育和信息化教学工作。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（十）负责全园教师初级专业技术职务资格的评审，中、高级专业技术职务资格的申报工作。按照管理权限对教师进行考核、聘任、奖惩、晋升等工作。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（十一）负责监督审计全园教育经费和教育基建经费拨付及教育附加费和教育费附加的征收、管理与使用工作。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（十二）负责指导全园学生资助管理工作。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（十三）负责语言文字和指导推广普通话工作。</w:t>
      </w:r>
    </w:p>
    <w:p>
      <w:pPr>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（十四）完成上级部门交办的其他工作。</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二、部门决算单位构成</w:t>
      </w:r>
    </w:p>
    <w:p>
      <w:pPr>
        <w:ind w:firstLine="640" w:firstLineChars="2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本园按照部门决算编报要求，单独编制本园决算。内设机构有两个，分别为：园长办公室、教师办公室</w:t>
      </w:r>
      <w:r>
        <w:rPr>
          <w:rFonts w:hint="eastAsia" w:ascii="仿宋" w:hAnsi="仿宋" w:eastAsia="仿宋" w:cs="仿宋"/>
          <w:color w:val="000000" w:themeColor="text1"/>
          <w:sz w:val="32"/>
          <w:szCs w:val="32"/>
          <w:highlight w:val="none"/>
          <w:lang w:eastAsia="zh-CN"/>
          <w14:textFill>
            <w14:solidFill>
              <w14:schemeClr w14:val="tx1"/>
            </w14:solidFill>
          </w14:textFill>
        </w:rPr>
        <w:t>；在职在编</w:t>
      </w:r>
      <w:r>
        <w:rPr>
          <w:rFonts w:hint="eastAsia" w:ascii="仿宋" w:hAnsi="仿宋" w:eastAsia="仿宋" w:cs="仿宋"/>
          <w:color w:val="000000" w:themeColor="text1"/>
          <w:sz w:val="32"/>
          <w:szCs w:val="32"/>
          <w:highlight w:val="none"/>
          <w:lang w:val="en-US" w:eastAsia="zh-CN"/>
          <w14:textFill>
            <w14:solidFill>
              <w14:schemeClr w14:val="tx1"/>
            </w14:solidFill>
          </w14:textFill>
        </w:rPr>
        <w:t>人员10人。</w:t>
      </w:r>
    </w:p>
    <w:tbl>
      <w:tblPr>
        <w:tblStyle w:val="6"/>
        <w:tblW w:w="85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3"/>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bookmarkStart w:id="0" w:name="_Hlk109379180"/>
            <w:r>
              <w:rPr>
                <w:rFonts w:hint="eastAsia" w:ascii="仿宋" w:hAnsi="仿宋" w:eastAsia="仿宋" w:cs="仿宋"/>
                <w:b/>
                <w:color w:val="000000" w:themeColor="text1"/>
                <w:kern w:val="0"/>
                <w:sz w:val="32"/>
                <w:szCs w:val="32"/>
                <w:highlight w:val="none"/>
                <w14:textFill>
                  <w14:solidFill>
                    <w14:schemeClr w14:val="tx1"/>
                  </w14:solidFill>
                </w14:textFill>
              </w:rPr>
              <w:t>单位名称</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环江毛南族自治县大才乡中心幼儿园</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事业单位</w:t>
            </w:r>
          </w:p>
        </w:tc>
      </w:tr>
      <w:bookmarkEnd w:id="0"/>
    </w:tbl>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p>
    <w:p>
      <w:pPr>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jc w:val="center"/>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jc w:val="center"/>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jc w:val="center"/>
        <w:rPr>
          <w:rFonts w:hint="eastAsia" w:ascii="黑体" w:hAnsi="黑体" w:eastAsia="黑体" w:cs="黑体"/>
          <w:color w:val="000000" w:themeColor="text1"/>
          <w:sz w:val="32"/>
          <w:szCs w:val="32"/>
          <w:highlight w:val="none"/>
          <w:lang w:val="en-US" w:eastAsia="zh-CN"/>
          <w14:textFill>
            <w14:solidFill>
              <w14:schemeClr w14:val="tx1"/>
            </w14:solidFill>
          </w14:textFill>
        </w:rPr>
        <w:sectPr>
          <w:pgSz w:w="11906" w:h="16838"/>
          <w:pgMar w:top="1440" w:right="1800" w:bottom="1440" w:left="1800" w:header="851" w:footer="992" w:gutter="0"/>
          <w:cols w:space="0" w:num="1"/>
          <w:rtlGutter w:val="0"/>
          <w:docGrid w:type="lines" w:linePitch="312" w:charSpace="0"/>
        </w:sectPr>
      </w:pPr>
    </w:p>
    <w:p>
      <w:pPr>
        <w:jc w:val="both"/>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jc w:val="both"/>
        <w:rPr>
          <w:rFonts w:hint="default" w:ascii="黑体" w:hAnsi="黑体" w:eastAsia="黑体" w:cs="黑体"/>
          <w:color w:val="000000" w:themeColor="text1"/>
          <w:sz w:val="32"/>
          <w:szCs w:val="32"/>
          <w:highlight w:val="none"/>
          <w:lang w:val="en-US" w:eastAsia="zh-CN"/>
          <w14:textFill>
            <w14:solidFill>
              <w14:schemeClr w14:val="tx1"/>
            </w14:solidFill>
          </w14:textFill>
        </w:rPr>
      </w:pPr>
    </w:p>
    <w:p>
      <w:pPr>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第二部分：</w:t>
      </w:r>
      <w:r>
        <w:rPr>
          <w:rFonts w:ascii="黑体" w:hAnsi="黑体" w:eastAsia="黑体" w:cs="黑体"/>
          <w:color w:val="000000" w:themeColor="text1"/>
          <w:sz w:val="32"/>
          <w:highlight w:val="none"/>
          <w:u w:color="auto"/>
          <w14:textFill>
            <w14:solidFill>
              <w14:schemeClr w14:val="tx1"/>
            </w14:solidFill>
          </w14:textFill>
        </w:rPr>
        <w:t>环江毛南族自治县大才乡中心幼儿园</w:t>
      </w:r>
      <w:r>
        <w:rPr>
          <w:rFonts w:hint="eastAsia" w:ascii="黑体" w:hAnsi="黑体" w:eastAsia="黑体" w:cs="黑体"/>
          <w:color w:val="000000" w:themeColor="text1"/>
          <w:sz w:val="32"/>
          <w:szCs w:val="32"/>
          <w:highlight w:val="none"/>
          <w14:textFill>
            <w14:solidFill>
              <w14:schemeClr w14:val="tx1"/>
            </w14:solidFill>
          </w14:textFill>
        </w:rPr>
        <w:t xml:space="preserve"> </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年度部门决算报表</w:t>
      </w:r>
    </w:p>
    <w:tbl>
      <w:tblPr>
        <w:tblStyle w:val="6"/>
        <w:tblW w:w="13960" w:type="dxa"/>
        <w:tblInd w:w="96" w:type="dxa"/>
        <w:tblLayout w:type="fixed"/>
        <w:tblCellMar>
          <w:top w:w="0" w:type="dxa"/>
          <w:left w:w="108" w:type="dxa"/>
          <w:bottom w:w="0" w:type="dxa"/>
          <w:right w:w="108" w:type="dxa"/>
        </w:tblCellMar>
      </w:tblPr>
      <w:tblGrid>
        <w:gridCol w:w="2543"/>
        <w:gridCol w:w="2393"/>
        <w:gridCol w:w="2231"/>
        <w:gridCol w:w="3461"/>
        <w:gridCol w:w="1104"/>
        <w:gridCol w:w="2208"/>
        <w:gridCol w:w="20"/>
      </w:tblGrid>
      <w:tr>
        <w:tblPrEx>
          <w:tblCellMar>
            <w:top w:w="0" w:type="dxa"/>
            <w:left w:w="108" w:type="dxa"/>
            <w:bottom w:w="0" w:type="dxa"/>
            <w:right w:w="108" w:type="dxa"/>
          </w:tblCellMar>
        </w:tblPrEx>
        <w:trPr>
          <w:gridAfter w:val="1"/>
          <w:wAfter w:w="20" w:type="dxa"/>
          <w:trHeight w:val="121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表一：收入支出决算总表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收入支出决算总表</w:t>
            </w:r>
          </w:p>
        </w:tc>
      </w:tr>
      <w:tr>
        <w:tblPrEx>
          <w:tblCellMar>
            <w:top w:w="0" w:type="dxa"/>
            <w:left w:w="108" w:type="dxa"/>
            <w:bottom w:w="0" w:type="dxa"/>
            <w:right w:w="108" w:type="dxa"/>
          </w:tblCellMar>
        </w:tblPrEx>
        <w:trPr>
          <w:gridAfter w:val="1"/>
          <w:wAfter w:w="20" w:type="dxa"/>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4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0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0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公开01表</w:t>
            </w:r>
          </w:p>
        </w:tc>
      </w:tr>
      <w:tr>
        <w:tblPrEx>
          <w:tblCellMar>
            <w:top w:w="0" w:type="dxa"/>
            <w:left w:w="108" w:type="dxa"/>
            <w:bottom w:w="0" w:type="dxa"/>
            <w:right w:w="108" w:type="dxa"/>
          </w:tblCellMar>
        </w:tblPrEx>
        <w:trPr>
          <w:gridAfter w:val="1"/>
          <w:wAfter w:w="20" w:type="dxa"/>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default" w:ascii="宋体" w:hAnsi="宋体" w:eastAsia="宋体" w:cs="宋体"/>
                <w:color w:val="000000" w:themeColor="text1"/>
                <w:sz w:val="20"/>
                <w:highlight w:val="none"/>
                <w:u w:color="auto"/>
                <w14:textFill>
                  <w14:solidFill>
                    <w14:schemeClr w14:val="tx1"/>
                  </w14:solidFill>
                </w14:textFill>
              </w:rPr>
              <w:t>环江毛南族自治县大才乡中心幼儿园</w:t>
            </w:r>
          </w:p>
        </w:tc>
        <w:tc>
          <w:tcPr>
            <w:tcW w:w="3461"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04"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08"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gridAfter w:val="1"/>
          <w:wAfter w:w="20" w:type="dxa"/>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支出</w:t>
            </w:r>
          </w:p>
        </w:tc>
      </w:tr>
      <w:tr>
        <w:tblPrEx>
          <w:tblCellMar>
            <w:top w:w="0" w:type="dxa"/>
            <w:left w:w="108" w:type="dxa"/>
            <w:bottom w:w="0" w:type="dxa"/>
            <w:right w:w="108" w:type="dxa"/>
          </w:tblCellMar>
        </w:tblPrEx>
        <w:trPr>
          <w:gridAfter w:val="1"/>
          <w:wAfter w:w="20" w:type="dxa"/>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金额</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金额</w:t>
            </w:r>
          </w:p>
        </w:tc>
      </w:tr>
      <w:tr>
        <w:tblPrEx>
          <w:tblCellMar>
            <w:top w:w="0" w:type="dxa"/>
            <w:left w:w="108" w:type="dxa"/>
            <w:bottom w:w="0" w:type="dxa"/>
            <w:right w:w="108" w:type="dxa"/>
          </w:tblCellMar>
        </w:tblPrEx>
        <w:trPr>
          <w:gridAfter w:val="1"/>
          <w:wAfter w:w="20" w:type="dxa"/>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一、一般公共服务支出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32</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1.02</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二、外交支出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33</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三、国防支出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34</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四、公共安全支出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35</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五、教育支出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36</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141.98</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六、科学技术支出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37</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七、文化旅游体育与传媒支出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38</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八、社会保障和就业支出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7.26</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九、卫生健康支出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十、节能环保支出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41</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十一、城乡社区支出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42</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十二、农林水支出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43</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十三、交通运输支出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十四、资源勘探工业信息等支出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45</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十五、商业服务业等支出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46</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十六、金融支出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47</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十七、援助其他地区支出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48</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十八、自然资源海洋气象等支出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49</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十九、住房保障支出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5.19</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二十、粮油物资储备支出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51</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二十一、国有资本经营预算支出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52</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二十二、灾害防治及应急管理支出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53</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二十三、其他支出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54</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4.9</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二十四、债务还本支出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55</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二十五、债务付息支出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56</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二十六、抗疫特别国债安排的支出</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57</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本年支出合计</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58</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结余分配</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59</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年末结转和结余</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60</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61</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20"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总计</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62</w:t>
            </w:r>
          </w:p>
        </w:tc>
        <w:tc>
          <w:tcPr>
            <w:tcW w:w="2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r>
      <w:tr>
        <w:tblPrEx>
          <w:tblCellMar>
            <w:top w:w="0" w:type="dxa"/>
            <w:left w:w="108" w:type="dxa"/>
            <w:bottom w:w="0" w:type="dxa"/>
            <w:right w:w="108" w:type="dxa"/>
          </w:tblCellMar>
        </w:tblPrEx>
        <w:trPr>
          <w:trHeight w:val="327" w:hRule="atLeast"/>
        </w:trPr>
        <w:tc>
          <w:tcPr>
            <w:tcW w:w="13960" w:type="dxa"/>
            <w:gridSpan w:val="7"/>
            <w:tcBorders>
              <w:top w:val="nil"/>
              <w:left w:val="nil"/>
              <w:bottom w:val="nil"/>
              <w:right w:val="nil"/>
            </w:tcBorders>
            <w:shd w:val="clear" w:color="auto" w:fill="auto"/>
            <w:noWrap/>
            <w:vAlign w:val="center"/>
          </w:tcPr>
          <w:tbl>
            <w:tblPr>
              <w:tblStyle w:val="6"/>
              <w:tblW w:w="0" w:type="auto"/>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
              <w:gridCol w:w="643"/>
              <w:gridCol w:w="780"/>
              <w:gridCol w:w="240"/>
              <w:gridCol w:w="3792"/>
              <w:gridCol w:w="1051"/>
              <w:gridCol w:w="1073"/>
              <w:gridCol w:w="972"/>
              <w:gridCol w:w="852"/>
              <w:gridCol w:w="888"/>
              <w:gridCol w:w="1111"/>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13692" w:type="dxa"/>
                  <w:gridSpan w:val="1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w:t>
                  </w:r>
                  <w:r>
                    <w:rPr>
                      <w:rFonts w:hint="eastAsia" w:ascii="仿宋" w:hAnsi="仿宋" w:eastAsia="仿宋" w:cs="仿宋"/>
                      <w:color w:val="000000" w:themeColor="text1"/>
                      <w:sz w:val="24"/>
                      <w:highlight w:val="none"/>
                      <w:lang w:val="en-US" w:eastAsia="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：收入决算表</w:t>
                  </w:r>
                </w:p>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1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9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5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7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31"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25"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部门：环江毛南族自治县大才乡中心幼儿园</w:t>
                  </w:r>
                </w:p>
              </w:tc>
              <w:tc>
                <w:tcPr>
                  <w:tcW w:w="105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7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31"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0" w:type="dxa"/>
                <w:trHeight w:val="300" w:hRule="atLeast"/>
              </w:trPr>
              <w:tc>
                <w:tcPr>
                  <w:tcW w:w="5455"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0" w:type="dxa"/>
                <w:trHeight w:val="300" w:hRule="atLeast"/>
              </w:trPr>
              <w:tc>
                <w:tcPr>
                  <w:tcW w:w="1663"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92"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0" w:type="dxa"/>
                <w:trHeight w:val="300" w:hRule="atLeast"/>
              </w:trPr>
              <w:tc>
                <w:tcPr>
                  <w:tcW w:w="166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92"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0" w:type="dxa"/>
                <w:trHeight w:val="300" w:hRule="atLeast"/>
              </w:trPr>
              <w:tc>
                <w:tcPr>
                  <w:tcW w:w="166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92"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0" w:type="dxa"/>
                <w:trHeight w:val="405" w:hRule="atLeast"/>
              </w:trPr>
              <w:tc>
                <w:tcPr>
                  <w:tcW w:w="5455"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5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0" w:type="dxa"/>
                <w:trHeight w:val="405" w:hRule="atLeast"/>
              </w:trPr>
              <w:tc>
                <w:tcPr>
                  <w:tcW w:w="5455"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160.34</w:t>
                  </w: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160.34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0" w:type="dxa"/>
                <w:trHeight w:val="300" w:hRule="atLeast"/>
              </w:trPr>
              <w:tc>
                <w:tcPr>
                  <w:tcW w:w="166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0" w:type="dxa"/>
                <w:trHeight w:val="300" w:hRule="atLeast"/>
              </w:trPr>
              <w:tc>
                <w:tcPr>
                  <w:tcW w:w="166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141.98</w:t>
                  </w: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300" w:hRule="atLeast"/>
              </w:trPr>
              <w:tc>
                <w:tcPr>
                  <w:tcW w:w="166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300" w:hRule="atLeast"/>
              </w:trPr>
              <w:tc>
                <w:tcPr>
                  <w:tcW w:w="166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300" w:hRule="atLeast"/>
              </w:trPr>
              <w:tc>
                <w:tcPr>
                  <w:tcW w:w="166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注：本表反映部门本年度取得的各项收入情况。</w:t>
            </w:r>
          </w:p>
        </w:tc>
      </w:tr>
    </w:tbl>
    <w:p>
      <w:pPr>
        <w:jc w:val="center"/>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center"/>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表三：支出决算表</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1"/>
        <w:gridCol w:w="240"/>
        <w:gridCol w:w="240"/>
        <w:gridCol w:w="3804"/>
        <w:gridCol w:w="1764"/>
        <w:gridCol w:w="1620"/>
        <w:gridCol w:w="1404"/>
        <w:gridCol w:w="912"/>
        <w:gridCol w:w="975"/>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000" w:type="pct"/>
            <w:gridSpan w:val="10"/>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0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4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2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7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9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16" w:type="pct"/>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部门：环江毛南族自治县大才乡中心幼儿园</w:t>
            </w:r>
          </w:p>
        </w:tc>
        <w:tc>
          <w:tcPr>
            <w:tcW w:w="62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7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9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3"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160.34</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79.27</w:t>
            </w:r>
          </w:p>
        </w:tc>
        <w:tc>
          <w:tcPr>
            <w:tcW w:w="4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81.06</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1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141.98</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60.91</w:t>
            </w:r>
          </w:p>
        </w:tc>
        <w:tc>
          <w:tcPr>
            <w:tcW w:w="4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4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4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4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left"/>
        <w:rPr>
          <w:rFonts w:hint="eastAsia"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center"/>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表四：财政拨款收入支出决算总表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公开04表</w:t>
            </w:r>
          </w:p>
        </w:tc>
      </w:tr>
      <w:tr>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default" w:ascii="宋体" w:hAnsi="宋体" w:eastAsia="宋体" w:cs="宋体"/>
                <w:color w:val="000000" w:themeColor="text1"/>
                <w:sz w:val="20"/>
                <w:highlight w:val="none"/>
                <w:u w:color="auto"/>
                <w14:textFill>
                  <w14:solidFill>
                    <w14:schemeClr w14:val="tx1"/>
                  </w14:solidFill>
                </w14:textFill>
              </w:rPr>
              <w:t>环江毛南族自治县大才乡中心幼儿园</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141.98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141.98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7.26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7.26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5.19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5.19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4.9</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4.9</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160.34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5000" w:type="pct"/>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p>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0"/>
                <w:szCs w:val="20"/>
                <w:highlight w:val="none"/>
                <w14:textFill>
                  <w14:solidFill>
                    <w14:schemeClr w14:val="tx1"/>
                  </w14:solidFill>
                </w14:textFill>
              </w:rPr>
            </w:pPr>
          </w:p>
        </w:tc>
      </w:tr>
    </w:tbl>
    <w:p>
      <w:pPr>
        <w:jc w:val="left"/>
        <w:rPr>
          <w:rFonts w:hint="eastAsia" w:ascii="仿宋" w:hAnsi="仿宋" w:eastAsia="仿宋" w:cs="仿宋"/>
          <w:color w:val="000000" w:themeColor="text1"/>
          <w:sz w:val="24"/>
          <w:highlight w:val="none"/>
          <w14:textFill>
            <w14:solidFill>
              <w14:schemeClr w14:val="tx1"/>
            </w14:solidFill>
          </w14:textFill>
        </w:rPr>
      </w:pPr>
    </w:p>
    <w:p>
      <w:pPr>
        <w:jc w:val="left"/>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表五：一般公共预算财政拨款支出决算表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2"/>
        <w:gridCol w:w="240"/>
        <w:gridCol w:w="240"/>
        <w:gridCol w:w="3843"/>
        <w:gridCol w:w="3564"/>
        <w:gridCol w:w="2484"/>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000" w:type="pct"/>
            <w:gridSpan w:val="7"/>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6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5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7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93" w:type="pct"/>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部门：环江毛南族自治县大才乡中心幼儿园</w:t>
            </w:r>
          </w:p>
        </w:tc>
        <w:tc>
          <w:tcPr>
            <w:tcW w:w="12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7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93"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06"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7"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55"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5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7"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93"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93"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160.34</w:t>
            </w:r>
          </w:p>
        </w:tc>
        <w:tc>
          <w:tcPr>
            <w:tcW w:w="8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79.28</w:t>
            </w:r>
          </w:p>
        </w:tc>
        <w:tc>
          <w:tcPr>
            <w:tcW w:w="7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7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73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141.98</w:t>
            </w:r>
          </w:p>
        </w:tc>
        <w:tc>
          <w:tcPr>
            <w:tcW w:w="8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60.91</w:t>
            </w:r>
          </w:p>
        </w:tc>
        <w:tc>
          <w:tcPr>
            <w:tcW w:w="7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8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7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8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7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73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8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7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hint="eastAsia"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表六：一般公共预算财政拨款基本支出决算表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351"/>
        <w:gridCol w:w="1105"/>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5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0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default" w:ascii="宋体" w:hAnsi="宋体" w:eastAsia="宋体" w:cs="宋体"/>
                <w:color w:val="000000" w:themeColor="text1"/>
                <w:sz w:val="20"/>
                <w:highlight w:val="none"/>
                <w:u w:color="auto"/>
                <w14:textFill>
                  <w14:solidFill>
                    <w14:schemeClr w14:val="tx1"/>
                  </w14:solidFill>
                </w14:textFill>
              </w:rPr>
              <w:t>环江毛南族自治县大才乡中心幼儿园</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科目编码</w:t>
            </w:r>
          </w:p>
        </w:tc>
        <w:tc>
          <w:tcPr>
            <w:tcW w:w="2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1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78.26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307</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债务利息及费用支出</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27.90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30701</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国内债务付息</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6.07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30702</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国外债务付息</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16.25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资本性支出</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31001</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房屋建筑物购建</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12.18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31002</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办公设备购置</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31003</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专用设备购置</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31005</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基础设施建设</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31006</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大型修缮</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31007</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信息网络及软件购置更新</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0.36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31008</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物资储备</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31009</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土地补偿</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31010</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安置补助</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31011</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地上附着物和青苗补偿</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31012</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拆迁补偿</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31013</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公务用车购置</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31019</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其他交通工具购置</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31021</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文物和陈列品购置</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31022</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无形资产购置</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31099</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其他资本性支出</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其他支出</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39907</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国家赔偿费用支出</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39908</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对民间非营利组织和群众性自治组织补贴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39909</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经常性赠与</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39910</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资本性赠与</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39999</w:t>
            </w: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其他支出</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人员经费合计</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78.26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1.02</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注：本表反映部门本年度一般公共预算财政拨款基本支出明细情况。</w:t>
            </w:r>
          </w:p>
        </w:tc>
      </w:tr>
    </w:tbl>
    <w:p>
      <w:pPr>
        <w:jc w:val="left"/>
        <w:rPr>
          <w:rFonts w:hint="eastAsia" w:ascii="仿宋" w:hAnsi="仿宋" w:eastAsia="仿宋" w:cs="仿宋"/>
          <w:color w:val="000000" w:themeColor="text1"/>
          <w:sz w:val="24"/>
          <w:highlight w:val="none"/>
          <w14:textFill>
            <w14:solidFill>
              <w14:schemeClr w14:val="tx1"/>
            </w14:solidFill>
          </w14:textFill>
        </w:rPr>
      </w:pPr>
    </w:p>
    <w:p>
      <w:pPr>
        <w:jc w:val="left"/>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w:t>
      </w:r>
      <w:r>
        <w:rPr>
          <w:rFonts w:hint="eastAsia" w:ascii="仿宋" w:hAnsi="仿宋" w:eastAsia="仿宋" w:cs="仿宋"/>
          <w:color w:val="000000" w:themeColor="text1"/>
          <w:sz w:val="24"/>
          <w:highlight w:val="none"/>
          <w:lang w:val="en-US" w:eastAsia="zh-CN"/>
          <w14:textFill>
            <w14:solidFill>
              <w14:schemeClr w14:val="tx1"/>
            </w14:solidFill>
          </w14:textFill>
        </w:rPr>
        <w:t>七</w:t>
      </w:r>
      <w:r>
        <w:rPr>
          <w:rFonts w:hint="eastAsia" w:ascii="仿宋" w:hAnsi="仿宋" w:eastAsia="仿宋" w:cs="仿宋"/>
          <w:color w:val="000000" w:themeColor="text1"/>
          <w:sz w:val="24"/>
          <w:highlight w:val="none"/>
          <w14:textFill>
            <w14:solidFill>
              <w14:schemeClr w14:val="tx1"/>
            </w14:solidFill>
          </w14:textFill>
        </w:rPr>
        <w:t>：政府性基金预算财政拨款收入支出决算表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0"/>
                <w:szCs w:val="20"/>
                <w:highlight w:val="none"/>
                <w:lang w:bidi="ar"/>
                <w14:textFill>
                  <w14:solidFill>
                    <w14:schemeClr w14:val="tx1"/>
                  </w14:solidFill>
                </w14:textFill>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default" w:ascii="宋体" w:hAnsi="宋体" w:eastAsia="宋体" w:cs="宋体"/>
                <w:color w:val="000000" w:themeColor="text1"/>
                <w:sz w:val="20"/>
                <w:highlight w:val="none"/>
                <w:u w:color="auto"/>
                <w14:textFill>
                  <w14:solidFill>
                    <w14:schemeClr w14:val="tx1"/>
                  </w14:solidFill>
                </w14:textFill>
              </w:rPr>
              <w:t>环江毛南族自治县大才乡中心幼儿园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410"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本部门</w:t>
            </w: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2023</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年度没有政府性基金预算财政拨款收入，也没有政府性基金预算财政拨款安排的支出，故本表无数据。</w:t>
            </w:r>
          </w:p>
        </w:tc>
      </w:tr>
    </w:tbl>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w:t>
      </w:r>
      <w:r>
        <w:rPr>
          <w:rFonts w:hint="eastAsia" w:ascii="仿宋" w:hAnsi="仿宋" w:eastAsia="仿宋" w:cs="仿宋"/>
          <w:color w:val="000000" w:themeColor="text1"/>
          <w:sz w:val="24"/>
          <w:highlight w:val="none"/>
          <w:lang w:val="en-US" w:eastAsia="zh-CN"/>
          <w14:textFill>
            <w14:solidFill>
              <w14:schemeClr w14:val="tx1"/>
            </w14:solidFill>
          </w14:textFill>
        </w:rPr>
        <w:t>八</w:t>
      </w:r>
      <w:r>
        <w:rPr>
          <w:rFonts w:hint="eastAsia" w:ascii="仿宋" w:hAnsi="仿宋" w:eastAsia="仿宋" w:cs="仿宋"/>
          <w:color w:val="000000" w:themeColor="text1"/>
          <w:sz w:val="24"/>
          <w:highlight w:val="none"/>
          <w14:textFill>
            <w14:solidFill>
              <w14:schemeClr w14:val="tx1"/>
            </w14:solidFill>
          </w14:textFill>
        </w:rPr>
        <w:t>：国有资本经营预算财政拨款支出决算表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0"/>
                <w:szCs w:val="20"/>
                <w:highlight w:val="none"/>
                <w:lang w:bidi="ar"/>
                <w14:textFill>
                  <w14:solidFill>
                    <w14:schemeClr w14:val="tx1"/>
                  </w14:solidFill>
                </w14:textFill>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default" w:ascii="宋体" w:hAnsi="宋体" w:eastAsia="宋体" w:cs="宋体"/>
                <w:color w:val="000000" w:themeColor="text1"/>
                <w:sz w:val="20"/>
                <w:highlight w:val="none"/>
                <w:u w:color="auto"/>
                <w14:textFill>
                  <w14:solidFill>
                    <w14:schemeClr w14:val="tx1"/>
                  </w14:solidFill>
                </w14:textFill>
              </w:rPr>
              <w:t>环江毛南族自治县大才乡中心幼儿园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本部门</w:t>
      </w: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2023</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年度没有国有资本经营预算财政拨款收入，也没有国有资本经营预算财政拨款安排的支出，故本表无数据。</w:t>
      </w:r>
      <w:r>
        <w:rPr>
          <w:rFonts w:hint="eastAsia" w:ascii="宋体" w:hAnsi="宋体" w:eastAsia="宋体" w:cs="宋体"/>
          <w:color w:val="000000" w:themeColor="text1"/>
          <w:kern w:val="0"/>
          <w:sz w:val="22"/>
          <w:szCs w:val="22"/>
          <w:highlight w:val="none"/>
          <w:lang w:bidi="ar"/>
          <w14:textFill>
            <w14:solidFill>
              <w14:schemeClr w14:val="tx1"/>
            </w14:solidFill>
          </w14:textFill>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表九：</w:t>
            </w:r>
            <w:r>
              <w:rPr>
                <w:rFonts w:hint="eastAsia" w:ascii="仿宋" w:hAnsi="仿宋" w:eastAsia="仿宋" w:cs="仿宋"/>
                <w:color w:val="000000" w:themeColor="text1"/>
                <w:sz w:val="24"/>
                <w:highlight w:val="none"/>
                <w14:textFill>
                  <w14:solidFill>
                    <w14:schemeClr w14:val="tx1"/>
                  </w14:solidFill>
                </w14:textFill>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30"/>
                <w:szCs w:val="30"/>
                <w:highlight w:val="none"/>
                <w:lang w:bidi="ar"/>
                <w14:textFill>
                  <w14:solidFill>
                    <w14:schemeClr w14:val="tx1"/>
                  </w14:solidFill>
                </w14:textFill>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0"/>
                <w:szCs w:val="20"/>
                <w:highlight w:val="none"/>
                <w:lang w:bidi="ar"/>
                <w14:textFill>
                  <w14:solidFill>
                    <w14:schemeClr w14:val="tx1"/>
                  </w14:solidFill>
                </w14:textFill>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default" w:ascii="宋体" w:hAnsi="宋体" w:eastAsia="宋体" w:cs="宋体"/>
                <w:color w:val="000000" w:themeColor="text1"/>
                <w:sz w:val="20"/>
                <w:highlight w:val="none"/>
                <w:u w:color="auto"/>
                <w14:textFill>
                  <w14:solidFill>
                    <w14:schemeClr w14:val="tx1"/>
                  </w14:solidFill>
                </w14:textFill>
              </w:rPr>
              <w:t>环江毛南族自治县大才乡中心幼儿园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0.00</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本部门</w:t>
            </w: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2023</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年度没有财政拨款“三公”经费收入，也没有财政拨款“三公”经费安排的支出，故本表无数据。</w:t>
            </w:r>
          </w:p>
        </w:tc>
      </w:tr>
    </w:tbl>
    <w:p>
      <w:pPr>
        <w:ind w:firstLine="420" w:firstLineChars="0"/>
        <w:jc w:val="left"/>
        <w:rPr>
          <w:rFonts w:ascii="仿宋" w:hAnsi="仿宋" w:eastAsia="仿宋" w:cs="仿宋"/>
          <w:color w:val="000000" w:themeColor="text1"/>
          <w:sz w:val="24"/>
          <w:highlight w:val="none"/>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color w:val="000000" w:themeColor="text1"/>
          <w:sz w:val="24"/>
          <w:highlight w:val="none"/>
          <w14:textFill>
            <w14:solidFill>
              <w14:schemeClr w14:val="tx1"/>
            </w14:solidFill>
          </w14:textFill>
        </w:rPr>
      </w:pPr>
    </w:p>
    <w:p>
      <w:pPr>
        <w:jc w:val="center"/>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第三部分：</w:t>
      </w:r>
      <w:r>
        <w:rPr>
          <w:rFonts w:ascii="黑体" w:hAnsi="黑体" w:eastAsia="黑体" w:cs="黑体"/>
          <w:color w:val="000000" w:themeColor="text1"/>
          <w:sz w:val="32"/>
          <w:highlight w:val="none"/>
          <w:u w:color="auto"/>
          <w14:textFill>
            <w14:solidFill>
              <w14:schemeClr w14:val="tx1"/>
            </w14:solidFill>
          </w14:textFill>
        </w:rPr>
        <w:t>环江毛南族自治县大才乡中心幼儿园</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年度部门决算情况说明</w:t>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160.34</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160.34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71.65</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80.79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160.34</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71.65</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80.79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2023年新增公招教师</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%，主要原因是本部门202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年度没有政府性基金预算财政拨款收入，也没有政府性基金预算财政拨款安排的支出。</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u w:val="none"/>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u w:val="none"/>
        </w:rPr>
        <w:t>本部门202</w:t>
      </w:r>
      <w:r>
        <w:rPr>
          <w:rFonts w:hint="eastAsia" w:ascii="仿宋_GB2312" w:hAnsi="黑体" w:eastAsia="仿宋_GB2312" w:cs="仿宋_GB2312"/>
          <w:kern w:val="0"/>
          <w:sz w:val="32"/>
          <w:szCs w:val="32"/>
          <w:u w:val="none"/>
          <w:lang w:val="en-US" w:eastAsia="zh-CN"/>
        </w:rPr>
        <w:t>3</w:t>
      </w:r>
      <w:r>
        <w:rPr>
          <w:rFonts w:hint="eastAsia" w:ascii="仿宋_GB2312" w:hAnsi="黑体" w:eastAsia="仿宋_GB2312" w:cs="仿宋_GB2312"/>
          <w:kern w:val="0"/>
          <w:sz w:val="32"/>
          <w:szCs w:val="32"/>
          <w:u w:val="none"/>
        </w:rPr>
        <w:t>年度没有国有资本经营预算财政拨款收入，也没有国有资本经营预算财政拨款安排的支出。</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%，主要原因是本单位没有事业收入</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%，主要原因是本单位没有经营性收入。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%，主要原因是本单位没有其他收入。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%，主要原因是本单位没有非财政拨款结余。</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%，主要原因是部分项目已在本年执行完毕，无结转至下年继续执行。</w:t>
      </w:r>
    </w:p>
    <w:p>
      <w:pPr>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 w:hAnsi="仿宋" w:eastAsia="仿宋" w:cs="仿宋"/>
          <w:color w:val="000000" w:themeColor="text1"/>
          <w:sz w:val="32"/>
          <w:szCs w:val="32"/>
          <w:highlight w:val="none"/>
          <w14:textFill>
            <w14:solidFill>
              <w14:schemeClr w14:val="tx1"/>
            </w14:solidFill>
          </w14:textFill>
        </w:rPr>
        <w:t>（二）</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160.34</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160.34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71.65</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80.79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1.02</w:t>
      </w:r>
      <w:r>
        <w:rPr>
          <w:rFonts w:hint="eastAsia" w:ascii="仿宋_GB2312" w:eastAsia="仿宋_GB2312" w:cs="仿宋_GB2312"/>
          <w:kern w:val="0"/>
          <w:sz w:val="32"/>
          <w:szCs w:val="32"/>
        </w:rPr>
        <w:t>万元：主要用于其他群众团体事务支出</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0.67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191.43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2023年新增公招教师，教师总人数增多</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教育支出（205 类）</w:t>
      </w:r>
      <w:r>
        <w:rPr>
          <w:rFonts w:hint="eastAsia" w:ascii="仿宋_GB2312" w:eastAsia="仿宋_GB2312" w:cs="仿宋_GB2312"/>
          <w:kern w:val="0"/>
          <w:sz w:val="32"/>
          <w:szCs w:val="32"/>
          <w:lang w:val="en-US" w:eastAsia="zh-CN"/>
        </w:rPr>
        <w:t>141.98</w:t>
      </w:r>
      <w:r>
        <w:rPr>
          <w:rFonts w:hint="eastAsia" w:ascii="仿宋_GB2312" w:eastAsia="仿宋_GB2312" w:cs="仿宋_GB2312"/>
          <w:kern w:val="0"/>
          <w:sz w:val="32"/>
          <w:szCs w:val="32"/>
        </w:rPr>
        <w:t>万元：主要用于：人员基本工资，商品服务支出。较202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val="en-US" w:eastAsia="zh-CN"/>
        </w:rPr>
        <w:t>增加63.6</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增加81.14</w:t>
      </w:r>
      <w:r>
        <w:rPr>
          <w:rFonts w:hint="eastAsia" w:ascii="仿宋_GB2312"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2023年新增公招教师，教师总人数增多。</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.社会保障和就业支出（208 类）</w:t>
      </w:r>
      <w:r>
        <w:rPr>
          <w:rFonts w:hint="eastAsia" w:ascii="仿宋_GB2312" w:eastAsia="仿宋_GB2312" w:cs="仿宋_GB2312"/>
          <w:kern w:val="0"/>
          <w:sz w:val="32"/>
          <w:szCs w:val="32"/>
          <w:lang w:val="en-US" w:eastAsia="zh-CN"/>
        </w:rPr>
        <w:t>7.26</w:t>
      </w:r>
      <w:r>
        <w:rPr>
          <w:rFonts w:hint="eastAsia" w:ascii="仿宋_GB2312" w:eastAsia="仿宋_GB2312" w:cs="仿宋_GB2312"/>
          <w:kern w:val="0"/>
          <w:sz w:val="32"/>
          <w:szCs w:val="32"/>
        </w:rPr>
        <w:t>万元：主要用于：单位基本社会保险缴费。较202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年度决算数增加</w:t>
      </w:r>
      <w:r>
        <w:rPr>
          <w:rFonts w:hint="eastAsia" w:ascii="仿宋_GB2312" w:eastAsia="仿宋_GB2312" w:cs="仿宋_GB2312"/>
          <w:kern w:val="0"/>
          <w:sz w:val="32"/>
          <w:szCs w:val="32"/>
          <w:lang w:val="en-US" w:eastAsia="zh-CN"/>
        </w:rPr>
        <w:t>3.79</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109.22</w:t>
      </w:r>
      <w:r>
        <w:rPr>
          <w:rFonts w:hint="eastAsia" w:ascii="仿宋_GB2312" w:eastAsia="仿宋_GB2312" w:cs="仿宋_GB2312"/>
          <w:kern w:val="0"/>
          <w:sz w:val="32"/>
          <w:szCs w:val="32"/>
        </w:rPr>
        <w:t>%，主要原因是：202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年新增</w:t>
      </w:r>
      <w:r>
        <w:rPr>
          <w:rFonts w:hint="eastAsia" w:ascii="仿宋_GB2312" w:eastAsia="仿宋_GB2312" w:cs="仿宋_GB2312"/>
          <w:kern w:val="0"/>
          <w:sz w:val="32"/>
          <w:szCs w:val="32"/>
          <w:lang w:val="en-US" w:eastAsia="zh-CN"/>
        </w:rPr>
        <w:t>公招</w:t>
      </w:r>
      <w:r>
        <w:rPr>
          <w:rFonts w:hint="eastAsia" w:ascii="仿宋_GB2312" w:eastAsia="仿宋_GB2312" w:cs="仿宋_GB2312"/>
          <w:kern w:val="0"/>
          <w:sz w:val="32"/>
          <w:szCs w:val="32"/>
        </w:rPr>
        <w:t>教师。</w:t>
      </w:r>
    </w:p>
    <w:p>
      <w:pPr>
        <w:keepNext w:val="0"/>
        <w:keepLines w:val="0"/>
        <w:widowControl w:val="0"/>
        <w:suppressLineNumbers w:val="0"/>
        <w:shd w:val="clear" w:color="auto" w:fill="auto"/>
        <w:spacing w:before="0" w:beforeAutospacing="0" w:after="0" w:afterAutospacing="0"/>
        <w:ind w:left="0" w:right="0" w:firstLine="640" w:firstLineChars="200"/>
        <w:jc w:val="left"/>
        <w:rPr>
          <w:rFonts w:hint="eastAsia" w:ascii="仿宋" w:hAnsi="仿宋" w:eastAsia="仿宋" w:cs="仿宋"/>
          <w:color w:val="000000"/>
          <w:kern w:val="2"/>
          <w:sz w:val="32"/>
          <w:szCs w:val="32"/>
          <w:highlight w:val="none"/>
          <w:lang w:val="en-US" w:eastAsia="zh-CN" w:bidi="ar"/>
        </w:rPr>
      </w:pPr>
      <w:r>
        <w:rPr>
          <w:rFonts w:hint="eastAsia" w:ascii="仿宋" w:hAnsi="仿宋" w:eastAsia="仿宋" w:cs="仿宋"/>
          <w:sz w:val="32"/>
          <w:szCs w:val="32"/>
          <w:highlight w:val="none"/>
        </w:rPr>
        <w:t>5</w:t>
      </w:r>
      <w:r>
        <w:rPr>
          <w:rFonts w:ascii="仿宋" w:hAnsi="仿宋" w:eastAsia="仿宋" w:cs="仿宋"/>
          <w:sz w:val="32"/>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5.19</w:t>
      </w:r>
      <w:r>
        <w:rPr>
          <w:rFonts w:hint="eastAsia" w:ascii="仿宋" w:hAnsi="仿宋" w:eastAsia="仿宋" w:cs="仿宋"/>
          <w:sz w:val="32"/>
          <w:szCs w:val="32"/>
          <w:highlight w:val="none"/>
        </w:rPr>
        <w:t>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住房公积金缴费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2.73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110.98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kern w:val="2"/>
          <w:sz w:val="32"/>
          <w:szCs w:val="32"/>
          <w:highlight w:val="none"/>
          <w:lang w:val="en-US" w:eastAsia="zh-CN" w:bidi="ar"/>
        </w:rPr>
        <w:t>主要原因是：基数有调增及新增教师。</w:t>
      </w:r>
    </w:p>
    <w:p>
      <w:pPr>
        <w:autoSpaceDE/>
        <w:autoSpaceDN/>
        <w:adjustRightInd/>
        <w:spacing w:line="240" w:lineRule="auto"/>
        <w:ind w:firstLine="640" w:firstLineChars="200"/>
        <w:jc w:val="left"/>
        <w:rPr>
          <w:rFonts w:hint="eastAsia" w:ascii="仿宋_GB2312" w:eastAsia="仿宋_GB2312" w:cs="仿宋_GB2312"/>
          <w:kern w:val="0"/>
          <w:sz w:val="32"/>
          <w:szCs w:val="32"/>
        </w:rPr>
      </w:pPr>
      <w:r>
        <w:rPr>
          <w:rFonts w:hint="eastAsia" w:ascii="仿宋" w:hAnsi="仿宋" w:eastAsia="仿宋" w:cs="仿宋"/>
          <w:color w:val="000000"/>
          <w:kern w:val="2"/>
          <w:sz w:val="32"/>
          <w:szCs w:val="32"/>
          <w:highlight w:val="none"/>
          <w:lang w:val="en-US" w:eastAsia="zh-CN" w:bidi="ar"/>
        </w:rPr>
        <w:t>6.其他支出4.9万元：主要用于人员工资福利。较2022年度决算数增加0.88万元，增长21.89 %，主要原因是2023年度工资福利发放人员有所增加。</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.结余分配</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%，主要原因是无按规定提取的专用结余、缴纳所得税和转入非财政拨款结余额。</w:t>
      </w:r>
    </w:p>
    <w:p>
      <w:pPr>
        <w:autoSpaceDE w:val="0"/>
        <w:autoSpaceDN w:val="0"/>
        <w:adjustRightInd w:val="0"/>
        <w:spacing w:line="560" w:lineRule="exact"/>
        <w:ind w:firstLine="627" w:firstLineChars="196"/>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_GB2312" w:eastAsia="仿宋_GB2312"/>
          <w:bCs/>
          <w:kern w:val="0"/>
          <w:sz w:val="32"/>
          <w:szCs w:val="32"/>
          <w:lang w:val="en-US" w:eastAsia="zh-CN"/>
        </w:rPr>
        <w:t>8</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kern w:val="2"/>
          <w:sz w:val="32"/>
          <w:szCs w:val="32"/>
          <w:highlight w:val="none"/>
          <w:lang w:val="en-US" w:eastAsia="zh-CN" w:bidi="ar"/>
        </w:rPr>
        <w:t>2023年按年度预算安排按原计划实施，无延迟继续使用的资金</w:t>
      </w:r>
      <w:r>
        <w:rPr>
          <w:rFonts w:hint="eastAsia" w:ascii="仿宋_GB2312" w:hAnsi="黑体" w:eastAsia="仿宋_GB2312" w:cs="仿宋_GB2312"/>
          <w:kern w:val="0"/>
          <w:sz w:val="32"/>
          <w:szCs w:val="32"/>
        </w:rPr>
        <w:t>。</w:t>
      </w:r>
    </w:p>
    <w:p>
      <w:pPr>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 xml:space="preserve"> 年度</w:t>
      </w:r>
      <w:bookmarkStart w:id="1" w:name="OLE_LINK1"/>
      <w:r>
        <w:rPr>
          <w:rFonts w:hint="eastAsia" w:ascii="黑体" w:hAnsi="黑体" w:eastAsia="黑体" w:cs="黑体"/>
          <w:color w:val="000000" w:themeColor="text1"/>
          <w:sz w:val="32"/>
          <w:szCs w:val="32"/>
          <w:highlight w:val="none"/>
          <w14:textFill>
            <w14:solidFill>
              <w14:schemeClr w14:val="tx1"/>
            </w14:solidFill>
          </w14:textFill>
        </w:rPr>
        <w:t>一般公共预算财政拨款支出决算情况</w:t>
      </w:r>
      <w:bookmarkEnd w:id="1"/>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环江毛南族自治县大才乡中心幼儿园</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年度一般公共预算财政拨款支出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160.34</w:t>
      </w:r>
      <w:r>
        <w:rPr>
          <w:rFonts w:hint="eastAsia" w:ascii="仿宋" w:hAnsi="仿宋" w:eastAsia="仿宋" w:cs="仿宋"/>
          <w:color w:val="000000" w:themeColor="text1"/>
          <w:sz w:val="32"/>
          <w:szCs w:val="32"/>
          <w:highlight w:val="none"/>
          <w14:textFill>
            <w14:solidFill>
              <w14:schemeClr w14:val="tx1"/>
            </w14:solidFill>
          </w14:textFill>
        </w:rPr>
        <w:t>万元，较</w:t>
      </w:r>
      <w:r>
        <w:rPr>
          <w:rFonts w:hint="eastAsia" w:ascii="仿宋" w:hAnsi="仿宋" w:eastAsia="仿宋" w:cs="仿宋"/>
          <w:color w:val="000000" w:themeColor="text1"/>
          <w:sz w:val="32"/>
          <w:szCs w:val="32"/>
          <w:highlight w:val="none"/>
          <w:lang w:eastAsia="zh-CN"/>
          <w14:textFill>
            <w14:solidFill>
              <w14:schemeClr w14:val="tx1"/>
            </w14:solidFill>
          </w14:textFill>
        </w:rPr>
        <w:t>2022</w:t>
      </w:r>
      <w:r>
        <w:rPr>
          <w:rFonts w:hint="eastAsia" w:ascii="仿宋" w:hAnsi="仿宋" w:eastAsia="仿宋" w:cs="仿宋"/>
          <w:color w:val="000000" w:themeColor="text1"/>
          <w:sz w:val="32"/>
          <w:szCs w:val="32"/>
          <w:highlight w:val="none"/>
          <w14:textFill>
            <w14:solidFill>
              <w14:schemeClr w14:val="tx1"/>
            </w14:solidFill>
          </w14:textFill>
        </w:rPr>
        <w:t>年度决算数</w:t>
      </w:r>
      <w:r>
        <w:rPr>
          <w:rFonts w:hint="eastAsia" w:ascii="仿宋" w:hAnsi="仿宋" w:eastAsia="仿宋" w:cs="仿宋"/>
          <w:color w:val="000000" w:themeColor="text1"/>
          <w:sz w:val="32"/>
          <w:highlight w:val="none"/>
          <w:u w:color="auto"/>
          <w:lang w:val="en-US" w:eastAsia="zh-CN"/>
          <w14:textFill>
            <w14:solidFill>
              <w14:schemeClr w14:val="tx1"/>
            </w14:solidFill>
          </w14:textFill>
        </w:rPr>
        <w:t>增加71.65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highlight w:val="none"/>
          <w:u w:color="auto"/>
          <w:lang w:val="en-US" w:eastAsia="zh-CN"/>
          <w14:textFill>
            <w14:solidFill>
              <w14:schemeClr w14:val="tx1"/>
            </w14:solidFill>
          </w14:textFill>
        </w:rPr>
        <w:t>增加80.79</w:t>
      </w:r>
      <w:r>
        <w:rPr>
          <w:rFonts w:ascii="仿宋" w:hAnsi="仿宋" w:eastAsia="仿宋" w:cs="仿宋"/>
          <w:color w:val="000000" w:themeColor="text1"/>
          <w:sz w:val="32"/>
          <w:highlight w:val="none"/>
          <w:u w:color="auto"/>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。其中：基本支出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79.28</w:t>
      </w:r>
      <w:r>
        <w:rPr>
          <w:rFonts w:hint="eastAsia" w:ascii="仿宋" w:hAnsi="仿宋" w:eastAsia="仿宋" w:cs="仿宋"/>
          <w:color w:val="000000" w:themeColor="text1"/>
          <w:sz w:val="32"/>
          <w:szCs w:val="32"/>
          <w:highlight w:val="none"/>
          <w14:textFill>
            <w14:solidFill>
              <w14:schemeClr w14:val="tx1"/>
            </w14:solidFill>
          </w14:textFill>
        </w:rPr>
        <w:t>万元，项目支出</w:t>
      </w:r>
      <w:r>
        <w:rPr>
          <w:rFonts w:hint="eastAsia" w:ascii="仿宋" w:hAnsi="仿宋" w:eastAsia="仿宋" w:cs="仿宋"/>
          <w:color w:val="000000" w:themeColor="text1"/>
          <w:sz w:val="32"/>
          <w:highlight w:val="none"/>
          <w:u w:color="auto"/>
          <w:lang w:val="en-US" w:eastAsia="zh-CN"/>
          <w14:textFill>
            <w14:solidFill>
              <w14:schemeClr w14:val="tx1"/>
            </w14:solidFill>
          </w14:textFill>
        </w:rPr>
        <w:t>81.06</w:t>
      </w:r>
      <w:r>
        <w:rPr>
          <w:rFonts w:hint="eastAsia" w:ascii="仿宋" w:hAnsi="仿宋" w:eastAsia="仿宋" w:cs="仿宋"/>
          <w:color w:val="000000" w:themeColor="text1"/>
          <w:sz w:val="32"/>
          <w:szCs w:val="32"/>
          <w:highlight w:val="none"/>
          <w14:textFill>
            <w14:solidFill>
              <w14:schemeClr w14:val="tx1"/>
            </w14:solidFill>
          </w14:textFill>
        </w:rPr>
        <w:t>万元。</w:t>
      </w:r>
    </w:p>
    <w:p>
      <w:pPr>
        <w:ind w:firstLine="640" w:firstLineChars="200"/>
        <w:jc w:val="lef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环江毛南族自治县大才乡中心幼儿园</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 xml:space="preserve"> 年度一般公共预算财政拨款支出年初预算</w:t>
      </w:r>
      <w:r>
        <w:rPr>
          <w:rFonts w:hint="eastAsia" w:ascii="仿宋" w:hAnsi="仿宋" w:eastAsia="仿宋" w:cs="仿宋"/>
          <w:color w:val="auto"/>
          <w:sz w:val="32"/>
          <w:szCs w:val="32"/>
          <w:highlight w:val="none"/>
        </w:rPr>
        <w:t>为127.26万元</w:t>
      </w:r>
      <w:r>
        <w:rPr>
          <w:rFonts w:hint="eastAsia" w:ascii="仿宋" w:hAnsi="仿宋" w:eastAsia="仿宋" w:cs="仿宋"/>
          <w:color w:val="000000" w:themeColor="text1"/>
          <w:sz w:val="32"/>
          <w:szCs w:val="32"/>
          <w:highlight w:val="none"/>
          <w14:textFill>
            <w14:solidFill>
              <w14:schemeClr w14:val="tx1"/>
            </w14:solidFill>
          </w14:textFill>
        </w:rPr>
        <w:t>，支出决算为160.34万元，完成年初预算的</w:t>
      </w:r>
      <w:r>
        <w:rPr>
          <w:rFonts w:hint="eastAsia" w:ascii="仿宋" w:hAnsi="仿宋" w:eastAsia="仿宋" w:cs="仿宋"/>
          <w:color w:val="000000" w:themeColor="text1"/>
          <w:sz w:val="32"/>
          <w:highlight w:val="none"/>
          <w:u w:color="auto"/>
          <w:lang w:val="en-US" w:eastAsia="zh-CN"/>
          <w14:textFill>
            <w14:solidFill>
              <w14:schemeClr w14:val="tx1"/>
            </w14:solidFill>
          </w14:textFill>
        </w:rPr>
        <w:t>126</w:t>
      </w:r>
      <w:r>
        <w:rPr>
          <w:rFonts w:ascii="仿宋" w:hAnsi="仿宋" w:eastAsia="仿宋" w:cs="仿宋"/>
          <w:color w:val="000000" w:themeColor="text1"/>
          <w:sz w:val="32"/>
          <w:highlight w:val="none"/>
          <w:u w:color="auto"/>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000000" w:themeColor="text1"/>
          <w:highlight w:val="none"/>
          <w:lang w:val="en-US" w:eastAsia="zh-CN"/>
          <w14:textFill>
            <w14:solidFill>
              <w14:schemeClr w14:val="tx1"/>
            </w14:solidFill>
          </w14:textFill>
        </w:rPr>
      </w:pPr>
      <w:bookmarkStart w:id="2" w:name="OLE_LINK2"/>
      <w:bookmarkEnd w:id="2"/>
      <w:r>
        <w:rPr>
          <w:rFonts w:hint="eastAsia" w:ascii="仿宋" w:hAnsi="仿宋" w:eastAsia="仿宋"/>
          <w:color w:val="000000" w:themeColor="text1"/>
          <w:sz w:val="32"/>
          <w:szCs w:val="32"/>
          <w:highlight w:val="none"/>
          <w14:textFill>
            <w14:solidFill>
              <w14:schemeClr w14:val="tx1"/>
            </w14:solidFill>
          </w14:textFill>
        </w:rPr>
        <w:t>一般公共服务支出</w:t>
      </w:r>
      <w:r>
        <w:rPr>
          <w:rFonts w:ascii="仿宋" w:hAnsi="仿宋" w:eastAsia="仿宋"/>
          <w:color w:val="000000" w:themeColor="text1"/>
          <w:sz w:val="32"/>
          <w:highlight w:val="none"/>
          <w:u w:color="auto"/>
          <w14:textFill>
            <w14:solidFill>
              <w14:schemeClr w14:val="tx1"/>
            </w14:solidFill>
          </w14:textFill>
        </w:rPr>
        <w:t>（201</w:t>
      </w:r>
      <w:r>
        <w:rPr>
          <w:rFonts w:hint="eastAsia" w:ascii="仿宋" w:hAnsi="仿宋" w:eastAsia="仿宋"/>
          <w:color w:val="000000" w:themeColor="text1"/>
          <w:sz w:val="32"/>
          <w:szCs w:val="32"/>
          <w:highlight w:val="none"/>
          <w14:textFill>
            <w14:solidFill>
              <w14:schemeClr w14:val="tx1"/>
            </w14:solidFill>
          </w14:textFill>
        </w:rPr>
        <w:t>类）年初预算为</w:t>
      </w:r>
      <w:r>
        <w:rPr>
          <w:rFonts w:hint="eastAsia" w:ascii="仿宋" w:hAnsi="仿宋" w:eastAsia="仿宋"/>
          <w:color w:val="000000" w:themeColor="text1"/>
          <w:sz w:val="32"/>
          <w:szCs w:val="32"/>
          <w:highlight w:val="none"/>
          <w:lang w:val="en-US" w:eastAsia="zh-CN"/>
          <w14:textFill>
            <w14:solidFill>
              <w14:schemeClr w14:val="tx1"/>
            </w14:solidFill>
          </w14:textFill>
        </w:rPr>
        <w:t>1.02</w:t>
      </w:r>
      <w:r>
        <w:rPr>
          <w:rFonts w:hint="eastAsia" w:ascii="仿宋" w:hAnsi="仿宋" w:eastAsia="仿宋"/>
          <w:color w:val="000000" w:themeColor="text1"/>
          <w:sz w:val="32"/>
          <w:szCs w:val="32"/>
          <w:highlight w:val="none"/>
          <w14:textFill>
            <w14:solidFill>
              <w14:schemeClr w14:val="tx1"/>
            </w14:solidFill>
          </w14:textFill>
        </w:rPr>
        <w:t>万元，支出决算为</w:t>
      </w:r>
      <w:r>
        <w:rPr>
          <w:rFonts w:hint="eastAsia" w:ascii="仿宋" w:hAnsi="仿宋" w:eastAsia="仿宋"/>
          <w:color w:val="000000" w:themeColor="text1"/>
          <w:sz w:val="32"/>
          <w:szCs w:val="32"/>
          <w:highlight w:val="none"/>
          <w:lang w:val="en-US" w:eastAsia="zh-CN"/>
          <w14:textFill>
            <w14:solidFill>
              <w14:schemeClr w14:val="tx1"/>
            </w14:solidFill>
          </w14:textFill>
        </w:rPr>
        <w:t>1.02</w:t>
      </w:r>
      <w:r>
        <w:rPr>
          <w:rFonts w:hint="eastAsia" w:ascii="仿宋" w:hAnsi="仿宋" w:eastAsia="仿宋"/>
          <w:color w:val="000000" w:themeColor="text1"/>
          <w:sz w:val="32"/>
          <w:szCs w:val="32"/>
          <w:highlight w:val="none"/>
          <w14:textFill>
            <w14:solidFill>
              <w14:schemeClr w14:val="tx1"/>
            </w14:solidFill>
          </w14:textFill>
        </w:rPr>
        <w:t>万元，完成年初预算的</w:t>
      </w:r>
      <w:r>
        <w:rPr>
          <w:rFonts w:ascii="仿宋" w:hAnsi="仿宋" w:eastAsia="仿宋"/>
          <w:color w:val="000000" w:themeColor="text1"/>
          <w:sz w:val="32"/>
          <w:szCs w:val="32"/>
          <w:highlight w:val="none"/>
          <w14:textFill>
            <w14:solidFill>
              <w14:schemeClr w14:val="tx1"/>
            </w14:solidFill>
          </w14:textFill>
        </w:rPr>
        <w:t>100.00%</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没有差异，已按预算安排执行。</w:t>
      </w:r>
    </w:p>
    <w:p>
      <w:pPr>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olor w:val="000000" w:themeColor="text1"/>
          <w:sz w:val="32"/>
          <w:szCs w:val="32"/>
          <w:highlight w:val="none"/>
          <w14:textFill>
            <w14:solidFill>
              <w14:schemeClr w14:val="tx1"/>
            </w14:solidFill>
          </w14:textFill>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735"/>
        <w:gridCol w:w="1020"/>
        <w:gridCol w:w="1931"/>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年初预算数</w:t>
            </w:r>
          </w:p>
        </w:tc>
        <w:tc>
          <w:tcPr>
            <w:tcW w:w="7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决算</w:t>
            </w:r>
          </w:p>
        </w:tc>
        <w:tc>
          <w:tcPr>
            <w:tcW w:w="10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完成预算百分比</w:t>
            </w:r>
          </w:p>
        </w:tc>
        <w:tc>
          <w:tcPr>
            <w:tcW w:w="193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1.02</w:t>
            </w:r>
          </w:p>
        </w:tc>
        <w:tc>
          <w:tcPr>
            <w:tcW w:w="7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1.02</w:t>
            </w:r>
          </w:p>
        </w:tc>
        <w:tc>
          <w:tcPr>
            <w:tcW w:w="10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100.00%</w:t>
            </w:r>
          </w:p>
        </w:tc>
        <w:tc>
          <w:tcPr>
            <w:tcW w:w="193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工会活动经费支出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没有差异，已按预算安排执行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0.35</w:t>
            </w:r>
          </w:p>
        </w:tc>
        <w:tc>
          <w:tcPr>
            <w:tcW w:w="7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0.35</w:t>
            </w:r>
          </w:p>
        </w:tc>
        <w:tc>
          <w:tcPr>
            <w:tcW w:w="10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93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工会活动经费支出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没有差异，已按预算安排执行</w:t>
            </w:r>
          </w:p>
        </w:tc>
      </w:tr>
    </w:tbl>
    <w:p>
      <w:pPr>
        <w:jc w:val="left"/>
        <w:rPr>
          <w:rFonts w:hint="eastAsia" w:ascii="仿宋" w:hAnsi="仿宋" w:eastAsia="仿宋"/>
          <w:color w:val="000000" w:themeColor="text1"/>
          <w:sz w:val="32"/>
          <w:szCs w:val="32"/>
          <w:highlight w:val="none"/>
          <w14:textFill>
            <w14:solidFill>
              <w14:schemeClr w14:val="tx1"/>
            </w14:solidFill>
          </w14:textFill>
        </w:rPr>
      </w:pPr>
    </w:p>
    <w:p>
      <w:pPr>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4474845" cy="2844800"/>
            <wp:effectExtent l="4445" t="4445" r="16510" b="825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教育支出</w:t>
      </w:r>
      <w:r>
        <w:rPr>
          <w:rFonts w:ascii="仿宋" w:hAnsi="仿宋" w:eastAsia="仿宋"/>
          <w:color w:val="000000" w:themeColor="text1"/>
          <w:sz w:val="32"/>
          <w:highlight w:val="none"/>
          <w:u w:color="auto"/>
          <w14:textFill>
            <w14:solidFill>
              <w14:schemeClr w14:val="tx1"/>
            </w14:solidFill>
          </w14:textFill>
        </w:rPr>
        <w:t>（205</w:t>
      </w:r>
      <w:r>
        <w:rPr>
          <w:rFonts w:hint="eastAsia" w:ascii="仿宋" w:hAnsi="仿宋" w:eastAsia="仿宋"/>
          <w:color w:val="000000" w:themeColor="text1"/>
          <w:sz w:val="32"/>
          <w:szCs w:val="32"/>
          <w:highlight w:val="none"/>
          <w14:textFill>
            <w14:solidFill>
              <w14:schemeClr w14:val="tx1"/>
            </w14:solidFill>
          </w14:textFill>
        </w:rPr>
        <w:t>类）年初预算为</w:t>
      </w:r>
      <w:r>
        <w:rPr>
          <w:rFonts w:hint="eastAsia" w:ascii="仿宋" w:hAnsi="仿宋" w:eastAsia="仿宋"/>
          <w:color w:val="000000" w:themeColor="text1"/>
          <w:sz w:val="32"/>
          <w:szCs w:val="32"/>
          <w:highlight w:val="none"/>
          <w:lang w:val="en-US" w:eastAsia="zh-CN"/>
          <w14:textFill>
            <w14:solidFill>
              <w14:schemeClr w14:val="tx1"/>
            </w14:solidFill>
          </w14:textFill>
        </w:rPr>
        <w:t>111.47</w:t>
      </w:r>
      <w:r>
        <w:rPr>
          <w:rFonts w:hint="eastAsia" w:ascii="仿宋" w:hAnsi="仿宋" w:eastAsia="仿宋"/>
          <w:color w:val="000000" w:themeColor="text1"/>
          <w:sz w:val="32"/>
          <w:szCs w:val="32"/>
          <w:highlight w:val="none"/>
          <w14:textFill>
            <w14:solidFill>
              <w14:schemeClr w14:val="tx1"/>
            </w14:solidFill>
          </w14:textFill>
        </w:rPr>
        <w:t>万元，支出决算为</w:t>
      </w:r>
      <w:r>
        <w:rPr>
          <w:rFonts w:hint="eastAsia" w:ascii="仿宋" w:hAnsi="仿宋" w:eastAsia="仿宋"/>
          <w:color w:val="000000" w:themeColor="text1"/>
          <w:sz w:val="32"/>
          <w:szCs w:val="32"/>
          <w:highlight w:val="none"/>
          <w:lang w:val="en-US" w:eastAsia="zh-CN"/>
          <w14:textFill>
            <w14:solidFill>
              <w14:schemeClr w14:val="tx1"/>
            </w14:solidFill>
          </w14:textFill>
        </w:rPr>
        <w:t>141.98</w:t>
      </w:r>
      <w:r>
        <w:rPr>
          <w:rFonts w:hint="eastAsia" w:ascii="仿宋" w:hAnsi="仿宋" w:eastAsia="仿宋"/>
          <w:color w:val="000000" w:themeColor="text1"/>
          <w:sz w:val="32"/>
          <w:szCs w:val="32"/>
          <w:highlight w:val="none"/>
          <w14:textFill>
            <w14:solidFill>
              <w14:schemeClr w14:val="tx1"/>
            </w14:solidFill>
          </w14:textFill>
        </w:rPr>
        <w:t>万元，完成年初预算的</w:t>
      </w:r>
      <w:r>
        <w:rPr>
          <w:rFonts w:hint="eastAsia" w:ascii="仿宋" w:hAnsi="仿宋" w:eastAsia="仿宋"/>
          <w:color w:val="000000" w:themeColor="text1"/>
          <w:sz w:val="32"/>
          <w:szCs w:val="32"/>
          <w:highlight w:val="none"/>
          <w:lang w:val="en-US" w:eastAsia="zh-CN"/>
          <w14:textFill>
            <w14:solidFill>
              <w14:schemeClr w14:val="tx1"/>
            </w14:solidFill>
          </w14:textFill>
        </w:rPr>
        <w:t>127.37</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原因是：2023年8月新增公招教师，</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工资福利发放人员增加。</w:t>
      </w:r>
    </w:p>
    <w:p>
      <w:pPr>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olor w:val="000000" w:themeColor="text1"/>
          <w:sz w:val="32"/>
          <w:szCs w:val="32"/>
          <w:highlight w:val="none"/>
          <w14:textFill>
            <w14:solidFill>
              <w14:schemeClr w14:val="tx1"/>
            </w14:solidFill>
          </w14:textFill>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111.47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141.98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127.37%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auto"/>
                <w:sz w:val="18"/>
                <w:szCs w:val="18"/>
                <w:highlight w:val="none"/>
                <w:u w:val="none"/>
                <w:lang w:val="en-US" w:eastAsia="zh-CN"/>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auto"/>
                <w:sz w:val="18"/>
                <w:szCs w:val="18"/>
                <w:highlight w:val="none"/>
                <w:u w:val="none"/>
                <w:lang w:val="en-US" w:eastAsia="zh-CN"/>
              </w:rPr>
              <w:t>2023年8月新增公招教师，工资福利发放人员增加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111.47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141.98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127.37%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r>
    </w:tbl>
    <w:p>
      <w:pPr>
        <w:jc w:val="left"/>
        <w:rPr>
          <w:rFonts w:hint="eastAsia" w:ascii="仿宋" w:hAnsi="仿宋" w:eastAsia="仿宋"/>
          <w:color w:val="000000" w:themeColor="text1"/>
          <w:sz w:val="32"/>
          <w:szCs w:val="32"/>
          <w:highlight w:val="none"/>
          <w14:textFill>
            <w14:solidFill>
              <w14:schemeClr w14:val="tx1"/>
            </w14:solidFill>
          </w14:textFill>
        </w:rPr>
      </w:pPr>
    </w:p>
    <w:p>
      <w:pPr>
        <w:jc w:val="center"/>
        <w:rPr>
          <w:rFonts w:ascii="仿宋" w:hAnsi="仿宋" w:eastAsia="仿宋"/>
          <w:color w:val="000000" w:themeColor="text1"/>
          <w:sz w:val="32"/>
          <w:szCs w:val="32"/>
          <w:highlight w:val="none"/>
          <w14:textFill>
            <w14:solidFill>
              <w14:schemeClr w14:val="tx1"/>
            </w14:solidFill>
          </w14:textFill>
        </w:rPr>
      </w:pPr>
      <w:r>
        <w:drawing>
          <wp:inline distT="0" distB="0" distL="114300" distR="114300">
            <wp:extent cx="4626610" cy="382206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626610" cy="3822065"/>
                    </a:xfrm>
                    <a:prstGeom prst="rect">
                      <a:avLst/>
                    </a:prstGeom>
                    <a:noFill/>
                    <a:ln>
                      <a:noFill/>
                    </a:ln>
                  </pic:spPr>
                </pic:pic>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社会保障和就业支出</w:t>
      </w:r>
      <w:r>
        <w:rPr>
          <w:rFonts w:ascii="仿宋" w:hAnsi="仿宋" w:eastAsia="仿宋"/>
          <w:color w:val="000000" w:themeColor="text1"/>
          <w:sz w:val="32"/>
          <w:highlight w:val="none"/>
          <w:u w:color="auto"/>
          <w14:textFill>
            <w14:solidFill>
              <w14:schemeClr w14:val="tx1"/>
            </w14:solidFill>
          </w14:textFill>
        </w:rPr>
        <w:t>（208</w:t>
      </w:r>
      <w:r>
        <w:rPr>
          <w:rFonts w:hint="eastAsia" w:ascii="仿宋" w:hAnsi="仿宋" w:eastAsia="仿宋"/>
          <w:color w:val="000000" w:themeColor="text1"/>
          <w:sz w:val="32"/>
          <w:szCs w:val="32"/>
          <w:highlight w:val="none"/>
          <w14:textFill>
            <w14:solidFill>
              <w14:schemeClr w14:val="tx1"/>
            </w14:solidFill>
          </w14:textFill>
        </w:rPr>
        <w:t>类）年初预算为</w:t>
      </w:r>
      <w:r>
        <w:rPr>
          <w:rFonts w:hint="eastAsia" w:ascii="仿宋" w:hAnsi="仿宋" w:eastAsia="仿宋"/>
          <w:color w:val="000000" w:themeColor="text1"/>
          <w:sz w:val="32"/>
          <w:szCs w:val="32"/>
          <w:highlight w:val="none"/>
          <w:lang w:val="en-US" w:eastAsia="zh-CN"/>
          <w14:textFill>
            <w14:solidFill>
              <w14:schemeClr w14:val="tx1"/>
            </w14:solidFill>
          </w14:textFill>
        </w:rPr>
        <w:t>8.44</w:t>
      </w:r>
      <w:r>
        <w:rPr>
          <w:rFonts w:hint="eastAsia" w:ascii="仿宋" w:hAnsi="仿宋" w:eastAsia="仿宋"/>
          <w:color w:val="000000" w:themeColor="text1"/>
          <w:sz w:val="32"/>
          <w:szCs w:val="32"/>
          <w:highlight w:val="none"/>
          <w14:textFill>
            <w14:solidFill>
              <w14:schemeClr w14:val="tx1"/>
            </w14:solidFill>
          </w14:textFill>
        </w:rPr>
        <w:t>万元，支出决算</w:t>
      </w:r>
      <w:r>
        <w:rPr>
          <w:rFonts w:hint="eastAsia" w:ascii="仿宋" w:hAnsi="仿宋" w:eastAsia="仿宋"/>
          <w:color w:val="000000" w:themeColor="text1"/>
          <w:sz w:val="32"/>
          <w:szCs w:val="32"/>
          <w:highlight w:val="none"/>
          <w:lang w:val="en-US" w:eastAsia="zh-CN"/>
          <w14:textFill>
            <w14:solidFill>
              <w14:schemeClr w14:val="tx1"/>
            </w14:solidFill>
          </w14:textFill>
        </w:rPr>
        <w:t>7.26</w:t>
      </w:r>
      <w:r>
        <w:rPr>
          <w:rFonts w:hint="eastAsia" w:ascii="仿宋" w:hAnsi="仿宋" w:eastAsia="仿宋"/>
          <w:color w:val="000000" w:themeColor="text1"/>
          <w:sz w:val="32"/>
          <w:szCs w:val="32"/>
          <w:highlight w:val="none"/>
          <w14:textFill>
            <w14:solidFill>
              <w14:schemeClr w14:val="tx1"/>
            </w14:solidFill>
          </w14:textFill>
        </w:rPr>
        <w:t>万元，完成年初预算的</w:t>
      </w:r>
      <w:r>
        <w:rPr>
          <w:rFonts w:hint="eastAsia" w:ascii="仿宋" w:hAnsi="仿宋" w:eastAsia="仿宋"/>
          <w:color w:val="000000" w:themeColor="text1"/>
          <w:sz w:val="32"/>
          <w:szCs w:val="32"/>
          <w:highlight w:val="none"/>
          <w:lang w:val="en-US" w:eastAsia="zh-CN"/>
          <w14:textFill>
            <w14:solidFill>
              <w14:schemeClr w14:val="tx1"/>
            </w14:solidFill>
          </w14:textFill>
        </w:rPr>
        <w:t>86.02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原因是：2023年年初预算社保基数取数大于实际</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2023年社保基数。</w:t>
      </w:r>
    </w:p>
    <w:p>
      <w:pPr>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olor w:val="000000" w:themeColor="text1"/>
          <w:sz w:val="32"/>
          <w:szCs w:val="32"/>
          <w:highlight w:val="none"/>
          <w14:textFill>
            <w14:solidFill>
              <w14:schemeClr w14:val="tx1"/>
            </w14:solidFill>
          </w14:textFill>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8.44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7.26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86.02%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auto"/>
                <w:sz w:val="18"/>
                <w:szCs w:val="18"/>
                <w:highlight w:val="none"/>
                <w:u w:val="none"/>
                <w:lang w:val="en-US" w:eastAsia="zh-CN"/>
              </w:rPr>
              <w:t>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auto"/>
                <w:sz w:val="18"/>
                <w:szCs w:val="18"/>
                <w:highlight w:val="none"/>
                <w:u w:val="none"/>
                <w:lang w:val="en-US" w:eastAsia="zh-CN"/>
              </w:rPr>
              <w:t>2023年年初预算社保基数取数大于实际2023年社保基数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8.44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7.26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86.02%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r>
    </w:tbl>
    <w:p>
      <w:pPr>
        <w:jc w:val="left"/>
        <w:rPr>
          <w:rFonts w:hint="eastAsia" w:ascii="仿宋" w:hAnsi="仿宋" w:eastAsia="仿宋"/>
          <w:color w:val="000000" w:themeColor="text1"/>
          <w:sz w:val="32"/>
          <w:szCs w:val="32"/>
          <w:highlight w:val="none"/>
          <w14:textFill>
            <w14:solidFill>
              <w14:schemeClr w14:val="tx1"/>
            </w14:solidFill>
          </w14:textFill>
        </w:rPr>
      </w:pPr>
    </w:p>
    <w:p>
      <w:pPr>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住房保障支出</w:t>
      </w:r>
      <w:r>
        <w:rPr>
          <w:rFonts w:ascii="仿宋" w:hAnsi="仿宋" w:eastAsia="仿宋"/>
          <w:color w:val="000000" w:themeColor="text1"/>
          <w:sz w:val="32"/>
          <w:highlight w:val="none"/>
          <w:u w:color="auto"/>
          <w14:textFill>
            <w14:solidFill>
              <w14:schemeClr w14:val="tx1"/>
            </w14:solidFill>
          </w14:textFill>
        </w:rPr>
        <w:t>（221</w:t>
      </w:r>
      <w:r>
        <w:rPr>
          <w:rFonts w:hint="eastAsia" w:ascii="仿宋" w:hAnsi="仿宋" w:eastAsia="仿宋"/>
          <w:color w:val="000000" w:themeColor="text1"/>
          <w:sz w:val="32"/>
          <w:szCs w:val="32"/>
          <w:highlight w:val="none"/>
          <w14:textFill>
            <w14:solidFill>
              <w14:schemeClr w14:val="tx1"/>
            </w14:solidFill>
          </w14:textFill>
        </w:rPr>
        <w:t>类）年初预算为</w:t>
      </w:r>
      <w:r>
        <w:rPr>
          <w:rFonts w:hint="eastAsia" w:ascii="仿宋" w:hAnsi="仿宋" w:eastAsia="仿宋"/>
          <w:color w:val="000000" w:themeColor="text1"/>
          <w:sz w:val="32"/>
          <w:szCs w:val="32"/>
          <w:highlight w:val="none"/>
          <w:lang w:val="en-US" w:eastAsia="zh-CN"/>
          <w14:textFill>
            <w14:solidFill>
              <w14:schemeClr w14:val="tx1"/>
            </w14:solidFill>
          </w14:textFill>
        </w:rPr>
        <w:t>6.33</w:t>
      </w:r>
      <w:r>
        <w:rPr>
          <w:rFonts w:hint="eastAsia" w:ascii="仿宋" w:hAnsi="仿宋" w:eastAsia="仿宋"/>
          <w:color w:val="000000" w:themeColor="text1"/>
          <w:sz w:val="32"/>
          <w:szCs w:val="32"/>
          <w:highlight w:val="none"/>
          <w14:textFill>
            <w14:solidFill>
              <w14:schemeClr w14:val="tx1"/>
            </w14:solidFill>
          </w14:textFill>
        </w:rPr>
        <w:t>万元，支出决算为</w:t>
      </w:r>
      <w:r>
        <w:rPr>
          <w:rFonts w:hint="eastAsia" w:ascii="仿宋" w:hAnsi="仿宋" w:eastAsia="仿宋"/>
          <w:color w:val="000000" w:themeColor="text1"/>
          <w:sz w:val="32"/>
          <w:szCs w:val="32"/>
          <w:highlight w:val="none"/>
          <w:lang w:val="en-US" w:eastAsia="zh-CN"/>
          <w14:textFill>
            <w14:solidFill>
              <w14:schemeClr w14:val="tx1"/>
            </w14:solidFill>
          </w14:textFill>
        </w:rPr>
        <w:t>5.19</w:t>
      </w:r>
      <w:r>
        <w:rPr>
          <w:rFonts w:hint="eastAsia" w:ascii="仿宋" w:hAnsi="仿宋" w:eastAsia="仿宋"/>
          <w:color w:val="000000" w:themeColor="text1"/>
          <w:sz w:val="32"/>
          <w:szCs w:val="32"/>
          <w:highlight w:val="none"/>
          <w14:textFill>
            <w14:solidFill>
              <w14:schemeClr w14:val="tx1"/>
            </w14:solidFill>
          </w14:textFill>
        </w:rPr>
        <w:t>万元，完成年初预算的</w:t>
      </w:r>
      <w:r>
        <w:rPr>
          <w:rFonts w:hint="eastAsia" w:ascii="仿宋" w:hAnsi="仿宋" w:eastAsia="仿宋"/>
          <w:color w:val="000000" w:themeColor="text1"/>
          <w:sz w:val="32"/>
          <w:szCs w:val="32"/>
          <w:highlight w:val="none"/>
          <w:lang w:val="en-US" w:eastAsia="zh-CN"/>
          <w14:textFill>
            <w14:solidFill>
              <w14:schemeClr w14:val="tx1"/>
            </w14:solidFill>
          </w14:textFill>
        </w:rPr>
        <w:t>82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原因是：2023年年初预算公积金基数取数大于实际</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2023年公积金基数。</w:t>
      </w:r>
    </w:p>
    <w:p>
      <w:pPr>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olor w:val="000000" w:themeColor="text1"/>
          <w:sz w:val="32"/>
          <w:szCs w:val="32"/>
          <w:highlight w:val="none"/>
          <w14:textFill>
            <w14:solidFill>
              <w14:schemeClr w14:val="tx1"/>
            </w14:solidFill>
          </w14:textFill>
        </w:rPr>
        <w:t>：</w:t>
      </w:r>
    </w:p>
    <w:tbl>
      <w:tblPr>
        <w:tblStyle w:val="6"/>
        <w:tblW w:w="87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302"/>
        <w:gridCol w:w="900"/>
        <w:gridCol w:w="674"/>
        <w:gridCol w:w="1097"/>
        <w:gridCol w:w="1181"/>
        <w:gridCol w:w="2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类款项</w:t>
            </w:r>
          </w:p>
        </w:tc>
        <w:tc>
          <w:tcPr>
            <w:tcW w:w="13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科目名称</w:t>
            </w: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年初预算数</w:t>
            </w:r>
          </w:p>
        </w:tc>
        <w:tc>
          <w:tcPr>
            <w:tcW w:w="6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完成预算百分比</w:t>
            </w:r>
          </w:p>
        </w:tc>
        <w:tc>
          <w:tcPr>
            <w:tcW w:w="118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主要用于</w:t>
            </w:r>
          </w:p>
        </w:tc>
        <w:tc>
          <w:tcPr>
            <w:tcW w:w="26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2210201</w:t>
            </w:r>
          </w:p>
        </w:tc>
        <w:tc>
          <w:tcPr>
            <w:tcW w:w="13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住房公积金</w:t>
            </w: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6.33</w:t>
            </w:r>
          </w:p>
        </w:tc>
        <w:tc>
          <w:tcPr>
            <w:tcW w:w="6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5.19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82%</w:t>
            </w:r>
          </w:p>
        </w:tc>
        <w:tc>
          <w:tcPr>
            <w:tcW w:w="118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住房公积金</w:t>
            </w:r>
          </w:p>
        </w:tc>
        <w:tc>
          <w:tcPr>
            <w:tcW w:w="26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2023年年初预算公积金基数取数大于实际2023年公积金基数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合计数</w:t>
            </w:r>
          </w:p>
        </w:tc>
        <w:tc>
          <w:tcPr>
            <w:tcW w:w="13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6.33</w:t>
            </w:r>
          </w:p>
        </w:tc>
        <w:tc>
          <w:tcPr>
            <w:tcW w:w="6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5.19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82%</w:t>
            </w:r>
          </w:p>
        </w:tc>
        <w:tc>
          <w:tcPr>
            <w:tcW w:w="118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26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r>
    </w:tbl>
    <w:p>
      <w:pPr>
        <w:jc w:val="left"/>
        <w:rPr>
          <w:rFonts w:hint="eastAsia" w:ascii="仿宋" w:hAnsi="仿宋" w:eastAsia="仿宋"/>
          <w:color w:val="000000" w:themeColor="text1"/>
          <w:sz w:val="32"/>
          <w:szCs w:val="32"/>
          <w:highlight w:val="none"/>
          <w14:textFill>
            <w14:solidFill>
              <w14:schemeClr w14:val="tx1"/>
            </w14:solidFill>
          </w14:textFill>
        </w:rPr>
      </w:pPr>
    </w:p>
    <w:p>
      <w:pPr>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其他支出</w:t>
      </w:r>
      <w:r>
        <w:rPr>
          <w:rFonts w:ascii="仿宋" w:hAnsi="仿宋" w:eastAsia="仿宋"/>
          <w:color w:val="000000" w:themeColor="text1"/>
          <w:sz w:val="32"/>
          <w:highlight w:val="none"/>
          <w:u w:color="auto"/>
          <w14:textFill>
            <w14:solidFill>
              <w14:schemeClr w14:val="tx1"/>
            </w14:solidFill>
          </w14:textFill>
        </w:rPr>
        <w:t>（229</w:t>
      </w:r>
      <w:r>
        <w:rPr>
          <w:rFonts w:hint="eastAsia" w:ascii="仿宋" w:hAnsi="仿宋" w:eastAsia="仿宋"/>
          <w:color w:val="000000" w:themeColor="text1"/>
          <w:sz w:val="32"/>
          <w:szCs w:val="32"/>
          <w:highlight w:val="none"/>
          <w14:textFill>
            <w14:solidFill>
              <w14:schemeClr w14:val="tx1"/>
            </w14:solidFill>
          </w14:textFill>
        </w:rPr>
        <w:t>类）年初预算为</w:t>
      </w:r>
      <w:r>
        <w:rPr>
          <w:rFonts w:ascii="仿宋" w:hAnsi="仿宋" w:eastAsia="仿宋"/>
          <w:color w:val="000000" w:themeColor="text1"/>
          <w:sz w:val="32"/>
          <w:szCs w:val="32"/>
          <w:highlight w:val="none"/>
          <w14:textFill>
            <w14:solidFill>
              <w14:schemeClr w14:val="tx1"/>
            </w14:solidFill>
          </w14:textFill>
        </w:rPr>
        <w:t>0.00</w:t>
      </w:r>
      <w:r>
        <w:rPr>
          <w:rFonts w:hint="eastAsia" w:ascii="仿宋" w:hAnsi="仿宋" w:eastAsia="仿宋"/>
          <w:color w:val="000000" w:themeColor="text1"/>
          <w:sz w:val="32"/>
          <w:szCs w:val="32"/>
          <w:highlight w:val="none"/>
          <w14:textFill>
            <w14:solidFill>
              <w14:schemeClr w14:val="tx1"/>
            </w14:solidFill>
          </w14:textFill>
        </w:rPr>
        <w:t>万元，支出决算为</w:t>
      </w: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lang w:val="en-US" w:eastAsia="zh-CN"/>
          <w14:textFill>
            <w14:solidFill>
              <w14:schemeClr w14:val="tx1"/>
            </w14:solidFill>
          </w14:textFill>
        </w:rPr>
        <w:t>9</w:t>
      </w:r>
      <w:r>
        <w:rPr>
          <w:rFonts w:hint="eastAsia" w:ascii="仿宋" w:hAnsi="仿宋" w:eastAsia="仿宋"/>
          <w:color w:val="000000" w:themeColor="text1"/>
          <w:sz w:val="32"/>
          <w:szCs w:val="32"/>
          <w:highlight w:val="none"/>
          <w14:textFill>
            <w14:solidFill>
              <w14:schemeClr w14:val="tx1"/>
            </w14:solidFill>
          </w14:textFill>
        </w:rPr>
        <w:t>万元，预决算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i w:val="0"/>
          <w:iCs w:val="0"/>
          <w:color w:val="000000" w:themeColor="text1"/>
          <w:sz w:val="32"/>
          <w:szCs w:val="32"/>
          <w:highlight w:val="none"/>
          <w:u w:val="none"/>
          <w:lang w:val="en-US" w:eastAsia="zh-CN"/>
          <w14:textFill>
            <w14:solidFill>
              <w14:schemeClr w14:val="tx1"/>
            </w14:solidFill>
          </w14:textFill>
        </w:rPr>
        <w:t>此部分资金每年上级部门都有预算，直接下达，本部本无需预算。</w:t>
      </w:r>
    </w:p>
    <w:p>
      <w:pPr>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olor w:val="000000" w:themeColor="text1"/>
          <w:sz w:val="32"/>
          <w:szCs w:val="32"/>
          <w:highlight w:val="none"/>
          <w14:textFill>
            <w14:solidFill>
              <w14:schemeClr w14:val="tx1"/>
            </w14:solidFill>
          </w14:textFill>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发放人员奖励性补贴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此部分资金每年上级部门都有预算，直接下达，本部本无需预算。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p>
        </w:tc>
      </w:tr>
    </w:tbl>
    <w:p>
      <w:pPr>
        <w:jc w:val="left"/>
        <w:rPr>
          <w:rFonts w:hint="eastAsia" w:ascii="仿宋" w:hAnsi="仿宋" w:eastAsia="仿宋"/>
          <w:color w:val="000000" w:themeColor="text1"/>
          <w:sz w:val="32"/>
          <w:szCs w:val="32"/>
          <w:highlight w:val="none"/>
          <w14:textFill>
            <w14:solidFill>
              <w14:schemeClr w14:val="tx1"/>
            </w14:solidFill>
          </w14:textFill>
        </w:rPr>
      </w:pPr>
    </w:p>
    <w:p>
      <w:pPr>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年度一般公共预算财政拨款基本支出决算情况说明</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环江毛南族自治县大才乡中心幼儿园</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年度一般公共预算财政拨款基本支出</w:t>
      </w:r>
      <w:r>
        <w:rPr>
          <w:rFonts w:hint="eastAsia" w:ascii="仿宋" w:hAnsi="仿宋" w:eastAsia="仿宋" w:cs="仿宋"/>
          <w:color w:val="000000" w:themeColor="text1"/>
          <w:sz w:val="32"/>
          <w:highlight w:val="none"/>
          <w:u w:color="auto"/>
          <w:lang w:val="en-US" w:eastAsia="zh-CN"/>
          <w14:textFill>
            <w14:solidFill>
              <w14:schemeClr w14:val="tx1"/>
            </w14:solidFill>
          </w14:textFill>
        </w:rPr>
        <w:t>79.28</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其中：人员经费支出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78.26</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万元，公用经费支出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1.02</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工资福利支出</w:t>
      </w:r>
      <w:r>
        <w:rPr>
          <w:rFonts w:hint="eastAsia" w:ascii="仿宋" w:hAnsi="仿宋" w:eastAsia="仿宋" w:cs="仿宋"/>
          <w:color w:val="000000" w:themeColor="text1"/>
          <w:sz w:val="32"/>
          <w:highlight w:val="none"/>
          <w:u w:color="auto"/>
          <w:lang w:val="en-US" w:eastAsia="zh-CN"/>
          <w14:textFill>
            <w14:solidFill>
              <w14:schemeClr w14:val="tx1"/>
            </w14:solidFill>
          </w14:textFill>
        </w:rPr>
        <w:t>78.26</w:t>
      </w:r>
      <w:r>
        <w:rPr>
          <w:rFonts w:ascii="仿宋" w:hAnsi="仿宋" w:eastAsia="仿宋" w:cs="仿宋"/>
          <w:color w:val="000000" w:themeColor="text1"/>
          <w:sz w:val="32"/>
          <w:highlight w:val="none"/>
          <w:u w:color="auto"/>
          <w14:textFill>
            <w14:solidFill>
              <w14:schemeClr w14:val="tx1"/>
            </w14:solidFill>
          </w14:textFill>
        </w:rPr>
        <w:t>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完成年初预算的</w:t>
      </w: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21.82</w:t>
      </w:r>
      <w:r>
        <w:rPr>
          <w:rFonts w:hint="eastAsia" w:ascii="仿宋" w:hAnsi="仿宋" w:eastAsia="仿宋" w:cs="仿宋"/>
          <w:color w:val="000000" w:themeColor="text1"/>
          <w:sz w:val="32"/>
          <w:szCs w:val="32"/>
          <w:highlight w:val="none"/>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主要原因是：年度内新增教师。</w:t>
      </w: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30101基本工资27.9万元，30102津贴补贴6.07万元，30103奖金16.25万元，30107绩效工资12.18万元，30108机关事业单位基本养老保险缴费7.26万元，30110职工基本医疗保险缴费3.05万元，30112其他社会保障缴费0.36万元，30113住房公积金5.19万元。</w:t>
      </w:r>
    </w:p>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商品和服务支出</w:t>
      </w:r>
      <w:r>
        <w:rPr>
          <w:rFonts w:hint="eastAsia" w:ascii="仿宋" w:hAnsi="仿宋" w:eastAsia="仿宋" w:cs="仿宋"/>
          <w:color w:val="000000" w:themeColor="text1"/>
          <w:sz w:val="32"/>
          <w:highlight w:val="none"/>
          <w:u w:color="auto"/>
          <w:lang w:val="en-US" w:eastAsia="zh-CN"/>
          <w14:textFill>
            <w14:solidFill>
              <w14:schemeClr w14:val="tx1"/>
            </w14:solidFill>
          </w14:textFill>
        </w:rPr>
        <w:t>1.02</w:t>
      </w:r>
      <w:r>
        <w:rPr>
          <w:rFonts w:ascii="仿宋" w:hAnsi="仿宋" w:eastAsia="仿宋" w:cs="仿宋"/>
          <w:color w:val="000000" w:themeColor="text1"/>
          <w:sz w:val="32"/>
          <w:highlight w:val="none"/>
          <w:u w:color="auto"/>
          <w14:textFill>
            <w14:solidFill>
              <w14:schemeClr w14:val="tx1"/>
            </w14:solidFill>
          </w14:textFill>
        </w:rPr>
        <w:t>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完成年初预算的</w:t>
      </w:r>
      <w:r>
        <w:rPr>
          <w:rFonts w:hint="eastAsia" w:ascii="仿宋" w:hAnsi="仿宋" w:eastAsia="仿宋" w:cs="仿宋"/>
          <w:color w:val="000000" w:themeColor="text1"/>
          <w:sz w:val="32"/>
          <w:szCs w:val="32"/>
          <w:highlight w:val="none"/>
          <w14:textFill>
            <w14:solidFill>
              <w14:schemeClr w14:val="tx1"/>
            </w14:solidFill>
          </w14:textFill>
        </w:rPr>
        <w:t>100%</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t>预决算无差异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bookmarkStart w:id="5" w:name="_GoBack"/>
      <w:bookmarkEnd w:id="5"/>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30228工会经费1.02万元。</w:t>
      </w:r>
    </w:p>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对个人和家庭的补助</w:t>
      </w:r>
      <w:r>
        <w:rPr>
          <w:rFonts w:ascii="仿宋" w:hAnsi="仿宋" w:eastAsia="仿宋" w:cs="仿宋"/>
          <w:color w:val="000000" w:themeColor="text1"/>
          <w:sz w:val="32"/>
          <w:highlight w:val="none"/>
          <w:u w:color="auto"/>
          <w14:textFill>
            <w14:solidFill>
              <w14:schemeClr w14:val="tx1"/>
            </w14:solidFill>
          </w14:textFill>
        </w:rPr>
        <w:t>0.00万元，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完成年初预算的</w:t>
      </w:r>
      <w:r>
        <w:rPr>
          <w:rFonts w:hint="eastAsia" w:ascii="仿宋" w:hAnsi="仿宋" w:eastAsia="仿宋" w:cs="仿宋"/>
          <w:color w:val="000000" w:themeColor="text1"/>
          <w:sz w:val="32"/>
          <w:szCs w:val="32"/>
          <w:highlight w:val="none"/>
          <w14:textFill>
            <w14:solidFill>
              <w14:schemeClr w14:val="tx1"/>
            </w14:solidFill>
          </w14:textFill>
        </w:rPr>
        <w:t>0%</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主要原因是：当年度没有对个人和家庭的补助。</w:t>
      </w:r>
    </w:p>
    <w:p>
      <w:pPr>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s="仿宋"/>
          <w:color w:val="000000" w:themeColor="text1"/>
          <w:sz w:val="32"/>
          <w:szCs w:val="32"/>
          <w:highlight w:val="none"/>
          <w14:textFill>
            <w14:solidFill>
              <w14:schemeClr w14:val="tx1"/>
            </w14:solidFill>
          </w14:textFill>
        </w:rPr>
        <w:t>：</w:t>
      </w:r>
    </w:p>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债务利息及费用支出</w:t>
      </w:r>
      <w:r>
        <w:rPr>
          <w:rFonts w:ascii="仿宋" w:hAnsi="仿宋" w:eastAsia="仿宋" w:cs="仿宋"/>
          <w:color w:val="000000" w:themeColor="text1"/>
          <w:sz w:val="32"/>
          <w:highlight w:val="none"/>
          <w:u w:color="auto"/>
          <w14:textFill>
            <w14:solidFill>
              <w14:schemeClr w14:val="tx1"/>
            </w14:solidFill>
          </w14:textFill>
        </w:rPr>
        <w:t>0.00万元，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完成年初预算的</w:t>
      </w:r>
      <w:r>
        <w:rPr>
          <w:rFonts w:hint="eastAsia" w:ascii="仿宋" w:hAnsi="仿宋" w:eastAsia="仿宋" w:cs="仿宋"/>
          <w:color w:val="000000" w:themeColor="text1"/>
          <w:sz w:val="32"/>
          <w:szCs w:val="32"/>
          <w:highlight w:val="none"/>
          <w14:textFill>
            <w14:solidFill>
              <w14:schemeClr w14:val="tx1"/>
            </w14:solidFill>
          </w14:textFill>
        </w:rPr>
        <w:t>0%</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主要原因是：当年度没有债务利息及费用支出。</w:t>
      </w:r>
    </w:p>
    <w:p>
      <w:pPr>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s="仿宋"/>
          <w:color w:val="000000" w:themeColor="text1"/>
          <w:sz w:val="32"/>
          <w:szCs w:val="32"/>
          <w:highlight w:val="none"/>
          <w14:textFill>
            <w14:solidFill>
              <w14:schemeClr w14:val="tx1"/>
            </w14:solidFill>
          </w14:textFill>
        </w:rPr>
        <w:t>：</w:t>
      </w:r>
    </w:p>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资本性支出</w:t>
      </w:r>
      <w:r>
        <w:rPr>
          <w:rFonts w:ascii="仿宋" w:hAnsi="仿宋" w:eastAsia="仿宋" w:cs="仿宋"/>
          <w:color w:val="000000" w:themeColor="text1"/>
          <w:sz w:val="32"/>
          <w:highlight w:val="none"/>
          <w:u w:color="auto"/>
          <w14:textFill>
            <w14:solidFill>
              <w14:schemeClr w14:val="tx1"/>
            </w14:solidFill>
          </w14:textFill>
        </w:rPr>
        <w:t>0.00万元，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完成年初预算的</w:t>
      </w:r>
      <w:r>
        <w:rPr>
          <w:rFonts w:hint="eastAsia" w:ascii="仿宋" w:hAnsi="仿宋" w:eastAsia="仿宋" w:cs="仿宋"/>
          <w:color w:val="000000" w:themeColor="text1"/>
          <w:sz w:val="32"/>
          <w:szCs w:val="32"/>
          <w:highlight w:val="none"/>
          <w14:textFill>
            <w14:solidFill>
              <w14:schemeClr w14:val="tx1"/>
            </w14:solidFill>
          </w14:textFill>
        </w:rPr>
        <w:t>0%</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主要原因是：当年度没有资本性支出。</w:t>
      </w:r>
    </w:p>
    <w:p>
      <w:pPr>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s="仿宋"/>
          <w:color w:val="000000" w:themeColor="text1"/>
          <w:sz w:val="32"/>
          <w:szCs w:val="32"/>
          <w:highlight w:val="none"/>
          <w14:textFill>
            <w14:solidFill>
              <w14:schemeClr w14:val="tx1"/>
            </w14:solidFill>
          </w14:textFill>
        </w:rPr>
        <w:t>：</w:t>
      </w:r>
    </w:p>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其他支出</w:t>
      </w:r>
      <w:r>
        <w:rPr>
          <w:rFonts w:ascii="仿宋" w:hAnsi="仿宋" w:eastAsia="仿宋" w:cs="仿宋"/>
          <w:color w:val="000000" w:themeColor="text1"/>
          <w:sz w:val="32"/>
          <w:highlight w:val="none"/>
          <w:u w:color="auto"/>
          <w14:textFill>
            <w14:solidFill>
              <w14:schemeClr w14:val="tx1"/>
            </w14:solidFill>
          </w14:textFill>
        </w:rPr>
        <w:t>0.00万元，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完成年初预算的</w:t>
      </w:r>
      <w:r>
        <w:rPr>
          <w:rFonts w:hint="eastAsia" w:ascii="仿宋" w:hAnsi="仿宋" w:eastAsia="仿宋" w:cs="仿宋"/>
          <w:color w:val="000000" w:themeColor="text1"/>
          <w:sz w:val="32"/>
          <w:szCs w:val="32"/>
          <w:highlight w:val="none"/>
          <w14:textFill>
            <w14:solidFill>
              <w14:schemeClr w14:val="tx1"/>
            </w14:solidFill>
          </w14:textFill>
        </w:rPr>
        <w:t>0%</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主要原因是：当年度没有其他支出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s="仿宋"/>
          <w:color w:val="000000" w:themeColor="text1"/>
          <w:sz w:val="32"/>
          <w:szCs w:val="32"/>
          <w:highlight w:val="none"/>
          <w14:textFill>
            <w14:solidFill>
              <w14:schemeClr w14:val="tx1"/>
            </w14:solidFill>
          </w14:textFill>
        </w:rPr>
        <w:t>：</w:t>
      </w:r>
    </w:p>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color w:val="000000" w:themeColor="text1"/>
          <w:sz w:val="32"/>
          <w:szCs w:val="32"/>
          <w:highlight w:val="none"/>
          <w14:textFill>
            <w14:solidFill>
              <w14:schemeClr w14:val="tx1"/>
            </w14:solidFill>
          </w14:textFill>
        </w:rPr>
      </w:pPr>
    </w:p>
    <w:p>
      <w:pPr>
        <w:jc w:val="left"/>
        <w:rPr>
          <w:rFonts w:ascii="仿宋" w:hAnsi="仿宋" w:eastAsia="仿宋" w:cs="仿宋"/>
          <w:color w:val="000000" w:themeColor="text1"/>
          <w:sz w:val="32"/>
          <w:szCs w:val="32"/>
          <w:highlight w:val="none"/>
          <w14:textFill>
            <w14:solidFill>
              <w14:schemeClr w14:val="tx1"/>
            </w14:solidFill>
          </w14:textFill>
        </w:rPr>
      </w:pP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年度政府性基金支出决算情况</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环江毛南族自治县大才乡中心幼儿园</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年度政府性基金支出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万元，较</w:t>
      </w:r>
      <w:r>
        <w:rPr>
          <w:rFonts w:hint="eastAsia" w:ascii="仿宋" w:hAnsi="仿宋" w:eastAsia="仿宋" w:cs="仿宋"/>
          <w:color w:val="000000" w:themeColor="text1"/>
          <w:sz w:val="32"/>
          <w:szCs w:val="32"/>
          <w:highlight w:val="none"/>
          <w:lang w:eastAsia="zh-CN"/>
          <w14:textFill>
            <w14:solidFill>
              <w14:schemeClr w14:val="tx1"/>
            </w14:solidFill>
          </w14:textFill>
        </w:rPr>
        <w:t>2022</w:t>
      </w:r>
      <w:r>
        <w:rPr>
          <w:rFonts w:hint="eastAsia" w:ascii="仿宋" w:hAnsi="仿宋" w:eastAsia="仿宋" w:cs="仿宋"/>
          <w:color w:val="000000" w:themeColor="text1"/>
          <w:sz w:val="32"/>
          <w:szCs w:val="32"/>
          <w:highlight w:val="none"/>
          <w14:textFill>
            <w14:solidFill>
              <w14:schemeClr w14:val="tx1"/>
            </w14:solidFill>
          </w14:textFill>
        </w:rPr>
        <w:t>年度决算数</w:t>
      </w:r>
      <w:r>
        <w:rPr>
          <w:rFonts w:ascii="仿宋" w:hAnsi="仿宋" w:eastAsia="仿宋" w:cs="仿宋"/>
          <w:color w:val="000000" w:themeColor="text1"/>
          <w:sz w:val="32"/>
          <w:szCs w:val="32"/>
          <w:highlight w:val="none"/>
          <w14:textFill>
            <w14:solidFill>
              <w14:schemeClr w14:val="tx1"/>
            </w14:solidFill>
          </w14:textFill>
        </w:rPr>
        <w:t>增加0.00</w:t>
      </w:r>
      <w:r>
        <w:rPr>
          <w:rFonts w:hint="eastAsia" w:ascii="仿宋" w:hAnsi="仿宋" w:eastAsia="仿宋" w:cs="仿宋"/>
          <w:color w:val="000000" w:themeColor="text1"/>
          <w:sz w:val="32"/>
          <w:szCs w:val="32"/>
          <w:highlight w:val="none"/>
          <w14:textFill>
            <w14:solidFill>
              <w14:schemeClr w14:val="tx1"/>
            </w14:solidFill>
          </w14:textFill>
        </w:rPr>
        <w:t>万元，</w:t>
      </w:r>
      <w:r>
        <w:rPr>
          <w:rFonts w:ascii="仿宋" w:hAnsi="仿宋" w:eastAsia="仿宋" w:cs="仿宋"/>
          <w:color w:val="000000" w:themeColor="text1"/>
          <w:sz w:val="32"/>
          <w:szCs w:val="32"/>
          <w:highlight w:val="none"/>
          <w14:textFill>
            <w14:solidFill>
              <w14:schemeClr w14:val="tx1"/>
            </w14:solidFill>
          </w14:textFill>
        </w:rPr>
        <w:t>增长0%</w:t>
      </w:r>
      <w:r>
        <w:rPr>
          <w:rFonts w:hint="eastAsia" w:ascii="仿宋" w:hAnsi="仿宋" w:eastAsia="仿宋" w:cs="仿宋"/>
          <w:color w:val="000000" w:themeColor="text1"/>
          <w:sz w:val="32"/>
          <w:szCs w:val="32"/>
          <w:highlight w:val="none"/>
          <w14:textFill>
            <w14:solidFill>
              <w14:schemeClr w14:val="tx1"/>
            </w14:solidFill>
          </w14:textFill>
        </w:rPr>
        <w:t>其中：基本支出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万元，项目支出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环江毛南族自治县大才乡中心幼儿园</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年度政府性基金支出年初预算为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万元，支出决算为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highlight w:val="none"/>
          <w14:textFill>
            <w14:solidFill>
              <w14:schemeClr w14:val="tx1"/>
            </w14:solidFill>
          </w14:textFill>
        </w:rPr>
        <w:t>环江毛南族自治县大才乡中心幼儿园</w:t>
      </w:r>
      <w:r>
        <w:rPr>
          <w:rFonts w:ascii="仿宋_GB2312" w:hAnsi="仿宋_GB2312" w:eastAsia="仿宋_GB2312" w:cs="仿宋_GB2312"/>
          <w:color w:val="000000" w:themeColor="text1"/>
          <w:sz w:val="32"/>
          <w:highlight w:val="none"/>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年度国有资本经营预算支出决算情况</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环江毛南族自治县大才乡中心幼儿园</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年度国有资本经营预算支出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万元。其中：基本支出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万元，项目支出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环江毛南族自治县大才乡中心幼儿园</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 xml:space="preserve"> 年度国有资本经营预算支出年初预算为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万元，支出决算为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bookmarkStart w:id="3" w:name="PO_part3A5B1C1DiffReason1"/>
      <w:r>
        <w:rPr>
          <w:rFonts w:hint="eastAsia" w:ascii="仿宋_GB2312" w:hAnsi="Times New Roman" w:eastAsia="仿宋_GB2312" w:cs="Times New Roman"/>
          <w:color w:val="000000" w:themeColor="text1"/>
          <w:sz w:val="32"/>
          <w:szCs w:val="32"/>
          <w:highlight w:val="none"/>
          <w14:textFill>
            <w14:solidFill>
              <w14:schemeClr w14:val="tx1"/>
            </w14:solidFill>
          </w14:textFill>
        </w:rPr>
        <w:t>环江毛南族自治县大才乡中心幼儿园</w:t>
      </w:r>
      <w:r>
        <w:rPr>
          <w:rFonts w:ascii="仿宋_GB2312" w:hAnsi="仿宋_GB2312" w:eastAsia="仿宋_GB2312" w:cs="仿宋_GB2312"/>
          <w:color w:val="000000" w:themeColor="text1"/>
          <w:sz w:val="32"/>
          <w:highlight w:val="none"/>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安排的支出。</w:t>
      </w:r>
      <w:bookmarkEnd w:id="3"/>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年预算财政拨款安排的“三公”经费支出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，比上年</w:t>
      </w:r>
      <w:r>
        <w:rPr>
          <w:rFonts w:ascii="仿宋" w:hAnsi="仿宋" w:eastAsia="仿宋" w:cs="仿宋"/>
          <w:color w:val="000000" w:themeColor="text1"/>
          <w:sz w:val="32"/>
          <w:szCs w:val="32"/>
          <w:highlight w:val="none"/>
          <w14:textFill>
            <w14:solidFill>
              <w14:schemeClr w14:val="tx1"/>
            </w14:solidFill>
          </w14:textFill>
        </w:rPr>
        <w:t>增加0.00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主要原因是：本部门2023年度没有一般公共预算财政拨款“三公”经费收入，也没有一般公共预算财政拨款“三公”经费安排的支出。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万元，公务用车购置及运行费支出决算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万元，公务接待费支出决算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具体情况如下：</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（一）因公出国（境）费支出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，比上年</w:t>
      </w:r>
      <w:r>
        <w:rPr>
          <w:rFonts w:ascii="仿宋" w:hAnsi="仿宋" w:eastAsia="仿宋" w:cs="仿宋"/>
          <w:color w:val="000000" w:themeColor="text1"/>
          <w:sz w:val="32"/>
          <w:szCs w:val="32"/>
          <w:highlight w:val="none"/>
          <w14:textFill>
            <w14:solidFill>
              <w14:schemeClr w14:val="tx1"/>
            </w14:solidFill>
          </w14:textFill>
        </w:rPr>
        <w:t>增加0.00</w:t>
      </w:r>
      <w:r>
        <w:rPr>
          <w:rFonts w:hint="eastAsia" w:ascii="仿宋" w:hAnsi="仿宋" w:eastAsia="仿宋" w:cs="仿宋"/>
          <w:color w:val="000000" w:themeColor="text1"/>
          <w:sz w:val="32"/>
          <w:szCs w:val="32"/>
          <w:highlight w:val="none"/>
          <w14:textFill>
            <w14:solidFill>
              <w14:schemeClr w14:val="tx1"/>
            </w14:solidFill>
          </w14:textFill>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本部门2023年度没有一般公共预算财政拨款“三公”经费收入，也没有一般公共预算财政拨款“三公”经费安排的支出。</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（二）公务用车购置及运行维护费</w:t>
      </w:r>
      <w:r>
        <w:rPr>
          <w:rFonts w:ascii="仿宋" w:hAnsi="仿宋" w:eastAsia="仿宋" w:cs="仿宋"/>
          <w:color w:val="000000" w:themeColor="text1"/>
          <w:sz w:val="32"/>
          <w:highlight w:val="none"/>
          <w:u w:color="auto"/>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万元。其中：公务用车购置支出</w:t>
      </w:r>
      <w:r>
        <w:rPr>
          <w:rFonts w:ascii="仿宋" w:hAnsi="仿宋" w:eastAsia="仿宋" w:cs="仿宋"/>
          <w:color w:val="000000" w:themeColor="text1"/>
          <w:sz w:val="32"/>
          <w:highlight w:val="none"/>
          <w:u w:color="auto"/>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themeColor="text1"/>
          <w:sz w:val="32"/>
          <w:highlight w:val="none"/>
          <w:u w:color="auto"/>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，比上年</w:t>
      </w:r>
      <w:r>
        <w:rPr>
          <w:rFonts w:ascii="仿宋" w:hAnsi="仿宋" w:eastAsia="仿宋" w:cs="仿宋"/>
          <w:color w:val="000000" w:themeColor="text1"/>
          <w:sz w:val="32"/>
          <w:highlight w:val="none"/>
          <w:u w:color="auto"/>
          <w14:textFill>
            <w14:solidFill>
              <w14:schemeClr w14:val="tx1"/>
            </w14:solidFill>
          </w14:textFill>
        </w:rPr>
        <w:t>增加0.00</w:t>
      </w:r>
      <w:r>
        <w:rPr>
          <w:rFonts w:hint="eastAsia" w:ascii="仿宋" w:hAnsi="仿宋" w:eastAsia="仿宋" w:cs="仿宋"/>
          <w:color w:val="000000" w:themeColor="text1"/>
          <w:sz w:val="32"/>
          <w:szCs w:val="32"/>
          <w:highlight w:val="none"/>
          <w14:textFill>
            <w14:solidFill>
              <w14:schemeClr w14:val="tx1"/>
            </w14:solidFill>
          </w14:textFill>
        </w:rPr>
        <w:t xml:space="preserve"> 万元。主要原因是</w:t>
      </w:r>
      <w:bookmarkStart w:id="4" w:name="PO_part3A6B2IncReason1"/>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本部门无公务用车购置</w:t>
      </w:r>
      <w:bookmarkEnd w:id="4"/>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公务用车运行维护支出</w:t>
      </w:r>
      <w:r>
        <w:rPr>
          <w:rFonts w:ascii="仿宋" w:hAnsi="仿宋" w:eastAsia="仿宋" w:cs="仿宋"/>
          <w:color w:val="000000" w:themeColor="text1"/>
          <w:sz w:val="32"/>
          <w:highlight w:val="none"/>
          <w:u w:color="auto"/>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themeColor="text1"/>
          <w:sz w:val="32"/>
          <w:highlight w:val="none"/>
          <w:u w:color="auto"/>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，比上年</w:t>
      </w:r>
      <w:r>
        <w:rPr>
          <w:rFonts w:ascii="仿宋" w:hAnsi="仿宋" w:eastAsia="仿宋" w:cs="仿宋"/>
          <w:color w:val="000000" w:themeColor="text1"/>
          <w:sz w:val="32"/>
          <w:highlight w:val="none"/>
          <w:u w:color="auto"/>
          <w14:textFill>
            <w14:solidFill>
              <w14:schemeClr w14:val="tx1"/>
            </w14:solidFill>
          </w14:textFill>
        </w:rPr>
        <w:t>增加0.00</w:t>
      </w:r>
      <w:r>
        <w:rPr>
          <w:rFonts w:hint="eastAsia" w:ascii="仿宋" w:hAnsi="仿宋" w:eastAsia="仿宋" w:cs="仿宋"/>
          <w:color w:val="000000" w:themeColor="text1"/>
          <w:sz w:val="32"/>
          <w:szCs w:val="32"/>
          <w:highlight w:val="none"/>
          <w14:textFill>
            <w14:solidFill>
              <w14:schemeClr w14:val="tx1"/>
            </w14:solidFill>
          </w14:textFill>
        </w:rPr>
        <w:t>万元。主要原因是：本部门无公务用车购置。</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（三）公务接待费支出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 比上年</w:t>
      </w:r>
      <w:r>
        <w:rPr>
          <w:rFonts w:ascii="仿宋" w:hAnsi="仿宋" w:eastAsia="仿宋" w:cs="仿宋"/>
          <w:color w:val="000000" w:themeColor="text1"/>
          <w:sz w:val="32"/>
          <w:szCs w:val="32"/>
          <w:highlight w:val="none"/>
          <w14:textFill>
            <w14:solidFill>
              <w14:schemeClr w14:val="tx1"/>
            </w14:solidFill>
          </w14:textFill>
        </w:rPr>
        <w:t>增加0.00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主要原因是：本部门无公务接待。</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七、其他重要事项情况说明</w:t>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 机关运行经费支出情况说明</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本部门</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年度机关运行经费支出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万元，比年初预算数</w:t>
      </w:r>
      <w:r>
        <w:rPr>
          <w:rFonts w:ascii="仿宋" w:hAnsi="仿宋" w:eastAsia="仿宋" w:cs="仿宋"/>
          <w:color w:val="000000" w:themeColor="text1"/>
          <w:sz w:val="32"/>
          <w:szCs w:val="32"/>
          <w:highlight w:val="none"/>
          <w14:textFill>
            <w14:solidFill>
              <w14:schemeClr w14:val="tx1"/>
            </w14:solidFill>
          </w14:textFill>
        </w:rPr>
        <w:t>减少0.</w:t>
      </w:r>
      <w:r>
        <w:rPr>
          <w:rFonts w:hint="eastAsia" w:ascii="仿宋" w:hAnsi="仿宋" w:eastAsia="仿宋" w:cs="仿宋"/>
          <w:color w:val="000000" w:themeColor="text1"/>
          <w:sz w:val="32"/>
          <w:szCs w:val="32"/>
          <w:highlight w:val="none"/>
          <w:lang w:val="en-US" w:eastAsia="zh-CN"/>
          <w14:textFill>
            <w14:solidFill>
              <w14:schemeClr w14:val="tx1"/>
            </w14:solidFill>
          </w14:textFill>
        </w:rPr>
        <w:t>00</w:t>
      </w:r>
      <w:r>
        <w:rPr>
          <w:rFonts w:hint="eastAsia" w:ascii="仿宋" w:hAnsi="仿宋" w:eastAsia="仿宋" w:cs="仿宋"/>
          <w:color w:val="000000" w:themeColor="text1"/>
          <w:sz w:val="32"/>
          <w:szCs w:val="32"/>
          <w:highlight w:val="none"/>
          <w14:textFill>
            <w14:solidFill>
              <w14:schemeClr w14:val="tx1"/>
            </w14:solidFill>
          </w14:textFill>
        </w:rPr>
        <w:t>万元，</w:t>
      </w:r>
      <w:r>
        <w:rPr>
          <w:rFonts w:ascii="仿宋" w:hAnsi="仿宋" w:eastAsia="仿宋" w:cs="仿宋"/>
          <w:color w:val="000000" w:themeColor="text1"/>
          <w:sz w:val="32"/>
          <w:szCs w:val="32"/>
          <w:highlight w:val="none"/>
          <w14:textFill>
            <w14:solidFill>
              <w14:schemeClr w14:val="tx1"/>
            </w14:solidFill>
          </w14:textFill>
        </w:rPr>
        <w:t>下降100%</w:t>
      </w:r>
      <w:r>
        <w:rPr>
          <w:rFonts w:hint="eastAsia" w:ascii="仿宋" w:hAnsi="仿宋" w:eastAsia="仿宋" w:cs="仿宋"/>
          <w:color w:val="000000" w:themeColor="text1"/>
          <w:sz w:val="32"/>
          <w:szCs w:val="32"/>
          <w:highlight w:val="none"/>
          <w14:textFill>
            <w14:solidFill>
              <w14:schemeClr w14:val="tx1"/>
            </w14:solidFill>
          </w14:textFill>
        </w:rPr>
        <w:t>，比上年决算数</w:t>
      </w:r>
      <w:r>
        <w:rPr>
          <w:rFonts w:ascii="仿宋" w:hAnsi="仿宋" w:eastAsia="仿宋" w:cs="仿宋"/>
          <w:color w:val="000000" w:themeColor="text1"/>
          <w:sz w:val="32"/>
          <w:szCs w:val="32"/>
          <w:highlight w:val="none"/>
          <w14:textFill>
            <w14:solidFill>
              <w14:schemeClr w14:val="tx1"/>
            </w14:solidFill>
          </w14:textFill>
        </w:rPr>
        <w:t>增加0.00</w:t>
      </w:r>
      <w:r>
        <w:rPr>
          <w:rFonts w:hint="eastAsia" w:ascii="仿宋" w:hAnsi="仿宋" w:eastAsia="仿宋" w:cs="仿宋"/>
          <w:color w:val="000000" w:themeColor="text1"/>
          <w:sz w:val="32"/>
          <w:szCs w:val="32"/>
          <w:highlight w:val="none"/>
          <w14:textFill>
            <w14:solidFill>
              <w14:schemeClr w14:val="tx1"/>
            </w14:solidFill>
          </w14:textFill>
        </w:rPr>
        <w:t>万元，</w:t>
      </w:r>
      <w:r>
        <w:rPr>
          <w:rFonts w:ascii="仿宋" w:hAnsi="仿宋" w:eastAsia="仿宋" w:cs="仿宋"/>
          <w:color w:val="000000" w:themeColor="text1"/>
          <w:sz w:val="32"/>
          <w:szCs w:val="32"/>
          <w:highlight w:val="none"/>
          <w14:textFill>
            <w14:solidFill>
              <w14:schemeClr w14:val="tx1"/>
            </w14:solidFill>
          </w14:textFill>
        </w:rPr>
        <w:t>增长0%</w:t>
      </w:r>
      <w:r>
        <w:rPr>
          <w:rFonts w:hint="eastAsia" w:ascii="仿宋" w:hAnsi="仿宋" w:eastAsia="仿宋" w:cs="仿宋"/>
          <w:color w:val="000000" w:themeColor="text1"/>
          <w:sz w:val="32"/>
          <w:szCs w:val="32"/>
          <w:highlight w:val="none"/>
          <w14:textFill>
            <w14:solidFill>
              <w14:schemeClr w14:val="tx1"/>
            </w14:solidFill>
          </w14:textFill>
        </w:rPr>
        <w:t>。原因是：机关运行经费支出</w:t>
      </w:r>
      <w:r>
        <w:rPr>
          <w:rFonts w:hint="eastAsia" w:ascii="仿宋" w:hAnsi="仿宋" w:eastAsia="仿宋" w:cs="仿宋"/>
          <w:color w:val="000000" w:themeColor="text1"/>
          <w:sz w:val="32"/>
          <w:szCs w:val="32"/>
          <w:highlight w:val="none"/>
          <w:lang w:eastAsia="zh-CN"/>
          <w14:textFill>
            <w14:solidFill>
              <w14:schemeClr w14:val="tx1"/>
            </w14:solidFill>
          </w14:textFill>
        </w:rPr>
        <w:t>是行政单位（含参照公务员法管理的事业单位）才有，我们没有预算也没有支出</w:t>
      </w:r>
      <w:r>
        <w:rPr>
          <w:rFonts w:hint="eastAsia" w:ascii="仿宋" w:hAnsi="仿宋" w:eastAsia="仿宋" w:cs="仿宋"/>
          <w:color w:val="000000" w:themeColor="text1"/>
          <w:sz w:val="32"/>
          <w:szCs w:val="32"/>
          <w:highlight w:val="none"/>
          <w14:textFill>
            <w14:solidFill>
              <w14:schemeClr w14:val="tx1"/>
            </w14:solidFill>
          </w14:textFill>
        </w:rPr>
        <w:t>。</w:t>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（二）政府采购支出情况说明</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本部门</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年度政府采购支出总额</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万元，其中：政府采购货物支出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万元、政府采购工程支出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万元、政府采购服务支出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万元。授予中小企业合同金额</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万元，占政府采购支出总额的</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，其中：授予小微企业合同金额</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万元，占授予中小企业合同金额的</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（三）国有资产占用情况说明</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截至</w:t>
      </w:r>
      <w:r>
        <w:rPr>
          <w:rFonts w:hint="eastAsia" w:ascii="仿宋" w:hAnsi="仿宋" w:eastAsia="仿宋" w:cs="仿宋"/>
          <w:color w:val="000000" w:themeColor="text1"/>
          <w:sz w:val="32"/>
          <w:szCs w:val="32"/>
          <w:highlight w:val="none"/>
          <w:lang w:eastAsia="zh-CN"/>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年12月31日，本部门共有车辆</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辆，其中：副部（省）级领导干部用车</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辆、机要通信用车</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辆、应急保障用车</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辆、执法执勤用车</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辆、特种专业技术用车</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辆、其他用车</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辆；单位价值50万元以上通用设备</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台（套）；单位价值</w:t>
      </w:r>
      <w:r>
        <w:rPr>
          <w:rFonts w:hint="eastAsia" w:ascii="仿宋" w:hAnsi="仿宋" w:eastAsia="仿宋" w:cs="仿宋"/>
          <w:color w:val="000000" w:themeColor="text1"/>
          <w:sz w:val="32"/>
          <w:szCs w:val="32"/>
          <w:highlight w:val="none"/>
          <w:lang w:val="en-US" w:eastAsia="zh-CN"/>
          <w14:textFill>
            <w14:solidFill>
              <w14:schemeClr w14:val="tx1"/>
            </w14:solidFill>
          </w14:textFill>
        </w:rPr>
        <w:t>100万</w:t>
      </w:r>
      <w:r>
        <w:rPr>
          <w:rFonts w:hint="eastAsia" w:ascii="仿宋" w:hAnsi="仿宋" w:eastAsia="仿宋" w:cs="仿宋"/>
          <w:color w:val="000000" w:themeColor="text1"/>
          <w:sz w:val="32"/>
          <w:szCs w:val="32"/>
          <w:highlight w:val="none"/>
          <w14:textFill>
            <w14:solidFill>
              <w14:schemeClr w14:val="tx1"/>
            </w14:solidFill>
          </w14:textFill>
        </w:rPr>
        <w:t>元以上专用设备</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台（套）。</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（四）预算绩效管理工作开展情况</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本部门尚未开展部门整体支出绩效评价试点工作。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2.部门决算中项目绩效自评结果。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我部门根据年初设定的绩效目标，</w:t>
      </w:r>
      <w:r>
        <w:rPr>
          <w:rFonts w:hint="eastAsia" w:ascii="仿宋" w:hAnsi="仿宋" w:eastAsia="仿宋" w:cs="仿宋"/>
          <w:color w:val="000000" w:themeColor="text1"/>
          <w:sz w:val="32"/>
          <w:szCs w:val="32"/>
          <w:highlight w:val="none"/>
          <w:lang w:val="en-US" w:eastAsia="zh-CN"/>
          <w14:textFill>
            <w14:solidFill>
              <w14:schemeClr w14:val="tx1"/>
            </w14:solidFill>
          </w14:textFill>
        </w:rPr>
        <w:t>班主任津贴、</w:t>
      </w:r>
      <w:r>
        <w:rPr>
          <w:rFonts w:hint="eastAsia" w:ascii="仿宋" w:hAnsi="仿宋" w:eastAsia="仿宋" w:cs="仿宋"/>
          <w:color w:val="000000" w:themeColor="text1"/>
          <w:sz w:val="32"/>
          <w:szCs w:val="32"/>
          <w:highlight w:val="none"/>
          <w14:textFill>
            <w14:solidFill>
              <w14:schemeClr w14:val="tx1"/>
            </w14:solidFill>
          </w14:textFill>
        </w:rPr>
        <w:t>奖励性补贴、教师节经费、学前教育免除保教费自治区补助资金</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普惠幼儿园奖补县本级奖补资金</w:t>
      </w:r>
      <w:r>
        <w:rPr>
          <w:rFonts w:hint="eastAsia" w:ascii="仿宋" w:hAnsi="仿宋" w:eastAsia="仿宋" w:cs="仿宋"/>
          <w:color w:val="000000" w:themeColor="text1"/>
          <w:sz w:val="32"/>
          <w:szCs w:val="32"/>
          <w:highlight w:val="none"/>
          <w:lang w:eastAsia="zh-CN"/>
          <w14:textFill>
            <w14:solidFill>
              <w14:schemeClr w14:val="tx1"/>
            </w14:solidFill>
          </w14:textFill>
        </w:rPr>
        <w:t>、普惠性民办幼儿园专职保安员配备自治区补助经费、普惠性民办幼儿园奖补自治区补助资金、普惠性民办幼儿园专职保安员配备市级补助经费</w:t>
      </w:r>
      <w:r>
        <w:rPr>
          <w:rFonts w:hint="eastAsia" w:ascii="仿宋" w:hAnsi="仿宋" w:eastAsia="仿宋" w:cs="仿宋"/>
          <w:color w:val="000000" w:themeColor="text1"/>
          <w:sz w:val="32"/>
          <w:szCs w:val="32"/>
          <w:highlight w:val="none"/>
          <w14:textFill>
            <w14:solidFill>
              <w14:schemeClr w14:val="tx1"/>
            </w14:solidFill>
          </w14:textFill>
        </w:rPr>
        <w:t>项目</w:t>
      </w:r>
      <w:r>
        <w:rPr>
          <w:rFonts w:hint="eastAsia" w:ascii="仿宋" w:hAnsi="仿宋" w:eastAsia="仿宋" w:cs="仿宋"/>
          <w:color w:val="000000" w:themeColor="text1"/>
          <w:sz w:val="32"/>
          <w:szCs w:val="32"/>
          <w:highlight w:val="none"/>
          <w:lang w:val="en-US" w:eastAsia="zh-CN"/>
          <w14:textFill>
            <w14:solidFill>
              <w14:schemeClr w14:val="tx1"/>
            </w14:solidFill>
          </w14:textFill>
        </w:rPr>
        <w:t>都已完成支付，基本上</w:t>
      </w:r>
      <w:r>
        <w:rPr>
          <w:rFonts w:hint="eastAsia" w:ascii="仿宋" w:hAnsi="仿宋" w:eastAsia="仿宋" w:cs="仿宋"/>
          <w:color w:val="000000" w:themeColor="text1"/>
          <w:sz w:val="32"/>
          <w:szCs w:val="32"/>
          <w:highlight w:val="none"/>
          <w14:textFill>
            <w14:solidFill>
              <w14:schemeClr w14:val="tx1"/>
            </w14:solidFill>
          </w14:textFill>
        </w:rPr>
        <w:t>自评得分为100分。</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年年初预算经费（保育教育费）项目自评得分为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98.03</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在项目资金预算绩效方面总体上是管理使用到位，但项目未完成预算资金使用量；二是学校报账材料整理比较慢，不能及时支付。下一步改进措施：及时整理报账材料，完善项目相关管理制度，并依照制度办事，为项目的实施提供有效的保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学前生均公用经费项目自评得分为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94.17</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未能制定相关管理制度，在项目实施方面还有待完善；二是学校报账材料整理比较慢，不能及时支付。下一步改进措施：及时整理报账材料并加强对幼儿园资金使用过程的监督和指导。</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年初预算经费（非三保）项目自评得分为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90.13</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在项目资金预算绩效方面总体上是管理使用到位，但项目未完成预算资金使用量；二是学校报账材料整理比较慢，不能及时支付。下一步改进措施：及时整理报账材料并加强对幼儿园资金使用过程的监督和指导，在项目实施方面还有待完善。</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学前教育免保教费县本级补助资金项目自评得分为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99.69</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未能制定相关管理制度，在项目实施方面还有待完善；二是学校报账材料整理比较慢，不能及时支付。下一步改进措施：及时整理报账材料，完善项目相关管理制度，并依照制度办事，为项目的实施提供有效的保障。</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学前教育免除保教费中央补助资金项目自评得分为9</w:t>
      </w:r>
      <w:r>
        <w:rPr>
          <w:rFonts w:hint="eastAsia" w:ascii="仿宋" w:hAnsi="仿宋" w:eastAsia="仿宋" w:cs="仿宋"/>
          <w:color w:val="000000" w:themeColor="text1"/>
          <w:sz w:val="32"/>
          <w:szCs w:val="32"/>
          <w:highlight w:val="none"/>
          <w:lang w:val="en-US" w:eastAsia="zh-CN"/>
          <w14:textFill>
            <w14:solidFill>
              <w14:schemeClr w14:val="tx1"/>
            </w14:solidFill>
          </w14:textFill>
        </w:rPr>
        <w:t>5.18</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未能制定相关管理制度，在项目实施方面还有待完善；二是学校报账材料整理比较慢，不能及时支付。下一步改进措施：及时整理报账材料，完善项目相关管理制度，并依照制度办事，为项目的实施提供有效的保障。</w:t>
      </w:r>
    </w:p>
    <w:p>
      <w:pPr>
        <w:ind w:firstLine="640" w:firstLineChars="200"/>
        <w:jc w:val="left"/>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普惠性民办幼儿园奖补中央补助资金项目自评得分为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84.89</w:t>
      </w:r>
      <w:r>
        <w:rPr>
          <w:rFonts w:hint="eastAsia" w:ascii="仿宋" w:hAnsi="仿宋" w:eastAsia="仿宋" w:cs="仿宋"/>
          <w:color w:val="000000" w:themeColor="text1"/>
          <w:sz w:val="32"/>
          <w:szCs w:val="32"/>
          <w:highlight w:val="none"/>
          <w14:textFill>
            <w14:solidFill>
              <w14:schemeClr w14:val="tx1"/>
            </w14:solidFill>
          </w14:textFill>
        </w:rPr>
        <w:t>分。发现的主要问题及原因：一是学校报账材料整理比较慢，不能及时支付。下一步改进措施：及时整理报账材料并加强对幼儿园资金使用过程的监督和指导，完善项目相关管理制度，并依照制度办事，为项目的实施提供有效的保障。</w:t>
      </w:r>
    </w:p>
    <w:p>
      <w:pPr>
        <w:jc w:val="left"/>
        <w:rPr>
          <w:rFonts w:hint="eastAsia" w:ascii="仿宋" w:hAnsi="仿宋" w:eastAsia="仿宋" w:cs="仿宋"/>
          <w:color w:val="000000" w:themeColor="text1"/>
          <w:sz w:val="32"/>
          <w:szCs w:val="32"/>
          <w:highlight w:val="none"/>
          <w14:textFill>
            <w14:solidFill>
              <w14:schemeClr w14:val="tx1"/>
            </w14:solidFill>
          </w14:textFill>
        </w:rPr>
      </w:pPr>
    </w:p>
    <w:p>
      <w:pPr>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第四部分  名词解释</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一、财政拨款收入：指</w:t>
      </w:r>
      <w:r>
        <w:rPr>
          <w:rFonts w:ascii="仿宋" w:hAnsi="仿宋" w:eastAsia="仿宋" w:cs="仿宋"/>
          <w:color w:val="000000" w:themeColor="text1"/>
          <w:sz w:val="32"/>
          <w:highlight w:val="none"/>
          <w:u w:color="auto"/>
          <w14:textFill>
            <w14:solidFill>
              <w14:schemeClr w14:val="tx1"/>
            </w14:solidFill>
          </w14:textFill>
        </w:rPr>
        <w:t>环江毛南族自治县财政部门当年拨付的资金。</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二、事业收入：指事业单位开展专业业务活动及辅助活动所取得的收入。</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三、经营收入：指事业单位在专业业务活动及其辅助活动之外开展非独立核算经营活动取得的收入。</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四、其他收入：指除上述“财政拨款收入”“事业收入”“经营收入”等以外的收入。</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六、年初结转和结余：指以前年度尚未完成、结转到本年 按有关规定继续使用的资金</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九、基本支出：指为保障机构正常运转、完成日常工作任务而发生的人员支出和公用支出。 </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十、项目支出：指在基本支出之外为完成特定行政任务和事业发展目标所发生的支出。 </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十一、经营支出：指事业单位在专业业务活动及其辅助活动之外开展非独立核算经营活动发生的支出。</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十二、“三公”经费：纳入</w:t>
      </w:r>
      <w:r>
        <w:rPr>
          <w:rFonts w:ascii="仿宋" w:hAnsi="仿宋" w:eastAsia="仿宋" w:cs="仿宋"/>
          <w:color w:val="000000" w:themeColor="text1"/>
          <w:sz w:val="32"/>
          <w:highlight w:val="none"/>
          <w:u w:color="auto"/>
          <w14:textFill>
            <w14:solidFill>
              <w14:schemeClr w14:val="tx1"/>
            </w14:solidFill>
          </w14:textFill>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lNWYyMjg3NzlkNTU2ZTRkODdhZWI5ODE2MzUyZWIifQ=="/>
  </w:docVars>
  <w:rsids>
    <w:rsidRoot w:val="637D7558"/>
    <w:rsid w:val="00002C84"/>
    <w:rsid w:val="00022149"/>
    <w:rsid w:val="00047F6C"/>
    <w:rsid w:val="00093C26"/>
    <w:rsid w:val="00094B91"/>
    <w:rsid w:val="000B06D8"/>
    <w:rsid w:val="000E5855"/>
    <w:rsid w:val="001418A5"/>
    <w:rsid w:val="00147D40"/>
    <w:rsid w:val="00156EF2"/>
    <w:rsid w:val="001D7B97"/>
    <w:rsid w:val="00207BC9"/>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B0770E"/>
    <w:rsid w:val="08966904"/>
    <w:rsid w:val="08D12404"/>
    <w:rsid w:val="09293C1C"/>
    <w:rsid w:val="0942143F"/>
    <w:rsid w:val="09A63F9B"/>
    <w:rsid w:val="0AB67731"/>
    <w:rsid w:val="0D100297"/>
    <w:rsid w:val="0D202B45"/>
    <w:rsid w:val="0D757F0B"/>
    <w:rsid w:val="0F8D4C87"/>
    <w:rsid w:val="10505FAA"/>
    <w:rsid w:val="105F7E7E"/>
    <w:rsid w:val="10F260A2"/>
    <w:rsid w:val="11CC3396"/>
    <w:rsid w:val="11E56B5B"/>
    <w:rsid w:val="122B27B2"/>
    <w:rsid w:val="125C77AB"/>
    <w:rsid w:val="12BE22AC"/>
    <w:rsid w:val="135A3281"/>
    <w:rsid w:val="14CB726E"/>
    <w:rsid w:val="14DE3F17"/>
    <w:rsid w:val="15924E7B"/>
    <w:rsid w:val="162419F3"/>
    <w:rsid w:val="17845499"/>
    <w:rsid w:val="17E92249"/>
    <w:rsid w:val="18D304F1"/>
    <w:rsid w:val="19F32577"/>
    <w:rsid w:val="19F45B80"/>
    <w:rsid w:val="1A162353"/>
    <w:rsid w:val="1B0C078D"/>
    <w:rsid w:val="1B2B31E2"/>
    <w:rsid w:val="1B4C295A"/>
    <w:rsid w:val="1B973C63"/>
    <w:rsid w:val="1BA1001E"/>
    <w:rsid w:val="1D0C0444"/>
    <w:rsid w:val="1D317259"/>
    <w:rsid w:val="1E664F5B"/>
    <w:rsid w:val="1E991E87"/>
    <w:rsid w:val="1EB34BE1"/>
    <w:rsid w:val="20DC3006"/>
    <w:rsid w:val="215E639F"/>
    <w:rsid w:val="21EC3183"/>
    <w:rsid w:val="22433200"/>
    <w:rsid w:val="2245341D"/>
    <w:rsid w:val="225E72CD"/>
    <w:rsid w:val="232966B0"/>
    <w:rsid w:val="23636F06"/>
    <w:rsid w:val="237C3833"/>
    <w:rsid w:val="23F0560A"/>
    <w:rsid w:val="246E2F77"/>
    <w:rsid w:val="246F1955"/>
    <w:rsid w:val="24E76F3C"/>
    <w:rsid w:val="254B4E2B"/>
    <w:rsid w:val="283D7C94"/>
    <w:rsid w:val="28B92CF0"/>
    <w:rsid w:val="28DA096C"/>
    <w:rsid w:val="29480E03"/>
    <w:rsid w:val="2983634D"/>
    <w:rsid w:val="2A0F5E42"/>
    <w:rsid w:val="2BB02055"/>
    <w:rsid w:val="2C575A56"/>
    <w:rsid w:val="2C913A7E"/>
    <w:rsid w:val="2D300146"/>
    <w:rsid w:val="2F257714"/>
    <w:rsid w:val="2F3275E5"/>
    <w:rsid w:val="304271ED"/>
    <w:rsid w:val="30AA08EF"/>
    <w:rsid w:val="30D23D1C"/>
    <w:rsid w:val="31221CF5"/>
    <w:rsid w:val="31400178"/>
    <w:rsid w:val="321E3342"/>
    <w:rsid w:val="32513718"/>
    <w:rsid w:val="327759C8"/>
    <w:rsid w:val="33185FE3"/>
    <w:rsid w:val="341E587B"/>
    <w:rsid w:val="34EE2E36"/>
    <w:rsid w:val="35DC686C"/>
    <w:rsid w:val="36777241"/>
    <w:rsid w:val="37153401"/>
    <w:rsid w:val="371E78D5"/>
    <w:rsid w:val="375D2B5F"/>
    <w:rsid w:val="38976165"/>
    <w:rsid w:val="38A951DB"/>
    <w:rsid w:val="38B31605"/>
    <w:rsid w:val="39003F4F"/>
    <w:rsid w:val="3AD1189A"/>
    <w:rsid w:val="3B140C89"/>
    <w:rsid w:val="3C07002B"/>
    <w:rsid w:val="3C805325"/>
    <w:rsid w:val="3CCC7214"/>
    <w:rsid w:val="3D0D152A"/>
    <w:rsid w:val="3DB079FC"/>
    <w:rsid w:val="3DF62756"/>
    <w:rsid w:val="3F1B7587"/>
    <w:rsid w:val="3F3017D4"/>
    <w:rsid w:val="41E57B4F"/>
    <w:rsid w:val="432F26F6"/>
    <w:rsid w:val="43880F63"/>
    <w:rsid w:val="441C5A6F"/>
    <w:rsid w:val="44C44FCC"/>
    <w:rsid w:val="44CC7369"/>
    <w:rsid w:val="44DA57EF"/>
    <w:rsid w:val="45226CDA"/>
    <w:rsid w:val="457F5108"/>
    <w:rsid w:val="46951B6B"/>
    <w:rsid w:val="470E352E"/>
    <w:rsid w:val="476409E4"/>
    <w:rsid w:val="47A83982"/>
    <w:rsid w:val="47BB06BB"/>
    <w:rsid w:val="48B058A4"/>
    <w:rsid w:val="49A34401"/>
    <w:rsid w:val="4A053780"/>
    <w:rsid w:val="4A3E30AB"/>
    <w:rsid w:val="4A673681"/>
    <w:rsid w:val="4AC14DAC"/>
    <w:rsid w:val="4C404189"/>
    <w:rsid w:val="4D154C85"/>
    <w:rsid w:val="4D987FF5"/>
    <w:rsid w:val="4EB35ECE"/>
    <w:rsid w:val="508F4E24"/>
    <w:rsid w:val="51461E90"/>
    <w:rsid w:val="51463753"/>
    <w:rsid w:val="51555C64"/>
    <w:rsid w:val="5218570D"/>
    <w:rsid w:val="52553A93"/>
    <w:rsid w:val="52E361B6"/>
    <w:rsid w:val="53521F8B"/>
    <w:rsid w:val="53E22F47"/>
    <w:rsid w:val="54522FF8"/>
    <w:rsid w:val="55450629"/>
    <w:rsid w:val="560426CB"/>
    <w:rsid w:val="56692963"/>
    <w:rsid w:val="568B0F48"/>
    <w:rsid w:val="56D55E16"/>
    <w:rsid w:val="5786217B"/>
    <w:rsid w:val="590649AC"/>
    <w:rsid w:val="59337A15"/>
    <w:rsid w:val="59810274"/>
    <w:rsid w:val="5CA96A00"/>
    <w:rsid w:val="5CF730BC"/>
    <w:rsid w:val="5DFE6ACE"/>
    <w:rsid w:val="5E5F0DCE"/>
    <w:rsid w:val="5FA40A7B"/>
    <w:rsid w:val="5FD56D29"/>
    <w:rsid w:val="5FEC7F3F"/>
    <w:rsid w:val="606326E4"/>
    <w:rsid w:val="60F74BC3"/>
    <w:rsid w:val="617D3BF8"/>
    <w:rsid w:val="61841F6A"/>
    <w:rsid w:val="621C6FEF"/>
    <w:rsid w:val="623007A9"/>
    <w:rsid w:val="623C143F"/>
    <w:rsid w:val="630B60E1"/>
    <w:rsid w:val="630E47C0"/>
    <w:rsid w:val="631B1054"/>
    <w:rsid w:val="637D7558"/>
    <w:rsid w:val="644F19AC"/>
    <w:rsid w:val="65AA4920"/>
    <w:rsid w:val="65E31D0B"/>
    <w:rsid w:val="66A05667"/>
    <w:rsid w:val="67694F1E"/>
    <w:rsid w:val="68207825"/>
    <w:rsid w:val="69597934"/>
    <w:rsid w:val="6B2C553D"/>
    <w:rsid w:val="6B964DDC"/>
    <w:rsid w:val="6C1C0317"/>
    <w:rsid w:val="6C783074"/>
    <w:rsid w:val="6CE0240E"/>
    <w:rsid w:val="6D9E65C6"/>
    <w:rsid w:val="6DA81947"/>
    <w:rsid w:val="6EB66DE2"/>
    <w:rsid w:val="6ED3075F"/>
    <w:rsid w:val="6F292F4A"/>
    <w:rsid w:val="6F2A2D4B"/>
    <w:rsid w:val="6F51652A"/>
    <w:rsid w:val="6F8A0C1E"/>
    <w:rsid w:val="703F45D4"/>
    <w:rsid w:val="70B76860"/>
    <w:rsid w:val="715D6546"/>
    <w:rsid w:val="71950224"/>
    <w:rsid w:val="71BE069E"/>
    <w:rsid w:val="720A0C12"/>
    <w:rsid w:val="721B1B84"/>
    <w:rsid w:val="727B228C"/>
    <w:rsid w:val="72FD6539"/>
    <w:rsid w:val="73953409"/>
    <w:rsid w:val="73E069A3"/>
    <w:rsid w:val="73E46CBB"/>
    <w:rsid w:val="76B8500B"/>
    <w:rsid w:val="776F105A"/>
    <w:rsid w:val="78104AA8"/>
    <w:rsid w:val="782D5476"/>
    <w:rsid w:val="78C672CA"/>
    <w:rsid w:val="78E257C5"/>
    <w:rsid w:val="794B35BE"/>
    <w:rsid w:val="79A8143C"/>
    <w:rsid w:val="7B0A3A31"/>
    <w:rsid w:val="7B3360ED"/>
    <w:rsid w:val="7BDF037E"/>
    <w:rsid w:val="7BDF6C6B"/>
    <w:rsid w:val="7BF50948"/>
    <w:rsid w:val="7C64394E"/>
    <w:rsid w:val="7CB60542"/>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160.34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manualLayout>
          <c:layoutTarget val="inner"/>
          <c:xMode val="edge"/>
          <c:yMode val="edge"/>
          <c:x val="0.059968781041578"/>
          <c:y val="0.169431279620853"/>
          <c:w val="0.918177948063005"/>
          <c:h val="0.562875197472354"/>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0.35</c:v>
                </c:pt>
                <c:pt idx="1">
                  <c:v>78.38</c:v>
                </c:pt>
                <c:pt idx="2">
                  <c:v>3.47</c:v>
                </c:pt>
                <c:pt idx="3">
                  <c:v>2.46</c:v>
                </c:pt>
                <c:pt idx="4">
                  <c:v>4.02</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1.02</c:v>
                </c:pt>
                <c:pt idx="1">
                  <c:v>141.98</c:v>
                </c:pt>
                <c:pt idx="2">
                  <c:v>7.26</c:v>
                </c:pt>
                <c:pt idx="3">
                  <c:v>5.19</c:v>
                </c:pt>
                <c:pt idx="4">
                  <c:v>4.9</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1.02</c:v>
                </c:pt>
                <c:pt idx="1">
                  <c:v>1.02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7.26</c:v>
                </c:pt>
                <c:pt idx="1">
                  <c:v>7.26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5.19</c:v>
                </c:pt>
                <c:pt idx="1">
                  <c:v>5.19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4.9</c:v>
                </c:pt>
                <c:pt idx="1">
                  <c:v>4.9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27.9</c:v>
                </c:pt>
                <c:pt idx="1">
                  <c:v>6.07</c:v>
                </c:pt>
                <c:pt idx="2">
                  <c:v>16.25</c:v>
                </c:pt>
                <c:pt idx="3">
                  <c:v>0</c:v>
                </c:pt>
                <c:pt idx="4">
                  <c:v>12.18</c:v>
                </c:pt>
                <c:pt idx="5">
                  <c:v>7.26</c:v>
                </c:pt>
                <c:pt idx="6">
                  <c:v>0</c:v>
                </c:pt>
                <c:pt idx="7">
                  <c:v>3.05</c:v>
                </c:pt>
                <c:pt idx="8">
                  <c:v>0</c:v>
                </c:pt>
                <c:pt idx="9">
                  <c:v>0.36</c:v>
                </c:pt>
                <c:pt idx="10">
                  <c:v>5.19</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1.02</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1225</Words>
  <Characters>1267</Characters>
  <Lines>90</Lines>
  <Paragraphs>25</Paragraphs>
  <TotalTime>3</TotalTime>
  <ScaleCrop>false</ScaleCrop>
  <LinksUpToDate>false</LinksUpToDate>
  <CharactersWithSpaces>1271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2023-11-23T09:21:00Z</cp:lastPrinted>
  <dcterms:modified xsi:type="dcterms:W3CDTF">2024-12-31T16:23:50Z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9D52542D8A154AB19372860D461AB648_13</vt:lpwstr>
  </property>
</Properties>
</file>