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环江毛南族自治县大安乡中心幼儿园202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both"/>
        <w:rPr>
          <w:rFonts w:ascii="仿宋" w:hAnsi="仿宋" w:eastAsia="仿宋" w:cs="仿宋"/>
          <w:sz w:val="32"/>
          <w:szCs w:val="32"/>
          <w:highlight w:val="none"/>
        </w:rPr>
      </w:pPr>
    </w:p>
    <w:p>
      <w:pPr>
        <w:jc w:val="center"/>
        <w:rPr>
          <w:rFonts w:hint="default"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单位负责人：蒙甲秀</w:t>
      </w:r>
    </w:p>
    <w:p>
      <w:pPr>
        <w:jc w:val="center"/>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环江毛南族自治县大安乡中心幼儿园</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环江毛南族自治县大安乡中心幼儿园</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环江毛南族自治县大安乡中心幼儿园</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2023年</w:t>
      </w:r>
      <w:r>
        <w:rPr>
          <w:rFonts w:hint="eastAsia" w:ascii="仿宋_GB2312" w:eastAsia="仿宋_GB2312" w:cs="仿宋_GB2312"/>
          <w:kern w:val="0"/>
          <w:sz w:val="32"/>
          <w:szCs w:val="32"/>
          <w:highlight w:val="none"/>
        </w:rPr>
        <w:t>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2023年</w:t>
      </w:r>
      <w:r>
        <w:rPr>
          <w:rFonts w:hint="eastAsia" w:ascii="仿宋_GB2312" w:eastAsia="仿宋_GB2312" w:cs="仿宋_GB2312"/>
          <w:kern w:val="0"/>
          <w:sz w:val="32"/>
          <w:szCs w:val="32"/>
          <w:highlight w:val="none"/>
        </w:rPr>
        <w:t>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2023年</w:t>
      </w:r>
      <w:r>
        <w:rPr>
          <w:rFonts w:hint="eastAsia" w:ascii="仿宋_GB2312" w:eastAsia="仿宋_GB2312" w:cs="仿宋_GB2312"/>
          <w:kern w:val="0"/>
          <w:sz w:val="32"/>
          <w:szCs w:val="32"/>
          <w:highlight w:val="none"/>
        </w:rPr>
        <w:t>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2023年</w:t>
      </w:r>
      <w:r>
        <w:rPr>
          <w:rFonts w:hint="eastAsia" w:ascii="仿宋_GB2312" w:eastAsia="仿宋_GB2312" w:cs="仿宋_GB2312"/>
          <w:kern w:val="0"/>
          <w:sz w:val="32"/>
          <w:szCs w:val="32"/>
          <w:highlight w:val="none"/>
        </w:rPr>
        <w:t>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2023年</w:t>
      </w:r>
      <w:r>
        <w:rPr>
          <w:rFonts w:hint="eastAsia" w:ascii="仿宋_GB2312" w:eastAsia="仿宋_GB2312" w:cs="仿宋_GB2312"/>
          <w:kern w:val="0"/>
          <w:sz w:val="32"/>
          <w:szCs w:val="32"/>
          <w:highlight w:val="none"/>
        </w:rPr>
        <w:t>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环江毛南族自治县大安乡中心幼儿园</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（一）贯彻执行党和国家的教育方针、政策和法律法规；拟订全园教育改革与发展规划并组织实施。</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（二）编制本园教育事业发展规划并检查实施情况，向自治县人民政府和上级教育部门作出报告。</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（三）督促检查全园贯彻执行教育方针、政策、法令、法规和上级的各项规定；评估指导全园教育教学工作。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（四）负责推进幼儿教育均衡发展和促进教育公平。</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（五）负责全园人才队伍和教师队伍建设，包括园长岗位培训、后备干部队伍建设、教师学历教育、继续教育等。</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（六）负责组织全园做好学籍管理工作。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（七）按照中央关于全面推进素质教育要求，负责教育教学管理、教育教学改革及教育教学科学研究工作，检查指导全园实施素质教育工作，并组织推广先进的教育教学经验。</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（八）检查指导</w:t>
      </w:r>
      <w:r>
        <w:rPr>
          <w:rFonts w:hint="eastAsia" w:ascii="仿宋" w:hAnsi="仿宋" w:eastAsia="仿宋" w:cs="仿宋"/>
          <w:color w:val="auto"/>
          <w:sz w:val="32"/>
          <w:szCs w:val="32"/>
          <w:lang w:val="en-US" w:eastAsia="zh-CN"/>
        </w:rPr>
        <w:t>本园</w:t>
      </w:r>
      <w:r>
        <w:rPr>
          <w:rFonts w:hint="eastAsia" w:ascii="仿宋" w:hAnsi="仿宋" w:eastAsia="仿宋" w:cs="仿宋"/>
          <w:color w:val="auto"/>
          <w:sz w:val="32"/>
          <w:szCs w:val="32"/>
        </w:rPr>
        <w:t>教育教学设备的装备、管理和使用工作。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（九）检查指导全园开展电化教育和信息化教学工作。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（十）负责全园教师初级专业技术职务资格的评审，中、高级专业技术职务资格的申报工作。按照管理权限对教师进行考核、聘任、奖惩、晋升等工作。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（十一）负责监督审计全园教育经费和教育基建经费拨付及教育附加费和教育费附加的征收、管理与使用工作。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（十二）负责指导全园学生资助管理工作。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（十三）负责语言文字和指导推广普通话工作。</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（十四）完成上级部门交办的其他工作。</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我部门没有下属单位，按照部门决算编报要求，单独编制本部门决算。</w:t>
      </w:r>
    </w:p>
    <w:p>
      <w:pPr>
        <w:ind w:firstLine="640" w:firstLineChars="200"/>
        <w:jc w:val="left"/>
        <w:rPr>
          <w:rFonts w:hint="eastAsia" w:ascii="仿宋" w:hAnsi="仿宋" w:eastAsia="仿宋" w:cs="仿宋"/>
          <w:sz w:val="32"/>
          <w:szCs w:val="32"/>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环江毛南族自治县大安乡中心幼儿园</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1549"/>
        <w:gridCol w:w="3351"/>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4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35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rPr>
          <w:trHeight w:val="301" w:hRule="atLeast"/>
        </w:trPr>
        <w:tc>
          <w:tcPr>
            <w:tcW w:w="6485"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3351"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64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74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164.99</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1.36</w:t>
            </w:r>
          </w:p>
        </w:tc>
      </w:tr>
      <w:tr>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140.63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9.17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6.48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7.35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164.99</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164.99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164.99</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164.99</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164.99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164.99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1.36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1.36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学前教育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140.63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140.63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9.17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9.17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6.48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6.48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7.35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7.35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164.99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96.41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68.58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1.36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1.36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学前教育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140.63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72.05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color w:val="000000"/>
                <w:sz w:val="22"/>
                <w:szCs w:val="22"/>
                <w:highlight w:val="none"/>
                <w:lang w:eastAsia="zh-CN"/>
              </w:rPr>
              <w:t>68.58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9.17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9.17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6.48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6.48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7.35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7.35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5" w:type="pct"/>
        <w:jc w:val="center"/>
        <w:tblLayout w:type="fixed"/>
        <w:tblCellMar>
          <w:top w:w="0" w:type="dxa"/>
          <w:left w:w="108" w:type="dxa"/>
          <w:bottom w:w="0" w:type="dxa"/>
          <w:right w:w="108" w:type="dxa"/>
        </w:tblCellMar>
      </w:tblPr>
      <w:tblGrid>
        <w:gridCol w:w="1994"/>
        <w:gridCol w:w="825"/>
        <w:gridCol w:w="1189"/>
        <w:gridCol w:w="2658"/>
        <w:gridCol w:w="717"/>
        <w:gridCol w:w="1224"/>
        <w:gridCol w:w="1773"/>
        <w:gridCol w:w="1803"/>
        <w:gridCol w:w="1894"/>
      </w:tblGrid>
      <w:tr>
        <w:tblPrEx>
          <w:tblCellMar>
            <w:top w:w="0" w:type="dxa"/>
            <w:left w:w="108" w:type="dxa"/>
            <w:bottom w:w="0" w:type="dxa"/>
            <w:right w:w="108" w:type="dxa"/>
          </w:tblCellMar>
        </w:tblPrEx>
        <w:trPr>
          <w:trHeight w:val="520" w:hRule="atLeast"/>
          <w:jc w:val="center"/>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jc w:val="center"/>
        </w:trPr>
        <w:tc>
          <w:tcPr>
            <w:tcW w:w="70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2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4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5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3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jc w:val="center"/>
        </w:trPr>
        <w:tc>
          <w:tcPr>
            <w:tcW w:w="3057"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jc w:val="center"/>
        </w:trPr>
        <w:tc>
          <w:tcPr>
            <w:tcW w:w="142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576"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jc w:val="center"/>
        </w:trPr>
        <w:tc>
          <w:tcPr>
            <w:tcW w:w="7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9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3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jc w:val="center"/>
        </w:trPr>
        <w:tc>
          <w:tcPr>
            <w:tcW w:w="7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3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164.99</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1.36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1.36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140.63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140.63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9.17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9.17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6.48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6.48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7.35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7.35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164.99</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164.99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164.99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164.99</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164.99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164.99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jc w:val="center"/>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164.99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96.41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68.58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1.36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1.36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学前教育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140.63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72.05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color w:val="000000"/>
                <w:sz w:val="22"/>
                <w:szCs w:val="22"/>
                <w:highlight w:val="none"/>
                <w:lang w:eastAsia="zh-CN"/>
              </w:rPr>
              <w:t>68.58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9.17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9.17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6.48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6.48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7.35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7.35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004"/>
        <w:gridCol w:w="1050"/>
        <w:gridCol w:w="2426"/>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0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2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1004"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35"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95.05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1.36</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33.05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7.22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19.32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15.54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9.17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3.81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0.45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6.48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1.36</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eastAsia="zh-CN" w:bidi="ar"/>
              </w:rPr>
              <w:t>95.05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1.36</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2023年</w:t>
            </w:r>
            <w:r>
              <w:rPr>
                <w:rFonts w:hint="eastAsia" w:ascii="宋体" w:hAnsi="宋体" w:eastAsia="宋体" w:cs="宋体"/>
                <w:color w:val="auto"/>
                <w:kern w:val="2"/>
                <w:sz w:val="21"/>
                <w:szCs w:val="21"/>
                <w:lang w:val="en-US" w:eastAsia="zh-CN" w:bidi="ar"/>
              </w:rPr>
              <w:t>度没有政府性基金预算财政拨款收入，也没有政府性基金预算财政拨款安排的支出，故本表无数据。</w:t>
            </w:r>
            <w:r>
              <w:rPr>
                <w:rFonts w:hint="eastAsia" w:ascii="Times New Roman" w:hAnsi="Times New Roman" w:eastAsia="宋体" w:cs="Times New Roman"/>
                <w:color w:val="auto"/>
                <w:kern w:val="2"/>
                <w:sz w:val="21"/>
                <w:szCs w:val="21"/>
                <w:lang w:val="en-US" w:eastAsia="zh-CN" w:bidi="ar"/>
              </w:rPr>
              <w:t xml:space="preserve"> </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2023年</w:t>
      </w:r>
      <w:r>
        <w:rPr>
          <w:rFonts w:hint="eastAsia" w:ascii="宋体" w:hAnsi="宋体" w:eastAsia="宋体" w:cs="宋体"/>
          <w:color w:val="auto"/>
          <w:kern w:val="2"/>
          <w:sz w:val="21"/>
          <w:szCs w:val="21"/>
          <w:lang w:val="en-US" w:eastAsia="zh-CN" w:bidi="ar"/>
        </w:rPr>
        <w:t>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2023年</w:t>
            </w:r>
            <w:r>
              <w:rPr>
                <w:rFonts w:hint="eastAsia" w:ascii="宋体" w:hAnsi="宋体" w:eastAsia="宋体" w:cs="宋体"/>
                <w:color w:val="auto"/>
                <w:kern w:val="2"/>
                <w:sz w:val="21"/>
                <w:szCs w:val="21"/>
                <w:lang w:val="en-US" w:eastAsia="zh-CN" w:bidi="ar"/>
              </w:rPr>
              <w:t xml:space="preserve">度没有财政拨款“三公”经费收入，也没有财政拨款“三公”经费安排的支出，故本表无数据。  </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环江毛南族自治县大安乡中心幼儿园</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度总收入</w:t>
      </w:r>
      <w:r>
        <w:rPr>
          <w:rFonts w:hint="eastAsia" w:ascii="仿宋" w:hAnsi="仿宋" w:eastAsia="仿宋" w:cs="仿宋"/>
          <w:sz w:val="32"/>
          <w:u w:color="auto"/>
          <w:lang w:eastAsia="zh-CN"/>
        </w:rPr>
        <w:t>164.99</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u w:color="auto"/>
        </w:rPr>
        <w:t>增加</w:t>
      </w:r>
      <w:r>
        <w:rPr>
          <w:rFonts w:hint="eastAsia" w:ascii="仿宋" w:hAnsi="仿宋" w:eastAsia="仿宋" w:cs="仿宋"/>
          <w:sz w:val="32"/>
          <w:u w:color="auto"/>
          <w:lang w:eastAsia="zh-CN"/>
        </w:rPr>
        <w:t>4.12</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eastAsia="zh-CN"/>
        </w:rPr>
        <w:t>2.56%</w:t>
      </w:r>
      <w:r>
        <w:rPr>
          <w:rFonts w:hint="eastAsia" w:ascii="仿宋" w:hAnsi="仿宋" w:eastAsia="仿宋" w:cs="仿宋"/>
          <w:sz w:val="32"/>
          <w:szCs w:val="32"/>
          <w:highlight w:val="none"/>
        </w:rPr>
        <w:t>，其中本年收入</w:t>
      </w:r>
      <w:r>
        <w:rPr>
          <w:rFonts w:hint="eastAsia" w:ascii="仿宋" w:hAnsi="仿宋" w:eastAsia="仿宋" w:cs="仿宋"/>
          <w:sz w:val="32"/>
          <w:u w:color="auto"/>
          <w:lang w:eastAsia="zh-CN"/>
        </w:rPr>
        <w:t>164.99</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eastAsia="zh-CN"/>
        </w:rPr>
        <w:t>164.99</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u w:color="auto"/>
        </w:rPr>
        <w:t>增加</w:t>
      </w:r>
      <w:r>
        <w:rPr>
          <w:rFonts w:hint="eastAsia" w:ascii="仿宋" w:hAnsi="仿宋" w:eastAsia="仿宋" w:cs="仿宋"/>
          <w:sz w:val="32"/>
          <w:u w:color="auto"/>
          <w:lang w:eastAsia="zh-CN"/>
        </w:rPr>
        <w:t>4.12</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eastAsia="zh-CN"/>
        </w:rPr>
        <w:t>2.56%</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人员变动工资福利增加。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val="en-US"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w:t>
      </w:r>
      <w:r>
        <w:rPr>
          <w:rFonts w:ascii="仿宋" w:hAnsi="仿宋" w:eastAsia="仿宋" w:cs="仿宋"/>
          <w:color w:val="auto"/>
          <w:sz w:val="32"/>
          <w:u w:color="auto"/>
        </w:rPr>
        <w:t>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color w:val="auto"/>
          <w:kern w:val="2"/>
          <w:sz w:val="32"/>
          <w:szCs w:val="32"/>
          <w:highlight w:val="none"/>
          <w:lang w:val="en-US" w:eastAsia="zh-CN" w:bidi="ar"/>
        </w:rPr>
        <w:t>4.上级补助收入</w:t>
      </w:r>
      <w:r>
        <w:rPr>
          <w:rFonts w:ascii="仿宋" w:hAnsi="仿宋" w:eastAsia="仿宋" w:cs="仿宋"/>
          <w:color w:val="auto"/>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115310"/>
            <wp:effectExtent l="4445" t="4445" r="20955" b="234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度总支出</w:t>
      </w:r>
      <w:r>
        <w:rPr>
          <w:rFonts w:hint="eastAsia" w:ascii="仿宋" w:hAnsi="仿宋" w:eastAsia="仿宋" w:cs="仿宋"/>
          <w:sz w:val="32"/>
          <w:u w:color="auto"/>
          <w:lang w:eastAsia="zh-CN"/>
        </w:rPr>
        <w:t>164.99</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eastAsia="zh-CN"/>
        </w:rPr>
        <w:t>164.99</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u w:color="auto"/>
        </w:rPr>
        <w:t>增加</w:t>
      </w:r>
      <w:r>
        <w:rPr>
          <w:rFonts w:hint="eastAsia" w:ascii="仿宋" w:hAnsi="仿宋" w:eastAsia="仿宋" w:cs="仿宋"/>
          <w:sz w:val="32"/>
          <w:u w:color="auto"/>
          <w:lang w:eastAsia="zh-CN"/>
        </w:rPr>
        <w:t>4.12</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eastAsia="zh-CN"/>
        </w:rPr>
        <w:t>2.56%</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bidi="ar"/>
        </w:rPr>
        <w:t>1.36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auto"/>
          <w:sz w:val="32"/>
          <w:szCs w:val="32"/>
          <w:highlight w:val="none"/>
          <w:lang w:val="en-US" w:eastAsia="zh-CN"/>
        </w:rPr>
        <w:t>主要用于群众团体事务。</w:t>
      </w:r>
      <w:r>
        <w:rPr>
          <w:rFonts w:hint="eastAsia" w:ascii="仿宋" w:hAnsi="仿宋" w:eastAsia="仿宋" w:cs="仿宋"/>
          <w:color w:val="auto"/>
          <w:sz w:val="32"/>
          <w:szCs w:val="32"/>
          <w:highlight w:val="none"/>
        </w:rPr>
        <w:t>较</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eastAsia="zh-CN" w:bidi="ar"/>
        </w:rPr>
        <w:t>1.36</w:t>
      </w:r>
      <w:r>
        <w:rPr>
          <w:rFonts w:hint="eastAsia" w:ascii="仿宋" w:hAnsi="仿宋" w:eastAsia="仿宋" w:cs="仿宋"/>
          <w:color w:val="auto"/>
          <w:sz w:val="32"/>
          <w:szCs w:val="32"/>
          <w:highlight w:val="none"/>
        </w:rPr>
        <w:t>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bidi="ar"/>
        </w:rPr>
        <w:t>增长100%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人员变动。</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bidi="ar"/>
        </w:rPr>
        <w:t>140.63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主要用于人员基本工资，商品服务支出。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eastAsia="zh-CN" w:bidi="ar"/>
        </w:rPr>
        <w:t>减少</w:t>
      </w:r>
      <w:r>
        <w:rPr>
          <w:rFonts w:hint="eastAsia" w:ascii="仿宋" w:hAnsi="仿宋" w:eastAsia="仿宋" w:cs="仿宋"/>
          <w:sz w:val="32"/>
          <w:szCs w:val="32"/>
          <w:highlight w:val="none"/>
          <w:lang w:val="en-US" w:eastAsia="zh-CN" w:bidi="ar"/>
        </w:rPr>
        <w:t>5.88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减少</w:t>
      </w:r>
      <w:r>
        <w:rPr>
          <w:rFonts w:hint="eastAsia" w:ascii="仿宋" w:hAnsi="仿宋" w:eastAsia="仿宋" w:cs="仿宋"/>
          <w:sz w:val="32"/>
          <w:szCs w:val="32"/>
          <w:highlight w:val="none"/>
          <w:lang w:val="en-US" w:eastAsia="zh-CN" w:bidi="ar"/>
        </w:rPr>
        <w:t>4.01%</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2023年聘用教师减少4人。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bidi="ar"/>
        </w:rPr>
        <w:t>9.17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主要用于住房公积金缴费</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5.08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120.21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 xml:space="preserve">是2023年公招新进4人，主要用于单位基本养老缴费。  </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bidi="ar"/>
        </w:rPr>
        <w:t>6.48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主要用于住房公积金缴费</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增长83.01%</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2023年公招新进5人。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bidi="ar"/>
        </w:rPr>
        <w:t>7.35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：人员工资福利。</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bidi="ar"/>
        </w:rPr>
        <w:t>增加4.07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增长138.44%</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2023年公招新进5人。</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val="en-US"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2022年</w:t>
      </w:r>
      <w:r>
        <w:rPr>
          <w:rFonts w:hint="default" w:ascii="仿宋_GB2312" w:hAnsi="微软雅黑" w:eastAsia="仿宋_GB2312" w:cs="仿宋_GB2312"/>
          <w:i w:val="0"/>
          <w:iCs w:val="0"/>
          <w:caps w:val="0"/>
          <w:color w:val="000000"/>
          <w:spacing w:val="0"/>
          <w:sz w:val="31"/>
          <w:szCs w:val="31"/>
          <w:highlight w:val="none"/>
          <w:shd w:val="clear" w:color="auto" w:fill="FFFFFF"/>
        </w:rPr>
        <w:t>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color w:val="000000"/>
          <w:sz w:val="31"/>
          <w:szCs w:val="31"/>
          <w:highlight w:val="none"/>
          <w:shd w:val="clear" w:color="auto" w:fill="FFFFFF"/>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u w:color="auto"/>
          <w:lang w:eastAsia="zh-CN"/>
        </w:rPr>
        <w:t>。</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20955" b="20955"/>
            <wp:docPr id="1" name="图表 1"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环江毛南族自治县大安乡中心幼儿园</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度一般公共预算财政拨款支出</w:t>
      </w:r>
      <w:r>
        <w:rPr>
          <w:rFonts w:hint="eastAsia" w:ascii="仿宋" w:hAnsi="仿宋" w:eastAsia="仿宋" w:cs="仿宋"/>
          <w:sz w:val="32"/>
          <w:u w:color="auto"/>
          <w:lang w:eastAsia="zh-CN"/>
        </w:rPr>
        <w:t>164.99</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u w:color="auto"/>
        </w:rPr>
        <w:t>增加</w:t>
      </w:r>
      <w:r>
        <w:rPr>
          <w:rFonts w:hint="eastAsia" w:ascii="仿宋" w:hAnsi="仿宋" w:eastAsia="仿宋" w:cs="仿宋"/>
          <w:sz w:val="32"/>
          <w:u w:color="auto"/>
          <w:lang w:eastAsia="zh-CN"/>
        </w:rPr>
        <w:t>4.12</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eastAsia="zh-CN"/>
        </w:rPr>
        <w:t>2.56%</w:t>
      </w:r>
      <w:r>
        <w:rPr>
          <w:rFonts w:hint="eastAsia" w:ascii="仿宋" w:hAnsi="仿宋" w:eastAsia="仿宋" w:cs="仿宋"/>
          <w:sz w:val="32"/>
          <w:szCs w:val="32"/>
          <w:highlight w:val="none"/>
        </w:rPr>
        <w:t>。其中：基本支出</w:t>
      </w:r>
      <w:r>
        <w:rPr>
          <w:rFonts w:hint="eastAsia" w:ascii="仿宋" w:hAnsi="仿宋" w:eastAsia="仿宋" w:cs="仿宋"/>
          <w:sz w:val="32"/>
          <w:u w:color="auto"/>
          <w:lang w:eastAsia="zh-CN"/>
        </w:rPr>
        <w:t>96.41</w:t>
      </w:r>
      <w:r>
        <w:rPr>
          <w:rFonts w:hint="eastAsia" w:ascii="仿宋" w:hAnsi="仿宋" w:eastAsia="仿宋" w:cs="仿宋"/>
          <w:sz w:val="32"/>
          <w:szCs w:val="32"/>
          <w:highlight w:val="none"/>
        </w:rPr>
        <w:t>万元，项目支出</w:t>
      </w:r>
      <w:r>
        <w:rPr>
          <w:rFonts w:hint="eastAsia" w:ascii="仿宋" w:hAnsi="仿宋" w:eastAsia="仿宋" w:cs="仿宋"/>
          <w:sz w:val="32"/>
          <w:u w:color="auto"/>
          <w:lang w:eastAsia="zh-CN"/>
        </w:rPr>
        <w:t>68.58</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环江毛南族自治县大安乡中心幼儿园202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共预算财政拨款支出年初预算为</w:t>
      </w:r>
      <w:r>
        <w:rPr>
          <w:rFonts w:hint="eastAsia" w:ascii="仿宋" w:hAnsi="仿宋" w:eastAsia="仿宋" w:cs="仿宋"/>
          <w:sz w:val="32"/>
          <w:u w:color="auto"/>
          <w:lang w:val="en-US" w:eastAsia="zh-CN"/>
        </w:rPr>
        <w:t>176.82</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eastAsia="zh-CN"/>
        </w:rPr>
        <w:t>164.99</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93.31</w:t>
      </w:r>
      <w:r>
        <w:rPr>
          <w:rFonts w:ascii="仿宋" w:hAnsi="仿宋" w:eastAsia="仿宋" w:cs="仿宋"/>
          <w:sz w:val="32"/>
          <w:u w:color="auto"/>
        </w:rPr>
        <w:t>%</w:t>
      </w:r>
      <w:r>
        <w:rPr>
          <w:rFonts w:hint="eastAsia" w:ascii="仿宋" w:hAnsi="仿宋" w:eastAsia="仿宋" w:cs="仿宋"/>
          <w:sz w:val="32"/>
          <w:szCs w:val="32"/>
          <w:highlight w:val="none"/>
        </w:rPr>
        <w:t>。</w:t>
      </w:r>
    </w:p>
    <w:p>
      <w:pPr>
        <w:jc w:val="left"/>
        <w:rPr>
          <w:rFonts w:ascii="仿宋" w:hAnsi="仿宋" w:eastAsia="仿宋"/>
          <w:sz w:val="32"/>
          <w:szCs w:val="32"/>
          <w:highlight w:val="none"/>
        </w:rPr>
      </w:pPr>
      <w:bookmarkStart w:id="3" w:name="OLE_LINK2"/>
      <w:bookmarkEnd w:id="3"/>
      <w:r>
        <w:rPr>
          <w:rFonts w:hint="eastAsia" w:ascii="仿宋" w:hAnsi="仿宋" w:eastAsia="仿宋"/>
          <w:sz w:val="32"/>
          <w:szCs w:val="32"/>
          <w:highlight w:val="none"/>
        </w:rPr>
        <w:t xml:space="preserve"> </w:t>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eastAsia="zh-CN"/>
        </w:rPr>
        <w:t>1.36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eastAsia="zh-CN"/>
        </w:rPr>
        <w:t>1.36</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无差异</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drawing>
          <wp:inline distT="0" distB="0" distL="114300" distR="114300">
            <wp:extent cx="4608830" cy="3389630"/>
            <wp:effectExtent l="0" t="0" r="127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4608830" cy="3389630"/>
                    </a:xfrm>
                    <a:prstGeom prst="rect">
                      <a:avLst/>
                    </a:prstGeom>
                    <a:noFill/>
                    <a:ln>
                      <a:noFill/>
                    </a:ln>
                  </pic:spPr>
                </pic:pic>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155.82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eastAsia="zh-CN"/>
        </w:rPr>
        <w:t>140.63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90.25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olor w:val="auto"/>
          <w:sz w:val="32"/>
          <w:szCs w:val="32"/>
          <w:highlight w:val="none"/>
          <w:lang w:val="en-US" w:eastAsia="zh-CN"/>
        </w:rPr>
        <w:t>：</w:t>
      </w:r>
      <w:r>
        <w:rPr>
          <w:rFonts w:hint="eastAsia" w:ascii="仿宋" w:hAnsi="仿宋" w:eastAsia="仿宋" w:cs="仿宋"/>
          <w:color w:val="auto"/>
          <w:kern w:val="2"/>
          <w:sz w:val="32"/>
          <w:szCs w:val="32"/>
          <w:highlight w:val="none"/>
          <w:lang w:val="en-US" w:eastAsia="zh-CN" w:bidi="ar"/>
        </w:rPr>
        <w:t>主要用于人员基本工资，商品服务支出。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155.82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140.63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90.25%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rPr>
              <w:t>人员</w:t>
            </w:r>
            <w:r>
              <w:rPr>
                <w:rFonts w:hint="eastAsia"/>
                <w:lang w:val="en-US" w:eastAsia="zh-CN"/>
              </w:rPr>
              <w:t>工资</w:t>
            </w:r>
            <w:r>
              <w:rPr>
                <w:rFonts w:hint="eastAsia"/>
              </w:rPr>
              <w:t>，商品服务支出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年初预算数编高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155.82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140.63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90.25%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rPr>
              <w:t>人员工资，商品服务支出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11.22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eastAsia="zh-CN"/>
        </w:rPr>
        <w:t>9.17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81.73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i w:val="0"/>
          <w:iCs w:val="0"/>
          <w:color w:val="auto"/>
          <w:sz w:val="32"/>
          <w:szCs w:val="32"/>
          <w:highlight w:val="none"/>
          <w:u w:val="none"/>
          <w:lang w:val="en-US" w:eastAsia="zh-CN"/>
        </w:rPr>
        <w:t>实际缴费基数比预算基数低。</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11.22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9.17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81.73%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缴</w:t>
            </w:r>
            <w:r>
              <w:rPr>
                <w:rFonts w:hint="eastAsia" w:ascii="宋体" w:hAnsi="宋体" w:eastAsia="宋体" w:cs="宋体"/>
                <w:i w:val="0"/>
                <w:iCs w:val="0"/>
                <w:color w:val="auto"/>
                <w:sz w:val="18"/>
                <w:szCs w:val="18"/>
                <w:highlight w:val="none"/>
                <w:u w:val="none"/>
                <w:lang w:val="en-US" w:eastAsia="zh-CN"/>
              </w:rPr>
              <w:t>纳职工</w:t>
            </w:r>
            <w:r>
              <w:rPr>
                <w:rFonts w:hint="default" w:ascii="宋体" w:hAnsi="宋体" w:eastAsia="宋体" w:cs="宋体"/>
                <w:i w:val="0"/>
                <w:iCs w:val="0"/>
                <w:color w:val="auto"/>
                <w:sz w:val="18"/>
                <w:szCs w:val="18"/>
                <w:highlight w:val="none"/>
                <w:u w:val="none"/>
                <w:lang w:val="en-US" w:eastAsia="zh-CN"/>
              </w:rPr>
              <w:t>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实际缴费基数比预算基数低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11.22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9.17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sz w:val="18"/>
                <w:szCs w:val="18"/>
              </w:rPr>
              <w:t>缴</w:t>
            </w:r>
            <w:r>
              <w:rPr>
                <w:rFonts w:hint="eastAsia"/>
                <w:sz w:val="18"/>
                <w:szCs w:val="18"/>
                <w:lang w:val="en-US" w:eastAsia="zh-CN"/>
              </w:rPr>
              <w:t>纳职工</w:t>
            </w:r>
            <w:r>
              <w:rPr>
                <w:rFonts w:hint="eastAsia"/>
                <w:sz w:val="18"/>
                <w:szCs w:val="18"/>
              </w:rPr>
              <w:t>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实际缴费基数比预算基数低</w:t>
            </w:r>
            <w:r>
              <w:rPr>
                <w:rFonts w:hint="eastAsia"/>
                <w:sz w:val="18"/>
                <w:szCs w:val="18"/>
              </w:rPr>
              <w:tab/>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eastAsia="zh-CN"/>
        </w:rPr>
        <w:t>6.48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eastAsia="zh-CN"/>
        </w:rPr>
        <w:t>6.48</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2023年公招新进5人，主要用于单位基本养老缴费。</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6.48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76.96%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按规定的比例计缴的住房公积金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实际缴费基数低于预算基数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6.48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6.48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按规定的比例计缴的住房公积金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bookmarkStart w:id="6" w:name="_GoBack"/>
            <w:bookmarkEnd w:id="6"/>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eastAsia="zh-CN"/>
        </w:rPr>
        <w:t>7.35</w:t>
      </w:r>
      <w:r>
        <w:rPr>
          <w:rFonts w:hint="eastAsia" w:ascii="仿宋" w:hAnsi="仿宋" w:eastAsia="仿宋"/>
          <w:sz w:val="32"/>
          <w:szCs w:val="32"/>
          <w:highlight w:val="none"/>
        </w:rPr>
        <w:t>万元，</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sz w:val="32"/>
          <w:szCs w:val="32"/>
          <w:lang w:val="en-US" w:eastAsia="zh-CN"/>
        </w:rPr>
        <w:t>此部分资金每年上级部门都有预算，直接下达，本部门无需做预算。</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7.35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sz w:val="21"/>
                <w:szCs w:val="21"/>
              </w:rPr>
              <w:t>用于人员</w:t>
            </w:r>
            <w:r>
              <w:rPr>
                <w:rFonts w:hint="eastAsia" w:ascii="仿宋" w:hAnsi="仿宋" w:eastAsia="仿宋" w:cs="仿宋"/>
                <w:sz w:val="21"/>
                <w:szCs w:val="21"/>
                <w:lang w:val="en-US" w:eastAsia="zh-CN"/>
              </w:rPr>
              <w:t>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sz w:val="21"/>
                <w:szCs w:val="21"/>
              </w:rPr>
              <w:tab/>
            </w:r>
            <w:r>
              <w:rPr>
                <w:rFonts w:hint="eastAsia" w:ascii="仿宋" w:hAnsi="仿宋" w:eastAsia="仿宋" w:cs="仿宋"/>
                <w:sz w:val="21"/>
                <w:szCs w:val="21"/>
                <w:lang w:val="en-US" w:eastAsia="zh-CN"/>
              </w:rPr>
              <w:t>此部分资金每年上级部门都有预算，直接下达，本部门无需做预算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7.35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rPr>
              <w:tab/>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环江毛南族自治县大安乡中心幼儿园</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度一般公共预算财政拨款基本支出</w:t>
      </w:r>
      <w:r>
        <w:rPr>
          <w:rFonts w:hint="eastAsia" w:ascii="仿宋" w:hAnsi="仿宋" w:eastAsia="仿宋" w:cs="仿宋"/>
          <w:sz w:val="32"/>
          <w:u w:color="auto"/>
          <w:lang w:eastAsia="zh-CN"/>
        </w:rPr>
        <w:t>96.41</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eastAsia="zh-CN"/>
        </w:rPr>
        <w:t>95.05</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eastAsia="zh-CN"/>
        </w:rPr>
        <w:t>1.36</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eastAsia="zh-CN"/>
        </w:rPr>
        <w:t>95.05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135.02%</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：2023年公招新进5人。</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33.05万元，30102津贴补贴7.22万元，30103奖金19.32万元，30107绩效工资15.54万元，30108机关事业单位基本养老保险缴费9.17万元，30110职工基本医疗保险缴费3.81万元，30112其他社会保障缴费0.45万元，30113住房公积金6.48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eastAsia="zh-CN"/>
        </w:rPr>
        <w:t>1.36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预决算无差异</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30228工会经费1.36万元。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环江毛南族自治县大安乡中心幼儿园</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环江毛南族自治县大安乡中心幼儿园</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rPr>
        <w:t>环江毛南族自治县大安乡中心幼儿园</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故本段落无表述。</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环江毛南族自治县大安乡中心幼儿园</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环江毛南族自治县大安乡中心幼儿园2022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4" w:name="PO_part3A5B1C1DiffReason1"/>
      <w:r>
        <w:rPr>
          <w:rFonts w:hint="eastAsia" w:ascii="仿宋_GB2312" w:hAnsi="Times New Roman" w:eastAsia="仿宋_GB2312" w:cs="Times New Roman"/>
          <w:color w:val="auto"/>
          <w:sz w:val="32"/>
          <w:szCs w:val="32"/>
        </w:rPr>
        <w:t>环江毛南族自治县大安乡中心幼儿园</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本部门2023年度没有“三公”经费资金收入，也没有“三公”经费资金安排的支出。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本部门无机关运行经费支出。</w:t>
      </w:r>
    </w:p>
    <w:p>
      <w:pPr>
        <w:numPr>
          <w:ilvl w:val="0"/>
          <w:numId w:val="3"/>
        </w:num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政府采购支出情况说明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本部门无政府采购支出。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267.47</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rPr>
        <w:t>组织对</w:t>
      </w:r>
      <w:r>
        <w:rPr>
          <w:rFonts w:hint="eastAsia" w:ascii="仿宋" w:hAnsi="仿宋" w:eastAsia="仿宋" w:cs="仿宋"/>
          <w:sz w:val="32"/>
          <w:szCs w:val="32"/>
          <w:lang w:eastAsia="zh-CN"/>
        </w:rPr>
        <w:t>2023</w:t>
      </w:r>
      <w:r>
        <w:rPr>
          <w:rFonts w:hint="eastAsia" w:ascii="仿宋" w:hAnsi="仿宋" w:eastAsia="仿宋" w:cs="仿宋"/>
          <w:sz w:val="32"/>
          <w:szCs w:val="32"/>
        </w:rPr>
        <w:t>年度等0个政府性基金预算项目支出开展绩效自评，共涉及资金0万元，占政府性基金预算项目支出总额的0%。组织对</w:t>
      </w:r>
      <w:r>
        <w:rPr>
          <w:rFonts w:hint="eastAsia" w:ascii="仿宋" w:hAnsi="仿宋" w:eastAsia="仿宋" w:cs="仿宋"/>
          <w:sz w:val="32"/>
          <w:szCs w:val="32"/>
          <w:lang w:eastAsia="zh-CN"/>
        </w:rPr>
        <w:t>2023</w:t>
      </w:r>
      <w:r>
        <w:rPr>
          <w:rFonts w:hint="eastAsia" w:ascii="仿宋" w:hAnsi="仿宋" w:eastAsia="仿宋" w:cs="仿宋"/>
          <w:sz w:val="32"/>
          <w:szCs w:val="32"/>
        </w:rPr>
        <w:t>年度等0个国有资本经营预算项目支出开展绩效自评，共涉及资金0万元，占国有资本经营预算项目支出总额的0%。</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组织对“学前生均公用经费”等</w:t>
      </w:r>
      <w:r>
        <w:rPr>
          <w:rFonts w:hint="eastAsia" w:ascii="仿宋" w:hAnsi="仿宋" w:eastAsia="仿宋" w:cs="仿宋"/>
          <w:sz w:val="32"/>
          <w:szCs w:val="32"/>
          <w:lang w:val="en-US" w:eastAsia="zh-CN"/>
        </w:rPr>
        <w:t>10</w:t>
      </w:r>
      <w:r>
        <w:rPr>
          <w:rFonts w:hint="eastAsia" w:ascii="仿宋" w:hAnsi="仿宋" w:eastAsia="仿宋" w:cs="仿宋"/>
          <w:sz w:val="32"/>
          <w:szCs w:val="32"/>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267.47</w:t>
      </w:r>
      <w:r>
        <w:rPr>
          <w:rFonts w:hint="eastAsia" w:ascii="仿宋" w:hAnsi="仿宋" w:eastAsia="仿宋" w:cs="仿宋"/>
          <w:sz w:val="32"/>
          <w:szCs w:val="32"/>
        </w:rPr>
        <w:t>万元，政府性基金预算支出</w:t>
      </w:r>
      <w:r>
        <w:rPr>
          <w:rFonts w:ascii="仿宋" w:hAnsi="仿宋" w:eastAsia="仿宋" w:cs="仿宋"/>
          <w:sz w:val="32"/>
          <w:szCs w:val="32"/>
        </w:rPr>
        <w:t>0</w:t>
      </w:r>
      <w:r>
        <w:rPr>
          <w:rFonts w:hint="eastAsia" w:ascii="仿宋" w:hAnsi="仿宋" w:eastAsia="仿宋" w:cs="仿宋"/>
          <w:sz w:val="32"/>
          <w:szCs w:val="32"/>
        </w:rPr>
        <w:t>万元，国有资本经营预算支出</w:t>
      </w:r>
      <w:r>
        <w:rPr>
          <w:rFonts w:ascii="仿宋" w:hAnsi="仿宋" w:eastAsia="仿宋" w:cs="仿宋"/>
          <w:sz w:val="32"/>
          <w:szCs w:val="32"/>
        </w:rPr>
        <w:t>0</w:t>
      </w:r>
      <w:r>
        <w:rPr>
          <w:rFonts w:hint="eastAsia" w:ascii="仿宋" w:hAnsi="仿宋" w:eastAsia="仿宋" w:cs="仿宋"/>
          <w:sz w:val="32"/>
          <w:szCs w:val="32"/>
        </w:rPr>
        <w:t>万元。从评价情况来看，本部门推进预算支出绩效评价管理,提高资金使用效率。按时完成各个项目年度绩效目标，提高服务对象的满意度。从评价情况来看，我单位绩效管理情况较为理想，达到了年初设定的各项绩效目标。</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组织对本单位开展整体支出绩效评价试点，涉及一般公共预算支出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267.47</w:t>
      </w:r>
      <w:r>
        <w:rPr>
          <w:rFonts w:hint="eastAsia" w:ascii="仿宋" w:hAnsi="仿宋" w:eastAsia="仿宋" w:cs="仿宋"/>
          <w:sz w:val="32"/>
          <w:szCs w:val="32"/>
        </w:rPr>
        <w:t>万元，政府性基金预算支出0万元。从评价情况来看，我部门绩效管理情况较为理想，达到了年初设定的各项绩效目标。所有资金使用严格按审批程序办理、操作规范，会计核算结果真实、准确，各项支出严格按照各项制度执行。</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jc w:val="left"/>
        <w:rPr>
          <w:rFonts w:hint="eastAsia" w:ascii="仿宋" w:hAnsi="仿宋" w:eastAsia="仿宋" w:cs="仿宋"/>
          <w:sz w:val="32"/>
          <w:szCs w:val="32"/>
        </w:rPr>
      </w:pPr>
      <w:r>
        <w:rPr>
          <w:rFonts w:hint="eastAsia" w:ascii="仿宋" w:hAnsi="仿宋" w:eastAsia="仿宋" w:cs="仿宋"/>
          <w:sz w:val="32"/>
          <w:szCs w:val="32"/>
        </w:rPr>
        <w:t>我部门根据年初设定的绩效目标，</w:t>
      </w:r>
      <w:bookmarkStart w:id="5" w:name="_Hlk151217930"/>
      <w:r>
        <w:rPr>
          <w:rFonts w:hint="eastAsia" w:ascii="仿宋" w:hAnsi="仿宋" w:eastAsia="仿宋" w:cs="仿宋"/>
          <w:sz w:val="32"/>
          <w:szCs w:val="32"/>
        </w:rPr>
        <w:t>学前教育免除保教费自治区补助资金</w:t>
      </w:r>
      <w:r>
        <w:rPr>
          <w:rFonts w:hint="eastAsia" w:ascii="仿宋" w:hAnsi="仿宋" w:eastAsia="仿宋" w:cs="仿宋"/>
          <w:sz w:val="32"/>
          <w:szCs w:val="32"/>
          <w:lang w:eastAsia="zh-CN"/>
        </w:rPr>
        <w:t>、奖励性补贴、奖励性补贴(非三保)、教师节经费、班主任津贴、大安乡中心幼儿园2022年年初预算经费(保育教育费)</w:t>
      </w:r>
      <w:r>
        <w:rPr>
          <w:rFonts w:hint="eastAsia" w:ascii="仿宋" w:hAnsi="仿宋" w:eastAsia="仿宋" w:cs="仿宋"/>
          <w:sz w:val="32"/>
          <w:szCs w:val="32"/>
        </w:rPr>
        <w:t>这</w:t>
      </w:r>
      <w:r>
        <w:rPr>
          <w:rFonts w:hint="eastAsia" w:ascii="仿宋" w:hAnsi="仿宋" w:eastAsia="仿宋" w:cs="仿宋"/>
          <w:sz w:val="32"/>
          <w:szCs w:val="32"/>
          <w:lang w:val="en-US" w:eastAsia="zh-CN"/>
        </w:rPr>
        <w:t>6</w:t>
      </w:r>
      <w:r>
        <w:rPr>
          <w:rFonts w:hint="eastAsia" w:ascii="仿宋" w:hAnsi="仿宋" w:eastAsia="仿宋" w:cs="仿宋"/>
          <w:sz w:val="32"/>
          <w:szCs w:val="32"/>
        </w:rPr>
        <w:t>个项目都能按时完成支付，自评得分均为100分。</w:t>
      </w:r>
      <w:r>
        <w:rPr>
          <w:rFonts w:hint="eastAsia" w:ascii="仿宋" w:hAnsi="仿宋" w:eastAsia="仿宋" w:cs="仿宋"/>
          <w:sz w:val="32"/>
          <w:szCs w:val="32"/>
          <w:lang w:val="en-US" w:eastAsia="zh-CN"/>
        </w:rPr>
        <w:t>学前教育免除保教费中央补助资金项目评分为95.63。</w:t>
      </w:r>
      <w:r>
        <w:rPr>
          <w:rFonts w:hint="eastAsia" w:ascii="仿宋" w:hAnsi="仿宋" w:eastAsia="仿宋" w:cs="仿宋"/>
          <w:sz w:val="32"/>
          <w:szCs w:val="32"/>
        </w:rPr>
        <w:t>发现的主要问题及原因：部分报账材料未能及时整理。下一步改进措施：及时整理报账材料，完成年度资金进度安排。</w:t>
      </w:r>
      <w:r>
        <w:rPr>
          <w:rFonts w:hint="eastAsia" w:ascii="仿宋" w:hAnsi="仿宋" w:eastAsia="仿宋" w:cs="仿宋"/>
          <w:sz w:val="32"/>
          <w:szCs w:val="32"/>
          <w:lang w:val="en-US" w:eastAsia="zh-CN"/>
        </w:rPr>
        <w:t>学前生均公用经费</w:t>
      </w:r>
      <w:r>
        <w:rPr>
          <w:rFonts w:hint="eastAsia" w:ascii="仿宋" w:hAnsi="仿宋" w:eastAsia="仿宋" w:cs="仿宋"/>
          <w:sz w:val="32"/>
          <w:szCs w:val="32"/>
        </w:rPr>
        <w:t>项目自评得分为</w:t>
      </w:r>
      <w:r>
        <w:rPr>
          <w:rFonts w:hint="eastAsia" w:ascii="仿宋" w:hAnsi="仿宋" w:eastAsia="仿宋" w:cs="仿宋"/>
          <w:sz w:val="32"/>
          <w:szCs w:val="32"/>
          <w:lang w:val="en-US" w:eastAsia="zh-CN"/>
        </w:rPr>
        <w:t>92.79</w:t>
      </w:r>
      <w:r>
        <w:rPr>
          <w:rFonts w:hint="eastAsia" w:ascii="仿宋" w:hAnsi="仿宋" w:eastAsia="仿宋" w:cs="仿宋"/>
          <w:sz w:val="32"/>
          <w:szCs w:val="32"/>
        </w:rPr>
        <w:t>分。发现的主要问题及原因：部分报账材料未能及时整理。下一步改进措施：及时整理报账材料，完成年度资金进度安排。</w:t>
      </w:r>
      <w:r>
        <w:rPr>
          <w:rFonts w:hint="eastAsia" w:ascii="仿宋" w:hAnsi="仿宋" w:eastAsia="仿宋" w:cs="仿宋"/>
          <w:sz w:val="32"/>
          <w:szCs w:val="32"/>
          <w:lang w:val="en-US" w:eastAsia="zh-CN"/>
        </w:rPr>
        <w:t>大安乡中心幼儿园年初经费</w:t>
      </w:r>
      <w:r>
        <w:rPr>
          <w:rFonts w:hint="eastAsia" w:ascii="仿宋" w:hAnsi="仿宋" w:eastAsia="仿宋" w:cs="仿宋"/>
          <w:sz w:val="32"/>
          <w:szCs w:val="32"/>
        </w:rPr>
        <w:t>项目自评得分为</w:t>
      </w:r>
      <w:r>
        <w:rPr>
          <w:rFonts w:hint="eastAsia" w:ascii="仿宋" w:hAnsi="仿宋" w:eastAsia="仿宋" w:cs="仿宋"/>
          <w:sz w:val="32"/>
          <w:szCs w:val="32"/>
          <w:lang w:val="en-US" w:eastAsia="zh-CN"/>
        </w:rPr>
        <w:t>95.56</w:t>
      </w:r>
      <w:r>
        <w:rPr>
          <w:rFonts w:hint="eastAsia" w:ascii="仿宋" w:hAnsi="仿宋" w:eastAsia="仿宋" w:cs="仿宋"/>
          <w:sz w:val="32"/>
          <w:szCs w:val="32"/>
        </w:rPr>
        <w:t>分。发现的主要问题及原因：未能及时整理报账材料。下一步改进措施：一是做好幼儿园整理报账材料的</w:t>
      </w:r>
      <w:r>
        <w:rPr>
          <w:rFonts w:hint="eastAsia" w:ascii="仿宋" w:hAnsi="仿宋" w:eastAsia="仿宋" w:cs="仿宋"/>
          <w:sz w:val="32"/>
          <w:szCs w:val="32"/>
          <w:lang w:val="en-US" w:eastAsia="zh-CN"/>
        </w:rPr>
        <w:t>整理</w:t>
      </w:r>
      <w:r>
        <w:rPr>
          <w:rFonts w:hint="eastAsia" w:ascii="仿宋" w:hAnsi="仿宋" w:eastAsia="仿宋" w:cs="仿宋"/>
          <w:sz w:val="32"/>
          <w:szCs w:val="32"/>
        </w:rPr>
        <w:t>；二是加快资金进度安排</w:t>
      </w:r>
      <w:r>
        <w:rPr>
          <w:rFonts w:hint="eastAsia" w:ascii="仿宋" w:hAnsi="仿宋" w:eastAsia="仿宋" w:cs="仿宋"/>
          <w:color w:val="0000FF"/>
          <w:sz w:val="32"/>
          <w:szCs w:val="32"/>
          <w:highlight w:val="none"/>
        </w:rPr>
        <w:t>。</w:t>
      </w:r>
      <w:r>
        <w:rPr>
          <w:rFonts w:hint="eastAsia" w:ascii="仿宋" w:hAnsi="仿宋" w:eastAsia="仿宋" w:cs="仿宋"/>
          <w:sz w:val="32"/>
          <w:szCs w:val="32"/>
          <w:lang w:val="en-US" w:eastAsia="zh-CN"/>
        </w:rPr>
        <w:t>学前教育免保教费县本级补助资金</w:t>
      </w:r>
      <w:r>
        <w:rPr>
          <w:rFonts w:hint="eastAsia" w:ascii="仿宋" w:hAnsi="仿宋" w:eastAsia="仿宋" w:cs="仿宋"/>
          <w:sz w:val="32"/>
          <w:szCs w:val="32"/>
        </w:rPr>
        <w:t>项目自评得分为</w:t>
      </w:r>
      <w:r>
        <w:rPr>
          <w:rFonts w:hint="eastAsia" w:ascii="仿宋" w:hAnsi="仿宋" w:eastAsia="仿宋" w:cs="仿宋"/>
          <w:sz w:val="32"/>
          <w:szCs w:val="32"/>
          <w:lang w:val="en-US" w:eastAsia="zh-CN"/>
        </w:rPr>
        <w:t>98.78</w:t>
      </w:r>
      <w:r>
        <w:rPr>
          <w:rFonts w:hint="eastAsia" w:ascii="仿宋" w:hAnsi="仿宋" w:eastAsia="仿宋" w:cs="仿宋"/>
          <w:sz w:val="32"/>
          <w:szCs w:val="32"/>
        </w:rPr>
        <w:t>分。发现的主要问题及原因：未能及时整理报账材料。下一步改进措施：一是做好幼儿园整理报账材料的</w:t>
      </w:r>
      <w:r>
        <w:rPr>
          <w:rFonts w:hint="eastAsia" w:ascii="仿宋" w:hAnsi="仿宋" w:eastAsia="仿宋" w:cs="仿宋"/>
          <w:sz w:val="32"/>
          <w:szCs w:val="32"/>
          <w:lang w:val="en-US" w:eastAsia="zh-CN"/>
        </w:rPr>
        <w:t>整理</w:t>
      </w:r>
      <w:r>
        <w:rPr>
          <w:rFonts w:hint="eastAsia" w:ascii="仿宋" w:hAnsi="仿宋" w:eastAsia="仿宋" w:cs="仿宋"/>
          <w:sz w:val="32"/>
          <w:szCs w:val="32"/>
        </w:rPr>
        <w:t>；二是加快资金进度安排。</w:t>
      </w:r>
      <w:bookmarkEnd w:id="5"/>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righ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val="en-US" w:eastAsia="zh-CN"/>
        </w:rPr>
        <w:t>大安乡中心</w:t>
      </w:r>
      <w:r>
        <w:rPr>
          <w:rFonts w:hint="eastAsia" w:ascii="仿宋" w:hAnsi="仿宋" w:eastAsia="仿宋" w:cs="仿宋"/>
          <w:sz w:val="32"/>
          <w:szCs w:val="32"/>
          <w:highlight w:val="none"/>
        </w:rPr>
        <w:t>幼儿园</w:t>
      </w:r>
    </w:p>
    <w:p>
      <w:pPr>
        <w:jc w:val="right"/>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2023年10月8日</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63A95"/>
    <w:multiLevelType w:val="singleLevel"/>
    <w:tmpl w:val="90763A95"/>
    <w:lvl w:ilvl="0" w:tentative="0">
      <w:start w:val="2"/>
      <w:numFmt w:val="chineseCounting"/>
      <w:suff w:val="nothing"/>
      <w:lvlText w:val="（%1）"/>
      <w:lvlJc w:val="left"/>
      <w:rPr>
        <w:rFonts w:hint="eastAsia"/>
      </w:rPr>
    </w:lvl>
  </w:abstractNum>
  <w:abstractNum w:abstractNumId="1">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MmQ2YmNkY2RiNjUyNWZiZGVkZjI3NTk0Mjc4Mj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6B7DC5"/>
    <w:rsid w:val="04E54546"/>
    <w:rsid w:val="04EF245B"/>
    <w:rsid w:val="05992762"/>
    <w:rsid w:val="07B0770E"/>
    <w:rsid w:val="0942143F"/>
    <w:rsid w:val="0D100297"/>
    <w:rsid w:val="0D202B45"/>
    <w:rsid w:val="0E8E3161"/>
    <w:rsid w:val="0F8D4C87"/>
    <w:rsid w:val="10505FAA"/>
    <w:rsid w:val="105F7E7E"/>
    <w:rsid w:val="106531D0"/>
    <w:rsid w:val="11DF2C63"/>
    <w:rsid w:val="11E56B5B"/>
    <w:rsid w:val="125C77AB"/>
    <w:rsid w:val="14CB726E"/>
    <w:rsid w:val="176A523D"/>
    <w:rsid w:val="17E92249"/>
    <w:rsid w:val="18D304F1"/>
    <w:rsid w:val="19F32577"/>
    <w:rsid w:val="19F45B80"/>
    <w:rsid w:val="1B0C078D"/>
    <w:rsid w:val="1B2B31E2"/>
    <w:rsid w:val="1B4C295A"/>
    <w:rsid w:val="1B973C63"/>
    <w:rsid w:val="1BA1001E"/>
    <w:rsid w:val="1D317259"/>
    <w:rsid w:val="1E664F5B"/>
    <w:rsid w:val="1EB34BE1"/>
    <w:rsid w:val="215E639F"/>
    <w:rsid w:val="21EC3183"/>
    <w:rsid w:val="225E72CD"/>
    <w:rsid w:val="246E2F77"/>
    <w:rsid w:val="254B4E2B"/>
    <w:rsid w:val="283D7C94"/>
    <w:rsid w:val="29480E03"/>
    <w:rsid w:val="2983634D"/>
    <w:rsid w:val="2BB02055"/>
    <w:rsid w:val="2C575A56"/>
    <w:rsid w:val="2CC537BA"/>
    <w:rsid w:val="2F257714"/>
    <w:rsid w:val="2F3275E5"/>
    <w:rsid w:val="30AA08EF"/>
    <w:rsid w:val="30D23D1C"/>
    <w:rsid w:val="31221CF5"/>
    <w:rsid w:val="31400178"/>
    <w:rsid w:val="321E3342"/>
    <w:rsid w:val="327759C8"/>
    <w:rsid w:val="33185FE3"/>
    <w:rsid w:val="34EE2E36"/>
    <w:rsid w:val="36343E21"/>
    <w:rsid w:val="364F3943"/>
    <w:rsid w:val="36777241"/>
    <w:rsid w:val="371E78D5"/>
    <w:rsid w:val="38A951DB"/>
    <w:rsid w:val="38B31605"/>
    <w:rsid w:val="39003F4F"/>
    <w:rsid w:val="3C07002B"/>
    <w:rsid w:val="3D0D152A"/>
    <w:rsid w:val="3DF62756"/>
    <w:rsid w:val="3F1B7587"/>
    <w:rsid w:val="3FE63EF0"/>
    <w:rsid w:val="41E57B4F"/>
    <w:rsid w:val="42822499"/>
    <w:rsid w:val="429D32EA"/>
    <w:rsid w:val="432F26F6"/>
    <w:rsid w:val="43880F63"/>
    <w:rsid w:val="441C5A6F"/>
    <w:rsid w:val="44C44FCC"/>
    <w:rsid w:val="44CC7369"/>
    <w:rsid w:val="44ED2FF3"/>
    <w:rsid w:val="457F5108"/>
    <w:rsid w:val="45E82F72"/>
    <w:rsid w:val="46951B6B"/>
    <w:rsid w:val="49A34401"/>
    <w:rsid w:val="4A3E30AB"/>
    <w:rsid w:val="4AC14DAC"/>
    <w:rsid w:val="4D154C85"/>
    <w:rsid w:val="4EB35ECE"/>
    <w:rsid w:val="508F4E24"/>
    <w:rsid w:val="51461E90"/>
    <w:rsid w:val="51463753"/>
    <w:rsid w:val="52553A93"/>
    <w:rsid w:val="53521F8B"/>
    <w:rsid w:val="53E22F47"/>
    <w:rsid w:val="541E2399"/>
    <w:rsid w:val="54522FF8"/>
    <w:rsid w:val="55450629"/>
    <w:rsid w:val="56692963"/>
    <w:rsid w:val="568B0F48"/>
    <w:rsid w:val="5786217B"/>
    <w:rsid w:val="59337A15"/>
    <w:rsid w:val="59810274"/>
    <w:rsid w:val="59860699"/>
    <w:rsid w:val="5A30100A"/>
    <w:rsid w:val="5CA96A00"/>
    <w:rsid w:val="5CF730BC"/>
    <w:rsid w:val="5D0D50CE"/>
    <w:rsid w:val="5DC16718"/>
    <w:rsid w:val="5E5F0DCE"/>
    <w:rsid w:val="5FA40A7B"/>
    <w:rsid w:val="5FD56D29"/>
    <w:rsid w:val="5FEC7F3F"/>
    <w:rsid w:val="60F74BC3"/>
    <w:rsid w:val="617D3BF8"/>
    <w:rsid w:val="61841F6A"/>
    <w:rsid w:val="623007A9"/>
    <w:rsid w:val="62B21879"/>
    <w:rsid w:val="637D7558"/>
    <w:rsid w:val="644F19AC"/>
    <w:rsid w:val="65AA4920"/>
    <w:rsid w:val="65E31D0B"/>
    <w:rsid w:val="67694F1E"/>
    <w:rsid w:val="69597934"/>
    <w:rsid w:val="6B964DDC"/>
    <w:rsid w:val="6C783074"/>
    <w:rsid w:val="6D9E65C6"/>
    <w:rsid w:val="6DA81947"/>
    <w:rsid w:val="6E5C28F2"/>
    <w:rsid w:val="6EB66DE2"/>
    <w:rsid w:val="6ED3075F"/>
    <w:rsid w:val="6F2A2D4B"/>
    <w:rsid w:val="6F8A0C1E"/>
    <w:rsid w:val="700806D3"/>
    <w:rsid w:val="703F45D4"/>
    <w:rsid w:val="715D6546"/>
    <w:rsid w:val="717665CA"/>
    <w:rsid w:val="71BE069E"/>
    <w:rsid w:val="72800FDA"/>
    <w:rsid w:val="73953409"/>
    <w:rsid w:val="73E069A3"/>
    <w:rsid w:val="749B72AC"/>
    <w:rsid w:val="78104AA8"/>
    <w:rsid w:val="78E257C5"/>
    <w:rsid w:val="794B35BE"/>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image" Target="media/image1.png"/><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2.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160.87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751975308641975"/>
          <c:y val="0.25609243697479"/>
          <c:w val="0.898427469135802"/>
          <c:h val="0.409327731092437"/>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0.47</c:v>
                </c:pt>
                <c:pt idx="1">
                  <c:v>146.51</c:v>
                </c:pt>
                <c:pt idx="2">
                  <c:v>4.09</c:v>
                </c:pt>
                <c:pt idx="3">
                  <c:v>2.8</c:v>
                </c:pt>
                <c:pt idx="4">
                  <c:v>7.01</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1.36</c:v>
                </c:pt>
                <c:pt idx="1">
                  <c:v>140.63</c:v>
                </c:pt>
                <c:pt idx="2">
                  <c:v>9.17</c:v>
                </c:pt>
                <c:pt idx="3">
                  <c:v>6.48</c:v>
                </c:pt>
                <c:pt idx="4">
                  <c:v>7.35</c:v>
                </c:pt>
              </c:numCache>
            </c:numRef>
          </c:val>
        </c:ser>
        <c:dLbls>
          <c:showLegendKey val="0"/>
          <c:showVal val="0"/>
          <c:showCatName val="0"/>
          <c:showSerName val="0"/>
          <c:showPercent val="0"/>
          <c:showBubbleSize val="0"/>
        </c:dLbls>
        <c:gapWidth val="150"/>
        <c:overlap val="-25"/>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1"/>
        <c:axPos val="l"/>
        <c:numFmt formatCode="General" sourceLinked="1"/>
        <c:majorTickMark val="none"/>
        <c:minorTickMark val="none"/>
        <c:tickLblPos val="nextTo"/>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2050201</c:v>
                </c:pt>
                <c:pt idx="1">
                  <c:v>205x</c:v>
                </c:pt>
              </c:strCache>
            </c:strRef>
          </c:cat>
          <c:val>
            <c:numRef>
              <c:f>Sheet1!$B$2:$B$3</c:f>
              <c:numCache>
                <c:formatCode>General</c:formatCode>
                <c:ptCount val="2"/>
                <c:pt idx="0">
                  <c:v>140.63</c:v>
                </c:pt>
                <c:pt idx="1">
                  <c:v>140.63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9.17</c:v>
                </c:pt>
                <c:pt idx="1">
                  <c:v>9.17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manualLayout>
          <c:layoutTarget val="inner"/>
          <c:xMode val="edge"/>
          <c:yMode val="edge"/>
          <c:x val="0.06990208599404"/>
          <c:y val="0.164691943127962"/>
          <c:w val="0.898878955583936"/>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6.48</c:v>
                </c:pt>
                <c:pt idx="1">
                  <c:v>6.48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7.35</c:v>
                </c:pt>
                <c:pt idx="1">
                  <c:v>7.35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33.05</c:v>
                </c:pt>
                <c:pt idx="1">
                  <c:v>7.22</c:v>
                </c:pt>
                <c:pt idx="2">
                  <c:v>19.32</c:v>
                </c:pt>
                <c:pt idx="3">
                  <c:v>0</c:v>
                </c:pt>
                <c:pt idx="4">
                  <c:v>15.54</c:v>
                </c:pt>
                <c:pt idx="5">
                  <c:v>9.17</c:v>
                </c:pt>
                <c:pt idx="6">
                  <c:v>0</c:v>
                </c:pt>
                <c:pt idx="7">
                  <c:v>3.18</c:v>
                </c:pt>
                <c:pt idx="8">
                  <c:v>0</c:v>
                </c:pt>
                <c:pt idx="9">
                  <c:v>0.45</c:v>
                </c:pt>
                <c:pt idx="10">
                  <c:v>6.48</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1.36</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3081</Words>
  <Characters>4324</Characters>
  <Lines>90</Lines>
  <Paragraphs>25</Paragraphs>
  <TotalTime>19</TotalTime>
  <ScaleCrop>false</ScaleCrop>
  <LinksUpToDate>false</LinksUpToDate>
  <CharactersWithSpaces>4374</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hjxjyj</cp:lastModifiedBy>
  <cp:lastPrinted>2024-12-26T08:53:00Z</cp:lastPrinted>
  <dcterms:modified xsi:type="dcterms:W3CDTF">2025-01-02T04:01:14Z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E2FB2949283F4B3C850E7753BD041789_13</vt:lpwstr>
  </property>
  <property fmtid="{D5CDD505-2E9C-101B-9397-08002B2CF9AE}" pid="4" name="KSOTemplateDocerSaveRecord">
    <vt:lpwstr>eyJoZGlkIjoiN2Q4OTc3ODc5NTliMTk2YmVjYTliZWVmMDNhODIxZTYifQ==</vt:lpwstr>
  </property>
</Properties>
</file>