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环江毛南族自治县大安乡初级中学</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eastAsia" w:ascii="仿宋" w:hAnsi="仿宋" w:eastAsia="黑体"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黑体" w:eastAsia="黑体" w:cs="黑体"/>
          <w:kern w:val="0"/>
          <w:sz w:val="44"/>
          <w:szCs w:val="44"/>
        </w:rPr>
        <w:t>单位负责人</w:t>
      </w:r>
      <w:r>
        <w:rPr>
          <w:rFonts w:hint="eastAsia" w:ascii="黑体" w:eastAsia="黑体" w:cs="黑体"/>
          <w:kern w:val="0"/>
          <w:sz w:val="44"/>
          <w:szCs w:val="44"/>
          <w:lang w:eastAsia="zh-CN"/>
        </w:rPr>
        <w:t>（</w:t>
      </w:r>
      <w:r>
        <w:rPr>
          <w:rFonts w:hint="eastAsia" w:ascii="黑体" w:eastAsia="黑体" w:cs="黑体"/>
          <w:kern w:val="0"/>
          <w:sz w:val="44"/>
          <w:szCs w:val="44"/>
          <w:lang w:val="en-US" w:eastAsia="zh-CN"/>
        </w:rPr>
        <w:t>签字</w:t>
      </w:r>
      <w:r>
        <w:rPr>
          <w:rFonts w:hint="eastAsia" w:ascii="黑体" w:eastAsia="黑体" w:cs="黑体"/>
          <w:kern w:val="0"/>
          <w:sz w:val="44"/>
          <w:szCs w:val="44"/>
          <w:lang w:eastAsia="zh-CN"/>
        </w:rPr>
        <w:t>）</w:t>
      </w:r>
      <w:r>
        <w:rPr>
          <w:rFonts w:hint="eastAsia" w:ascii="黑体" w:eastAsia="黑体" w:cs="黑体"/>
          <w:kern w:val="0"/>
          <w:sz w:val="44"/>
          <w:szCs w:val="44"/>
        </w:rPr>
        <w:t>：</w:t>
      </w:r>
      <w:r>
        <w:rPr>
          <w:rFonts w:hint="eastAsia" w:ascii="黑体" w:eastAsia="黑体" w:cs="黑体"/>
          <w:kern w:val="0"/>
          <w:sz w:val="44"/>
          <w:szCs w:val="44"/>
          <w:lang w:val="en-US" w:eastAsia="zh-CN"/>
        </w:rPr>
        <w:t>覃威辉</w:t>
      </w:r>
    </w:p>
    <w:p>
      <w:pPr>
        <w:ind w:firstLine="5060" w:firstLineChars="1400"/>
        <w:jc w:val="both"/>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环江毛南族自治县大安乡初级中学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ind w:firstLine="3534" w:firstLineChars="1100"/>
        <w:jc w:val="both"/>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环江毛南族自治县大安乡初级中学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（一）贯彻执行党和国家的教育方针、政策和法律法规；拟订</w:t>
      </w:r>
      <w:r>
        <w:rPr>
          <w:rFonts w:hint="eastAsia" w:ascii="仿宋_GB2312" w:hAnsi="宋体" w:eastAsia="仿宋_GB2312" w:cs="宋体"/>
          <w:sz w:val="32"/>
          <w:szCs w:val="32"/>
          <w:lang w:val="en-US" w:eastAsia="zh-CN"/>
        </w:rPr>
        <w:t>我校</w:t>
      </w:r>
      <w:r>
        <w:rPr>
          <w:rFonts w:hint="eastAsia" w:ascii="仿宋_GB2312" w:hAnsi="宋体" w:eastAsia="仿宋_GB2312" w:cs="宋体"/>
          <w:sz w:val="32"/>
          <w:szCs w:val="32"/>
          <w:lang w:eastAsia="zh-CN"/>
        </w:rPr>
        <w:t>教育改革与发展规划并组织实施。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（二）编制</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教育事业发展规划并检查实施情况，向</w:t>
      </w:r>
      <w:r>
        <w:rPr>
          <w:rFonts w:hint="eastAsia" w:ascii="仿宋_GB2312" w:hAnsi="宋体" w:eastAsia="仿宋_GB2312" w:cs="宋体"/>
          <w:sz w:val="32"/>
          <w:szCs w:val="32"/>
          <w:lang w:val="en-US" w:eastAsia="zh-CN"/>
        </w:rPr>
        <w:t>乡</w:t>
      </w:r>
      <w:r>
        <w:rPr>
          <w:rFonts w:hint="eastAsia" w:ascii="仿宋_GB2312" w:hAnsi="宋体" w:eastAsia="仿宋_GB2312" w:cs="宋体"/>
          <w:sz w:val="32"/>
          <w:szCs w:val="32"/>
          <w:lang w:eastAsia="zh-CN"/>
        </w:rPr>
        <w:t>人民政府和上级教育部门作出报告。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（三）督促检查</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贯彻执行教育方针、政策、法令、法规和上级的各项规定；评估指导</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教育教学工作。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（四）负责推进义务教育均衡发展和促进教育公平，负责义务教育的宏观指导与协调。</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（五）负责</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教师队伍建设，包括</w:t>
      </w:r>
      <w:r>
        <w:rPr>
          <w:rFonts w:hint="eastAsia" w:ascii="仿宋_GB2312" w:hAnsi="宋体" w:eastAsia="仿宋_GB2312" w:cs="宋体"/>
          <w:sz w:val="32"/>
          <w:szCs w:val="32"/>
          <w:lang w:val="en-US" w:eastAsia="zh-CN"/>
        </w:rPr>
        <w:t>班子成员</w:t>
      </w:r>
      <w:r>
        <w:rPr>
          <w:rFonts w:hint="eastAsia" w:ascii="仿宋_GB2312" w:hAnsi="宋体" w:eastAsia="仿宋_GB2312" w:cs="宋体"/>
          <w:sz w:val="32"/>
          <w:szCs w:val="32"/>
          <w:lang w:eastAsia="zh-CN"/>
        </w:rPr>
        <w:t>培训、后备干部队伍建设、教师学历教育、继续教育等。</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（六）负责组织</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做好中考、</w:t>
      </w:r>
      <w:r>
        <w:rPr>
          <w:rFonts w:hint="eastAsia" w:ascii="仿宋_GB2312" w:hAnsi="宋体" w:eastAsia="仿宋_GB2312" w:cs="宋体"/>
          <w:sz w:val="32"/>
          <w:szCs w:val="32"/>
          <w:lang w:val="en-US" w:eastAsia="zh-CN"/>
        </w:rPr>
        <w:t>填报志愿</w:t>
      </w:r>
      <w:r>
        <w:rPr>
          <w:rFonts w:hint="eastAsia" w:ascii="仿宋_GB2312" w:hAnsi="宋体" w:eastAsia="仿宋_GB2312" w:cs="宋体"/>
          <w:sz w:val="32"/>
          <w:szCs w:val="32"/>
          <w:lang w:eastAsia="zh-CN"/>
        </w:rPr>
        <w:t>工作和学籍管理工作。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（七）按照中央关于全面推进素质教育要求，负责教育教学管理、教育教学改革及教育教学科学研究工作，检查指导</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实施素质教育工作，并组织推广先进的教育教学经验。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（八）检查指导学校教育教学设备的装备、管理和使用工作。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（九）检查指导</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开展电化教育和信息化教学工作。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（十）负责</w:t>
      </w:r>
      <w:r>
        <w:rPr>
          <w:rFonts w:hint="eastAsia" w:ascii="仿宋_GB2312" w:hAnsi="宋体" w:eastAsia="仿宋_GB2312" w:cs="宋体"/>
          <w:sz w:val="32"/>
          <w:szCs w:val="32"/>
          <w:lang w:val="en-US" w:eastAsia="zh-CN"/>
        </w:rPr>
        <w:t>组织</w:t>
      </w:r>
      <w:r>
        <w:rPr>
          <w:rFonts w:hint="eastAsia" w:ascii="仿宋_GB2312" w:hAnsi="宋体" w:eastAsia="仿宋_GB2312" w:cs="宋体"/>
          <w:sz w:val="32"/>
          <w:szCs w:val="32"/>
          <w:lang w:eastAsia="zh-CN"/>
        </w:rPr>
        <w:t>教师</w:t>
      </w:r>
      <w:r>
        <w:rPr>
          <w:rFonts w:hint="eastAsia" w:ascii="仿宋_GB2312" w:hAnsi="宋体" w:eastAsia="仿宋_GB2312" w:cs="宋体"/>
          <w:sz w:val="32"/>
          <w:szCs w:val="32"/>
          <w:lang w:val="en-US" w:eastAsia="zh-CN"/>
        </w:rPr>
        <w:t>进行</w:t>
      </w:r>
      <w:r>
        <w:rPr>
          <w:rFonts w:hint="eastAsia" w:ascii="仿宋_GB2312" w:hAnsi="宋体" w:eastAsia="仿宋_GB2312" w:cs="宋体"/>
          <w:sz w:val="32"/>
          <w:szCs w:val="32"/>
          <w:lang w:eastAsia="zh-CN"/>
        </w:rPr>
        <w:t>专业技术职务资格的申报工作。按照管理权限对教师进行考核、聘任、奖惩、晋升等工作。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（十一）负责</w:t>
      </w:r>
      <w:r>
        <w:rPr>
          <w:rFonts w:hint="eastAsia" w:ascii="仿宋_GB2312" w:hAnsi="宋体" w:eastAsia="仿宋_GB2312" w:cs="宋体"/>
          <w:sz w:val="32"/>
          <w:szCs w:val="32"/>
          <w:lang w:val="en-US" w:eastAsia="zh-CN"/>
        </w:rPr>
        <w:t>学</w:t>
      </w:r>
      <w:r>
        <w:rPr>
          <w:rFonts w:hint="eastAsia" w:ascii="仿宋_GB2312" w:hAnsi="宋体" w:eastAsia="仿宋_GB2312" w:cs="宋体"/>
          <w:sz w:val="32"/>
          <w:szCs w:val="32"/>
          <w:lang w:eastAsia="zh-CN"/>
        </w:rPr>
        <w:t>校教学教育常规管理评估工作，指导</w:t>
      </w:r>
      <w:r>
        <w:rPr>
          <w:rFonts w:hint="eastAsia" w:ascii="仿宋_GB2312" w:hAnsi="宋体" w:eastAsia="仿宋_GB2312" w:cs="宋体"/>
          <w:sz w:val="32"/>
          <w:szCs w:val="32"/>
          <w:lang w:val="en-US" w:eastAsia="zh-CN"/>
        </w:rPr>
        <w:t>我校</w:t>
      </w:r>
      <w:r>
        <w:rPr>
          <w:rFonts w:hint="eastAsia" w:ascii="仿宋_GB2312" w:hAnsi="宋体" w:eastAsia="仿宋_GB2312" w:cs="宋体"/>
          <w:sz w:val="32"/>
          <w:szCs w:val="32"/>
          <w:lang w:eastAsia="zh-CN"/>
        </w:rPr>
        <w:t>德育、体育、卫生、艺术、安全工作以及团组织工作。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（十二）指导全乡的教育督导工作，指导基础教育发展水平、质量的监测工作。</w:t>
      </w:r>
      <w:bookmarkStart w:id="2" w:name="_GoBack"/>
      <w:bookmarkEnd w:id="2"/>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lang w:eastAsia="zh-CN"/>
        </w:rPr>
        <w:t>）负责指导</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学生资助管理工作。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（十</w:t>
      </w:r>
      <w:r>
        <w:rPr>
          <w:rFonts w:hint="eastAsia" w:ascii="仿宋_GB2312" w:hAnsi="宋体" w:eastAsia="仿宋_GB2312" w:cs="宋体"/>
          <w:sz w:val="32"/>
          <w:szCs w:val="32"/>
          <w:lang w:val="en-US" w:eastAsia="zh-CN"/>
        </w:rPr>
        <w:t>四</w:t>
      </w:r>
      <w:r>
        <w:rPr>
          <w:rFonts w:hint="eastAsia" w:ascii="仿宋_GB2312" w:hAnsi="宋体" w:eastAsia="仿宋_GB2312" w:cs="宋体"/>
          <w:sz w:val="32"/>
          <w:szCs w:val="32"/>
          <w:lang w:eastAsia="zh-CN"/>
        </w:rPr>
        <w:t>）负责语言文字和指导推广普通话工作。</w:t>
      </w:r>
    </w:p>
    <w:p>
      <w:pPr>
        <w:ind w:firstLine="640" w:firstLineChars="200"/>
        <w:jc w:val="left"/>
        <w:rPr>
          <w:rFonts w:hint="eastAsia" w:ascii="仿宋" w:hAnsi="仿宋" w:eastAsia="仿宋" w:cs="仿宋"/>
          <w:color w:val="FF0000"/>
          <w:sz w:val="32"/>
          <w:szCs w:val="32"/>
          <w:lang w:val="en-US" w:eastAsia="zh-CN"/>
        </w:rPr>
      </w:pP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lang w:eastAsia="zh-CN"/>
        </w:rPr>
        <w:t>）完成</w:t>
      </w:r>
      <w:r>
        <w:rPr>
          <w:rFonts w:hint="eastAsia" w:ascii="仿宋_GB2312" w:hAnsi="宋体" w:eastAsia="仿宋_GB2312" w:cs="宋体"/>
          <w:sz w:val="32"/>
          <w:szCs w:val="32"/>
          <w:lang w:val="en-US" w:eastAsia="zh-CN"/>
        </w:rPr>
        <w:t>自治县教育局</w:t>
      </w:r>
      <w:r>
        <w:rPr>
          <w:rFonts w:hint="eastAsia" w:ascii="仿宋_GB2312" w:hAnsi="宋体" w:eastAsia="仿宋_GB2312" w:cs="宋体"/>
          <w:sz w:val="32"/>
          <w:szCs w:val="32"/>
          <w:lang w:eastAsia="zh-CN"/>
        </w:rPr>
        <w:t>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宋体" w:hAnsi="宋体" w:cs="宋体"/>
          <w:b/>
          <w:sz w:val="28"/>
          <w:szCs w:val="28"/>
          <w:lang w:val="en-US" w:eastAsia="zh-CN"/>
        </w:rPr>
      </w:pPr>
      <w:r>
        <w:rPr>
          <w:rFonts w:hint="eastAsia" w:ascii="仿宋" w:hAnsi="仿宋" w:eastAsia="仿宋" w:cs="仿宋"/>
          <w:color w:val="000000" w:themeColor="text1"/>
          <w:sz w:val="32"/>
          <w:szCs w:val="32"/>
          <w14:textFill>
            <w14:solidFill>
              <w14:schemeClr w14:val="tx1"/>
            </w14:solidFill>
          </w14:textFill>
        </w:rPr>
        <w:t>我部门没有下属单位，按照部门决算编报要求，单独编制本部门决算。</w:t>
      </w:r>
      <w:r>
        <w:rPr>
          <w:rFonts w:hint="eastAsia" w:ascii="宋体" w:hAnsi="宋体" w:cs="宋体"/>
          <w:b/>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w:t>
      </w:r>
      <w:r>
        <w:rPr>
          <w:rFonts w:hint="eastAsia" w:ascii="宋体" w:hAnsi="宋体" w:eastAsia="宋体" w:cs="宋体"/>
          <w:b/>
          <w:sz w:val="32"/>
          <w:szCs w:val="32"/>
          <w:lang w:eastAsia="zh-CN"/>
        </w:rPr>
        <w:t>人员</w:t>
      </w:r>
      <w:r>
        <w:rPr>
          <w:rFonts w:hint="eastAsia" w:ascii="宋体" w:hAnsi="宋体" w:cs="宋体"/>
          <w:b/>
          <w:sz w:val="32"/>
          <w:szCs w:val="32"/>
          <w:lang w:eastAsia="zh-CN"/>
        </w:rPr>
        <w:t>构成</w:t>
      </w:r>
      <w:r>
        <w:rPr>
          <w:rFonts w:hint="eastAsia" w:ascii="宋体" w:hAnsi="宋体" w:eastAsia="宋体" w:cs="宋体"/>
          <w:b/>
          <w:sz w:val="32"/>
          <w:szCs w:val="32"/>
        </w:rPr>
        <w:t>情况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宋体" w:eastAsia="仿宋_GB2312" w:cs="宋体"/>
          <w:sz w:val="32"/>
          <w:szCs w:val="32"/>
          <w:lang w:eastAsia="zh-CN"/>
        </w:rPr>
        <w:sectPr>
          <w:headerReference r:id="rId5" w:type="default"/>
          <w:pgSz w:w="16838" w:h="11906" w:orient="landscape"/>
          <w:pgMar w:top="1417" w:right="1247" w:bottom="1417" w:left="1247" w:header="851" w:footer="992" w:gutter="0"/>
          <w:cols w:space="720" w:num="1"/>
          <w:rtlGutter w:val="0"/>
          <w:docGrid w:type="lines" w:linePitch="312" w:charSpace="0"/>
        </w:sectPr>
      </w:pP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lang w:eastAsia="zh-CN"/>
        </w:rPr>
        <w:t>年</w:t>
      </w:r>
      <w:r>
        <w:rPr>
          <w:rFonts w:hint="eastAsia" w:ascii="仿宋_GB2312" w:hAnsi="宋体" w:eastAsia="仿宋_GB2312" w:cs="宋体"/>
          <w:sz w:val="32"/>
          <w:szCs w:val="32"/>
          <w:lang w:val="en-US" w:eastAsia="zh-CN"/>
        </w:rPr>
        <w:t>我校</w:t>
      </w:r>
      <w:r>
        <w:rPr>
          <w:rFonts w:hint="eastAsia" w:ascii="仿宋_GB2312" w:hAnsi="宋体" w:eastAsia="仿宋_GB2312" w:cs="宋体"/>
          <w:sz w:val="32"/>
          <w:szCs w:val="32"/>
          <w:lang w:eastAsia="zh-CN"/>
        </w:rPr>
        <w:t>总编制人数</w:t>
      </w:r>
      <w:r>
        <w:rPr>
          <w:rFonts w:hint="eastAsia" w:ascii="仿宋_GB2312" w:hAnsi="宋体" w:eastAsia="仿宋_GB2312" w:cs="宋体"/>
          <w:sz w:val="32"/>
          <w:szCs w:val="32"/>
          <w:lang w:val="en-US" w:eastAsia="zh-CN"/>
        </w:rPr>
        <w:t>33</w:t>
      </w:r>
      <w:r>
        <w:rPr>
          <w:rFonts w:hint="eastAsia" w:ascii="仿宋_GB2312" w:hAnsi="宋体" w:eastAsia="仿宋_GB2312" w:cs="宋体"/>
          <w:sz w:val="32"/>
          <w:szCs w:val="32"/>
          <w:lang w:eastAsia="zh-CN"/>
        </w:rPr>
        <w:t>人，</w:t>
      </w:r>
      <w:r>
        <w:rPr>
          <w:rFonts w:hint="eastAsia" w:ascii="仿宋_GB2312" w:eastAsia="仿宋_GB2312"/>
          <w:sz w:val="32"/>
          <w:szCs w:val="32"/>
        </w:rPr>
        <w:t>其中行政编制</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hAnsi="宋体" w:eastAsia="仿宋_GB2312" w:cs="宋体"/>
          <w:sz w:val="32"/>
          <w:szCs w:val="32"/>
          <w:lang w:eastAsia="zh-CN"/>
        </w:rPr>
        <w:t>事业编制数</w:t>
      </w:r>
      <w:r>
        <w:rPr>
          <w:rFonts w:hint="eastAsia" w:ascii="仿宋_GB2312" w:hAnsi="宋体" w:eastAsia="仿宋_GB2312" w:cs="宋体"/>
          <w:sz w:val="32"/>
          <w:szCs w:val="32"/>
          <w:lang w:val="en-US" w:eastAsia="zh-CN"/>
        </w:rPr>
        <w:t>33</w:t>
      </w:r>
      <w:r>
        <w:rPr>
          <w:rFonts w:hint="eastAsia" w:ascii="仿宋_GB2312" w:hAnsi="宋体" w:eastAsia="仿宋_GB2312" w:cs="宋体"/>
          <w:sz w:val="32"/>
          <w:szCs w:val="32"/>
          <w:lang w:eastAsia="zh-CN"/>
        </w:rPr>
        <w:t>人</w:t>
      </w:r>
      <w:r>
        <w:rPr>
          <w:rFonts w:hint="eastAsia" w:ascii="仿宋_GB2312" w:hAnsi="宋体" w:eastAsia="仿宋_GB2312" w:cs="宋体"/>
          <w:sz w:val="32"/>
          <w:szCs w:val="32"/>
          <w:lang w:val="en-US" w:eastAsia="zh-CN"/>
        </w:rPr>
        <w:t>。</w:t>
      </w:r>
      <w:r>
        <w:rPr>
          <w:rFonts w:hint="eastAsia" w:ascii="仿宋_GB2312" w:eastAsia="仿宋_GB2312"/>
          <w:sz w:val="32"/>
          <w:szCs w:val="32"/>
        </w:rPr>
        <w:t>实有财政供养人数</w:t>
      </w:r>
      <w:r>
        <w:rPr>
          <w:rFonts w:hint="eastAsia" w:ascii="仿宋_GB2312" w:eastAsia="仿宋_GB2312"/>
          <w:sz w:val="32"/>
          <w:szCs w:val="32"/>
          <w:lang w:val="en-US" w:eastAsia="zh-CN"/>
        </w:rPr>
        <w:t>56</w:t>
      </w:r>
      <w:r>
        <w:rPr>
          <w:rFonts w:hint="eastAsia" w:ascii="仿宋_GB2312" w:eastAsia="仿宋_GB2312"/>
          <w:sz w:val="32"/>
          <w:szCs w:val="32"/>
        </w:rPr>
        <w:t>人，其中行政在职</w:t>
      </w:r>
      <w:r>
        <w:rPr>
          <w:rFonts w:hint="eastAsia" w:ascii="仿宋_GB2312" w:eastAsia="仿宋_GB2312"/>
          <w:sz w:val="32"/>
          <w:szCs w:val="32"/>
          <w:lang w:val="en-US" w:eastAsia="zh-CN"/>
        </w:rPr>
        <w:t>0</w:t>
      </w:r>
      <w:r>
        <w:rPr>
          <w:rFonts w:hint="eastAsia" w:ascii="仿宋_GB2312" w:eastAsia="仿宋_GB2312"/>
          <w:sz w:val="32"/>
          <w:szCs w:val="32"/>
        </w:rPr>
        <w:t>人，事业在职</w:t>
      </w:r>
      <w:r>
        <w:rPr>
          <w:rFonts w:hint="eastAsia" w:ascii="仿宋_GB2312" w:eastAsia="仿宋_GB2312"/>
          <w:sz w:val="32"/>
          <w:szCs w:val="32"/>
          <w:lang w:val="en-US" w:eastAsia="zh-CN"/>
        </w:rPr>
        <w:t>31</w:t>
      </w:r>
      <w:r>
        <w:rPr>
          <w:rFonts w:hint="eastAsia" w:ascii="仿宋_GB2312" w:eastAsia="仿宋_GB2312"/>
          <w:sz w:val="32"/>
          <w:szCs w:val="32"/>
        </w:rPr>
        <w:t>人，离退休人员</w:t>
      </w:r>
      <w:r>
        <w:rPr>
          <w:rFonts w:hint="eastAsia" w:ascii="仿宋_GB2312" w:eastAsia="仿宋_GB2312"/>
          <w:sz w:val="32"/>
          <w:szCs w:val="32"/>
          <w:lang w:val="en-US" w:eastAsia="zh-CN"/>
        </w:rPr>
        <w:t>24</w:t>
      </w:r>
      <w:r>
        <w:rPr>
          <w:rFonts w:hint="eastAsia" w:ascii="仿宋_GB2312" w:eastAsia="仿宋_GB2312"/>
          <w:sz w:val="32"/>
          <w:szCs w:val="32"/>
        </w:rPr>
        <w:t>人（其中离休</w:t>
      </w:r>
      <w:r>
        <w:rPr>
          <w:rFonts w:hint="eastAsia" w:ascii="仿宋_GB2312" w:eastAsia="仿宋_GB2312"/>
          <w:sz w:val="32"/>
          <w:szCs w:val="32"/>
          <w:lang w:val="en-US" w:eastAsia="zh-CN"/>
        </w:rPr>
        <w:t>0</w:t>
      </w:r>
      <w:r>
        <w:rPr>
          <w:rFonts w:hint="eastAsia" w:ascii="仿宋_GB2312" w:eastAsia="仿宋_GB2312"/>
          <w:sz w:val="32"/>
          <w:szCs w:val="32"/>
        </w:rPr>
        <w:t>人）。编外</w:t>
      </w:r>
      <w:r>
        <w:rPr>
          <w:rFonts w:hint="eastAsia" w:ascii="仿宋_GB2312" w:eastAsia="仿宋_GB2312"/>
          <w:sz w:val="32"/>
          <w:szCs w:val="32"/>
          <w:lang w:val="en-US" w:eastAsia="zh-CN"/>
        </w:rPr>
        <w:t>特岗教师</w:t>
      </w:r>
      <w:r>
        <w:rPr>
          <w:rFonts w:hint="eastAsia" w:ascii="仿宋_GB2312" w:eastAsia="仿宋_GB2312"/>
          <w:sz w:val="32"/>
          <w:szCs w:val="32"/>
        </w:rPr>
        <w:t>实有人数</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学校专职保安人员</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人，兼职协管人员</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人。</w:t>
      </w:r>
    </w:p>
    <w:p>
      <w:pPr>
        <w:ind w:firstLine="1280" w:firstLineChars="4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4070" w:type="dxa"/>
        <w:tblInd w:w="93" w:type="dxa"/>
        <w:tblLayout w:type="fixed"/>
        <w:tblCellMar>
          <w:top w:w="0" w:type="dxa"/>
          <w:left w:w="108" w:type="dxa"/>
          <w:bottom w:w="0" w:type="dxa"/>
          <w:right w:w="108" w:type="dxa"/>
        </w:tblCellMar>
      </w:tblPr>
      <w:tblGrid>
        <w:gridCol w:w="3"/>
        <w:gridCol w:w="3607"/>
        <w:gridCol w:w="72"/>
        <w:gridCol w:w="855"/>
        <w:gridCol w:w="648"/>
        <w:gridCol w:w="131"/>
        <w:gridCol w:w="1719"/>
        <w:gridCol w:w="3173"/>
        <w:gridCol w:w="264"/>
        <w:gridCol w:w="1569"/>
        <w:gridCol w:w="6"/>
        <w:gridCol w:w="1896"/>
        <w:gridCol w:w="127"/>
      </w:tblGrid>
      <w:tr>
        <w:tblPrEx>
          <w:tblCellMar>
            <w:top w:w="0" w:type="dxa"/>
            <w:left w:w="108" w:type="dxa"/>
            <w:bottom w:w="0" w:type="dxa"/>
            <w:right w:w="108" w:type="dxa"/>
          </w:tblCellMar>
        </w:tblPrEx>
        <w:trPr>
          <w:gridBefore w:val="1"/>
          <w:gridAfter w:val="1"/>
          <w:wBefore w:w="3" w:type="dxa"/>
          <w:wAfter w:w="127" w:type="dxa"/>
          <w:trHeight w:val="902" w:hRule="atLeast"/>
        </w:trPr>
        <w:tc>
          <w:tcPr>
            <w:tcW w:w="13940"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367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9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3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5313"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489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3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5"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r>
    </w:tbl>
    <w:p>
      <w:pPr>
        <w:rPr>
          <w:rFonts w:ascii="宋体" w:hAnsi="宋体" w:eastAsia="宋体" w:cs="宋体"/>
          <w:color w:val="000000"/>
          <w:kern w:val="0"/>
          <w:sz w:val="30"/>
          <w:szCs w:val="30"/>
          <w:highlight w:val="none"/>
          <w:lang w:bidi="ar"/>
        </w:rPr>
      </w:pPr>
    </w:p>
    <w:tbl>
      <w:tblPr>
        <w:tblStyle w:val="6"/>
        <w:tblW w:w="13960" w:type="dxa"/>
        <w:tblInd w:w="96" w:type="dxa"/>
        <w:tblLayout w:type="fixed"/>
        <w:tblCellMar>
          <w:top w:w="0" w:type="dxa"/>
          <w:left w:w="108" w:type="dxa"/>
          <w:bottom w:w="0" w:type="dxa"/>
          <w:right w:w="108" w:type="dxa"/>
        </w:tblCellMar>
      </w:tblPr>
      <w:tblGrid>
        <w:gridCol w:w="2962"/>
        <w:gridCol w:w="236"/>
        <w:gridCol w:w="236"/>
        <w:gridCol w:w="935"/>
        <w:gridCol w:w="1513"/>
        <w:gridCol w:w="1397"/>
        <w:gridCol w:w="1381"/>
        <w:gridCol w:w="1381"/>
        <w:gridCol w:w="1210"/>
        <w:gridCol w:w="2709"/>
      </w:tblGrid>
      <w:tr>
        <w:tblPrEx>
          <w:tblCellMar>
            <w:top w:w="0" w:type="dxa"/>
            <w:left w:w="108" w:type="dxa"/>
            <w:bottom w:w="0" w:type="dxa"/>
            <w:right w:w="108" w:type="dxa"/>
          </w:tblCellMar>
        </w:tblPrEx>
        <w:trPr>
          <w:trHeight w:val="951" w:hRule="atLeast"/>
        </w:trPr>
        <w:tc>
          <w:tcPr>
            <w:tcW w:w="1396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8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8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279"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138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8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13960" w:type="dxa"/>
            <w:gridSpan w:val="10"/>
            <w:tcBorders>
              <w:top w:val="single" w:color="auto" w:sz="4" w:space="0"/>
              <w:left w:val="nil"/>
              <w:bottom w:val="nil"/>
              <w:right w:val="nil"/>
            </w:tcBorders>
            <w:shd w:val="clear" w:color="auto" w:fill="auto"/>
            <w:noWrap/>
            <w:vAlign w:val="center"/>
          </w:tcPr>
          <w:tbl>
            <w:tblPr>
              <w:tblStyle w:val="6"/>
              <w:tblW w:w="1752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92"/>
              <w:gridCol w:w="3006"/>
              <w:gridCol w:w="1406"/>
              <w:gridCol w:w="1407"/>
              <w:gridCol w:w="1407"/>
              <w:gridCol w:w="1407"/>
              <w:gridCol w:w="1407"/>
              <w:gridCol w:w="1407"/>
              <w:gridCol w:w="1407"/>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4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5" w:hRule="atLeast"/>
              </w:trPr>
              <w:tc>
                <w:tcPr>
                  <w:tcW w:w="4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 w:type="dxa"/>
                <w:trHeight w:val="405" w:hRule="atLeast"/>
              </w:trPr>
              <w:tc>
                <w:tcPr>
                  <w:tcW w:w="4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866.25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866.25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677.40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677.40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752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val="en-US" w:eastAsia="zh-CN" w:bidi="ar"/>
              </w:rPr>
              <w:t xml:space="preserve"> </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13983" w:type="dxa"/>
        <w:tblInd w:w="93" w:type="dxa"/>
        <w:tblLayout w:type="fixed"/>
        <w:tblCellMar>
          <w:top w:w="0" w:type="dxa"/>
          <w:left w:w="108" w:type="dxa"/>
          <w:bottom w:w="0" w:type="dxa"/>
          <w:right w:w="108" w:type="dxa"/>
        </w:tblCellMar>
      </w:tblPr>
      <w:tblGrid>
        <w:gridCol w:w="3"/>
        <w:gridCol w:w="1142"/>
        <w:gridCol w:w="9"/>
        <w:gridCol w:w="228"/>
        <w:gridCol w:w="303"/>
        <w:gridCol w:w="2222"/>
        <w:gridCol w:w="1013"/>
        <w:gridCol w:w="614"/>
        <w:gridCol w:w="1132"/>
        <w:gridCol w:w="548"/>
        <w:gridCol w:w="841"/>
        <w:gridCol w:w="919"/>
        <w:gridCol w:w="298"/>
        <w:gridCol w:w="1355"/>
        <w:gridCol w:w="248"/>
        <w:gridCol w:w="1304"/>
        <w:gridCol w:w="102"/>
        <w:gridCol w:w="1698"/>
        <w:gridCol w:w="4"/>
      </w:tblGrid>
      <w:tr>
        <w:tblPrEx>
          <w:tblCellMar>
            <w:top w:w="0" w:type="dxa"/>
            <w:left w:w="108" w:type="dxa"/>
            <w:bottom w:w="0" w:type="dxa"/>
            <w:right w:w="108" w:type="dxa"/>
          </w:tblCellMar>
        </w:tblPrEx>
        <w:trPr>
          <w:gridBefore w:val="1"/>
          <w:wBefore w:w="3" w:type="dxa"/>
          <w:trHeight w:val="623" w:hRule="atLeast"/>
        </w:trPr>
        <w:tc>
          <w:tcPr>
            <w:tcW w:w="13980" w:type="dxa"/>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gridBefore w:val="1"/>
          <w:wBefore w:w="3" w:type="dxa"/>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gridBefore w:val="1"/>
          <w:wBefore w:w="3" w:type="dxa"/>
          <w:trHeight w:val="312" w:hRule="atLeast"/>
        </w:trPr>
        <w:tc>
          <w:tcPr>
            <w:tcW w:w="8971" w:type="dxa"/>
            <w:gridSpan w:val="11"/>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 xml:space="preserve"> </w:t>
            </w:r>
            <w:r>
              <w:rPr>
                <w:rFonts w:hint="default" w:ascii="宋体" w:hAnsi="宋体" w:eastAsia="宋体" w:cs="宋体"/>
                <w:color w:val="000000"/>
                <w:sz w:val="20"/>
                <w:u w:color="auto"/>
              </w:rPr>
              <w:t>环江毛南族自治县大安乡初级中学</w:t>
            </w:r>
          </w:p>
        </w:tc>
        <w:tc>
          <w:tcPr>
            <w:tcW w:w="1653" w:type="dxa"/>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4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17"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66"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6"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6"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866.25</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717.96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148.29</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677.40</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145.30</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1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3979" w:type="dxa"/>
            <w:gridSpan w:val="1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3457"/>
        <w:gridCol w:w="240"/>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2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公开04表</w:t>
            </w:r>
          </w:p>
        </w:tc>
        <w:tc>
          <w:tcPr>
            <w:tcW w:w="8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2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c>
          <w:tcPr>
            <w:tcW w:w="8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268" w:hRule="atLeast"/>
        </w:trPr>
        <w:tc>
          <w:tcPr>
            <w:tcW w:w="4914" w:type="pct"/>
            <w:gridSpan w:val="8"/>
            <w:tcBorders>
              <w:top w:val="single" w:color="auto" w:sz="4" w:space="0"/>
              <w:left w:val="nil"/>
              <w:bottom w:val="nil"/>
              <w:right w:val="nil"/>
            </w:tcBorders>
            <w:shd w:val="clear" w:color="auto" w:fill="auto"/>
            <w:noWrap/>
            <w:vAlign w:val="center"/>
          </w:tcPr>
          <w:tbl>
            <w:tblPr>
              <w:tblStyle w:val="6"/>
              <w:tblW w:w="14049"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2969"/>
              <w:gridCol w:w="663"/>
              <w:gridCol w:w="1050"/>
              <w:gridCol w:w="2457"/>
              <w:gridCol w:w="843"/>
              <w:gridCol w:w="900"/>
              <w:gridCol w:w="1857"/>
              <w:gridCol w:w="1178"/>
              <w:gridCol w:w="340"/>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87"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362"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74"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45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7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682.12</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682.12</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24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5" w:type="dxa"/>
                <w:wAfter w:w="2127" w:type="dxa"/>
                <w:trHeight w:val="300" w:hRule="atLeast"/>
              </w:trPr>
              <w:tc>
                <w:tcPr>
                  <w:tcW w:w="11917" w:type="dxa"/>
                  <w:gridSpan w:val="8"/>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85"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p>
    <w:tbl>
      <w:tblPr>
        <w:tblStyle w:val="6"/>
        <w:tblW w:w="13983" w:type="dxa"/>
        <w:tblInd w:w="93" w:type="dxa"/>
        <w:tblLayout w:type="fixed"/>
        <w:tblCellMar>
          <w:top w:w="0" w:type="dxa"/>
          <w:left w:w="108" w:type="dxa"/>
          <w:bottom w:w="0" w:type="dxa"/>
          <w:right w:w="108" w:type="dxa"/>
        </w:tblCellMar>
      </w:tblPr>
      <w:tblGrid>
        <w:gridCol w:w="3"/>
        <w:gridCol w:w="1226"/>
        <w:gridCol w:w="1057"/>
        <w:gridCol w:w="238"/>
        <w:gridCol w:w="238"/>
        <w:gridCol w:w="2052"/>
        <w:gridCol w:w="333"/>
        <w:gridCol w:w="2738"/>
        <w:gridCol w:w="102"/>
        <w:gridCol w:w="2654"/>
        <w:gridCol w:w="453"/>
        <w:gridCol w:w="2885"/>
        <w:gridCol w:w="4"/>
      </w:tblGrid>
      <w:tr>
        <w:tblPrEx>
          <w:tblCellMar>
            <w:top w:w="0" w:type="dxa"/>
            <w:left w:w="108" w:type="dxa"/>
            <w:bottom w:w="0" w:type="dxa"/>
            <w:right w:w="108" w:type="dxa"/>
          </w:tblCellMar>
        </w:tblPrEx>
        <w:trPr>
          <w:gridBefore w:val="1"/>
          <w:wBefore w:w="3" w:type="dxa"/>
          <w:trHeight w:val="693" w:hRule="atLeast"/>
        </w:trPr>
        <w:tc>
          <w:tcPr>
            <w:tcW w:w="1398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gridBefore w:val="1"/>
          <w:wBefore w:w="3" w:type="dxa"/>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gridBefore w:val="1"/>
          <w:wBefore w:w="3" w:type="dxa"/>
          <w:trHeight w:val="346" w:hRule="atLeast"/>
        </w:trPr>
        <w:tc>
          <w:tcPr>
            <w:tcW w:w="7984"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eastAsia="zh-CN" w:bidi="ar"/>
              </w:rPr>
              <w:t>：</w:t>
            </w:r>
            <w:r>
              <w:rPr>
                <w:rFonts w:hint="default" w:ascii="宋体" w:hAnsi="宋体" w:eastAsia="宋体" w:cs="宋体"/>
                <w:color w:val="000000"/>
                <w:sz w:val="20"/>
                <w:u w:color="auto"/>
              </w:rPr>
              <w:t>环江毛南族自治县大安乡初级中学</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5147"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32"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22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18"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5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3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70" w:hRule="atLeast"/>
        </w:trPr>
        <w:tc>
          <w:tcPr>
            <w:tcW w:w="122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18"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3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22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18"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3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5147"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3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05" w:hRule="atLeast"/>
        </w:trPr>
        <w:tc>
          <w:tcPr>
            <w:tcW w:w="5147"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866.25</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717.96</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677.40</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532.10</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2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1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59.39</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3979" w:type="dxa"/>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p>
    <w:tbl>
      <w:tblPr>
        <w:tblStyle w:val="6"/>
        <w:tblW w:w="16061" w:type="dxa"/>
        <w:tblInd w:w="93" w:type="dxa"/>
        <w:tblLayout w:type="fixed"/>
        <w:tblCellMar>
          <w:top w:w="0" w:type="dxa"/>
          <w:left w:w="108" w:type="dxa"/>
          <w:bottom w:w="0" w:type="dxa"/>
          <w:right w:w="108" w:type="dxa"/>
        </w:tblCellMar>
      </w:tblPr>
      <w:tblGrid>
        <w:gridCol w:w="3"/>
        <w:gridCol w:w="813"/>
        <w:gridCol w:w="294"/>
        <w:gridCol w:w="2371"/>
        <w:gridCol w:w="657"/>
        <w:gridCol w:w="449"/>
        <w:gridCol w:w="504"/>
        <w:gridCol w:w="776"/>
        <w:gridCol w:w="87"/>
        <w:gridCol w:w="2114"/>
        <w:gridCol w:w="146"/>
        <w:gridCol w:w="815"/>
        <w:gridCol w:w="345"/>
        <w:gridCol w:w="480"/>
        <w:gridCol w:w="693"/>
        <w:gridCol w:w="2147"/>
        <w:gridCol w:w="253"/>
        <w:gridCol w:w="1056"/>
        <w:gridCol w:w="239"/>
      </w:tblGrid>
      <w:tr>
        <w:tblPrEx>
          <w:tblCellMar>
            <w:top w:w="0" w:type="dxa"/>
            <w:left w:w="108" w:type="dxa"/>
            <w:bottom w:w="0" w:type="dxa"/>
            <w:right w:w="108" w:type="dxa"/>
          </w:tblCellMar>
        </w:tblPrEx>
        <w:trPr>
          <w:gridBefore w:val="1"/>
          <w:gridAfter w:val="1"/>
          <w:wBefore w:w="3" w:type="dxa"/>
          <w:wAfter w:w="239" w:type="dxa"/>
          <w:trHeight w:val="614" w:hRule="atLeast"/>
        </w:trPr>
        <w:tc>
          <w:tcPr>
            <w:tcW w:w="14000" w:type="dxa"/>
            <w:gridSpan w:val="1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gridAfter w:val="1"/>
          <w:wBefore w:w="3" w:type="dxa"/>
          <w:wAfter w:w="239"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gridBefore w:val="1"/>
          <w:gridAfter w:val="1"/>
          <w:wBefore w:w="3" w:type="dxa"/>
          <w:wAfter w:w="239" w:type="dxa"/>
          <w:trHeight w:val="306" w:hRule="atLeast"/>
        </w:trPr>
        <w:tc>
          <w:tcPr>
            <w:tcW w:w="8211" w:type="dxa"/>
            <w:gridSpan w:val="10"/>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116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91"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151" w:type="dxa"/>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2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9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2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9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676.93</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218.38</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43.43</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174.39</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95.11</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66.01</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26.69</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49.59</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31.88</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32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09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38"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708.81</w:t>
            </w:r>
          </w:p>
        </w:tc>
        <w:tc>
          <w:tcPr>
            <w:tcW w:w="7856" w:type="dxa"/>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42"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85" w:type="dxa"/>
        <w:tblInd w:w="93" w:type="dxa"/>
        <w:tblLayout w:type="fixed"/>
        <w:tblCellMar>
          <w:top w:w="0" w:type="dxa"/>
          <w:left w:w="108" w:type="dxa"/>
          <w:bottom w:w="0" w:type="dxa"/>
          <w:right w:w="108" w:type="dxa"/>
        </w:tblCellMar>
      </w:tblPr>
      <w:tblGrid>
        <w:gridCol w:w="3"/>
        <w:gridCol w:w="1297"/>
        <w:gridCol w:w="41"/>
        <w:gridCol w:w="199"/>
        <w:gridCol w:w="236"/>
        <w:gridCol w:w="834"/>
        <w:gridCol w:w="791"/>
        <w:gridCol w:w="1109"/>
        <w:gridCol w:w="864"/>
        <w:gridCol w:w="655"/>
        <w:gridCol w:w="998"/>
        <w:gridCol w:w="277"/>
        <w:gridCol w:w="1323"/>
        <w:gridCol w:w="233"/>
        <w:gridCol w:w="1447"/>
        <w:gridCol w:w="34"/>
        <w:gridCol w:w="1694"/>
        <w:gridCol w:w="2"/>
        <w:gridCol w:w="1923"/>
        <w:gridCol w:w="23"/>
        <w:gridCol w:w="2"/>
      </w:tblGrid>
      <w:tr>
        <w:tblPrEx>
          <w:tblCellMar>
            <w:top w:w="0" w:type="dxa"/>
            <w:left w:w="108" w:type="dxa"/>
            <w:bottom w:w="0" w:type="dxa"/>
            <w:right w:w="108" w:type="dxa"/>
          </w:tblCellMar>
        </w:tblPrEx>
        <w:trPr>
          <w:gridBefore w:val="1"/>
          <w:gridAfter w:val="1"/>
          <w:wBefore w:w="3" w:type="dxa"/>
          <w:wAfter w:w="2" w:type="dxa"/>
          <w:trHeight w:val="536" w:hRule="atLeast"/>
        </w:trPr>
        <w:tc>
          <w:tcPr>
            <w:tcW w:w="13980" w:type="dxa"/>
            <w:gridSpan w:val="1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gridBefore w:val="1"/>
          <w:wBefore w:w="3" w:type="dxa"/>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gridAfter w:val="1"/>
          <w:wBefore w:w="3" w:type="dxa"/>
          <w:wAfter w:w="2" w:type="dxa"/>
          <w:trHeight w:val="268" w:hRule="atLeast"/>
        </w:trPr>
        <w:tc>
          <w:tcPr>
            <w:tcW w:w="8624" w:type="dxa"/>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168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3"/>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300" w:hRule="atLeast"/>
        </w:trPr>
        <w:tc>
          <w:tcPr>
            <w:tcW w:w="261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1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312"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61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300" w:hRule="atLeast"/>
        </w:trPr>
        <w:tc>
          <w:tcPr>
            <w:tcW w:w="134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6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5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8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61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300" w:hRule="atLeast"/>
        </w:trPr>
        <w:tc>
          <w:tcPr>
            <w:tcW w:w="13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300" w:hRule="atLeast"/>
        </w:trPr>
        <w:tc>
          <w:tcPr>
            <w:tcW w:w="13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621" w:hRule="atLeast"/>
        </w:trPr>
        <w:tc>
          <w:tcPr>
            <w:tcW w:w="261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677" w:hRule="atLeast"/>
        </w:trPr>
        <w:tc>
          <w:tcPr>
            <w:tcW w:w="261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715" w:hRule="atLeast"/>
        </w:trPr>
        <w:tc>
          <w:tcPr>
            <w:tcW w:w="13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 w:type="dxa"/>
          <w:trHeight w:val="300" w:hRule="atLeast"/>
        </w:trPr>
        <w:tc>
          <w:tcPr>
            <w:tcW w:w="13960"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年度没有政府性基金预算财政拨款收入，也没有国有政府性基金预算财政拨款安排的支出，故本表无数据。</w:t>
            </w:r>
          </w:p>
        </w:tc>
      </w:tr>
    </w:tbl>
    <w:p>
      <w:pPr>
        <w:jc w:val="left"/>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13943" w:type="dxa"/>
        <w:tblInd w:w="93" w:type="dxa"/>
        <w:tblLayout w:type="fixed"/>
        <w:tblCellMar>
          <w:top w:w="0" w:type="dxa"/>
          <w:left w:w="108" w:type="dxa"/>
          <w:bottom w:w="0" w:type="dxa"/>
          <w:right w:w="108" w:type="dxa"/>
        </w:tblCellMar>
      </w:tblPr>
      <w:tblGrid>
        <w:gridCol w:w="3"/>
        <w:gridCol w:w="1357"/>
        <w:gridCol w:w="782"/>
        <w:gridCol w:w="285"/>
        <w:gridCol w:w="363"/>
        <w:gridCol w:w="145"/>
        <w:gridCol w:w="1815"/>
        <w:gridCol w:w="135"/>
        <w:gridCol w:w="1350"/>
        <w:gridCol w:w="1181"/>
        <w:gridCol w:w="327"/>
        <w:gridCol w:w="1248"/>
        <w:gridCol w:w="1887"/>
        <w:gridCol w:w="194"/>
        <w:gridCol w:w="2869"/>
        <w:gridCol w:w="2"/>
      </w:tblGrid>
      <w:tr>
        <w:tblPrEx>
          <w:tblCellMar>
            <w:top w:w="0" w:type="dxa"/>
            <w:left w:w="108" w:type="dxa"/>
            <w:bottom w:w="0" w:type="dxa"/>
            <w:right w:w="108" w:type="dxa"/>
          </w:tblCellMar>
        </w:tblPrEx>
        <w:trPr>
          <w:gridBefore w:val="1"/>
          <w:wBefore w:w="3" w:type="dxa"/>
          <w:trHeight w:val="384" w:hRule="atLeast"/>
        </w:trPr>
        <w:tc>
          <w:tcPr>
            <w:tcW w:w="13940" w:type="dxa"/>
            <w:gridSpan w:val="1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gridBefore w:val="1"/>
          <w:wBefore w:w="3" w:type="dxa"/>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wBefore w:w="3" w:type="dxa"/>
          <w:trHeight w:val="264" w:hRule="atLeast"/>
        </w:trPr>
        <w:tc>
          <w:tcPr>
            <w:tcW w:w="774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313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29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837"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8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36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75"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3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3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08" w:hRule="atLeast"/>
        </w:trPr>
        <w:tc>
          <w:tcPr>
            <w:tcW w:w="29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14" w:hRule="atLeast"/>
        </w:trPr>
        <w:tc>
          <w:tcPr>
            <w:tcW w:w="29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14" w:hRule="atLeast"/>
        </w:trPr>
        <w:tc>
          <w:tcPr>
            <w:tcW w:w="1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3941" w:type="dxa"/>
            <w:gridSpan w:val="1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  </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环江毛南族自治县大安乡初级中学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lang w:val="en-US"/>
              </w:rPr>
            </w:pP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lang w:val="en-US"/>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增加74.05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增长9.34</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866.25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74.05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9.34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kern w:val="0"/>
          <w:sz w:val="32"/>
          <w:szCs w:val="32"/>
        </w:rPr>
        <w:t>（1）</w:t>
      </w:r>
      <w:r>
        <w:rPr>
          <w:rFonts w:hint="eastAsia" w:ascii="华文仿宋" w:hAnsi="华文仿宋" w:eastAsia="华文仿宋" w:cs="华文仿宋"/>
          <w:kern w:val="0"/>
          <w:sz w:val="32"/>
          <w:szCs w:val="32"/>
          <w:lang w:val="en-US" w:eastAsia="zh-CN"/>
        </w:rPr>
        <w:t>新增人员增加；（2）上级专款收入增加。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 xml:space="preserve">6.经营收入0.00万。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xml:space="preserve">万元。 </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增加74.05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增长9.34</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9.15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val="en-US" w:eastAsia="zh-CN"/>
        </w:rPr>
        <w:t>工会活动及慰问支出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17.30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主要原因是：教职工人数增加，工会经费收入相应增加</w:t>
      </w:r>
    </w:p>
    <w:p>
      <w:pPr>
        <w:autoSpaceDE w:val="0"/>
        <w:autoSpaceDN w:val="0"/>
        <w:adjustRightInd w:val="0"/>
        <w:spacing w:line="560" w:lineRule="exact"/>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682</w:t>
      </w:r>
      <w:r>
        <w:rPr>
          <w:rFonts w:hint="eastAsia" w:ascii="仿宋" w:hAnsi="仿宋" w:eastAsia="仿宋" w:cs="仿宋"/>
          <w:sz w:val="32"/>
          <w:szCs w:val="32"/>
          <w:highlight w:val="none"/>
          <w:lang w:bidi="ar"/>
        </w:rPr>
        <w:t>.12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支付基本工资、津贴补贴、奖金、绩效工资、医疗保险、其他社会保障、办公费、水电费、邮电费、物业管理费、差旅费、劳务费、退休费、生活补助费、助学金、其他对个人和家庭的补助、劳务费等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增加85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增长14.23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主要原因是：该类支出部分资金上级每年都做有预算直接下达到学校，本部门无需做预算</w:t>
      </w:r>
      <w:r>
        <w:rPr>
          <w:rFonts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66.01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val="en-US" w:eastAsia="zh-CN"/>
        </w:rPr>
        <w:t>支付在职教职工机关老养老保险费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增加11</w:t>
      </w:r>
      <w:r>
        <w:rPr>
          <w:rFonts w:hint="eastAsia" w:ascii="仿宋" w:hAnsi="仿宋" w:eastAsia="仿宋" w:cs="仿宋"/>
          <w:sz w:val="32"/>
          <w:szCs w:val="32"/>
          <w:highlight w:val="none"/>
          <w:lang w:bidi="ar"/>
        </w:rPr>
        <w:t>.55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增长21.21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缴纳基数高于2022年基数。</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49.5</w:t>
      </w:r>
      <w:r>
        <w:rPr>
          <w:rFonts w:hint="eastAsia" w:ascii="仿宋" w:hAnsi="仿宋" w:eastAsia="仿宋" w:cs="仿宋"/>
          <w:sz w:val="32"/>
          <w:szCs w:val="32"/>
          <w:highlight w:val="none"/>
          <w:lang w:bidi="ar"/>
        </w:rPr>
        <w:t>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支付在职教职工住房公积金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4.10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9.01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缴纳基数高于2022年基数。</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59.39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支付绩效考评奖金等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减少27.93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减少31.98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主要原因是：2023年部分绩效考评奖未清发放，</w:t>
      </w:r>
      <w:r>
        <w:rPr>
          <w:rFonts w:hint="eastAsia" w:ascii="仿宋" w:hAnsi="仿宋" w:eastAsia="仿宋" w:cs="仿宋"/>
          <w:color w:val="auto"/>
          <w:kern w:val="2"/>
          <w:sz w:val="32"/>
          <w:szCs w:val="32"/>
          <w:highlight w:val="none"/>
          <w:lang w:val="en-US" w:eastAsia="zh-CN" w:bidi="ar"/>
        </w:rPr>
        <w:t>年中退休3人。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增加74.05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增长9.34</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717.96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148.29</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环江毛南族自治县大安乡初级中学202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634.19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866.25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136.59</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9.15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9.15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139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606"/>
        <w:gridCol w:w="1003"/>
        <w:gridCol w:w="805"/>
        <w:gridCol w:w="1118"/>
        <w:gridCol w:w="5984"/>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6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598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6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9.15</w:t>
            </w:r>
          </w:p>
        </w:tc>
        <w:tc>
          <w:tcPr>
            <w:tcW w:w="8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9.15</w:t>
            </w:r>
          </w:p>
        </w:tc>
        <w:tc>
          <w:tcPr>
            <w:tcW w:w="1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598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2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6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9.15</w:t>
            </w:r>
          </w:p>
        </w:tc>
        <w:tc>
          <w:tcPr>
            <w:tcW w:w="8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9.15</w:t>
            </w:r>
          </w:p>
        </w:tc>
        <w:tc>
          <w:tcPr>
            <w:tcW w:w="1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598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2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bl>
    <w:p>
      <w:pPr>
        <w:jc w:val="left"/>
        <w:rPr>
          <w:rFonts w:hint="eastAsia" w:ascii="仿宋" w:hAnsi="仿宋" w:eastAsia="仿宋"/>
          <w:sz w:val="32"/>
          <w:szCs w:val="32"/>
          <w:highlight w:val="none"/>
        </w:rPr>
      </w:pPr>
      <w:r>
        <w:rPr>
          <w:rFonts w:hint="eastAsia"/>
          <w:lang w:val="en-US" w:eastAsia="zh-CN"/>
        </w:rPr>
        <w:t xml:space="preserve">                           </w:t>
      </w:r>
      <w:r>
        <w:drawing>
          <wp:inline distT="0" distB="0" distL="114300" distR="114300">
            <wp:extent cx="4343400" cy="2543810"/>
            <wp:effectExtent l="4445" t="4445" r="14605" b="23495"/>
            <wp:docPr id="10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491.48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682.12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138.79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奖金、医疗险等</w:t>
      </w:r>
      <w:r>
        <w:rPr>
          <w:rFonts w:hint="eastAsia" w:ascii="Times New Roman" w:hAnsi="Times New Roman" w:eastAsia="仿宋_GB2312" w:cs="Times New Roman"/>
          <w:kern w:val="0"/>
          <w:sz w:val="32"/>
          <w:szCs w:val="32"/>
        </w:rPr>
        <w:t>相应的各项拨款</w:t>
      </w:r>
      <w:r>
        <w:rPr>
          <w:rFonts w:hint="eastAsia" w:ascii="Times New Roman" w:hAnsi="Times New Roman" w:eastAsia="仿宋_GB2312" w:cs="Times New Roman"/>
          <w:kern w:val="0"/>
          <w:sz w:val="32"/>
          <w:szCs w:val="32"/>
          <w:lang w:val="en-US" w:eastAsia="zh-CN"/>
        </w:rPr>
        <w:t>增加</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139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6214"/>
        <w:gridCol w:w="2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62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7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491.48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677.40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137.83%</w:t>
            </w:r>
          </w:p>
        </w:tc>
        <w:tc>
          <w:tcPr>
            <w:tcW w:w="62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themeColor="text1"/>
                <w:kern w:val="2"/>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支付基本工资、津贴补贴、奖金、绩效工资、医疗保险、其他社会保障、办公费、水电费、邮电费、物业管理费、差旅费、劳务费、退休费、生活补助费、助学金、其他对个人和家庭的补助等</w:t>
            </w:r>
          </w:p>
        </w:tc>
        <w:tc>
          <w:tcPr>
            <w:tcW w:w="27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8"/>
                <w:szCs w:val="28"/>
                <w:highlight w:val="none"/>
                <w:lang w:val="en-US" w:eastAsia="zh-CN" w:bidi="ar"/>
              </w:rPr>
              <w:t xml:space="preserve"> </w:t>
            </w:r>
            <w:r>
              <w:rPr>
                <w:rFonts w:hint="eastAsia" w:ascii="仿宋" w:hAnsi="仿宋" w:eastAsia="仿宋"/>
                <w:color w:val="000000" w:themeColor="text1"/>
                <w:sz w:val="18"/>
                <w:szCs w:val="18"/>
                <w:highlight w:val="none"/>
                <w:lang w:val="en-US" w:eastAsia="zh-CN"/>
                <w14:textFill>
                  <w14:solidFill>
                    <w14:schemeClr w14:val="tx1"/>
                  </w14:solidFill>
                </w14:textFill>
              </w:rPr>
              <w:t>该类支出部分资金上级部门每年都有预算，直接下达，本部门无需做预算，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 xml:space="preserve"> </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2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支付生活补助、助学金等</w:t>
            </w:r>
          </w:p>
        </w:tc>
        <w:tc>
          <w:tcPr>
            <w:tcW w:w="27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w:t>
            </w:r>
            <w:r>
              <w:rPr>
                <w:rFonts w:hint="eastAsia" w:ascii="仿宋" w:hAnsi="仿宋" w:eastAsia="仿宋"/>
                <w:color w:val="000000" w:themeColor="text1"/>
                <w:sz w:val="18"/>
                <w:szCs w:val="18"/>
                <w:highlight w:val="none"/>
                <w:lang w:val="en-US" w:eastAsia="zh-CN"/>
                <w14:textFill>
                  <w14:solidFill>
                    <w14:schemeClr w14:val="tx1"/>
                  </w14:solidFill>
                </w14:textFill>
              </w:rPr>
              <w:t>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 xml:space="preserve"> </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2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学校协管员工资</w:t>
            </w:r>
          </w:p>
        </w:tc>
        <w:tc>
          <w:tcPr>
            <w:tcW w:w="27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此部分资金上级部门每年都有预算，直接下达，本部门无需做预算。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491.48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682.12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2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c>
          <w:tcPr>
            <w:tcW w:w="27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76.32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66.01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86.49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年中退休3人以及1名特岗教师转为在职人员。</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139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6017"/>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60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30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86.49%</w:t>
            </w:r>
          </w:p>
        </w:tc>
        <w:tc>
          <w:tcPr>
            <w:tcW w:w="60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支付在职教职工养老保险</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c>
        <w:tc>
          <w:tcPr>
            <w:tcW w:w="30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4"/>
                <w:szCs w:val="24"/>
                <w:highlight w:val="none"/>
                <w:lang w:val="en-US" w:eastAsia="zh-CN" w:bidi="ar"/>
              </w:rPr>
              <w:t>年中退休3人以及1名特岗教师转为在职人员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0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p>
        </w:tc>
        <w:tc>
          <w:tcPr>
            <w:tcW w:w="30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420" w:firstLineChars="0"/>
        <w:jc w:val="left"/>
        <w:textAlignment w:val="baseline"/>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57.24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49.59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86.64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年中退休3人以及1名特岗教师转为在职人员。</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1400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6198"/>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61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57.24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86.64%</w:t>
            </w:r>
          </w:p>
        </w:tc>
        <w:tc>
          <w:tcPr>
            <w:tcW w:w="61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支付在职教职工住房公积金</w:t>
            </w:r>
          </w:p>
        </w:tc>
        <w:tc>
          <w:tcPr>
            <w:tcW w:w="2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4"/>
                <w:szCs w:val="24"/>
                <w:highlight w:val="none"/>
                <w:lang w:val="en-US" w:eastAsia="zh-CN" w:bidi="ar"/>
              </w:rPr>
              <w:t>年中退休3人以及1名特岗教师转为在职人员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57.24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1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p>
        </w:tc>
        <w:tc>
          <w:tcPr>
            <w:tcW w:w="2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59.39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此</w:t>
      </w:r>
      <w:r>
        <w:rPr>
          <w:rFonts w:hint="eastAsia" w:ascii="仿宋" w:hAnsi="仿宋" w:eastAsia="仿宋"/>
          <w:color w:val="000000" w:themeColor="text1"/>
          <w:sz w:val="32"/>
          <w:szCs w:val="32"/>
          <w:highlight w:val="none"/>
          <w:lang w:val="en-US" w:eastAsia="zh-CN"/>
          <w14:textFill>
            <w14:solidFill>
              <w14:schemeClr w14:val="tx1"/>
            </w14:solidFill>
          </w14:textFill>
        </w:rPr>
        <w:t>部分资金上级部门每年都有预算，直接下达，本部门无需做预算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139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4521"/>
        <w:gridCol w:w="4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45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45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59.39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45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教职工奖励性补贴</w:t>
            </w:r>
          </w:p>
        </w:tc>
        <w:tc>
          <w:tcPr>
            <w:tcW w:w="45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w:t>
            </w:r>
            <w:r>
              <w:rPr>
                <w:rFonts w:hint="eastAsia" w:ascii="仿宋" w:hAnsi="仿宋" w:eastAsia="仿宋"/>
                <w:color w:val="000000" w:themeColor="text1"/>
                <w:sz w:val="18"/>
                <w:szCs w:val="18"/>
                <w:highlight w:val="none"/>
                <w:lang w:val="en-US" w:eastAsia="zh-CN"/>
                <w14:textFill>
                  <w14:solidFill>
                    <w14:schemeClr w14:val="tx1"/>
                  </w14:solidFill>
                </w14:textFill>
              </w:rPr>
              <w:t>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59.39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45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p>
        </w:tc>
        <w:tc>
          <w:tcPr>
            <w:tcW w:w="45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717.96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708.81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9.15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42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676.93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113.58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奖金、生活补助等均有提高。</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218.38万元，30102津贴补贴43.43万元，30103奖金174.39万元，30107绩效工资95.11万元，30108机关事业单位基本养老保险缴费66.01万元，30110职工基本医疗保险缴费26.69万元，30112其他社会保障缴费3.33万元，30113住房公积金49.59万元，30305 生活补助31.28万元，30308助学金0.59万元，其他对个人和家庭的补助0.01万元。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42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9.15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华文仿宋" w:hAnsi="华文仿宋" w:eastAsia="华文仿宋" w:cs="华文仿宋"/>
          <w:kern w:val="0"/>
          <w:sz w:val="32"/>
          <w:szCs w:val="32"/>
          <w:lang w:val="en-US" w:eastAsia="zh-CN"/>
        </w:rPr>
        <w:t>无差异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30228工会经费9.15万元。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42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31.88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167.26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val="en-US" w:eastAsia="zh-CN" w:bidi="ar"/>
        </w:rPr>
        <w:t>生活补助提高以及年中有3人退休</w:t>
      </w:r>
      <w:r>
        <w:rPr>
          <w:rFonts w:hint="eastAsia" w:ascii="仿宋" w:hAnsi="仿宋" w:eastAsia="仿宋" w:cs="仿宋"/>
          <w:sz w:val="32"/>
          <w:szCs w:val="32"/>
          <w:lang w:eastAsia="zh-CN" w:bidi="ar"/>
        </w:rPr>
        <w:t>。</w:t>
      </w:r>
    </w:p>
    <w:p>
      <w:pPr>
        <w:ind w:firstLine="320" w:firstLineChars="1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30305生活补助31.28万元，30308助学金0.59万元，30399其他对个人和家庭的补助0.01万元。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color w:val="FF0000"/>
          <w:sz w:val="32"/>
          <w:szCs w:val="32"/>
          <w:highlight w:val="none"/>
          <w:lang w:val="en-US"/>
        </w:rPr>
      </w:pPr>
    </w:p>
    <w:p>
      <w:pPr>
        <w:keepNext w:val="0"/>
        <w:keepLines w:val="0"/>
        <w:widowControl w:val="0"/>
        <w:numPr>
          <w:ilvl w:val="0"/>
          <w:numId w:val="0"/>
        </w:numPr>
        <w:suppressLineNumbers w:val="0"/>
        <w:spacing w:before="0" w:beforeAutospacing="0" w:after="0" w:afterAutospacing="0"/>
        <w:ind w:right="0" w:right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u w:color="auto"/>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eastAsia" w:ascii="仿宋" w:hAnsi="仿宋" w:eastAsia="仿宋" w:cs="仿宋"/>
          <w:sz w:val="32"/>
          <w:u w:color="auto"/>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u w:color="auto"/>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jc w:val="both"/>
        <w:rPr>
          <w:rFonts w:hint="eastAsia" w:ascii="黑体" w:hAnsi="黑体" w:eastAsia="黑体" w:cs="黑体"/>
          <w:sz w:val="32"/>
          <w:szCs w:val="32"/>
          <w:highlight w:val="none"/>
        </w:rPr>
      </w:pPr>
    </w:p>
    <w:p>
      <w:pPr>
        <w:jc w:val="both"/>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环江毛南族自治县大安乡初级中学202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 xml:space="preserve">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环江毛南族自治县大安乡初级中学2022年度国有资本经营预算支出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 xml:space="preserve">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 xml:space="preserve"> </w:t>
      </w:r>
    </w:p>
    <w:p>
      <w:pPr>
        <w:numPr>
          <w:ilvl w:val="0"/>
          <w:numId w:val="3"/>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其他重要事项情况说明</w:t>
      </w:r>
    </w:p>
    <w:p>
      <w:pPr>
        <w:numPr>
          <w:ilvl w:val="0"/>
          <w:numId w:val="0"/>
        </w:num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 xml:space="preserve"> </w:t>
      </w: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259.48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29.95</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我校对19个项目进行</w:t>
      </w:r>
      <w:r>
        <w:rPr>
          <w:rFonts w:hint="eastAsia" w:ascii="仿宋" w:hAnsi="仿宋" w:eastAsia="仿宋" w:cs="仿宋"/>
          <w:b w:val="0"/>
          <w:bCs/>
          <w:sz w:val="32"/>
          <w:szCs w:val="32"/>
        </w:rPr>
        <w:t>自评</w:t>
      </w:r>
      <w:r>
        <w:rPr>
          <w:rFonts w:hint="eastAsia" w:ascii="仿宋" w:hAnsi="仿宋" w:eastAsia="仿宋" w:cs="仿宋"/>
          <w:b w:val="0"/>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8个，99.66分1个，99.06分1个，98.89分1个，98.86分1个，97.83分1个，97.13分1个，96.13分1个，95分1个,90分3个</w:t>
      </w:r>
      <w:r>
        <w:rPr>
          <w:rFonts w:hint="eastAsia" w:ascii="仿宋" w:hAnsi="仿宋" w:eastAsia="仿宋" w:cs="仿宋"/>
          <w:color w:val="000000" w:themeColor="text1"/>
          <w:sz w:val="32"/>
          <w:szCs w:val="32"/>
          <w14:textFill>
            <w14:solidFill>
              <w14:schemeClr w14:val="tx1"/>
            </w14:solidFill>
          </w14:textFill>
        </w:rPr>
        <w:t>。发现的主要问题及原因：一是</w:t>
      </w:r>
      <w:r>
        <w:rPr>
          <w:rFonts w:hint="eastAsia" w:ascii="仿宋" w:hAnsi="仿宋" w:eastAsia="仿宋" w:cs="仿宋"/>
          <w:sz w:val="32"/>
          <w:szCs w:val="32"/>
        </w:rPr>
        <w:t>我单位未能制定相关管理制度，在项目实施方面还有待完善</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sz w:val="32"/>
          <w:szCs w:val="32"/>
        </w:rPr>
        <w:t>学校报账材料整理比较慢，不能及时支付</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组织制定完善相关</w:t>
      </w:r>
      <w:r>
        <w:rPr>
          <w:rFonts w:hint="eastAsia" w:ascii="仿宋" w:hAnsi="仿宋" w:eastAsia="仿宋" w:cs="仿宋"/>
          <w:sz w:val="32"/>
          <w:szCs w:val="32"/>
        </w:rPr>
        <w:t>管理制度</w:t>
      </w:r>
      <w:r>
        <w:rPr>
          <w:rFonts w:hint="eastAsia" w:ascii="仿宋" w:hAnsi="仿宋" w:eastAsia="仿宋" w:cs="仿宋"/>
          <w:sz w:val="32"/>
          <w:szCs w:val="32"/>
          <w:lang w:eastAsia="zh-CN"/>
        </w:rPr>
        <w:t>，</w:t>
      </w:r>
      <w:r>
        <w:rPr>
          <w:rFonts w:hint="eastAsia" w:ascii="仿宋" w:hAnsi="仿宋" w:eastAsia="仿宋" w:cs="仿宋"/>
          <w:sz w:val="32"/>
          <w:szCs w:val="32"/>
        </w:rPr>
        <w:t>完善项目实施</w:t>
      </w:r>
      <w:r>
        <w:rPr>
          <w:rFonts w:hint="eastAsia" w:ascii="仿宋" w:hAnsi="仿宋" w:eastAsia="仿宋" w:cs="仿宋"/>
          <w:sz w:val="32"/>
          <w:szCs w:val="32"/>
          <w:lang w:val="en-US" w:eastAsia="zh-CN"/>
        </w:rPr>
        <w:t>方案</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项目完成后，及时收集</w:t>
      </w:r>
      <w:r>
        <w:rPr>
          <w:rFonts w:hint="eastAsia" w:ascii="仿宋" w:hAnsi="仿宋" w:eastAsia="仿宋" w:cs="仿宋"/>
          <w:sz w:val="32"/>
          <w:szCs w:val="32"/>
        </w:rPr>
        <w:t>报账材料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及时支付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FF0000"/>
          <w:sz w:val="32"/>
          <w:szCs w:val="32"/>
          <w:lang w:val="en-US" w:eastAsia="zh-CN"/>
        </w:rPr>
        <w:t xml:space="preserve"> </w:t>
      </w:r>
    </w:p>
    <w:p>
      <w:pPr>
        <w:numPr>
          <w:ilvl w:val="0"/>
          <w:numId w:val="0"/>
        </w:numPr>
        <w:ind w:firstLine="4480" w:firstLineChars="1400"/>
        <w:jc w:val="both"/>
        <w:rPr>
          <w:rFonts w:ascii="黑体" w:hAnsi="黑体" w:eastAsia="黑体" w:cs="黑体"/>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0"/>
          <w:szCs w:val="30"/>
          <w:highlight w:val="none"/>
        </w:rPr>
      </w:pPr>
      <w:r>
        <w:rPr>
          <w:rFonts w:hint="eastAsia" w:ascii="仿宋" w:hAnsi="仿宋" w:eastAsia="仿宋" w:cs="仿宋"/>
          <w:sz w:val="32"/>
          <w:szCs w:val="32"/>
          <w:highlight w:val="none"/>
        </w:rPr>
        <w:t>十三、</w:t>
      </w:r>
      <w:r>
        <w:rPr>
          <w:rFonts w:hint="eastAsia" w:ascii="仿宋" w:hAnsi="仿宋" w:eastAsia="仿宋" w:cs="仿宋"/>
          <w:sz w:val="30"/>
          <w:szCs w:val="30"/>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6838" w:h="11906" w:orient="landscape"/>
      <w:pgMar w:top="1800" w:right="1440" w:bottom="1800"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B0737A63"/>
    <w:multiLevelType w:val="singleLevel"/>
    <w:tmpl w:val="B0737A63"/>
    <w:lvl w:ilvl="0" w:tentative="0">
      <w:start w:val="7"/>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42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JkNmQ3MzJjZWE2YzBlZWMwNDkyMzI1ODVkNTEifQ=="/>
  </w:docVars>
  <w:rsids>
    <w:rsidRoot w:val="637D7558"/>
    <w:rsid w:val="00002C84"/>
    <w:rsid w:val="00022149"/>
    <w:rsid w:val="00047F6C"/>
    <w:rsid w:val="00093C26"/>
    <w:rsid w:val="00094B91"/>
    <w:rsid w:val="000969AD"/>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42747"/>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2E35B2F"/>
    <w:rsid w:val="0329153F"/>
    <w:rsid w:val="04D01B9B"/>
    <w:rsid w:val="04E54546"/>
    <w:rsid w:val="05992762"/>
    <w:rsid w:val="07B0770E"/>
    <w:rsid w:val="0942143F"/>
    <w:rsid w:val="0A820A6F"/>
    <w:rsid w:val="0B3A15DD"/>
    <w:rsid w:val="0C2F663A"/>
    <w:rsid w:val="0CB927DC"/>
    <w:rsid w:val="0D100297"/>
    <w:rsid w:val="0D202B45"/>
    <w:rsid w:val="0D9642F0"/>
    <w:rsid w:val="0EA8323D"/>
    <w:rsid w:val="0F8D4C87"/>
    <w:rsid w:val="10505FAA"/>
    <w:rsid w:val="105F7E7E"/>
    <w:rsid w:val="11E56B5B"/>
    <w:rsid w:val="125C77AB"/>
    <w:rsid w:val="14057863"/>
    <w:rsid w:val="14C62B1E"/>
    <w:rsid w:val="14CB726E"/>
    <w:rsid w:val="17E92249"/>
    <w:rsid w:val="18D304F1"/>
    <w:rsid w:val="191335BE"/>
    <w:rsid w:val="19F32577"/>
    <w:rsid w:val="19F45B80"/>
    <w:rsid w:val="1B0C078D"/>
    <w:rsid w:val="1B2B31E2"/>
    <w:rsid w:val="1B4C295A"/>
    <w:rsid w:val="1B973C63"/>
    <w:rsid w:val="1BA1001E"/>
    <w:rsid w:val="1BCA6A25"/>
    <w:rsid w:val="1CA00DA6"/>
    <w:rsid w:val="1CC22A0B"/>
    <w:rsid w:val="1D317259"/>
    <w:rsid w:val="1E664F5B"/>
    <w:rsid w:val="1EB34BE1"/>
    <w:rsid w:val="200547B4"/>
    <w:rsid w:val="215E639F"/>
    <w:rsid w:val="21EC3183"/>
    <w:rsid w:val="225E72CD"/>
    <w:rsid w:val="2262184E"/>
    <w:rsid w:val="22F115A2"/>
    <w:rsid w:val="246E2F77"/>
    <w:rsid w:val="254B4E2B"/>
    <w:rsid w:val="283D7C94"/>
    <w:rsid w:val="293D1AEA"/>
    <w:rsid w:val="29480E03"/>
    <w:rsid w:val="2983634D"/>
    <w:rsid w:val="2BB02055"/>
    <w:rsid w:val="2C575A56"/>
    <w:rsid w:val="2DD65871"/>
    <w:rsid w:val="2F257714"/>
    <w:rsid w:val="2F3275E5"/>
    <w:rsid w:val="30AA08EF"/>
    <w:rsid w:val="30BB79B9"/>
    <w:rsid w:val="30D23D1C"/>
    <w:rsid w:val="31221CF5"/>
    <w:rsid w:val="31400178"/>
    <w:rsid w:val="31EF7522"/>
    <w:rsid w:val="321E3342"/>
    <w:rsid w:val="327759C8"/>
    <w:rsid w:val="33185FE3"/>
    <w:rsid w:val="34EE2E36"/>
    <w:rsid w:val="36777241"/>
    <w:rsid w:val="371E78D5"/>
    <w:rsid w:val="373B555D"/>
    <w:rsid w:val="387B5166"/>
    <w:rsid w:val="38A951DB"/>
    <w:rsid w:val="38B31605"/>
    <w:rsid w:val="39003F4F"/>
    <w:rsid w:val="3A466F9E"/>
    <w:rsid w:val="3C07002B"/>
    <w:rsid w:val="3D0D152A"/>
    <w:rsid w:val="3DF62756"/>
    <w:rsid w:val="3EA140FC"/>
    <w:rsid w:val="3F1B7587"/>
    <w:rsid w:val="3F4E590C"/>
    <w:rsid w:val="41E57B4F"/>
    <w:rsid w:val="425C4561"/>
    <w:rsid w:val="432F26F6"/>
    <w:rsid w:val="43880F63"/>
    <w:rsid w:val="441C5A6F"/>
    <w:rsid w:val="44C44FCC"/>
    <w:rsid w:val="44CC7369"/>
    <w:rsid w:val="457F5108"/>
    <w:rsid w:val="46951B6B"/>
    <w:rsid w:val="482C076B"/>
    <w:rsid w:val="49954A69"/>
    <w:rsid w:val="49A34401"/>
    <w:rsid w:val="4A3E30AB"/>
    <w:rsid w:val="4AC14DAC"/>
    <w:rsid w:val="4BDA5B91"/>
    <w:rsid w:val="4D154C85"/>
    <w:rsid w:val="4EB35ECE"/>
    <w:rsid w:val="508F4E24"/>
    <w:rsid w:val="51461E90"/>
    <w:rsid w:val="51463753"/>
    <w:rsid w:val="514C537E"/>
    <w:rsid w:val="52553A93"/>
    <w:rsid w:val="52F83B3B"/>
    <w:rsid w:val="53261B44"/>
    <w:rsid w:val="53521F8B"/>
    <w:rsid w:val="53E22F47"/>
    <w:rsid w:val="54522FF8"/>
    <w:rsid w:val="55450629"/>
    <w:rsid w:val="56143D1E"/>
    <w:rsid w:val="564F3B53"/>
    <w:rsid w:val="56692963"/>
    <w:rsid w:val="568B0F48"/>
    <w:rsid w:val="5786217B"/>
    <w:rsid w:val="57FE4953"/>
    <w:rsid w:val="59337A15"/>
    <w:rsid w:val="59810274"/>
    <w:rsid w:val="5CA96A00"/>
    <w:rsid w:val="5CF730BC"/>
    <w:rsid w:val="5D745287"/>
    <w:rsid w:val="5E5F0DCE"/>
    <w:rsid w:val="5FA40A7B"/>
    <w:rsid w:val="5FD56D29"/>
    <w:rsid w:val="5FEC7F3F"/>
    <w:rsid w:val="60F74BC3"/>
    <w:rsid w:val="617D3BF8"/>
    <w:rsid w:val="61841F6A"/>
    <w:rsid w:val="619A5F2C"/>
    <w:rsid w:val="623007A9"/>
    <w:rsid w:val="637D7558"/>
    <w:rsid w:val="644F19AC"/>
    <w:rsid w:val="65AA4920"/>
    <w:rsid w:val="65E31D0B"/>
    <w:rsid w:val="67694F1E"/>
    <w:rsid w:val="69597934"/>
    <w:rsid w:val="6B964DDC"/>
    <w:rsid w:val="6C783074"/>
    <w:rsid w:val="6CE944BD"/>
    <w:rsid w:val="6D9E65C6"/>
    <w:rsid w:val="6DA81947"/>
    <w:rsid w:val="6EB66DE2"/>
    <w:rsid w:val="6ED3075F"/>
    <w:rsid w:val="6EE17ACC"/>
    <w:rsid w:val="6F2A2D4B"/>
    <w:rsid w:val="6F8A0C1E"/>
    <w:rsid w:val="703F45D4"/>
    <w:rsid w:val="70F00EBF"/>
    <w:rsid w:val="715D6546"/>
    <w:rsid w:val="71BE069E"/>
    <w:rsid w:val="73953409"/>
    <w:rsid w:val="73E069A3"/>
    <w:rsid w:val="74026044"/>
    <w:rsid w:val="78104AA8"/>
    <w:rsid w:val="78E257C5"/>
    <w:rsid w:val="794B35BE"/>
    <w:rsid w:val="79DC579A"/>
    <w:rsid w:val="7B0A3A31"/>
    <w:rsid w:val="7B3360ED"/>
    <w:rsid w:val="7BDF037E"/>
    <w:rsid w:val="7BF50948"/>
    <w:rsid w:val="7CE66A78"/>
    <w:rsid w:val="7D23564C"/>
    <w:rsid w:val="7D592D54"/>
    <w:rsid w:val="7D5E062D"/>
    <w:rsid w:val="7DAD1D46"/>
    <w:rsid w:val="7DF52DF1"/>
    <w:rsid w:val="7DF76CD8"/>
    <w:rsid w:val="7EEA53E9"/>
    <w:rsid w:val="7EF944E8"/>
    <w:rsid w:val="7F695C26"/>
    <w:rsid w:val="7FCF62D3"/>
    <w:rsid w:val="7FD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1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delete val="1"/>
          </c:dLbls>
          <c:val>
            <c:numRef>
              <c:f>Sheet1!$B$2</c:f>
              <c:numCache>
                <c:formatCode>General</c:formatCode>
                <c:ptCount val="1"/>
                <c:pt idx="0">
                  <c:v>886.25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31.28</c:v>
                </c:pt>
                <c:pt idx="5">
                  <c:v>0</c:v>
                </c:pt>
                <c:pt idx="6">
                  <c:v>0</c:v>
                </c:pt>
                <c:pt idx="7">
                  <c:v>0.59</c:v>
                </c:pt>
                <c:pt idx="8">
                  <c:v>0</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7.8</c:v>
                </c:pt>
                <c:pt idx="1">
                  <c:v>597.12</c:v>
                </c:pt>
                <c:pt idx="2">
                  <c:v>54.46</c:v>
                </c:pt>
                <c:pt idx="3">
                  <c:v>45.49</c:v>
                </c:pt>
                <c:pt idx="4">
                  <c:v>87.32</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9.15</c:v>
                </c:pt>
                <c:pt idx="1">
                  <c:v>682.12</c:v>
                </c:pt>
                <c:pt idx="2">
                  <c:v>66.01</c:v>
                </c:pt>
                <c:pt idx="3">
                  <c:v>49.59</c:v>
                </c:pt>
                <c:pt idx="4">
                  <c:v>59.39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一般公共服务支出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2012999</c:v>
                </c:pt>
                <c:pt idx="1">
                  <c:v>20x</c:v>
                </c:pt>
              </c:strCache>
            </c:strRef>
          </c:cat>
          <c:val>
            <c:numRef>
              <c:f>'[财务人员联系信息2023-10-11 - 副本.xls]Sheet1'!$D$11:$D$12</c:f>
              <c:numCache>
                <c:formatCode>General</c:formatCode>
                <c:ptCount val="2"/>
                <c:pt idx="0">
                  <c:v>9.15</c:v>
                </c:pt>
                <c:pt idx="1">
                  <c:v>9.15</c:v>
                </c:pt>
              </c:numCache>
            </c:numRef>
          </c:val>
        </c:ser>
        <c:dLbls>
          <c:showLegendKey val="0"/>
          <c:showVal val="0"/>
          <c:showCatName val="0"/>
          <c:showSerName val="0"/>
          <c:showPercent val="0"/>
          <c:showBubbleSize val="0"/>
        </c:dLbls>
        <c:gapWidth val="219"/>
        <c:overlap val="-27"/>
        <c:axId val="190060083"/>
        <c:axId val="34042072"/>
      </c:barChart>
      <c:catAx>
        <c:axId val="1900600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42072"/>
        <c:crosses val="autoZero"/>
        <c:auto val="1"/>
        <c:lblAlgn val="ctr"/>
        <c:lblOffset val="100"/>
        <c:noMultiLvlLbl val="0"/>
      </c:catAx>
      <c:valAx>
        <c:axId val="34042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60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manualLayout>
          <c:layoutTarget val="inner"/>
          <c:xMode val="edge"/>
          <c:yMode val="edge"/>
          <c:x val="0.0743011210444161"/>
          <c:y val="0.169431279620853"/>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2050203</c:v>
                </c:pt>
                <c:pt idx="1">
                  <c:v>2050299</c:v>
                </c:pt>
                <c:pt idx="2">
                  <c:v>2050999</c:v>
                </c:pt>
                <c:pt idx="3">
                  <c:v>205x</c:v>
                </c:pt>
              </c:strCache>
            </c:strRef>
          </c:cat>
          <c:val>
            <c:numRef>
              <c:f>Sheet1!$B$2:$B$5</c:f>
              <c:numCache>
                <c:formatCode>General</c:formatCode>
                <c:ptCount val="4"/>
                <c:pt idx="0">
                  <c:v>677.4</c:v>
                </c:pt>
                <c:pt idx="1">
                  <c:v>3.11</c:v>
                </c:pt>
                <c:pt idx="2">
                  <c:v>1.62</c:v>
                </c:pt>
                <c:pt idx="3">
                  <c:v>682.12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66.01</c:v>
                </c:pt>
                <c:pt idx="1">
                  <c:v>66.01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49.59</c:v>
                </c:pt>
                <c:pt idx="1">
                  <c:v>49.59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59.39</c:v>
                </c:pt>
                <c:pt idx="1">
                  <c:v>59.39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218.38</c:v>
                </c:pt>
                <c:pt idx="1">
                  <c:v>43.43</c:v>
                </c:pt>
                <c:pt idx="2">
                  <c:v>174.39</c:v>
                </c:pt>
                <c:pt idx="3">
                  <c:v>0</c:v>
                </c:pt>
                <c:pt idx="4">
                  <c:v>95.11</c:v>
                </c:pt>
                <c:pt idx="5">
                  <c:v>66.01</c:v>
                </c:pt>
                <c:pt idx="6">
                  <c:v>0</c:v>
                </c:pt>
                <c:pt idx="7">
                  <c:v>26.69</c:v>
                </c:pt>
                <c:pt idx="8">
                  <c:v>0</c:v>
                </c:pt>
                <c:pt idx="9">
                  <c:v>3.33</c:v>
                </c:pt>
                <c:pt idx="10">
                  <c:v>49.59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9.15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1568</Words>
  <Characters>1648</Characters>
  <Lines>90</Lines>
  <Paragraphs>25</Paragraphs>
  <TotalTime>0</TotalTime>
  <ScaleCrop>false</ScaleCrop>
  <LinksUpToDate>false</LinksUpToDate>
  <CharactersWithSpaces>1682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2023-11-22T02:08:00Z</cp:lastPrinted>
  <dcterms:modified xsi:type="dcterms:W3CDTF">2024-12-30T08:58:02Z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A684145EC9DF4C329A5AD05F41FAFFCB_13</vt:lpwstr>
  </property>
  <property fmtid="{D5CDD505-2E9C-101B-9397-08002B2CF9AE}" pid="4" name="KSOTemplateDocerSaveRecord">
    <vt:lpwstr>eyJoZGlkIjoiMTJmYmNjY2M4ZWQ2NDYzODc5MGM5NmMzZDBmZWQ4OTkiLCJ1c2VySWQiOiIyNDE0Mzk3NDcifQ==</vt:lpwstr>
  </property>
</Properties>
</file>