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环江毛南族自治县思恩镇财政所</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rPr>
      </w:pPr>
    </w:p>
    <w:p>
      <w:pPr>
        <w:jc w:val="center"/>
        <w:rPr>
          <w:rFonts w:hint="eastAsia" w:ascii="黑体" w:hAnsi="黑体" w:eastAsia="黑体" w:cs="黑体"/>
          <w:b/>
          <w:bCs/>
          <w:sz w:val="36"/>
          <w:szCs w:val="36"/>
          <w:highlight w:val="none"/>
        </w:rPr>
      </w:pPr>
    </w:p>
    <w:p>
      <w:pPr>
        <w:jc w:val="center"/>
        <w:rPr>
          <w:rFonts w:ascii="黑体" w:hAnsi="黑体" w:eastAsia="黑体" w:cs="黑体"/>
          <w:b/>
          <w:bCs/>
          <w:sz w:val="36"/>
          <w:szCs w:val="36"/>
          <w:highlight w:val="none"/>
        </w:rPr>
      </w:pPr>
      <w:bookmarkStart w:id="1" w:name="_GoBack"/>
      <w:bookmarkEnd w:id="1"/>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广西河池市环江毛南族自治县思恩镇财政所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广西河池市环江毛南族自治县思恩镇财政所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广西河池市环江毛南族自治县思恩镇财政所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广西河池市环江毛南族自治县思恩镇财政所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60" w:lineRule="exact"/>
        <w:ind w:left="42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环江毛南族自治县思恩镇财政所是财政全额拨款参照公务员管理的事业单位。其主要职责：一是负责组织和管理乡镇财政收入和支出，编制执行乡镇年度预决算；二是负责乡镇非税收入的管理；三是落实兑现各级惠农补助资金，对农民负担和农村政策实施监督；四是完成上级主管部门和乡镇交办的其他事项。</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560" w:lineRule="exact"/>
        <w:ind w:left="42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本单位为广西河池市环江毛南族自治县思恩镇财政所所属二级预算单位，单位性质为参照公务员法管理事业单位，决算编报类型为单户表 ，按照 政府会计准则会计制度填报决算数据。</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1280" w:firstLineChars="4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广西河池市环江毛南族自治县思恩镇财政所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7520" w:type="dxa"/>
        <w:tblInd w:w="93" w:type="dxa"/>
        <w:tblLayout w:type="fixed"/>
        <w:tblCellMar>
          <w:top w:w="0" w:type="dxa"/>
          <w:left w:w="108" w:type="dxa"/>
          <w:bottom w:w="0" w:type="dxa"/>
          <w:right w:w="108" w:type="dxa"/>
        </w:tblCellMar>
      </w:tblPr>
      <w:tblGrid>
        <w:gridCol w:w="3"/>
        <w:gridCol w:w="1126"/>
        <w:gridCol w:w="1417"/>
        <w:gridCol w:w="419"/>
        <w:gridCol w:w="236"/>
        <w:gridCol w:w="236"/>
        <w:gridCol w:w="501"/>
        <w:gridCol w:w="23"/>
        <w:gridCol w:w="978"/>
        <w:gridCol w:w="439"/>
        <w:gridCol w:w="103"/>
        <w:gridCol w:w="1337"/>
        <w:gridCol w:w="116"/>
        <w:gridCol w:w="236"/>
        <w:gridCol w:w="1088"/>
        <w:gridCol w:w="49"/>
        <w:gridCol w:w="1391"/>
        <w:gridCol w:w="76"/>
        <w:gridCol w:w="65"/>
        <w:gridCol w:w="1299"/>
        <w:gridCol w:w="116"/>
        <w:gridCol w:w="787"/>
        <w:gridCol w:w="537"/>
        <w:gridCol w:w="1365"/>
        <w:gridCol w:w="20"/>
        <w:gridCol w:w="55"/>
      </w:tblGrid>
      <w:tr>
        <w:tblPrEx>
          <w:tblCellMar>
            <w:top w:w="0" w:type="dxa"/>
            <w:left w:w="108" w:type="dxa"/>
            <w:bottom w:w="0" w:type="dxa"/>
            <w:right w:w="108" w:type="dxa"/>
          </w:tblCellMar>
        </w:tblPrEx>
        <w:trPr>
          <w:gridBefore w:val="1"/>
          <w:gridAfter w:val="2"/>
          <w:wBefore w:w="3" w:type="dxa"/>
          <w:wAfter w:w="3577" w:type="dxa"/>
          <w:trHeight w:val="902" w:hRule="atLeast"/>
        </w:trPr>
        <w:tc>
          <w:tcPr>
            <w:tcW w:w="13940" w:type="dxa"/>
            <w:gridSpan w:val="2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2"/>
          <w:wBefore w:w="3" w:type="dxa"/>
          <w:wAfter w:w="3577" w:type="dxa"/>
          <w:trHeight w:val="301" w:hRule="atLeast"/>
        </w:trPr>
        <w:tc>
          <w:tcPr>
            <w:tcW w:w="25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gridBefore w:val="1"/>
          <w:gridAfter w:val="2"/>
          <w:wBefore w:w="3" w:type="dxa"/>
          <w:wAfter w:w="3577" w:type="dxa"/>
          <w:trHeight w:val="301" w:hRule="atLeast"/>
        </w:trPr>
        <w:tc>
          <w:tcPr>
            <w:tcW w:w="7167" w:type="dxa"/>
            <w:gridSpan w:val="1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2669"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Before w:val="1"/>
          <w:gridAfter w:val="1"/>
          <w:wBefore w:w="3" w:type="dxa"/>
          <w:wAfter w:w="55" w:type="dxa"/>
          <w:trHeight w:val="951" w:hRule="atLeast"/>
        </w:trPr>
        <w:tc>
          <w:tcPr>
            <w:tcW w:w="13960" w:type="dxa"/>
            <w:gridSpan w:val="2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tbl>
            <w:tblPr>
              <w:tblStyle w:val="7"/>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915"/>
              <w:gridCol w:w="1545"/>
              <w:gridCol w:w="4009"/>
              <w:gridCol w:w="229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3" w:type="dxa"/>
                  <w:gridSpan w:val="3"/>
                </w:tcPr>
                <w:p>
                  <w:pPr>
                    <w:keepNext w:val="0"/>
                    <w:keepLines w:val="0"/>
                    <w:suppressLineNumbers w:val="0"/>
                    <w:tabs>
                      <w:tab w:val="left" w:pos="4610"/>
                    </w:tabs>
                    <w:spacing w:before="0" w:beforeAutospacing="0" w:after="0" w:afterAutospacing="0"/>
                    <w:ind w:left="0" w:right="0"/>
                    <w:jc w:val="center"/>
                    <w:rPr>
                      <w:rFonts w:hint="eastAsia" w:ascii="仿宋" w:hAnsi="仿宋" w:eastAsia="仿宋" w:cs="仿宋"/>
                      <w:sz w:val="24"/>
                      <w:highlight w:val="none"/>
                      <w:vertAlign w:val="baseline"/>
                      <w:lang w:eastAsia="zh-CN"/>
                    </w:rPr>
                  </w:pPr>
                  <w:r>
                    <w:rPr>
                      <w:rFonts w:hint="eastAsia" w:ascii="仿宋" w:hAnsi="仿宋" w:eastAsia="仿宋" w:cs="仿宋"/>
                      <w:sz w:val="24"/>
                      <w:highlight w:val="none"/>
                      <w:vertAlign w:val="baseline"/>
                      <w:lang w:eastAsia="zh-CN"/>
                    </w:rPr>
                    <w:t>收入</w:t>
                  </w:r>
                </w:p>
              </w:tc>
              <w:tc>
                <w:tcPr>
                  <w:tcW w:w="8591" w:type="dxa"/>
                  <w:gridSpan w:val="3"/>
                </w:tcPr>
                <w:p>
                  <w:pPr>
                    <w:keepNext w:val="0"/>
                    <w:keepLines w:val="0"/>
                    <w:suppressLineNumbers w:val="0"/>
                    <w:spacing w:before="0" w:beforeAutospacing="0" w:after="0" w:afterAutospacing="0"/>
                    <w:ind w:left="0" w:right="0"/>
                    <w:jc w:val="center"/>
                    <w:rPr>
                      <w:rFonts w:hint="eastAsia" w:ascii="仿宋" w:hAnsi="仿宋" w:eastAsia="仿宋" w:cs="仿宋"/>
                      <w:sz w:val="24"/>
                      <w:highlight w:val="none"/>
                      <w:vertAlign w:val="baseline"/>
                      <w:lang w:eastAsia="zh-CN"/>
                    </w:rPr>
                  </w:pPr>
                  <w:r>
                    <w:rPr>
                      <w:rFonts w:hint="eastAsia" w:ascii="仿宋" w:hAnsi="仿宋" w:eastAsia="仿宋" w:cs="仿宋"/>
                      <w:sz w:val="24"/>
                      <w:highlight w:val="none"/>
                      <w:vertAlign w:val="baseline"/>
                      <w:lang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项目</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行次</w:t>
                  </w:r>
                </w:p>
              </w:tc>
              <w:tc>
                <w:tcPr>
                  <w:tcW w:w="154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金额</w:t>
                  </w:r>
                </w:p>
              </w:tc>
              <w:tc>
                <w:tcPr>
                  <w:tcW w:w="400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项目</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行次</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栏次</w:t>
                  </w:r>
                </w:p>
              </w:tc>
              <w:tc>
                <w:tcPr>
                  <w:tcW w:w="9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highlight w:val="none"/>
                      <w:vertAlign w:val="baseline"/>
                    </w:rPr>
                  </w:pPr>
                </w:p>
              </w:tc>
              <w:tc>
                <w:tcPr>
                  <w:tcW w:w="154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w:t>
                  </w:r>
                </w:p>
              </w:tc>
              <w:tc>
                <w:tcPr>
                  <w:tcW w:w="400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栏次</w:t>
                  </w:r>
                </w:p>
              </w:tc>
              <w:tc>
                <w:tcPr>
                  <w:tcW w:w="22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highlight w:val="none"/>
                      <w:vertAlign w:val="baseline"/>
                    </w:rPr>
                  </w:pP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w:t>
                  </w:r>
                </w:p>
              </w:tc>
              <w:tc>
                <w:tcPr>
                  <w:tcW w:w="1545" w:type="dxa"/>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sz w:val="24"/>
                      <w:highlight w:val="none"/>
                      <w:vertAlign w:val="baseline"/>
                      <w:lang w:val="en-US"/>
                    </w:rPr>
                  </w:pPr>
                  <w:r>
                    <w:rPr>
                      <w:rFonts w:hint="eastAsia" w:ascii="宋体" w:hAnsi="宋体" w:eastAsia="宋体" w:cs="宋体"/>
                      <w:i w:val="0"/>
                      <w:iCs w:val="0"/>
                      <w:color w:val="000000"/>
                      <w:kern w:val="0"/>
                      <w:sz w:val="22"/>
                      <w:szCs w:val="22"/>
                      <w:u w:val="none"/>
                      <w:lang w:val="en-US" w:eastAsia="zh-CN" w:bidi="ar"/>
                    </w:rPr>
                    <w:t>51.49</w:t>
                  </w: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32</w:t>
                  </w:r>
                </w:p>
              </w:tc>
              <w:tc>
                <w:tcPr>
                  <w:tcW w:w="2291" w:type="dxa"/>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sz w:val="24"/>
                      <w:highlight w:val="none"/>
                      <w:vertAlign w:val="baseline"/>
                      <w:lang w:val="en-US"/>
                    </w:rPr>
                  </w:pPr>
                  <w:r>
                    <w:rPr>
                      <w:rFonts w:hint="eastAsia" w:ascii="宋体" w:hAnsi="宋体" w:eastAsia="宋体" w:cs="宋体"/>
                      <w:i w:val="0"/>
                      <w:iCs w:val="0"/>
                      <w:color w:val="000000"/>
                      <w:kern w:val="0"/>
                      <w:sz w:val="22"/>
                      <w:szCs w:val="22"/>
                      <w:u w:val="none"/>
                      <w:lang w:val="en-US" w:eastAsia="zh-CN" w:bidi="ar"/>
                    </w:rPr>
                    <w:t>45.33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二、外交支出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33</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三、国防支出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34</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四、上级补助收入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四、公共安全支出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35</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五、事业收入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五、教育支出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36</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六、经营收入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6</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六、科学技术支出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37</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7</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38</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八、其他收入</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8</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39</w:t>
                  </w:r>
                </w:p>
              </w:tc>
              <w:tc>
                <w:tcPr>
                  <w:tcW w:w="2291" w:type="dxa"/>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sz w:val="24"/>
                      <w:highlight w:val="none"/>
                      <w:vertAlign w:val="baseline"/>
                      <w:lang w:val="en-US"/>
                    </w:rPr>
                  </w:pPr>
                  <w:r>
                    <w:rPr>
                      <w:rFonts w:hint="eastAsia" w:ascii="宋体" w:hAnsi="宋体" w:eastAsia="宋体" w:cs="宋体"/>
                      <w:i w:val="0"/>
                      <w:iCs w:val="0"/>
                      <w:color w:val="000000"/>
                      <w:kern w:val="0"/>
                      <w:sz w:val="22"/>
                      <w:szCs w:val="22"/>
                      <w:u w:val="none"/>
                      <w:lang w:val="en-US" w:eastAsia="zh-CN" w:bidi="ar"/>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9</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九、卫生健康支出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40</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10</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十、节能环保支出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41</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11</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42</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12</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十二、农林水支出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43</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13</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44</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14</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45</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15</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46</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16</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十六、金融支出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47</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17</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48</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18</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49</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19</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50</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20</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51</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21</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52</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22</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53</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23</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二十三、其他支出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54</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0"/>
                      <w:szCs w:val="20"/>
                      <w:u w:val="none"/>
                      <w:lang w:val="en-US" w:eastAsia="zh-CN" w:bidi="ar"/>
                    </w:rPr>
                    <w:t>24</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55</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0"/>
                      <w:szCs w:val="20"/>
                      <w:u w:val="none"/>
                      <w:lang w:val="en-US" w:eastAsia="zh-CN" w:bidi="ar"/>
                    </w:rPr>
                    <w:t>25</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56</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0"/>
                      <w:szCs w:val="20"/>
                      <w:u w:val="none"/>
                      <w:lang w:val="en-US" w:eastAsia="zh-CN" w:bidi="ar"/>
                    </w:rPr>
                    <w:t>26</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57</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27</w:t>
                  </w:r>
                </w:p>
              </w:tc>
              <w:tc>
                <w:tcPr>
                  <w:tcW w:w="1545" w:type="dxa"/>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51.49</w:t>
                  </w:r>
                </w:p>
              </w:tc>
              <w:tc>
                <w:tcPr>
                  <w:tcW w:w="400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58</w:t>
                  </w:r>
                </w:p>
              </w:tc>
              <w:tc>
                <w:tcPr>
                  <w:tcW w:w="2291" w:type="dxa"/>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28</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结余分配</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59</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年初结转和结余</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29</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年末结转和结余</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60</w:t>
                  </w:r>
                </w:p>
              </w:tc>
              <w:tc>
                <w:tcPr>
                  <w:tcW w:w="229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30</w:t>
                  </w:r>
                </w:p>
              </w:tc>
              <w:tc>
                <w:tcPr>
                  <w:tcW w:w="1545"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4"/>
                      <w:highlight w:val="none"/>
                      <w:vertAlign w:val="baseline"/>
                    </w:rPr>
                  </w:pPr>
                </w:p>
              </w:tc>
              <w:tc>
                <w:tcPr>
                  <w:tcW w:w="40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61</w:t>
                  </w:r>
                </w:p>
              </w:tc>
              <w:tc>
                <w:tcPr>
                  <w:tcW w:w="229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b/>
                      <w:bCs/>
                      <w:i w:val="0"/>
                      <w:iCs w:val="0"/>
                      <w:color w:val="000000"/>
                      <w:kern w:val="0"/>
                      <w:sz w:val="22"/>
                      <w:szCs w:val="22"/>
                      <w:u w:val="none"/>
                      <w:lang w:val="en-US" w:eastAsia="zh-CN" w:bidi="ar"/>
                    </w:rPr>
                    <w:t>总计</w:t>
                  </w:r>
                </w:p>
              </w:tc>
              <w:tc>
                <w:tcPr>
                  <w:tcW w:w="91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31</w:t>
                  </w:r>
                </w:p>
              </w:tc>
              <w:tc>
                <w:tcPr>
                  <w:tcW w:w="1545" w:type="dxa"/>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51.49</w:t>
                  </w:r>
                </w:p>
              </w:tc>
              <w:tc>
                <w:tcPr>
                  <w:tcW w:w="400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b/>
                      <w:bCs/>
                      <w:i w:val="0"/>
                      <w:iCs w:val="0"/>
                      <w:color w:val="000000"/>
                      <w:kern w:val="0"/>
                      <w:sz w:val="22"/>
                      <w:szCs w:val="22"/>
                      <w:u w:val="none"/>
                      <w:lang w:val="en-US" w:eastAsia="zh-CN" w:bidi="ar"/>
                    </w:rPr>
                    <w:t>总计</w:t>
                  </w:r>
                </w:p>
              </w:tc>
              <w:tc>
                <w:tcPr>
                  <w:tcW w:w="229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62</w:t>
                  </w:r>
                </w:p>
              </w:tc>
              <w:tc>
                <w:tcPr>
                  <w:tcW w:w="2291" w:type="dxa"/>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sz w:val="24"/>
                      <w:highlight w:val="none"/>
                      <w:vertAlign w:val="baseline"/>
                    </w:rPr>
                  </w:pPr>
                  <w:r>
                    <w:rPr>
                      <w:rFonts w:hint="eastAsia" w:ascii="宋体" w:hAnsi="宋体" w:eastAsia="宋体" w:cs="宋体"/>
                      <w:i w:val="0"/>
                      <w:iCs w:val="0"/>
                      <w:color w:val="000000"/>
                      <w:kern w:val="0"/>
                      <w:sz w:val="22"/>
                      <w:szCs w:val="22"/>
                      <w:u w:val="none"/>
                      <w:lang w:val="en-US" w:eastAsia="zh-CN" w:bidi="ar"/>
                    </w:rPr>
                    <w:t>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1545"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4009"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2291"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2291"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915"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1545"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4009"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2291"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c>
                <w:tcPr>
                  <w:tcW w:w="2291" w:type="dxa"/>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vertAlign w:val="baseline"/>
                    </w:rPr>
                  </w:pPr>
                </w:p>
              </w:tc>
            </w:tr>
          </w:tbl>
          <w:tbl>
            <w:tblPr>
              <w:tblStyle w:val="6"/>
              <w:tblW w:w="1407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0" w:type="dxa"/>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0"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gridBefore w:val="1"/>
          <w:gridAfter w:val="1"/>
          <w:wBefore w:w="3" w:type="dxa"/>
          <w:wAfter w:w="55" w:type="dxa"/>
          <w:trHeight w:val="317" w:hRule="atLeast"/>
        </w:trPr>
        <w:tc>
          <w:tcPr>
            <w:tcW w:w="2962"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gridBefore w:val="1"/>
          <w:gridAfter w:val="1"/>
          <w:wBefore w:w="3" w:type="dxa"/>
          <w:wAfter w:w="55" w:type="dxa"/>
          <w:trHeight w:val="317" w:hRule="atLeast"/>
        </w:trPr>
        <w:tc>
          <w:tcPr>
            <w:tcW w:w="6931" w:type="dxa"/>
            <w:gridSpan w:val="1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1373"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4"/>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393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12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09"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09"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09"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393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393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280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44.56</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0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0.77</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0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6.16</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4018" w:type="dxa"/>
            <w:gridSpan w:val="2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5720" w:type="dxa"/>
        <w:tblInd w:w="93" w:type="dxa"/>
        <w:tblLayout w:type="fixed"/>
        <w:tblCellMar>
          <w:top w:w="0" w:type="dxa"/>
          <w:left w:w="108" w:type="dxa"/>
          <w:bottom w:w="0" w:type="dxa"/>
          <w:right w:w="108" w:type="dxa"/>
        </w:tblCellMar>
      </w:tblPr>
      <w:tblGrid>
        <w:gridCol w:w="3"/>
        <w:gridCol w:w="876"/>
        <w:gridCol w:w="266"/>
        <w:gridCol w:w="237"/>
        <w:gridCol w:w="303"/>
        <w:gridCol w:w="2222"/>
        <w:gridCol w:w="473"/>
        <w:gridCol w:w="1154"/>
        <w:gridCol w:w="449"/>
        <w:gridCol w:w="1231"/>
        <w:gridCol w:w="372"/>
        <w:gridCol w:w="1388"/>
        <w:gridCol w:w="215"/>
        <w:gridCol w:w="1438"/>
        <w:gridCol w:w="165"/>
        <w:gridCol w:w="1489"/>
        <w:gridCol w:w="114"/>
        <w:gridCol w:w="1588"/>
        <w:gridCol w:w="15"/>
      </w:tblGrid>
      <w:tr>
        <w:trPr>
          <w:gridBefore w:val="1"/>
          <w:gridAfter w:val="1"/>
          <w:wBefore w:w="3" w:type="dxa"/>
          <w:wAfter w:w="15" w:type="dxa"/>
          <w:trHeight w:val="623" w:hRule="atLeast"/>
        </w:trPr>
        <w:tc>
          <w:tcPr>
            <w:tcW w:w="13980" w:type="dxa"/>
            <w:gridSpan w:val="1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gridBefore w:val="1"/>
          <w:gridAfter w:val="1"/>
          <w:wBefore w:w="3" w:type="dxa"/>
          <w:wAfter w:w="15" w:type="dxa"/>
          <w:trHeight w:val="312" w:hRule="atLeast"/>
        </w:trPr>
        <w:tc>
          <w:tcPr>
            <w:tcW w:w="114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gridBefore w:val="1"/>
          <w:gridAfter w:val="1"/>
          <w:wBefore w:w="3" w:type="dxa"/>
          <w:wAfter w:w="15" w:type="dxa"/>
          <w:trHeight w:val="312" w:hRule="atLeast"/>
        </w:trPr>
        <w:tc>
          <w:tcPr>
            <w:tcW w:w="8971" w:type="dxa"/>
            <w:gridSpan w:val="11"/>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1653" w:type="dxa"/>
            <w:gridSpan w:val="2"/>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gridSpan w:val="2"/>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438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7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01"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01"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01"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438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438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48.73</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50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41.80</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50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50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3998" w:type="dxa"/>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5885" w:type="pct"/>
        <w:tblInd w:w="0" w:type="dxa"/>
        <w:tblLayout w:type="fixed"/>
        <w:tblCellMar>
          <w:top w:w="0" w:type="dxa"/>
          <w:left w:w="108" w:type="dxa"/>
          <w:bottom w:w="0" w:type="dxa"/>
          <w:right w:w="108" w:type="dxa"/>
        </w:tblCellMar>
      </w:tblPr>
      <w:tblGrid>
        <w:gridCol w:w="93"/>
        <w:gridCol w:w="2531"/>
        <w:gridCol w:w="269"/>
        <w:gridCol w:w="491"/>
        <w:gridCol w:w="170"/>
        <w:gridCol w:w="1271"/>
        <w:gridCol w:w="278"/>
        <w:gridCol w:w="1699"/>
        <w:gridCol w:w="630"/>
        <w:gridCol w:w="468"/>
        <w:gridCol w:w="791"/>
        <w:gridCol w:w="220"/>
        <w:gridCol w:w="1220"/>
        <w:gridCol w:w="69"/>
        <w:gridCol w:w="1371"/>
        <w:gridCol w:w="730"/>
        <w:gridCol w:w="2137"/>
        <w:gridCol w:w="74"/>
        <w:gridCol w:w="2171"/>
      </w:tblGrid>
      <w:tr>
        <w:trPr>
          <w:trHeight w:val="520" w:hRule="atLeast"/>
        </w:trPr>
        <w:tc>
          <w:tcPr>
            <w:tcW w:w="4218" w:type="pct"/>
            <w:gridSpan w:val="1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66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5"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1"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7"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5"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1"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7"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2579" w:type="pct"/>
            <w:gridSpan w:val="1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531"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7" w:type="pct"/>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164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359"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99"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685"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36"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9"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499"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019"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0" w:hRule="atLeast"/>
        </w:trPr>
        <w:tc>
          <w:tcPr>
            <w:tcW w:w="970"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5"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90"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45.33</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45.33</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0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6.16</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87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315"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90"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51.49</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2171" w:type="dxa"/>
          <w:trHeight w:val="619" w:hRule="atLeast"/>
        </w:trPr>
        <w:tc>
          <w:tcPr>
            <w:tcW w:w="3980" w:type="pct"/>
            <w:gridSpan w:val="14"/>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019" w:type="pct"/>
            <w:gridSpan w:val="3"/>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4760" w:type="dxa"/>
        <w:tblInd w:w="93" w:type="dxa"/>
        <w:tblLayout w:type="fixed"/>
        <w:tblCellMar>
          <w:top w:w="0" w:type="dxa"/>
          <w:left w:w="108" w:type="dxa"/>
          <w:bottom w:w="0" w:type="dxa"/>
          <w:right w:w="108" w:type="dxa"/>
        </w:tblCellMar>
      </w:tblPr>
      <w:tblGrid>
        <w:gridCol w:w="3"/>
        <w:gridCol w:w="937"/>
        <w:gridCol w:w="1346"/>
        <w:gridCol w:w="238"/>
        <w:gridCol w:w="238"/>
        <w:gridCol w:w="1911"/>
        <w:gridCol w:w="141"/>
        <w:gridCol w:w="2708"/>
        <w:gridCol w:w="465"/>
        <w:gridCol w:w="2270"/>
        <w:gridCol w:w="837"/>
        <w:gridCol w:w="2889"/>
        <w:gridCol w:w="36"/>
      </w:tblGrid>
      <w:tr>
        <w:tblPrEx>
          <w:tblCellMar>
            <w:top w:w="0" w:type="dxa"/>
            <w:left w:w="108" w:type="dxa"/>
            <w:bottom w:w="0" w:type="dxa"/>
            <w:right w:w="108" w:type="dxa"/>
          </w:tblCellMar>
        </w:tblPrEx>
        <w:trPr>
          <w:gridBefore w:val="1"/>
          <w:gridAfter w:val="1"/>
          <w:wBefore w:w="3" w:type="dxa"/>
          <w:wAfter w:w="36" w:type="dxa"/>
          <w:trHeight w:val="693"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gridBefore w:val="1"/>
          <w:gridAfter w:val="1"/>
          <w:wBefore w:w="3" w:type="dxa"/>
          <w:wAfter w:w="36" w:type="dxa"/>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gridBefore w:val="1"/>
          <w:gridAfter w:val="1"/>
          <w:wBefore w:w="3" w:type="dxa"/>
          <w:wAfter w:w="36" w:type="dxa"/>
          <w:trHeight w:val="346" w:hRule="atLeast"/>
        </w:trPr>
        <w:tc>
          <w:tcPr>
            <w:tcW w:w="7984"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310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673"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346"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3"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4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3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762"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33"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4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3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6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33"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4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3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6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4673"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4673"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51.49</w:t>
            </w:r>
          </w:p>
        </w:tc>
        <w:tc>
          <w:tcPr>
            <w:tcW w:w="27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487,261.49</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9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73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44.56</w:t>
            </w:r>
          </w:p>
        </w:tc>
        <w:tc>
          <w:tcPr>
            <w:tcW w:w="27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41.80</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9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3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0.77</w:t>
            </w:r>
          </w:p>
        </w:tc>
        <w:tc>
          <w:tcPr>
            <w:tcW w:w="27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3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6.16</w:t>
            </w:r>
          </w:p>
        </w:tc>
        <w:tc>
          <w:tcPr>
            <w:tcW w:w="27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4019" w:type="dxa"/>
            <w:gridSpan w:val="13"/>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tbl>
      <w:tblPr>
        <w:tblStyle w:val="6"/>
        <w:tblW w:w="18420" w:type="dxa"/>
        <w:tblInd w:w="93" w:type="dxa"/>
        <w:tblLayout w:type="fixed"/>
        <w:tblCellMar>
          <w:top w:w="0" w:type="dxa"/>
          <w:left w:w="108" w:type="dxa"/>
          <w:bottom w:w="0" w:type="dxa"/>
          <w:right w:w="108" w:type="dxa"/>
        </w:tblCellMar>
      </w:tblPr>
      <w:tblGrid>
        <w:gridCol w:w="3"/>
        <w:gridCol w:w="598"/>
        <w:gridCol w:w="509"/>
        <w:gridCol w:w="2371"/>
        <w:gridCol w:w="5"/>
        <w:gridCol w:w="1101"/>
        <w:gridCol w:w="374"/>
        <w:gridCol w:w="601"/>
        <w:gridCol w:w="305"/>
        <w:gridCol w:w="1966"/>
        <w:gridCol w:w="381"/>
        <w:gridCol w:w="1092"/>
        <w:gridCol w:w="68"/>
        <w:gridCol w:w="533"/>
        <w:gridCol w:w="640"/>
        <w:gridCol w:w="2147"/>
        <w:gridCol w:w="909"/>
        <w:gridCol w:w="400"/>
        <w:gridCol w:w="1076"/>
      </w:tblGrid>
      <w:tr>
        <w:tblPrEx>
          <w:tblCellMar>
            <w:top w:w="0" w:type="dxa"/>
            <w:left w:w="108" w:type="dxa"/>
            <w:bottom w:w="0" w:type="dxa"/>
            <w:right w:w="108" w:type="dxa"/>
          </w:tblCellMar>
        </w:tblPrEx>
        <w:trPr>
          <w:gridBefore w:val="1"/>
          <w:gridAfter w:val="1"/>
          <w:wBefore w:w="3" w:type="dxa"/>
          <w:wAfter w:w="1076" w:type="dxa"/>
          <w:trHeight w:val="614" w:hRule="atLeast"/>
        </w:trPr>
        <w:tc>
          <w:tcPr>
            <w:tcW w:w="14000" w:type="dxa"/>
            <w:gridSpan w:val="1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gridAfter w:val="1"/>
          <w:wBefore w:w="3" w:type="dxa"/>
          <w:wAfter w:w="1076" w:type="dxa"/>
          <w:trHeight w:val="307"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gridBefore w:val="1"/>
          <w:gridAfter w:val="1"/>
          <w:wBefore w:w="3" w:type="dxa"/>
          <w:wAfter w:w="1076" w:type="dxa"/>
          <w:trHeight w:val="569" w:hRule="atLeast"/>
        </w:trPr>
        <w:tc>
          <w:tcPr>
            <w:tcW w:w="8211" w:type="dxa"/>
            <w:gridSpan w:val="10"/>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116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61"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118" w:type="dxa"/>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8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7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0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96"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7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96"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43.00</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5.03</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14.87</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0.19</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10.01</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9.45</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0.12</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6.16</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0.23</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0.44</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0.1</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0.7</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0.7</w:t>
            </w: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0.77</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3.12</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86"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43.7</w:t>
            </w:r>
          </w:p>
        </w:tc>
        <w:tc>
          <w:tcPr>
            <w:tcW w:w="8642" w:type="dxa"/>
            <w:gridSpan w:val="1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79" w:type="dxa"/>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说明：本部门2023年度没有政府性基金预算财政拨款收入，也没有政府性基金预算财政拨款安排的支出，故本表无数据。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firstLine="220" w:firstLineChars="1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说明：本部门2023年度没有国有资本经营预算财政拨款收入，也没有国有资本经营预算财政拨款安排的支出，故本表无数据。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广西河池市环江毛南族自治县思恩镇财政所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660" w:right="0" w:hanging="660" w:hangingChars="3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w:t>
            </w:r>
          </w:p>
          <w:p>
            <w:pPr>
              <w:keepNext w:val="0"/>
              <w:keepLines w:val="0"/>
              <w:widowControl/>
              <w:suppressLineNumbers w:val="0"/>
              <w:spacing w:before="0" w:beforeAutospacing="0" w:after="0" w:afterAutospacing="0"/>
              <w:ind w:left="660" w:right="0" w:hanging="660" w:hangingChars="3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包括当年一般公共预算财政拨款和以前年度结转资金安排的实际支出。</w:t>
            </w:r>
          </w:p>
          <w:p>
            <w:pPr>
              <w:keepNext w:val="0"/>
              <w:keepLines w:val="0"/>
              <w:widowControl/>
              <w:suppressLineNumbers w:val="0"/>
              <w:spacing w:before="0" w:beforeAutospacing="0" w:after="0" w:afterAutospacing="0"/>
              <w:ind w:left="660" w:right="0" w:hanging="660" w:hangingChars="30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说明：本部门2023年度没有财政拨款“三公”经费收入，也没有财政拨款“三公”经费安排的支出，故本表无数据。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广西河池市环江毛南族自治县思恩镇财政所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51.49</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6.11</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13.46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51.49</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51.49</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6.11</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13.46</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主要原因：正常调资。</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主要原因：本单位当年没有安排政府性基金收入和支付。</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主要原因是：当年没有该资金的收入和支出安排。</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主要原因是：当年没有该资金的收入和支出安排。</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主要原因是：本单位当年没安排有事业收入与支出业务。</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部分项目已在本年执行完毕，不需要结转至下年继续执行。</w:t>
      </w:r>
    </w:p>
    <w:p>
      <w:pPr>
        <w:jc w:val="center"/>
        <w:rPr>
          <w:rFonts w:ascii="仿宋" w:hAnsi="仿宋" w:eastAsia="仿宋" w:cs="仿宋"/>
          <w:sz w:val="32"/>
          <w:szCs w:val="32"/>
          <w:highlight w:val="none"/>
        </w:rPr>
      </w:pP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51.49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51.49</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6.11</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13.46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45.33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：社会保障和就业支出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6.16万元，财政事务行政运行经费44.56万元，工会经费0.77万元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0.15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24.5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主要原因是：正常调资。</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6.16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sz w:val="32"/>
          <w:szCs w:val="32"/>
          <w:highlight w:val="none"/>
          <w:lang w:val="en-US" w:eastAsia="zh-CN" w:bidi="ar"/>
        </w:rPr>
        <w:t>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1.08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增长</w:t>
      </w:r>
      <w:r>
        <w:rPr>
          <w:rFonts w:hint="eastAsia" w:ascii="仿宋" w:hAnsi="仿宋" w:eastAsia="仿宋" w:cs="仿宋"/>
          <w:sz w:val="32"/>
          <w:szCs w:val="32"/>
          <w:highlight w:val="none"/>
          <w:lang w:val="en-US" w:eastAsia="zh-CN" w:bidi="ar"/>
        </w:rPr>
        <w:t>21.25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主要原因是：正常核算基数。</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：财政资金紧缺收回指标。</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主要原因是：两年均无结余。</w:t>
      </w:r>
    </w:p>
    <w:p>
      <w:pPr>
        <w:ind w:firstLine="640" w:firstLineChars="200"/>
        <w:jc w:val="center"/>
        <w:rPr>
          <w:rFonts w:ascii="仿宋" w:hAnsi="仿宋" w:eastAsia="仿宋" w:cs="仿宋"/>
          <w:sz w:val="32"/>
          <w:szCs w:val="32"/>
          <w:highlight w:val="none"/>
        </w:rPr>
      </w:pP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pStyle w:val="3"/>
        <w:bidi w:val="0"/>
      </w:pPr>
      <w:r>
        <w:rPr>
          <w:rFonts w:hint="eastAsia"/>
          <w:lang w:eastAsia="zh-CN"/>
        </w:rPr>
        <w:t>二</w:t>
      </w:r>
      <w:r>
        <w:rPr>
          <w:rFonts w:hint="eastAsia"/>
        </w:rPr>
        <w:t>、</w:t>
      </w:r>
      <w:r>
        <w:rPr>
          <w:rFonts w:hint="eastAsia"/>
          <w:lang w:eastAsia="zh-CN"/>
        </w:rPr>
        <w:t>2023</w:t>
      </w:r>
      <w:r>
        <w:rPr>
          <w:rFonts w:hint="eastAsia"/>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广西河池市环江毛南族自治县思恩镇财政所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广西河池市环江毛南族自治县思恩镇财政所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广西河池市环江毛南族自治县思恩镇财政所没有政府性基金收入，也没有政府性基金收入安排的支出</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广西河池市环江毛南族自治县思恩镇财政所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广西河池市环江毛南族自治县思恩镇财政所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0" w:name="PO_part3A5B1C1DiffReason1"/>
      <w:r>
        <w:rPr>
          <w:rFonts w:hint="eastAsia" w:ascii="仿宋" w:hAnsi="仿宋" w:eastAsia="仿宋" w:cs="仿宋"/>
          <w:sz w:val="32"/>
          <w:szCs w:val="32"/>
          <w:highlight w:val="none"/>
        </w:rPr>
        <w:t>广西河池市环江毛南族自治县思恩镇财政所没有国有资本经营预算收入，也没有国有资本经营预算收入</w:t>
      </w:r>
      <w:r>
        <w:rPr>
          <w:rFonts w:hint="eastAsia" w:ascii="仿宋" w:hAnsi="仿宋" w:eastAsia="仿宋" w:cs="仿宋"/>
          <w:sz w:val="32"/>
          <w:szCs w:val="32"/>
          <w:highlight w:val="none"/>
          <w:lang w:eastAsia="zh-CN"/>
        </w:rPr>
        <w:t>。</w:t>
      </w:r>
      <w:bookmarkEnd w:id="0"/>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原因是：无。</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无。</w:t>
      </w: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无。</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ascii="仿宋" w:hAnsi="仿宋" w:eastAsia="仿宋" w:cs="仿宋"/>
          <w:sz w:val="32"/>
          <w:u w:color="auto"/>
        </w:rPr>
        <w:t>广西河池市环江毛南族自治县思恩镇财政所</w:t>
      </w:r>
      <w:r>
        <w:rPr>
          <w:rFonts w:hint="eastAsia" w:ascii="仿宋" w:hAnsi="仿宋" w:eastAsia="仿宋" w:cs="仿宋"/>
          <w:sz w:val="32"/>
          <w:szCs w:val="32"/>
          <w:highlight w:val="none"/>
        </w:rPr>
        <w:t>及</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0 个</w:t>
      </w:r>
      <w:r>
        <w:rPr>
          <w:rFonts w:hint="eastAsia" w:ascii="仿宋" w:hAnsi="仿宋" w:eastAsia="仿宋" w:cs="仿宋"/>
          <w:color w:val="000000" w:themeColor="text1"/>
          <w:sz w:val="32"/>
          <w:szCs w:val="32"/>
          <w:highlight w:val="none"/>
          <w14:textFill>
            <w14:solidFill>
              <w14:schemeClr w14:val="tx1"/>
            </w14:solidFill>
          </w14:textFill>
        </w:rPr>
        <w:t>所属</w:t>
      </w:r>
      <w:r>
        <w:rPr>
          <w:rFonts w:hint="eastAsia" w:ascii="仿宋" w:hAnsi="仿宋" w:eastAsia="仿宋" w:cs="仿宋"/>
          <w:sz w:val="32"/>
          <w:szCs w:val="32"/>
          <w:highlight w:val="none"/>
        </w:rPr>
        <w:t>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平均每辆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2.76</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2.76</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两个项目均为一等。</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2023年1-12月</w:t>
      </w:r>
      <w:r>
        <w:rPr>
          <w:rFonts w:hint="eastAsia" w:ascii="仿宋" w:hAnsi="仿宋" w:eastAsia="仿宋" w:cs="仿宋"/>
          <w:color w:val="000000" w:themeColor="text1"/>
          <w:sz w:val="32"/>
          <w:szCs w:val="32"/>
          <w:lang w:eastAsia="zh-CN"/>
          <w14:textFill>
            <w14:solidFill>
              <w14:schemeClr w14:val="tx1"/>
            </w14:solidFill>
          </w14:textFill>
        </w:rPr>
        <w:t>涉农工作经费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99.2</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财政资金紧张，坚持过紧日子，压减各项费用支出</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继续过紧日子，压减各项费用支出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涉农工作经费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99.2</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财政资金紧张，坚持过紧日子，压减各项费用支出</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继续过紧日子，压减各项费用支出</w:t>
      </w:r>
      <w:r>
        <w:rPr>
          <w:rFonts w:hint="eastAsia" w:ascii="仿宋" w:hAnsi="仿宋" w:eastAsia="仿宋" w:cs="仿宋"/>
          <w:color w:val="000000" w:themeColor="text1"/>
          <w:sz w:val="32"/>
          <w:szCs w:val="32"/>
          <w14:textFill>
            <w14:solidFill>
              <w14:schemeClr w14:val="tx1"/>
            </w14:solidFill>
          </w14:textFill>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mNWNkMGQwN2YxZDQyN2EzMDc3YjllZDc4MjM4ZWUifQ=="/>
  </w:docVars>
  <w:rsids>
    <w:rsidRoot w:val="00172A27"/>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76809"/>
    <w:rsid w:val="05992762"/>
    <w:rsid w:val="07B0770E"/>
    <w:rsid w:val="0942143F"/>
    <w:rsid w:val="095559F9"/>
    <w:rsid w:val="0C375191"/>
    <w:rsid w:val="0C5C1C12"/>
    <w:rsid w:val="0D100297"/>
    <w:rsid w:val="0D202B45"/>
    <w:rsid w:val="0E883192"/>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C012F4F"/>
    <w:rsid w:val="1CCA77FE"/>
    <w:rsid w:val="1D317259"/>
    <w:rsid w:val="1D807E56"/>
    <w:rsid w:val="1E544E3F"/>
    <w:rsid w:val="1E664F5B"/>
    <w:rsid w:val="1EB34BE1"/>
    <w:rsid w:val="215E639F"/>
    <w:rsid w:val="21EC3183"/>
    <w:rsid w:val="225C1174"/>
    <w:rsid w:val="225E72CD"/>
    <w:rsid w:val="246E2F77"/>
    <w:rsid w:val="254B4E2B"/>
    <w:rsid w:val="27EE0701"/>
    <w:rsid w:val="281713B7"/>
    <w:rsid w:val="283D7C94"/>
    <w:rsid w:val="28EA087A"/>
    <w:rsid w:val="29480E03"/>
    <w:rsid w:val="2983634D"/>
    <w:rsid w:val="2AE8703B"/>
    <w:rsid w:val="2BB02055"/>
    <w:rsid w:val="2C575A56"/>
    <w:rsid w:val="2F257714"/>
    <w:rsid w:val="2F3275E5"/>
    <w:rsid w:val="30AA08EF"/>
    <w:rsid w:val="30D23D1C"/>
    <w:rsid w:val="31221CF5"/>
    <w:rsid w:val="313905F0"/>
    <w:rsid w:val="31400178"/>
    <w:rsid w:val="31413001"/>
    <w:rsid w:val="321E3342"/>
    <w:rsid w:val="327759C8"/>
    <w:rsid w:val="33185FE3"/>
    <w:rsid w:val="333472C1"/>
    <w:rsid w:val="34EE2E36"/>
    <w:rsid w:val="35247887"/>
    <w:rsid w:val="36777241"/>
    <w:rsid w:val="371E78D5"/>
    <w:rsid w:val="381D3E31"/>
    <w:rsid w:val="38A951DB"/>
    <w:rsid w:val="38B31605"/>
    <w:rsid w:val="39003F4F"/>
    <w:rsid w:val="3A0379ED"/>
    <w:rsid w:val="3C07002B"/>
    <w:rsid w:val="3CBC3E83"/>
    <w:rsid w:val="3D0D152A"/>
    <w:rsid w:val="3D0D2931"/>
    <w:rsid w:val="3DF62756"/>
    <w:rsid w:val="3E3068D7"/>
    <w:rsid w:val="3EB72E05"/>
    <w:rsid w:val="3F1B7587"/>
    <w:rsid w:val="41E57B4F"/>
    <w:rsid w:val="432F26F6"/>
    <w:rsid w:val="43880F63"/>
    <w:rsid w:val="43E443EC"/>
    <w:rsid w:val="441C5A6F"/>
    <w:rsid w:val="44B26298"/>
    <w:rsid w:val="44C44FCC"/>
    <w:rsid w:val="44CC7369"/>
    <w:rsid w:val="454F1D39"/>
    <w:rsid w:val="457F5108"/>
    <w:rsid w:val="468E4AE3"/>
    <w:rsid w:val="46951B6B"/>
    <w:rsid w:val="49A34401"/>
    <w:rsid w:val="4A3E30AB"/>
    <w:rsid w:val="4AC14DAC"/>
    <w:rsid w:val="4D154C85"/>
    <w:rsid w:val="4DD252B5"/>
    <w:rsid w:val="4EB35ECE"/>
    <w:rsid w:val="508F4E24"/>
    <w:rsid w:val="51461E90"/>
    <w:rsid w:val="51463753"/>
    <w:rsid w:val="52553A93"/>
    <w:rsid w:val="53521F8B"/>
    <w:rsid w:val="53E22F47"/>
    <w:rsid w:val="54522FF8"/>
    <w:rsid w:val="55450629"/>
    <w:rsid w:val="56692963"/>
    <w:rsid w:val="56715EF4"/>
    <w:rsid w:val="568B0F48"/>
    <w:rsid w:val="5786217B"/>
    <w:rsid w:val="57EA427D"/>
    <w:rsid w:val="59337A15"/>
    <w:rsid w:val="59810274"/>
    <w:rsid w:val="5B704FE4"/>
    <w:rsid w:val="5CA96A00"/>
    <w:rsid w:val="5CF730BC"/>
    <w:rsid w:val="5D121B72"/>
    <w:rsid w:val="5D9D72AB"/>
    <w:rsid w:val="5DB12521"/>
    <w:rsid w:val="5E5F0DCE"/>
    <w:rsid w:val="5FA40A7B"/>
    <w:rsid w:val="5FD56D29"/>
    <w:rsid w:val="5FEC7F3F"/>
    <w:rsid w:val="60F74BC3"/>
    <w:rsid w:val="617D3BF8"/>
    <w:rsid w:val="61841F6A"/>
    <w:rsid w:val="623007A9"/>
    <w:rsid w:val="6300421A"/>
    <w:rsid w:val="637D7558"/>
    <w:rsid w:val="63CE4319"/>
    <w:rsid w:val="644F19AC"/>
    <w:rsid w:val="65AA4920"/>
    <w:rsid w:val="65E31D0B"/>
    <w:rsid w:val="67694F1E"/>
    <w:rsid w:val="69597934"/>
    <w:rsid w:val="6B964DDC"/>
    <w:rsid w:val="6C783074"/>
    <w:rsid w:val="6D9E65C6"/>
    <w:rsid w:val="6DA81947"/>
    <w:rsid w:val="6EB66DE2"/>
    <w:rsid w:val="6ED3075F"/>
    <w:rsid w:val="6F2A2D4B"/>
    <w:rsid w:val="6F8A0C1E"/>
    <w:rsid w:val="703F45D4"/>
    <w:rsid w:val="70776B75"/>
    <w:rsid w:val="709027A3"/>
    <w:rsid w:val="715D6546"/>
    <w:rsid w:val="71BE069E"/>
    <w:rsid w:val="73953409"/>
    <w:rsid w:val="73E069A3"/>
    <w:rsid w:val="77F97CDE"/>
    <w:rsid w:val="78104AA8"/>
    <w:rsid w:val="78E257C5"/>
    <w:rsid w:val="794B35BE"/>
    <w:rsid w:val="7B0A3A31"/>
    <w:rsid w:val="7B3360ED"/>
    <w:rsid w:val="7BDF037E"/>
    <w:rsid w:val="7BF50948"/>
    <w:rsid w:val="7C091F3A"/>
    <w:rsid w:val="7CA0464C"/>
    <w:rsid w:val="7CE66A78"/>
    <w:rsid w:val="7D124E1E"/>
    <w:rsid w:val="7D23564C"/>
    <w:rsid w:val="7D5E062D"/>
    <w:rsid w:val="7D8A2C07"/>
    <w:rsid w:val="7DF76CD8"/>
    <w:rsid w:val="7F695C26"/>
    <w:rsid w:val="7FC56178"/>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3466</Words>
  <Characters>5440</Characters>
  <Lines>90</Lines>
  <Paragraphs>25</Paragraphs>
  <TotalTime>100</TotalTime>
  <ScaleCrop>false</ScaleCrop>
  <LinksUpToDate>false</LinksUpToDate>
  <CharactersWithSpaces>5600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2024-12-30T11:26:12Z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eyJoZGlkIjoiYTNmNWNkMGQwN2YxZDQyN2EzMDc3YjllZDc4MjM4ZWUiLCJ1c2VySWQiOiI0Njc1ODA2MDQifQ==</vt:lpwstr>
  </property>
</Properties>
</file>