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环江毛南族自治县水源镇水利站</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环江毛南族自治县水源镇水利站</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环江毛南族自治县水源镇水利站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w:t>
      </w:r>
      <w:r>
        <w:rPr>
          <w:rFonts w:hint="eastAsia" w:ascii="仿宋_GB2312" w:eastAsia="仿宋_GB2312"/>
          <w:sz w:val="32"/>
          <w:szCs w:val="32"/>
          <w:highlight w:val="none"/>
          <w:lang w:eastAsia="zh-CN"/>
        </w:rPr>
        <w:t>财政</w:t>
      </w:r>
      <w:r>
        <w:rPr>
          <w:rFonts w:hint="eastAsia" w:ascii="仿宋_GB2312" w:eastAsia="仿宋_GB2312"/>
          <w:sz w:val="32"/>
          <w:szCs w:val="32"/>
          <w:highlight w:val="none"/>
        </w:rPr>
        <w:t>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w:t>
      </w:r>
      <w:r>
        <w:rPr>
          <w:rFonts w:hint="eastAsia" w:ascii="仿宋_GB2312" w:hAnsi="黑体"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环江毛南族自治县水源镇水利站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szCs w:val="32"/>
          <w:u w:color="auto"/>
          <w:lang w:eastAsia="zh-CN"/>
        </w:rPr>
        <w:t>环江毛南族自治县水源镇水利站</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i w:val="0"/>
          <w:iCs w:val="0"/>
          <w:caps w:val="0"/>
          <w:color w:val="525353"/>
          <w:spacing w:val="0"/>
          <w:sz w:val="32"/>
          <w:szCs w:val="32"/>
          <w:shd w:val="clear" w:fill="FFFFFF"/>
        </w:rPr>
        <w:t>承担</w:t>
      </w:r>
      <w:r>
        <w:rPr>
          <w:rFonts w:hint="eastAsia" w:ascii="仿宋" w:hAnsi="仿宋" w:eastAsia="仿宋" w:cs="仿宋"/>
          <w:i w:val="0"/>
          <w:iCs w:val="0"/>
          <w:caps w:val="0"/>
          <w:color w:val="525353"/>
          <w:spacing w:val="0"/>
          <w:sz w:val="32"/>
          <w:szCs w:val="32"/>
          <w:shd w:val="clear" w:fill="FFFFFF"/>
          <w:lang w:val="en-US" w:eastAsia="zh-CN"/>
        </w:rPr>
        <w:t>贯彻执行国家、自治区、市、县等有关水利的法律法规、方针和政策；统一管理水乡资源，配合拟定乡水资源与环境保护规划；组织协调防汛抗旱、农田水利基本建设、人畜饮水、农业节水灌溉、乡镇供水等工作；组织指导水利工程日常维护和管理；组织水利科学技术推广、农村水利技术人员培训工作。</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（二）编制预算，决算。</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完成上级业务部门和乡党委、政府交给</w:t>
      </w:r>
      <w:r>
        <w:rPr>
          <w:rFonts w:hint="eastAsia" w:ascii="仿宋" w:hAnsi="仿宋" w:eastAsia="仿宋" w:cs="仿宋"/>
          <w:color w:val="auto"/>
          <w:sz w:val="32"/>
          <w:szCs w:val="32"/>
        </w:rPr>
        <w:t>的其他</w:t>
      </w:r>
      <w:r>
        <w:rPr>
          <w:rFonts w:hint="eastAsia" w:ascii="仿宋" w:hAnsi="仿宋" w:eastAsia="仿宋" w:cs="仿宋"/>
          <w:color w:val="auto"/>
          <w:sz w:val="32"/>
          <w:szCs w:val="32"/>
          <w:lang w:val="en-US" w:eastAsia="zh-CN"/>
        </w:rPr>
        <w:t>工作任务</w:t>
      </w:r>
      <w:r>
        <w:rPr>
          <w:rFonts w:hint="eastAsia" w:ascii="仿宋" w:hAnsi="仿宋" w:eastAsia="仿宋" w:cs="仿宋"/>
          <w:color w:val="auto"/>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人，实有</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供养人数</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人，其中</w:t>
      </w:r>
      <w:r>
        <w:rPr>
          <w:rFonts w:hint="eastAsia" w:ascii="仿宋" w:hAnsi="仿宋" w:eastAsia="仿宋" w:cs="仿宋"/>
          <w:color w:val="auto"/>
          <w:sz w:val="32"/>
          <w:szCs w:val="32"/>
          <w:lang w:val="en-US" w:eastAsia="zh-CN"/>
        </w:rPr>
        <w:t>事业编人员</w:t>
      </w:r>
      <w:r>
        <w:rPr>
          <w:rFonts w:hint="eastAsia" w:ascii="仿宋" w:hAnsi="仿宋" w:eastAsia="仿宋" w:cs="仿宋"/>
          <w:color w:val="auto"/>
          <w:sz w:val="32"/>
          <w:szCs w:val="32"/>
        </w:rPr>
        <w:t>管理办法在职在编人数</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环江毛南族自治县水源镇水利站</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2"/>
        <w:gridCol w:w="808"/>
        <w:gridCol w:w="943"/>
        <w:gridCol w:w="4330"/>
        <w:gridCol w:w="808"/>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部门：河池市环江毛南族自治县水源镇水利站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38.87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r>
    </w:tbl>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240"/>
        <w:gridCol w:w="329"/>
        <w:gridCol w:w="2877"/>
        <w:gridCol w:w="1009"/>
        <w:gridCol w:w="777"/>
        <w:gridCol w:w="668"/>
        <w:gridCol w:w="709"/>
        <w:gridCol w:w="737"/>
        <w:gridCol w:w="834"/>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部门：河池市环江毛南族自治县水源镇水利站</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38.87</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38.87</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0.61</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4.86</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4.86</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29.74</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3.66</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3"/>
        <w:gridCol w:w="222"/>
        <w:gridCol w:w="222"/>
        <w:gridCol w:w="3614"/>
        <w:gridCol w:w="982"/>
        <w:gridCol w:w="791"/>
        <w:gridCol w:w="733"/>
        <w:gridCol w:w="657"/>
        <w:gridCol w:w="657"/>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部门：河池市环江毛南族自治县水源镇水利站</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38.87</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38.87</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拨款收入支出决算总表</w:t>
      </w:r>
    </w:p>
    <w:tbl>
      <w:tblPr>
        <w:tblStyle w:val="6"/>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8"/>
        <w:gridCol w:w="517"/>
        <w:gridCol w:w="981"/>
        <w:gridCol w:w="3520"/>
        <w:gridCol w:w="517"/>
        <w:gridCol w:w="779"/>
        <w:gridCol w:w="1145"/>
        <w:gridCol w:w="88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57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部门：河池市环江毛南族自治县水源镇水利站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5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55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8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0.61</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4.86</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29.74</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3.66</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tbl>
      <w:tblPr>
        <w:tblStyle w:val="6"/>
        <w:tblW w:w="12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7"/>
        <w:gridCol w:w="241"/>
        <w:gridCol w:w="242"/>
        <w:gridCol w:w="4090"/>
        <w:gridCol w:w="797"/>
        <w:gridCol w:w="797"/>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部门：河池市环江毛南族自治县水源镇水利站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38.87</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河池市环江毛南族自治县水源镇水利站</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37.54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1.33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13.65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    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2.57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6.35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4.86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0.72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3.66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0.61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37.54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1.33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环江毛南族自治县水源镇水利站</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w:t>
            </w:r>
            <w:r>
              <w:rPr>
                <w:rFonts w:hint="eastAsia" w:ascii="宋体" w:hAnsi="宋体" w:eastAsia="宋体" w:cs="宋体"/>
                <w:color w:val="auto"/>
                <w:kern w:val="0"/>
                <w:sz w:val="22"/>
                <w:szCs w:val="22"/>
                <w:highlight w:val="none"/>
                <w:lang w:val="en-US" w:eastAsia="zh-CN" w:bidi="ar"/>
              </w:rPr>
              <w:t>财政</w:t>
            </w:r>
            <w:r>
              <w:rPr>
                <w:rFonts w:hint="eastAsia" w:ascii="宋体" w:hAnsi="宋体" w:eastAsia="宋体" w:cs="宋体"/>
                <w:color w:val="auto"/>
                <w:kern w:val="0"/>
                <w:sz w:val="22"/>
                <w:szCs w:val="22"/>
                <w:highlight w:val="none"/>
                <w:lang w:bidi="ar"/>
              </w:rPr>
              <w:t>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环江毛南族自治县水源镇水利站</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w:t>
      </w:r>
      <w:r>
        <w:rPr>
          <w:rFonts w:hint="eastAsia" w:ascii="宋体" w:hAnsi="宋体" w:eastAsia="宋体" w:cs="宋体"/>
          <w:color w:val="000000"/>
          <w:kern w:val="0"/>
          <w:sz w:val="22"/>
          <w:szCs w:val="22"/>
          <w:highlight w:val="none"/>
          <w:lang w:val="en-US" w:eastAsia="zh-CN" w:bidi="ar"/>
        </w:rPr>
        <w:t>财政</w:t>
      </w:r>
      <w:r>
        <w:rPr>
          <w:rFonts w:hint="eastAsia" w:ascii="宋体" w:hAnsi="宋体" w:eastAsia="宋体" w:cs="宋体"/>
          <w:color w:val="000000"/>
          <w:kern w:val="0"/>
          <w:sz w:val="22"/>
          <w:szCs w:val="22"/>
          <w:highlight w:val="none"/>
          <w:lang w:bidi="ar"/>
        </w:rPr>
        <w:t>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环江毛南族自治县水源镇水利站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38.87</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38.87</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拨款收入</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主要用途：</w:t>
      </w:r>
      <w:r>
        <w:rPr>
          <w:rFonts w:hint="eastAsia" w:ascii="仿宋" w:hAnsi="仿宋" w:eastAsia="仿宋" w:cs="仿宋"/>
          <w:color w:val="auto"/>
          <w:kern w:val="2"/>
          <w:sz w:val="32"/>
          <w:szCs w:val="32"/>
          <w:highlight w:val="none"/>
          <w:lang w:val="en-US" w:eastAsia="zh-CN" w:bidi="ar"/>
        </w:rPr>
        <w:t>人员经费支出。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38.87</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38.87</w:t>
      </w:r>
      <w:r>
        <w:rPr>
          <w:rFonts w:hint="eastAsia" w:ascii="仿宋" w:hAnsi="仿宋" w:eastAsia="仿宋" w:cs="仿宋"/>
          <w:sz w:val="32"/>
          <w:szCs w:val="32"/>
          <w:highlight w:val="none"/>
        </w:rPr>
        <w:t>万元，支出具体情况如下：</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auto"/>
          <w:sz w:val="32"/>
          <w:szCs w:val="32"/>
          <w:highlight w:val="none"/>
        </w:rPr>
      </w:pPr>
      <w:bookmarkStart w:id="2" w:name="OLE_LINK13"/>
      <w:bookmarkStart w:id="3" w:name="OLE_LINK12"/>
      <w:r>
        <w:rPr>
          <w:rFonts w:hint="eastAsia" w:ascii="仿宋" w:hAnsi="仿宋" w:eastAsia="仿宋" w:cs="仿宋"/>
          <w:sz w:val="32"/>
          <w:szCs w:val="32"/>
          <w:highlight w:val="none"/>
          <w:lang w:val="en-US" w:eastAsia="zh-CN" w:bidi="ar"/>
        </w:rPr>
        <w:t>1.一般公共服务支出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0.61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人员工会费支出</w:t>
      </w:r>
      <w:r>
        <w:rPr>
          <w:rFonts w:hint="eastAsia" w:ascii="仿宋" w:hAnsi="仿宋" w:eastAsia="仿宋" w:cs="仿宋"/>
          <w:color w:val="auto"/>
          <w:sz w:val="32"/>
          <w:szCs w:val="32"/>
          <w:highlight w:val="none"/>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208</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4.86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主要用于：本部门</w:t>
      </w:r>
      <w:r>
        <w:rPr>
          <w:rFonts w:hint="eastAsia" w:ascii="仿宋" w:hAnsi="仿宋" w:eastAsia="仿宋" w:cs="仿宋"/>
          <w:color w:val="auto"/>
          <w:kern w:val="2"/>
          <w:sz w:val="32"/>
          <w:szCs w:val="32"/>
          <w:highlight w:val="none"/>
          <w:lang w:val="en-US" w:eastAsia="zh-CN" w:bidi="ar"/>
        </w:rPr>
        <w:t>人员基本养老保险缴费</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3.</w:t>
      </w:r>
      <w:r>
        <w:rPr>
          <w:rFonts w:hint="eastAsia" w:ascii="仿宋" w:hAnsi="仿宋" w:eastAsia="仿宋" w:cs="仿宋"/>
          <w:color w:val="000000" w:themeColor="text1"/>
          <w:sz w:val="32"/>
          <w:szCs w:val="32"/>
          <w:highlight w:val="none"/>
          <w:lang w:bidi="ar"/>
          <w14:textFill>
            <w14:solidFill>
              <w14:schemeClr w14:val="tx1"/>
            </w14:solidFill>
          </w14:textFill>
        </w:rPr>
        <w:t>农林水支出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213</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val="en-US" w:eastAsia="zh-CN"/>
          <w14:textFill>
            <w14:solidFill>
              <w14:schemeClr w14:val="tx1"/>
            </w14:solidFill>
          </w14:textFill>
        </w:rPr>
        <w:t>29.74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w:t>
      </w:r>
      <w:r>
        <w:rPr>
          <w:rFonts w:hint="eastAsia" w:ascii="仿宋" w:hAnsi="仿宋" w:eastAsia="仿宋" w:cs="仿宋"/>
          <w:sz w:val="32"/>
          <w:szCs w:val="32"/>
          <w:highlight w:val="none"/>
          <w:lang w:val="en-US" w:eastAsia="zh-CN" w:bidi="ar"/>
        </w:rPr>
        <w:t>农林水人员工资</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3.66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本部门在职职工住房公积金缴纳。</w:t>
      </w:r>
      <w:bookmarkEnd w:id="2"/>
    </w:p>
    <w:bookmarkEnd w:id="3"/>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5.</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p>
      <w:pPr>
        <w:ind w:firstLine="0" w:firstLineChars="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4" w:name="OLE_LINK1"/>
      <w:r>
        <w:rPr>
          <w:rFonts w:hint="eastAsia" w:ascii="黑体" w:hAnsi="黑体" w:eastAsia="黑体" w:cs="黑体"/>
          <w:sz w:val="32"/>
          <w:szCs w:val="32"/>
          <w:highlight w:val="none"/>
        </w:rPr>
        <w:t>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拨款支出决算情况</w:t>
      </w:r>
      <w:bookmarkEnd w:id="4"/>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环江毛南族自治县水源镇水利站2023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拨款支出</w:t>
      </w:r>
      <w:r>
        <w:rPr>
          <w:rFonts w:hint="eastAsia" w:ascii="仿宋" w:hAnsi="仿宋" w:eastAsia="仿宋" w:cs="仿宋"/>
          <w:sz w:val="32"/>
          <w:u w:color="auto"/>
          <w:lang w:val="en-US" w:eastAsia="zh-CN"/>
        </w:rPr>
        <w:t>38.87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38.87</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环江毛南族自治县水源镇水利站2023</w:t>
      </w:r>
      <w:r>
        <w:rPr>
          <w:rFonts w:hint="eastAsia" w:ascii="仿宋" w:hAnsi="仿宋" w:eastAsia="仿宋" w:cs="仿宋"/>
          <w:sz w:val="32"/>
          <w:szCs w:val="32"/>
          <w:highlight w:val="none"/>
        </w:rPr>
        <w:t xml:space="preserve"> 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拨款支出年初预算为</w:t>
      </w:r>
      <w:r>
        <w:rPr>
          <w:rFonts w:hint="eastAsia" w:ascii="仿宋" w:hAnsi="仿宋" w:eastAsia="仿宋" w:cs="仿宋"/>
          <w:sz w:val="32"/>
          <w:szCs w:val="32"/>
          <w:highlight w:val="none"/>
          <w:lang w:val="en-US" w:eastAsia="zh-CN"/>
        </w:rPr>
        <w:t>37.81</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38.87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102.80</w:t>
      </w:r>
      <w:r>
        <w:rPr>
          <w:rFonts w:hint="eastAsia" w:ascii="仿宋" w:hAnsi="仿宋" w:eastAsia="仿宋" w:cs="仿宋"/>
          <w:sz w:val="32"/>
          <w:u w:color="auto"/>
          <w:lang w:val="en-US" w:eastAsia="zh-CN"/>
        </w:rPr>
        <w:t>%</w:t>
      </w:r>
      <w:r>
        <w:rPr>
          <w:rFonts w:hint="eastAsia" w:ascii="仿宋" w:hAnsi="仿宋" w:eastAsia="仿宋" w:cs="仿宋"/>
          <w:sz w:val="32"/>
          <w:szCs w:val="32"/>
          <w:highlight w:val="none"/>
        </w:rPr>
        <w:t>。</w:t>
      </w:r>
      <w:bookmarkStart w:id="5" w:name="OLE_LINK2"/>
      <w:bookmarkEnd w:id="5"/>
      <w:r>
        <w:rPr>
          <w:rFonts w:hint="eastAsia" w:ascii="仿宋" w:hAnsi="仿宋" w:eastAsia="仿宋" w:cs="仿宋"/>
          <w:sz w:val="32"/>
          <w:szCs w:val="32"/>
          <w:highlight w:val="none"/>
          <w:lang w:val="en-US" w:eastAsia="zh-CN"/>
        </w:rPr>
        <w:t>预决算存在差异的原因是人员工资变动，支出增加。</w:t>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bookmarkStart w:id="6" w:name="OLE_LINK14"/>
      <w:bookmarkStart w:id="7" w:name="OLE_LINK15"/>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0.61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0.61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bookmarkEnd w:id="6"/>
    </w:p>
    <w:bookmarkEnd w:id="7"/>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bookmarkStart w:id="8" w:name="OLE_LINK16" w:colFirst="0" w:colLast="6"/>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0.61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预决算一致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0.61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bookmarkEnd w:id="8"/>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w:t>
      </w:r>
      <w:r>
        <w:rPr>
          <w:rFonts w:hint="eastAsia" w:ascii="仿宋" w:hAnsi="仿宋" w:eastAsia="仿宋"/>
          <w:sz w:val="32"/>
          <w:u w:color="auto"/>
          <w:lang w:val="en-US" w:eastAsia="zh-CN"/>
        </w:rPr>
        <w:t>13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28.70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29.74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103.62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人员工资变动，支出增加。</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bookmarkStart w:id="9" w:name="OLE_LINK18" w:colFirst="0" w:colLast="6"/>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2130304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水利行业业务管理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28.70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103.62%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用于水利站人员工资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highlight w:val="none"/>
                <w:lang w:val="en-US" w:eastAsia="zh-CN" w:bidi="ar"/>
              </w:rPr>
            </w:pPr>
            <w:r>
              <w:rPr>
                <w:rFonts w:hint="eastAsia" w:ascii="宋体" w:hAnsi="宋体" w:eastAsia="宋体" w:cs="宋体"/>
                <w:i w:val="0"/>
                <w:iCs w:val="0"/>
                <w:color w:val="auto"/>
                <w:sz w:val="20"/>
                <w:szCs w:val="20"/>
                <w:highlight w:val="none"/>
                <w:u w:val="none"/>
                <w:lang w:val="en-US" w:eastAsia="zh-CN"/>
              </w:rPr>
              <w:t>用于水利站人员工资</w:t>
            </w:r>
          </w:p>
        </w:tc>
      </w:tr>
      <w:bookmarkEnd w:id="9"/>
    </w:tbl>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bookmarkStart w:id="10" w:name="OLE_LINK17"/>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4.86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4.86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bookmarkStart w:id="11" w:name="OLE_LINK5" w:colFirst="0" w:colLast="6"/>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r>
      <w:bookmarkEnd w:id="11"/>
    </w:tbl>
    <w:p>
      <w:pPr>
        <w:jc w:val="left"/>
        <w:rPr>
          <w:rFonts w:hint="eastAsia" w:ascii="仿宋" w:hAnsi="仿宋" w:eastAsia="仿宋"/>
          <w:sz w:val="32"/>
          <w:szCs w:val="32"/>
          <w:highlight w:val="none"/>
        </w:rPr>
      </w:pPr>
    </w:p>
    <w:bookmarkEnd w:id="10"/>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住房保障</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3.64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3.66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预决算存在差异原因是公积金基数调整。</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环江毛南族自治县水源镇水利站2023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拨款基本支出</w:t>
      </w:r>
      <w:r>
        <w:rPr>
          <w:rFonts w:hint="eastAsia" w:ascii="仿宋" w:hAnsi="仿宋" w:eastAsia="仿宋" w:cs="仿宋"/>
          <w:sz w:val="32"/>
          <w:u w:color="auto"/>
          <w:lang w:val="en-US" w:eastAsia="zh-CN"/>
        </w:rPr>
        <w:t>38.87</w:t>
      </w:r>
      <w:r>
        <w:rPr>
          <w:rFonts w:hint="eastAsia" w:ascii="仿宋" w:hAnsi="仿宋" w:eastAsia="仿宋" w:cs="仿宋"/>
          <w:sz w:val="32"/>
          <w:szCs w:val="32"/>
          <w:highlight w:val="none"/>
        </w:rPr>
        <w:t>万元，</w:t>
      </w:r>
      <w:bookmarkStart w:id="12" w:name="OLE_LINK6"/>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37.54</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1.33</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bookmarkEnd w:id="12"/>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37.54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102.91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bookmarkStart w:id="13" w:name="OLE_LINK19"/>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w:t>
      </w:r>
      <w:bookmarkStart w:id="14" w:name="OLE_LINK7"/>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有变动，支出增加。</w:t>
      </w:r>
      <w:bookmarkEnd w:id="14"/>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13.65万元，30102津贴补贴2.57万元，30103奖金4.32万元，30107绩效工资6.35万元，30108机关事业单位基本养老保险缴费4.86万元，30110职工基本医疗保险缴费1.93万元，30112其他社会保险缴费0.20万元，30113住房公积金3.66万元。</w:t>
      </w:r>
    </w:p>
    <w:bookmarkEnd w:id="13"/>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1.33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bookmarkStart w:id="15" w:name="OLE_LINK20"/>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30211差旅费0.72万元，30228工会经费0.61万元。</w:t>
      </w:r>
    </w:p>
    <w:bookmarkEnd w:id="15"/>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sz w:val="32"/>
          <w:u w:color="auto"/>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环江毛南族自治县水源镇水利站2023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环江毛南族自治县水源镇水利站2023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环江毛南族自治县水源镇水利站2023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环江毛南族自治县水源镇水利站2023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pPr>
        <w:ind w:firstLine="640" w:firstLineChars="200"/>
        <w:jc w:val="left"/>
        <w:rPr>
          <w:rFonts w:hint="default" w:ascii="仿宋" w:hAnsi="仿宋" w:eastAsia="仿宋" w:cs="仿宋"/>
          <w:sz w:val="32"/>
          <w:szCs w:val="32"/>
          <w:highlight w:val="none"/>
        </w:rPr>
      </w:pPr>
      <w:r>
        <w:rPr>
          <w:rFonts w:hint="default"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default"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1.33</w:t>
      </w:r>
      <w:r>
        <w:rPr>
          <w:rFonts w:hint="default"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w:t>
      </w:r>
      <w:r>
        <w:rPr>
          <w:rFonts w:hint="default" w:ascii="仿宋" w:hAnsi="仿宋" w:eastAsia="仿宋" w:cs="仿宋"/>
          <w:sz w:val="32"/>
          <w:szCs w:val="32"/>
          <w:highlight w:val="none"/>
        </w:rPr>
        <w:t>万元。</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val="en-US" w:eastAsia="zh-CN"/>
        </w:rPr>
      </w:pPr>
      <w:bookmarkStart w:id="16" w:name="OLE_LINK8"/>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w:t>
      </w:r>
      <w:bookmarkStart w:id="17" w:name="OLE_LINK21"/>
      <w:r>
        <w:rPr>
          <w:rFonts w:hint="eastAsia" w:ascii="仿宋" w:hAnsi="仿宋" w:eastAsia="仿宋" w:cs="仿宋"/>
          <w:sz w:val="32"/>
          <w:szCs w:val="32"/>
          <w:highlight w:val="none"/>
          <w:lang w:val="en-US" w:eastAsia="zh-CN"/>
        </w:rPr>
        <w:t>本部门无政府采购支出。</w:t>
      </w:r>
    </w:p>
    <w:bookmarkEnd w:id="16"/>
    <w:bookmarkEnd w:id="17"/>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bookmarkStart w:id="18" w:name="OLE_LINK9"/>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预算管理要求</w:t>
      </w:r>
      <w:bookmarkStart w:id="21" w:name="_GoBack"/>
      <w:bookmarkEnd w:id="21"/>
      <w:r>
        <w:rPr>
          <w:rFonts w:hint="eastAsia" w:ascii="仿宋" w:hAnsi="仿宋" w:eastAsia="仿宋" w:cs="仿宋"/>
          <w:color w:val="auto"/>
          <w:sz w:val="32"/>
          <w:szCs w:val="32"/>
        </w:rPr>
        <w:t>，本部门组织对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0个</w:t>
      </w:r>
      <w:r>
        <w:rPr>
          <w:rFonts w:hint="eastAsia" w:ascii="仿宋" w:hAnsi="仿宋" w:eastAsia="仿宋" w:cs="仿宋"/>
          <w:color w:val="auto"/>
          <w:sz w:val="32"/>
          <w:szCs w:val="32"/>
        </w:rPr>
        <w:t>一般公共预算项目支出开展绩效自评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共涉及资金0万元</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bookmarkStart w:id="19" w:name="OLE_LINK11"/>
      <w:bookmarkStart w:id="20" w:name="OLE_LINK10"/>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bookmarkEnd w:id="19"/>
    </w:p>
    <w:bookmarkEnd w:id="20"/>
    <w:p>
      <w:pPr>
        <w:jc w:val="left"/>
        <w:rPr>
          <w:rFonts w:hint="eastAsia" w:ascii="仿宋" w:hAnsi="仿宋" w:eastAsia="仿宋" w:cs="仿宋"/>
          <w:sz w:val="32"/>
          <w:szCs w:val="32"/>
          <w:highlight w:val="none"/>
        </w:rPr>
      </w:pPr>
    </w:p>
    <w:bookmarkEnd w:id="18"/>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拨款收入：指</w:t>
      </w:r>
      <w:r>
        <w:rPr>
          <w:rFonts w:hint="eastAsia" w:ascii="仿宋" w:hAnsi="仿宋" w:eastAsia="仿宋" w:cs="仿宋"/>
          <w:sz w:val="32"/>
          <w:szCs w:val="32"/>
          <w:highlight w:val="none"/>
          <w:lang w:val="en-US" w:eastAsia="zh-CN"/>
        </w:rPr>
        <w:t>环江</w:t>
      </w:r>
      <w:r>
        <w:rPr>
          <w:rFonts w:ascii="仿宋" w:hAnsi="仿宋" w:eastAsia="仿宋" w:cs="仿宋"/>
          <w:sz w:val="32"/>
          <w:u w:color="auto"/>
        </w:rPr>
        <w:t>市</w:t>
      </w:r>
      <w:r>
        <w:rPr>
          <w:rFonts w:hint="eastAsia" w:ascii="仿宋" w:hAnsi="仿宋" w:eastAsia="仿宋" w:cs="仿宋"/>
          <w:sz w:val="32"/>
          <w:u w:color="auto"/>
          <w:lang w:val="en-US" w:eastAsia="zh-CN"/>
        </w:rPr>
        <w:t>=县</w:t>
      </w:r>
      <w:r>
        <w:rPr>
          <w:rFonts w:hint="eastAsia" w:ascii="仿宋" w:hAnsi="仿宋" w:eastAsia="仿宋" w:cs="仿宋"/>
          <w:sz w:val="32"/>
          <w:u w:color="auto"/>
          <w:lang w:eastAsia="zh-CN"/>
        </w:rPr>
        <w:t>财政</w:t>
      </w:r>
      <w:r>
        <w:rPr>
          <w:rFonts w:ascii="仿宋" w:hAnsi="仿宋" w:eastAsia="仿宋" w:cs="仿宋"/>
          <w:sz w:val="32"/>
          <w:u w:color="auto"/>
        </w:rPr>
        <w:t>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拨款收入”“事业收入”“经营收入”“其他收入”不足以安排当年支出的情况下，使用非</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hint="eastAsia" w:ascii="仿宋" w:hAnsi="仿宋" w:eastAsia="仿宋" w:cs="仿宋"/>
          <w:sz w:val="32"/>
          <w:u w:color="auto"/>
          <w:lang w:eastAsia="zh-CN"/>
        </w:rPr>
        <w:t>财政</w:t>
      </w:r>
      <w:r>
        <w:rPr>
          <w:rFonts w:ascii="仿宋" w:hAnsi="仿宋" w:eastAsia="仿宋" w:cs="仿宋"/>
          <w:sz w:val="32"/>
          <w:u w:color="auto"/>
        </w:rPr>
        <w:t>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w:t>
      </w:r>
      <w:r>
        <w:rPr>
          <w:rFonts w:hint="eastAsia" w:ascii="仿宋" w:hAnsi="仿宋" w:eastAsia="仿宋" w:cs="仿宋"/>
          <w:sz w:val="32"/>
          <w:u w:color="auto"/>
          <w:lang w:eastAsia="zh-CN"/>
        </w:rPr>
        <w:t>财政</w:t>
      </w:r>
      <w:r>
        <w:rPr>
          <w:rFonts w:ascii="仿宋" w:hAnsi="仿宋" w:eastAsia="仿宋" w:cs="仿宋"/>
          <w:sz w:val="32"/>
          <w:u w:color="auto"/>
        </w:rPr>
        <w:t>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20C171D"/>
    <w:rsid w:val="0216715F"/>
    <w:rsid w:val="02E0291A"/>
    <w:rsid w:val="04407592"/>
    <w:rsid w:val="045F7B6C"/>
    <w:rsid w:val="04BA0275"/>
    <w:rsid w:val="04E54546"/>
    <w:rsid w:val="04F05A45"/>
    <w:rsid w:val="05992762"/>
    <w:rsid w:val="07B0770E"/>
    <w:rsid w:val="08626C5A"/>
    <w:rsid w:val="08C07440"/>
    <w:rsid w:val="0942143F"/>
    <w:rsid w:val="0A791E4A"/>
    <w:rsid w:val="0BB51692"/>
    <w:rsid w:val="0C211877"/>
    <w:rsid w:val="0C5E0CF4"/>
    <w:rsid w:val="0D100297"/>
    <w:rsid w:val="0D202B45"/>
    <w:rsid w:val="0E5B3191"/>
    <w:rsid w:val="0F8D4C87"/>
    <w:rsid w:val="10505FAA"/>
    <w:rsid w:val="105F7E7E"/>
    <w:rsid w:val="11E56B5B"/>
    <w:rsid w:val="12566369"/>
    <w:rsid w:val="125C77AB"/>
    <w:rsid w:val="128A099F"/>
    <w:rsid w:val="14A74F2B"/>
    <w:rsid w:val="14CB726E"/>
    <w:rsid w:val="163B0AEA"/>
    <w:rsid w:val="170E4165"/>
    <w:rsid w:val="17E92249"/>
    <w:rsid w:val="18D304F1"/>
    <w:rsid w:val="19F32577"/>
    <w:rsid w:val="19F45B80"/>
    <w:rsid w:val="1B0C078D"/>
    <w:rsid w:val="1B2B31E2"/>
    <w:rsid w:val="1B4C295A"/>
    <w:rsid w:val="1B973C63"/>
    <w:rsid w:val="1BA1001E"/>
    <w:rsid w:val="1CDB054E"/>
    <w:rsid w:val="1D317259"/>
    <w:rsid w:val="1D6334B4"/>
    <w:rsid w:val="1E106D3A"/>
    <w:rsid w:val="1E664F5B"/>
    <w:rsid w:val="1EB34BE1"/>
    <w:rsid w:val="20FC63AD"/>
    <w:rsid w:val="215E639F"/>
    <w:rsid w:val="21EC3183"/>
    <w:rsid w:val="225E72CD"/>
    <w:rsid w:val="228D6F42"/>
    <w:rsid w:val="22C0331F"/>
    <w:rsid w:val="238656DC"/>
    <w:rsid w:val="246E2F77"/>
    <w:rsid w:val="25180851"/>
    <w:rsid w:val="254B4E2B"/>
    <w:rsid w:val="283D7C94"/>
    <w:rsid w:val="285C4C30"/>
    <w:rsid w:val="29480E03"/>
    <w:rsid w:val="2983634D"/>
    <w:rsid w:val="2AF90AD8"/>
    <w:rsid w:val="2B00317F"/>
    <w:rsid w:val="2BB02055"/>
    <w:rsid w:val="2C575A56"/>
    <w:rsid w:val="2CC24B23"/>
    <w:rsid w:val="2F0749EB"/>
    <w:rsid w:val="2F257714"/>
    <w:rsid w:val="2F3275E5"/>
    <w:rsid w:val="2FBD6970"/>
    <w:rsid w:val="30243FBF"/>
    <w:rsid w:val="305350AD"/>
    <w:rsid w:val="30AA08EF"/>
    <w:rsid w:val="30D23D1C"/>
    <w:rsid w:val="31221CF5"/>
    <w:rsid w:val="31400178"/>
    <w:rsid w:val="31724332"/>
    <w:rsid w:val="31C82D8C"/>
    <w:rsid w:val="321E3342"/>
    <w:rsid w:val="327759C8"/>
    <w:rsid w:val="33185FE3"/>
    <w:rsid w:val="33B24859"/>
    <w:rsid w:val="34EE2E36"/>
    <w:rsid w:val="35A55795"/>
    <w:rsid w:val="36777241"/>
    <w:rsid w:val="36AC569A"/>
    <w:rsid w:val="37DB42A4"/>
    <w:rsid w:val="38A951DB"/>
    <w:rsid w:val="38B31605"/>
    <w:rsid w:val="39003F4F"/>
    <w:rsid w:val="3C07002B"/>
    <w:rsid w:val="3D0D152A"/>
    <w:rsid w:val="3DF62756"/>
    <w:rsid w:val="3E2D46DD"/>
    <w:rsid w:val="3EC261B0"/>
    <w:rsid w:val="3F1B7587"/>
    <w:rsid w:val="3FE811C7"/>
    <w:rsid w:val="404412AB"/>
    <w:rsid w:val="40465D3F"/>
    <w:rsid w:val="40E60342"/>
    <w:rsid w:val="40E94F8D"/>
    <w:rsid w:val="414A1CC0"/>
    <w:rsid w:val="41E57B4F"/>
    <w:rsid w:val="432F26F6"/>
    <w:rsid w:val="43880F63"/>
    <w:rsid w:val="441C5A6F"/>
    <w:rsid w:val="44C44FCC"/>
    <w:rsid w:val="44CC7369"/>
    <w:rsid w:val="457F5108"/>
    <w:rsid w:val="46951B6B"/>
    <w:rsid w:val="488B6009"/>
    <w:rsid w:val="495F18E0"/>
    <w:rsid w:val="49A34401"/>
    <w:rsid w:val="4A3E30AB"/>
    <w:rsid w:val="4AC14DAC"/>
    <w:rsid w:val="4CCC43BB"/>
    <w:rsid w:val="4D154C85"/>
    <w:rsid w:val="4EC8553A"/>
    <w:rsid w:val="500F7EEB"/>
    <w:rsid w:val="50155C26"/>
    <w:rsid w:val="508F4E24"/>
    <w:rsid w:val="51461E90"/>
    <w:rsid w:val="51463753"/>
    <w:rsid w:val="52553A93"/>
    <w:rsid w:val="53521F8B"/>
    <w:rsid w:val="53E22F47"/>
    <w:rsid w:val="54522FF8"/>
    <w:rsid w:val="55450629"/>
    <w:rsid w:val="55E63891"/>
    <w:rsid w:val="56692963"/>
    <w:rsid w:val="568B0F48"/>
    <w:rsid w:val="5786217B"/>
    <w:rsid w:val="59337A15"/>
    <w:rsid w:val="59810274"/>
    <w:rsid w:val="5BDD637C"/>
    <w:rsid w:val="5C8D37D5"/>
    <w:rsid w:val="5CA96A00"/>
    <w:rsid w:val="5CF730BC"/>
    <w:rsid w:val="5E5F0DCE"/>
    <w:rsid w:val="5F6B6DB9"/>
    <w:rsid w:val="5FA40A7B"/>
    <w:rsid w:val="5FD56D29"/>
    <w:rsid w:val="5FEC7F3F"/>
    <w:rsid w:val="60320560"/>
    <w:rsid w:val="60F74BC3"/>
    <w:rsid w:val="616672E8"/>
    <w:rsid w:val="617D3BF8"/>
    <w:rsid w:val="61841F6A"/>
    <w:rsid w:val="623007A9"/>
    <w:rsid w:val="637D7558"/>
    <w:rsid w:val="644F19AC"/>
    <w:rsid w:val="653C1BA6"/>
    <w:rsid w:val="654E215E"/>
    <w:rsid w:val="65877C94"/>
    <w:rsid w:val="65AA4920"/>
    <w:rsid w:val="65DF6112"/>
    <w:rsid w:val="65F20970"/>
    <w:rsid w:val="66A65723"/>
    <w:rsid w:val="67694F1E"/>
    <w:rsid w:val="68CE6BE1"/>
    <w:rsid w:val="69597934"/>
    <w:rsid w:val="6A034B3D"/>
    <w:rsid w:val="6B964DDC"/>
    <w:rsid w:val="6C783074"/>
    <w:rsid w:val="6D9E65C6"/>
    <w:rsid w:val="6DA81947"/>
    <w:rsid w:val="6EB66DE2"/>
    <w:rsid w:val="6ED3075F"/>
    <w:rsid w:val="6F2A2D4B"/>
    <w:rsid w:val="6F8A0C1E"/>
    <w:rsid w:val="6FFF6D03"/>
    <w:rsid w:val="703F45D4"/>
    <w:rsid w:val="715D6546"/>
    <w:rsid w:val="71BE069E"/>
    <w:rsid w:val="72A457C0"/>
    <w:rsid w:val="73953409"/>
    <w:rsid w:val="73E069A3"/>
    <w:rsid w:val="77D31DA0"/>
    <w:rsid w:val="78104AA8"/>
    <w:rsid w:val="78A7420E"/>
    <w:rsid w:val="78E257C5"/>
    <w:rsid w:val="794B35BE"/>
    <w:rsid w:val="7B0A3A31"/>
    <w:rsid w:val="7B3360ED"/>
    <w:rsid w:val="7B5319F3"/>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24.1</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595"/>
          <c:y val="0.154201680672269"/>
          <c:w val="0.91655"/>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一般公共服务支出</c:v>
                </c:pt>
                <c:pt idx="1">
                  <c:v>水利行业业务管理</c:v>
                </c:pt>
                <c:pt idx="2">
                  <c:v>社会保障和就业支出</c:v>
                </c:pt>
                <c:pt idx="3">
                  <c:v>住房保障支出</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一般公共服务支出</c:v>
                </c:pt>
                <c:pt idx="1">
                  <c:v>水利行业业务管理</c:v>
                </c:pt>
                <c:pt idx="2">
                  <c:v>社会保障和就业支出</c:v>
                </c:pt>
                <c:pt idx="3">
                  <c:v>住房保障支出</c:v>
                </c:pt>
              </c:strCache>
            </c:strRef>
          </c:cat>
          <c:val>
            <c:numRef>
              <c:f>Sheet1!$C$2:$C$5</c:f>
              <c:numCache>
                <c:formatCode>General</c:formatCode>
                <c:ptCount val="4"/>
                <c:pt idx="0">
                  <c:v>0.37</c:v>
                </c:pt>
                <c:pt idx="1">
                  <c:v>18.4</c:v>
                </c:pt>
                <c:pt idx="2">
                  <c:v>2.97</c:v>
                </c:pt>
                <c:pt idx="3">
                  <c:v>2.3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0.38</c:v>
                </c:pt>
                <c:pt idx="1">
                  <c:v>0.38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水利行业业务管理</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2130304</c:v>
                </c:pt>
              </c:numCache>
            </c:numRef>
          </c:cat>
          <c:val>
            <c:numRef>
              <c:f>Sheet1!$B$2</c:f>
              <c:numCache>
                <c:formatCode>General</c:formatCode>
                <c:ptCount val="1"/>
                <c:pt idx="0">
                  <c:v>18.4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2.97</c:v>
                </c:pt>
                <c:pt idx="1">
                  <c:v>2.97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2.3</c:v>
                </c:pt>
                <c:pt idx="1">
                  <c:v>2.3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7.4</c:v>
                </c:pt>
                <c:pt idx="1">
                  <c:v>1.7</c:v>
                </c:pt>
                <c:pt idx="2">
                  <c:v>2.9</c:v>
                </c:pt>
                <c:pt idx="3">
                  <c:v>4.6</c:v>
                </c:pt>
                <c:pt idx="4">
                  <c:v>2.97</c:v>
                </c:pt>
                <c:pt idx="5">
                  <c:v>1.2</c:v>
                </c:pt>
                <c:pt idx="6">
                  <c:v>0.12</c:v>
                </c:pt>
                <c:pt idx="7">
                  <c:v>2.3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0.48</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0.37</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3264</Words>
  <Characters>4755</Characters>
  <Lines>90</Lines>
  <Paragraphs>25</Paragraphs>
  <TotalTime>5</TotalTime>
  <ScaleCrop>false</ScaleCrop>
  <LinksUpToDate>false</LinksUpToDate>
  <CharactersWithSpaces>4923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2024-12-26T11:03:36Z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14D6847A8DA34C769BAA93B51DDEDE4C</vt:lpwstr>
  </property>
</Properties>
</file>