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方正小标宋简体" w:eastAsia="方正小标宋简体"/>
          <w:kern w:val="0"/>
          <w:sz w:val="52"/>
          <w:szCs w:val="52"/>
          <w:lang w:val="en-US" w:eastAsia="zh-CN"/>
        </w:rPr>
      </w:pPr>
      <w:r>
        <w:rPr>
          <w:rFonts w:hint="eastAsia" w:ascii="方正小标宋简体" w:eastAsia="方正小标宋简体"/>
          <w:kern w:val="0"/>
          <w:sz w:val="52"/>
          <w:szCs w:val="52"/>
          <w:lang w:val="en-US" w:eastAsia="zh-CN"/>
        </w:rPr>
        <w:t>环江毛南族自治县水源镇财政所</w:t>
      </w:r>
    </w:p>
    <w:p>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pP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hint="eastAsia" w:ascii="仿宋_GB2312" w:eastAsia="仿宋_GB2312"/>
          <w:b/>
          <w:sz w:val="32"/>
          <w:szCs w:val="32"/>
        </w:rPr>
      </w:pP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eastAsia="zh-CN"/>
        </w:rPr>
        <w:t>环江毛南族自治县水源镇财政所</w:t>
      </w:r>
      <w:r>
        <w:rPr>
          <w:rFonts w:hint="eastAsia" w:ascii="黑体" w:hAnsi="黑体" w:eastAsia="黑体"/>
          <w:sz w:val="32"/>
          <w:szCs w:val="32"/>
        </w:rPr>
        <w:t>概况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lang w:eastAsia="zh-CN"/>
        </w:rPr>
        <w:t>环江毛南族自治县水源镇财政所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eastAsia="zh-CN"/>
        </w:rPr>
        <w:t>环江毛南族自治县水源镇财政所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spacing w:line="560" w:lineRule="exact"/>
        <w:ind w:firstLine="646"/>
        <w:jc w:val="center"/>
        <w:rPr>
          <w:rFonts w:hint="eastAsia" w:ascii="黑体" w:hAnsi="黑体" w:eastAsia="黑体"/>
          <w:sz w:val="32"/>
          <w:szCs w:val="32"/>
        </w:rPr>
      </w:pPr>
    </w:p>
    <w:p>
      <w:pPr>
        <w:spacing w:line="560" w:lineRule="exact"/>
        <w:ind w:firstLine="646"/>
        <w:jc w:val="center"/>
        <w:rPr>
          <w:rFonts w:hint="eastAsia" w:ascii="黑体" w:hAnsi="黑体" w:eastAsia="黑体"/>
          <w:sz w:val="32"/>
          <w:szCs w:val="32"/>
        </w:rPr>
      </w:pPr>
    </w:p>
    <w:p>
      <w:pPr>
        <w:spacing w:line="560" w:lineRule="exact"/>
        <w:ind w:firstLine="646"/>
        <w:jc w:val="center"/>
        <w:rPr>
          <w:rFonts w:hint="eastAsia" w:ascii="黑体" w:hAnsi="黑体" w:eastAsia="黑体"/>
          <w:sz w:val="32"/>
          <w:szCs w:val="32"/>
        </w:rPr>
      </w:pPr>
    </w:p>
    <w:p>
      <w:pPr>
        <w:spacing w:line="560" w:lineRule="exact"/>
        <w:ind w:firstLine="646"/>
        <w:jc w:val="center"/>
        <w:rPr>
          <w:rFonts w:hint="eastAsia" w:ascii="黑体" w:hAnsi="黑体" w:eastAsia="黑体"/>
          <w:sz w:val="32"/>
          <w:szCs w:val="32"/>
        </w:rPr>
      </w:pPr>
    </w:p>
    <w:p>
      <w:pPr>
        <w:spacing w:line="560" w:lineRule="exact"/>
        <w:ind w:firstLine="646"/>
        <w:jc w:val="center"/>
        <w:rPr>
          <w:rFonts w:hint="eastAsia" w:ascii="黑体" w:hAnsi="黑体" w:eastAsia="黑体"/>
          <w:sz w:val="32"/>
          <w:szCs w:val="32"/>
        </w:rPr>
      </w:pPr>
    </w:p>
    <w:p>
      <w:pPr>
        <w:spacing w:line="560" w:lineRule="exact"/>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single"/>
          <w:lang w:eastAsia="zh-CN"/>
        </w:rPr>
        <w:t>环江毛南族自治县水源镇财政所</w:t>
      </w:r>
      <w:r>
        <w:rPr>
          <w:rFonts w:hint="eastAsia" w:ascii="黑体" w:hAnsi="黑体" w:eastAsia="黑体"/>
          <w:sz w:val="32"/>
          <w:szCs w:val="32"/>
        </w:rPr>
        <w:t>概况</w:t>
      </w:r>
    </w:p>
    <w:p>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numPr>
          <w:ilvl w:val="0"/>
          <w:numId w:val="0"/>
        </w:numPr>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highlight w:val="none"/>
        </w:rPr>
        <w:t>本单位是环江毛南族自治县水源镇财政所，隶属于环江毛南族自治县财政局，是参照公务员法的事业单位。主要职能为财政预算、决算；财务管理和财政监督，预算外资金管理。</w:t>
      </w:r>
    </w:p>
    <w:p>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预算编制单位一个，</w:t>
      </w:r>
      <w:r>
        <w:rPr>
          <w:rFonts w:hint="eastAsia" w:ascii="仿宋_GB2312" w:hAnsi="仿宋_GB2312" w:eastAsia="仿宋_GB2312" w:cs="仿宋_GB2312"/>
          <w:sz w:val="32"/>
          <w:szCs w:val="32"/>
          <w:lang w:val="en-US" w:eastAsia="zh-CN"/>
        </w:rPr>
        <w:t>根据工作需要设定如下岗位：</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1、领导岗：由财政所所长担任，负责统筹财政所各项业务的顺利开展；</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2、会计岗：对单位的日常工作收支进行账务处理、负责上报各种报表、编制年初预算与年终决算；</w:t>
      </w:r>
    </w:p>
    <w:p>
      <w:pPr>
        <w:numPr>
          <w:ilvl w:val="0"/>
          <w:numId w:val="0"/>
        </w:numPr>
        <w:ind w:firstLine="640" w:firstLineChars="200"/>
        <w:jc w:val="left"/>
        <w:rPr>
          <w:rFonts w:hint="default" w:ascii="黑体" w:hAnsi="黑体" w:eastAsia="黑体" w:cs="黑体"/>
          <w:sz w:val="32"/>
          <w:szCs w:val="32"/>
          <w:lang w:val="en-US"/>
        </w:rPr>
      </w:pPr>
      <w:r>
        <w:rPr>
          <w:rFonts w:hint="eastAsia" w:ascii="仿宋_GB2312" w:hAnsi="仿宋_GB2312" w:eastAsia="仿宋_GB2312" w:cs="仿宋_GB2312"/>
          <w:sz w:val="32"/>
          <w:szCs w:val="32"/>
          <w:lang w:val="en-US" w:eastAsia="zh-CN"/>
        </w:rPr>
        <w:t>3、出纳岗：负责单位产生的各项经费的支出；</w:t>
      </w:r>
    </w:p>
    <w:p>
      <w:pPr>
        <w:numPr>
          <w:ilvl w:val="0"/>
          <w:numId w:val="0"/>
        </w:numPr>
        <w:ind w:firstLine="640" w:firstLineChars="200"/>
        <w:jc w:val="left"/>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4、涉农补贴管理岗：负责财政所涉及的各项农业补贴的核对和发放。</w:t>
      </w:r>
    </w:p>
    <w:p>
      <w:pPr>
        <w:ind w:firstLine="645"/>
        <w:rPr>
          <w:rFonts w:hint="eastAsia" w:ascii="仿宋_GB2312" w:eastAsia="仿宋_GB2312"/>
          <w:sz w:val="32"/>
          <w:szCs w:val="32"/>
        </w:rPr>
      </w:pPr>
    </w:p>
    <w:p>
      <w:pPr>
        <w:jc w:val="center"/>
        <w:rPr>
          <w:rFonts w:hint="eastAsia"/>
        </w:rPr>
      </w:pPr>
    </w:p>
    <w:p>
      <w:pPr>
        <w:jc w:val="center"/>
      </w:pPr>
    </w:p>
    <w:p>
      <w:pPr>
        <w:jc w:val="center"/>
      </w:pPr>
    </w:p>
    <w:p>
      <w:pPr>
        <w:jc w:val="both"/>
        <w:rPr>
          <w:rFonts w:hint="eastAsia" w:ascii="仿宋_GB2312" w:eastAsia="仿宋_GB2312"/>
          <w:b/>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lang w:eastAsia="zh-CN"/>
        </w:rPr>
        <w:t>环江毛南族自治县水源镇财政所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9"/>
        <w:gridCol w:w="914"/>
        <w:gridCol w:w="1072"/>
        <w:gridCol w:w="4909"/>
        <w:gridCol w:w="914"/>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spacing w:line="56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在收入支出决算总表中，本年收入合计为65.42万元，其中一般公共预算财政拨款收入65.42万元；本年支出合计65.42万元，其中一般公共服务支出57.46万元，社会保障和就业支出7.96万元。</w:t>
      </w: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087"/>
        <w:gridCol w:w="1405"/>
        <w:gridCol w:w="1405"/>
        <w:gridCol w:w="1222"/>
        <w:gridCol w:w="1222"/>
        <w:gridCol w:w="1222"/>
        <w:gridCol w:w="1222"/>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3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9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3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3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3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3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3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9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65.42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65.42</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收入决算表中，本年收入合计65.42万元，其中财政拨款收入65.42万元，包括行政运行56.37万元；其他群众团体事务支出1.1万元，机关事业单位基本养老保险缴费支出7.96万元。</w:t>
      </w: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
        <w:gridCol w:w="327"/>
        <w:gridCol w:w="332"/>
        <w:gridCol w:w="4520"/>
        <w:gridCol w:w="1544"/>
        <w:gridCol w:w="1545"/>
        <w:gridCol w:w="1477"/>
        <w:gridCol w:w="1342"/>
        <w:gridCol w:w="1342"/>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0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0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60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2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8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964"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62.78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spacing w:line="560" w:lineRule="exact"/>
        <w:ind w:left="645"/>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支出决算表中，本年支出合计65.42万元，其中基本支出62.78万元，包括行政运行53.73万元，其他群众团体事务支出1.1万元，机关事业单位基本养老保险缴费支出7.96万元；项目支出2.64万元，包括行政运行2.64万元。</w:t>
      </w:r>
    </w:p>
    <w:p>
      <w:pPr>
        <w:spacing w:line="560" w:lineRule="exact"/>
        <w:ind w:left="645"/>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94"/>
        <w:gridCol w:w="538"/>
        <w:gridCol w:w="1299"/>
        <w:gridCol w:w="3804"/>
        <w:gridCol w:w="538"/>
        <w:gridCol w:w="819"/>
        <w:gridCol w:w="1299"/>
        <w:gridCol w:w="1140"/>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120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8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46"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3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8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8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46"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86"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8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46"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3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83"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28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446"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86"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55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46" w:type="pct"/>
            <w:gridSpan w:val="8"/>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53" w:type="pct"/>
            <w:tcBorders>
              <w:top w:val="single" w:color="000000" w:sz="4" w:space="0"/>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spacing w:line="560" w:lineRule="exact"/>
        <w:ind w:left="645"/>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财政拨款收入支出决算总表</w:t>
      </w:r>
      <w:r>
        <w:rPr>
          <w:rFonts w:hint="eastAsia" w:ascii="仿宋_GB2312" w:eastAsia="仿宋_GB2312"/>
          <w:sz w:val="32"/>
          <w:szCs w:val="32"/>
          <w:lang w:val="en-US" w:eastAsia="zh-CN"/>
        </w:rPr>
        <w:t>中，本年收入包括一般公共预算财政拨款65.42万元；本年支出包括一般公共服务支出57.46万元及社会保障和就业支出7.96万元。</w:t>
      </w: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333"/>
        <w:gridCol w:w="336"/>
        <w:gridCol w:w="3736"/>
        <w:gridCol w:w="2709"/>
        <w:gridCol w:w="2604"/>
        <w:gridCol w:w="3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74"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6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196"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Style w:val="7"/>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6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196"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65.42</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62.78</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53.73</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spacing w:line="560" w:lineRule="exact"/>
        <w:ind w:left="645"/>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一般公共预算财政拨款支出决算表</w:t>
      </w:r>
      <w:r>
        <w:rPr>
          <w:rFonts w:hint="eastAsia" w:ascii="仿宋_GB2312" w:eastAsia="仿宋_GB2312"/>
          <w:sz w:val="32"/>
          <w:szCs w:val="32"/>
          <w:lang w:val="en-US" w:eastAsia="zh-CN"/>
        </w:rPr>
        <w:t>中，包含了基本支出62.78万元，项目支出2.64万元。</w:t>
      </w: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3218"/>
        <w:gridCol w:w="716"/>
        <w:gridCol w:w="716"/>
        <w:gridCol w:w="2217"/>
        <w:gridCol w:w="616"/>
        <w:gridCol w:w="716"/>
        <w:gridCol w:w="4018"/>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95"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8"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0"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6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8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34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部门：</w:t>
            </w:r>
          </w:p>
        </w:tc>
        <w:tc>
          <w:tcPr>
            <w:tcW w:w="1088" w:type="pct"/>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280" w:type="pct"/>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280" w:type="pct"/>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765" w:type="pct"/>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248" w:type="pct"/>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280" w:type="pct"/>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1346" w:type="pct"/>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41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33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59.80</w:t>
            </w:r>
          </w:p>
        </w:tc>
        <w:tc>
          <w:tcPr>
            <w:tcW w:w="292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spacing w:line="560" w:lineRule="exact"/>
        <w:ind w:left="645"/>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一般公共预算财政拨款基本支出决算明细表</w:t>
      </w:r>
      <w:r>
        <w:rPr>
          <w:rFonts w:hint="eastAsia" w:ascii="仿宋_GB2312" w:eastAsia="仿宋_GB2312"/>
          <w:sz w:val="32"/>
          <w:szCs w:val="32"/>
          <w:lang w:val="en-US" w:eastAsia="zh-CN"/>
        </w:rPr>
        <w:t>中，人员经费合计59.8万元，其中包括工资福利支出59.76万元，对个人和家庭的补助0.04万元；公用经费合计2.98万元，其中包括办公费0.57万元，电费0.16万元，邮电费0.56万元，差旅费0.6万元，工会经费1.1万元。</w:t>
      </w:r>
    </w:p>
    <w:p>
      <w:pPr>
        <w:spacing w:line="560" w:lineRule="exact"/>
        <w:ind w:left="645"/>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338"/>
        <w:gridCol w:w="341"/>
        <w:gridCol w:w="3535"/>
        <w:gridCol w:w="1503"/>
        <w:gridCol w:w="1506"/>
        <w:gridCol w:w="1506"/>
        <w:gridCol w:w="1506"/>
        <w:gridCol w:w="1526"/>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270"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3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3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3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84"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3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3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3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3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84"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6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spacing w:line="560" w:lineRule="exact"/>
        <w:ind w:left="645"/>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000000"/>
          <w:kern w:val="0"/>
          <w:sz w:val="32"/>
          <w:szCs w:val="32"/>
          <w:highlight w:val="none"/>
          <w:lang w:val="en-US" w:eastAsia="zh-CN" w:bidi="ar"/>
        </w:rPr>
        <w:t>本部门2023年度</w:t>
      </w:r>
      <w:r>
        <w:rPr>
          <w:rFonts w:hint="eastAsia" w:ascii="仿宋_GB2312" w:eastAsia="仿宋_GB2312"/>
          <w:sz w:val="32"/>
          <w:szCs w:val="32"/>
          <w:lang w:val="en-US" w:eastAsia="zh-CN"/>
        </w:rPr>
        <w:t>没有</w:t>
      </w:r>
      <w:r>
        <w:rPr>
          <w:rFonts w:hint="eastAsia" w:ascii="仿宋_GB2312" w:eastAsia="仿宋_GB2312"/>
          <w:sz w:val="32"/>
          <w:szCs w:val="32"/>
        </w:rPr>
        <w:t>政府性基金</w:t>
      </w:r>
      <w:r>
        <w:rPr>
          <w:rFonts w:hint="eastAsia" w:ascii="仿宋_GB2312" w:hAnsi="黑体" w:eastAsia="仿宋_GB2312"/>
          <w:sz w:val="32"/>
          <w:szCs w:val="32"/>
        </w:rPr>
        <w:t>预算财政拨款</w:t>
      </w:r>
      <w:r>
        <w:rPr>
          <w:rFonts w:hint="eastAsia" w:ascii="仿宋_GB2312" w:eastAsia="仿宋_GB2312"/>
          <w:sz w:val="32"/>
          <w:szCs w:val="32"/>
          <w:lang w:val="en-US" w:eastAsia="zh-CN"/>
        </w:rPr>
        <w:t>收入，也没有</w:t>
      </w:r>
      <w:r>
        <w:rPr>
          <w:rFonts w:hint="eastAsia" w:ascii="仿宋_GB2312" w:eastAsia="仿宋_GB2312"/>
          <w:sz w:val="32"/>
          <w:szCs w:val="32"/>
        </w:rPr>
        <w:t>政府性基金</w:t>
      </w:r>
      <w:r>
        <w:rPr>
          <w:rFonts w:hint="eastAsia" w:ascii="仿宋_GB2312" w:hAnsi="黑体" w:eastAsia="仿宋_GB2312"/>
          <w:sz w:val="32"/>
          <w:szCs w:val="32"/>
        </w:rPr>
        <w:t>预算财政拨款</w:t>
      </w:r>
      <w:r>
        <w:rPr>
          <w:rFonts w:hint="eastAsia" w:ascii="仿宋_GB2312" w:eastAsia="仿宋_GB2312"/>
          <w:sz w:val="32"/>
          <w:szCs w:val="32"/>
          <w:lang w:val="en-US" w:eastAsia="zh-CN"/>
        </w:rPr>
        <w:t>安排的支出，故本表无数据。</w:t>
      </w: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0"/>
        <w:gridCol w:w="344"/>
        <w:gridCol w:w="347"/>
        <w:gridCol w:w="4277"/>
        <w:gridCol w:w="2457"/>
        <w:gridCol w:w="2480"/>
        <w:gridCol w:w="2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0"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916"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6" w:type="pct"/>
            <w:tcBorders>
              <w:top w:val="nil"/>
              <w:left w:val="nil"/>
              <w:bottom w:val="single" w:color="000000" w:sz="8"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71" w:type="pct"/>
            <w:tcBorders>
              <w:top w:val="nil"/>
              <w:left w:val="nil"/>
              <w:bottom w:val="single" w:color="000000" w:sz="8"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916"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spacing w:line="560" w:lineRule="exact"/>
        <w:ind w:left="645"/>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rPr>
      </w:pPr>
      <w:r>
        <w:rPr>
          <w:rFonts w:hint="eastAsia" w:ascii="仿宋_GB2312" w:hAnsi="仿宋_GB2312" w:eastAsia="仿宋_GB2312" w:cs="仿宋_GB2312"/>
          <w:color w:val="000000"/>
          <w:kern w:val="0"/>
          <w:sz w:val="32"/>
          <w:szCs w:val="32"/>
          <w:highlight w:val="none"/>
          <w:lang w:val="en-US" w:eastAsia="zh-CN" w:bidi="ar"/>
        </w:rPr>
        <w:t>本部门2023年度没有国有资本经营预算财政拨款收入，也没有国有资本经营预算财政拨款安排的支出，故本表无数据。</w:t>
      </w: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1"/>
        <w:gridCol w:w="1171"/>
        <w:gridCol w:w="1171"/>
        <w:gridCol w:w="1171"/>
        <w:gridCol w:w="1173"/>
        <w:gridCol w:w="1176"/>
        <w:gridCol w:w="1171"/>
        <w:gridCol w:w="1171"/>
        <w:gridCol w:w="1171"/>
        <w:gridCol w:w="1171"/>
        <w:gridCol w:w="1173"/>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5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2"/>
            <w:vMerge w:val="restart"/>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2"/>
            <w:vMerge w:val="continue"/>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spacing w:line="560" w:lineRule="exact"/>
        <w:ind w:left="645"/>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本部门2023年度没有一般公共预算财政拨款“三公”经费收入，也没有一般公共预算财政拨款“三公”经费安排的支出，故本表无数据</w:t>
      </w:r>
    </w:p>
    <w:p>
      <w:pPr>
        <w:spacing w:line="560" w:lineRule="exact"/>
        <w:ind w:firstLine="640" w:firstLineChars="200"/>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eastAsia="zh-CN"/>
        </w:rPr>
        <w:t>环江毛南族自治县水源镇财政所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 w:hAnsi="仿宋" w:eastAsia="仿宋" w:cs="仿宋"/>
          <w:sz w:val="32"/>
          <w:u w:color="auto"/>
          <w:lang w:val="en-US" w:eastAsia="zh-CN"/>
        </w:rPr>
        <w:t>65.42</w:t>
      </w:r>
      <w:r>
        <w:rPr>
          <w:rFonts w:hint="eastAsia" w:ascii="仿宋" w:hAnsi="仿宋" w:eastAsia="仿宋" w:cs="仿宋"/>
          <w:sz w:val="32"/>
          <w:szCs w:val="32"/>
          <w:highlight w:val="none"/>
        </w:rPr>
        <w:t>万元</w:t>
      </w:r>
      <w:r>
        <w:rPr>
          <w:rFonts w:hint="eastAsia" w:ascii="仿宋_GB2312" w:eastAsia="仿宋_GB2312" w:cs="仿宋_GB2312"/>
          <w:kern w:val="0"/>
          <w:sz w:val="32"/>
          <w:szCs w:val="32"/>
        </w:rPr>
        <w:t>，其中本年收入</w:t>
      </w:r>
      <w:r>
        <w:rPr>
          <w:rFonts w:hint="eastAsia" w:ascii="仿宋" w:hAnsi="仿宋" w:eastAsia="仿宋" w:cs="仿宋"/>
          <w:sz w:val="32"/>
          <w:u w:color="auto"/>
          <w:lang w:val="en-US" w:eastAsia="zh-CN"/>
        </w:rPr>
        <w:t>65.42</w:t>
      </w:r>
      <w:r>
        <w:rPr>
          <w:rFonts w:hint="eastAsia" w:ascii="仿宋" w:hAnsi="仿宋" w:eastAsia="仿宋" w:cs="仿宋"/>
          <w:sz w:val="32"/>
          <w:szCs w:val="32"/>
          <w:highlight w:val="none"/>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 w:hAnsi="仿宋" w:eastAsia="仿宋" w:cs="仿宋"/>
          <w:sz w:val="32"/>
          <w:u w:color="auto"/>
          <w:lang w:val="en-US" w:eastAsia="zh-CN"/>
        </w:rPr>
        <w:t>1.92</w:t>
      </w:r>
      <w:r>
        <w:rPr>
          <w:rFonts w:hint="eastAsia" w:ascii="仿宋_GB2312" w:hAnsi="黑体" w:eastAsia="仿宋_GB2312" w:cs="仿宋_GB2312"/>
          <w:kern w:val="0"/>
          <w:sz w:val="32"/>
          <w:szCs w:val="32"/>
        </w:rPr>
        <w:t>万元，</w:t>
      </w:r>
      <w:r>
        <w:rPr>
          <w:rFonts w:hint="eastAsia" w:ascii="仿宋" w:hAnsi="仿宋" w:eastAsia="仿宋" w:cs="仿宋"/>
          <w:sz w:val="32"/>
          <w:u w:color="auto"/>
          <w:lang w:val="en-US" w:eastAsia="zh-CN"/>
        </w:rPr>
        <w:t>增长3.02</w:t>
      </w:r>
      <w:r>
        <w:rPr>
          <w:rFonts w:ascii="仿宋" w:hAnsi="仿宋" w:eastAsia="仿宋" w:cs="仿宋"/>
          <w:sz w:val="32"/>
          <w:u w:color="auto"/>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both"/>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 w:hAnsi="仿宋" w:eastAsia="仿宋" w:cs="仿宋"/>
          <w:sz w:val="32"/>
          <w:u w:color="auto"/>
          <w:lang w:val="en-US" w:eastAsia="zh-CN"/>
        </w:rPr>
        <w:t>65.42</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val="en-US"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 w:hAnsi="仿宋" w:eastAsia="仿宋" w:cs="仿宋"/>
          <w:sz w:val="32"/>
          <w:u w:color="auto"/>
          <w:lang w:val="en-US" w:eastAsia="zh-CN"/>
        </w:rPr>
        <w:t>1.92</w:t>
      </w:r>
      <w:r>
        <w:rPr>
          <w:rFonts w:hint="eastAsia" w:ascii="仿宋_GB2312" w:hAnsi="黑体" w:eastAsia="仿宋_GB2312" w:cs="仿宋_GB2312"/>
          <w:kern w:val="0"/>
          <w:sz w:val="32"/>
          <w:szCs w:val="32"/>
        </w:rPr>
        <w:t>万元，</w:t>
      </w:r>
      <w:r>
        <w:rPr>
          <w:rFonts w:hint="eastAsia" w:ascii="仿宋" w:hAnsi="仿宋" w:eastAsia="仿宋" w:cs="仿宋"/>
          <w:sz w:val="32"/>
          <w:u w:color="auto"/>
          <w:lang w:val="en-US" w:eastAsia="zh-CN"/>
        </w:rPr>
        <w:t>增长3.02</w:t>
      </w:r>
      <w:r>
        <w:rPr>
          <w:rFonts w:ascii="仿宋" w:hAnsi="仿宋" w:eastAsia="仿宋" w:cs="仿宋"/>
          <w:sz w:val="32"/>
          <w:u w:color="auto"/>
        </w:rPr>
        <w:t>%</w:t>
      </w:r>
      <w:r>
        <w:rPr>
          <w:rFonts w:hint="eastAsia" w:ascii="仿宋" w:hAnsi="仿宋" w:eastAsia="仿宋" w:cs="仿宋"/>
          <w:sz w:val="32"/>
          <w:u w:color="auto"/>
          <w:lang w:eastAsia="zh-CN"/>
        </w:rPr>
        <w:t>，</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人员工资收入调整。</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本部门2023年度不存在</w:t>
      </w:r>
      <w:r>
        <w:rPr>
          <w:rFonts w:hint="eastAsia" w:ascii="仿宋_GB2312" w:eastAsia="仿宋_GB2312" w:cs="仿宋_GB2312"/>
          <w:kern w:val="0"/>
          <w:sz w:val="32"/>
          <w:szCs w:val="32"/>
        </w:rPr>
        <w:t>政府性基金预算财政拨款收入</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本部门2023年度不存在</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本部门为财政全额拨款事业单位，因此2023年度不存在</w:t>
      </w:r>
      <w:r>
        <w:rPr>
          <w:rFonts w:hint="eastAsia" w:ascii="仿宋_GB2312" w:eastAsia="仿宋_GB2312" w:cs="仿宋_GB2312"/>
          <w:kern w:val="0"/>
          <w:sz w:val="32"/>
          <w:szCs w:val="32"/>
        </w:rPr>
        <w:t>事业收入</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本部门为财政全额拨款事业单位，因此2023年度不产生经营</w:t>
      </w:r>
      <w:r>
        <w:rPr>
          <w:rFonts w:hint="eastAsia" w:ascii="仿宋_GB2312" w:eastAsia="仿宋_GB2312" w:cs="仿宋_GB2312"/>
          <w:kern w:val="0"/>
          <w:sz w:val="32"/>
          <w:szCs w:val="32"/>
        </w:rPr>
        <w:t>收入</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本部门2023年度不存在除</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之外的收入。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本部门2023年度不存在以前年度财政拨款结余资金。</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本部门无上年结转结余资金。</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 w:hAnsi="仿宋" w:eastAsia="仿宋" w:cs="仿宋"/>
          <w:sz w:val="32"/>
          <w:szCs w:val="32"/>
          <w:highlight w:val="none"/>
        </w:rPr>
        <w:drawing>
          <wp:anchor distT="0" distB="0" distL="114300" distR="114300" simplePos="0" relativeHeight="251659264" behindDoc="0" locked="0" layoutInCell="1" allowOverlap="1">
            <wp:simplePos x="0" y="0"/>
            <wp:positionH relativeFrom="column">
              <wp:posOffset>1826895</wp:posOffset>
            </wp:positionH>
            <wp:positionV relativeFrom="paragraph">
              <wp:posOffset>81915</wp:posOffset>
            </wp:positionV>
            <wp:extent cx="5173345" cy="3905250"/>
            <wp:effectExtent l="4445" t="4445" r="22860" b="14605"/>
            <wp:wrapTopAndBottom/>
            <wp:docPr id="3" name="图表 3" descr="7b0a202020202263686172745265734964223a20223230343735393537220a7d0a"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autoSpaceDE w:val="0"/>
        <w:autoSpaceDN w:val="0"/>
        <w:adjustRightInd w:val="0"/>
        <w:spacing w:line="560" w:lineRule="exact"/>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 w:hAnsi="仿宋" w:eastAsia="仿宋" w:cs="仿宋"/>
          <w:sz w:val="32"/>
          <w:u w:color="auto"/>
          <w:lang w:val="en-US" w:eastAsia="zh-CN"/>
        </w:rPr>
        <w:t>65.42</w:t>
      </w:r>
      <w:r>
        <w:rPr>
          <w:rFonts w:hint="eastAsia" w:ascii="仿宋_GB2312" w:eastAsia="仿宋_GB2312" w:cs="仿宋_GB2312"/>
          <w:kern w:val="0"/>
          <w:sz w:val="32"/>
          <w:szCs w:val="32"/>
        </w:rPr>
        <w:t>万元，其中本年支出</w:t>
      </w:r>
      <w:r>
        <w:rPr>
          <w:rFonts w:hint="eastAsia" w:ascii="仿宋" w:hAnsi="仿宋" w:eastAsia="仿宋" w:cs="仿宋"/>
          <w:sz w:val="32"/>
          <w:u w:color="auto"/>
          <w:lang w:val="en-US" w:eastAsia="zh-CN"/>
        </w:rPr>
        <w:t>65.42</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1.92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3.02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57.46</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val="en-US" w:eastAsia="zh-CN"/>
        </w:rPr>
        <w:t>在职职工工资福利支出，</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0.03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属于正常变动。</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2.社会保障和就业支出</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208</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7.96万元：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缴纳在职职工社会保障费用，</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0.39万元，下降4.9%，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社保基数的变动调整。</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4</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本部门不存在结余资金，因此不存在结余分配。</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本部门无年末结转结余资金。</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仿宋" w:hAnsi="仿宋" w:eastAsia="仿宋" w:cs="仿宋"/>
          <w:sz w:val="32"/>
          <w:szCs w:val="32"/>
          <w:highlight w:val="none"/>
        </w:rPr>
        <w:drawing>
          <wp:anchor distT="0" distB="0" distL="114300" distR="114300" simplePos="0" relativeHeight="251660288" behindDoc="0" locked="0" layoutInCell="1" allowOverlap="1">
            <wp:simplePos x="0" y="0"/>
            <wp:positionH relativeFrom="column">
              <wp:posOffset>2019935</wp:posOffset>
            </wp:positionH>
            <wp:positionV relativeFrom="paragraph">
              <wp:posOffset>64135</wp:posOffset>
            </wp:positionV>
            <wp:extent cx="5175250" cy="2283460"/>
            <wp:effectExtent l="4445" t="4445" r="20955" b="17145"/>
            <wp:wrapTopAndBottom/>
            <wp:docPr id="4" name="图表 4"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lang w:eastAsia="zh-CN"/>
        </w:rPr>
        <w:t>环江毛南族自治县水源镇财政所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 w:hAnsi="仿宋" w:eastAsia="仿宋" w:cs="仿宋"/>
          <w:sz w:val="32"/>
          <w:u w:color="auto"/>
          <w:lang w:val="en-US" w:eastAsia="zh-CN"/>
        </w:rPr>
        <w:t>65.42</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1.92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3.02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62.78</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2.64</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kern w:val="0"/>
          <w:sz w:val="32"/>
          <w:szCs w:val="32"/>
          <w:lang w:eastAsia="zh-CN"/>
        </w:rPr>
        <w:t>环江毛南族自治县水源镇财政所</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73.9</w:t>
      </w:r>
      <w:r>
        <w:rPr>
          <w:rFonts w:hint="eastAsia" w:ascii="仿宋_GB2312" w:hAnsi="黑体" w:eastAsia="仿宋_GB2312" w:cs="仿宋_GB2312"/>
          <w:kern w:val="0"/>
          <w:sz w:val="32"/>
          <w:szCs w:val="32"/>
        </w:rPr>
        <w:t>万元，支出决算为</w:t>
      </w:r>
      <w:r>
        <w:rPr>
          <w:rFonts w:hint="eastAsia" w:ascii="仿宋" w:hAnsi="仿宋" w:eastAsia="仿宋" w:cs="仿宋"/>
          <w:sz w:val="32"/>
          <w:u w:color="auto"/>
          <w:lang w:val="en-US" w:eastAsia="zh-CN"/>
        </w:rPr>
        <w:t>65.42</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88.53</w:t>
      </w:r>
      <w:r>
        <w:rPr>
          <w:rFonts w:hint="eastAsia" w:ascii="仿宋_GB2312" w:hAnsi="黑体" w:eastAsia="仿宋_GB2312" w:cs="仿宋_GB2312"/>
          <w:kern w:val="0"/>
          <w:sz w:val="32"/>
          <w:szCs w:val="32"/>
        </w:rPr>
        <w:t>%。</w:t>
      </w:r>
    </w:p>
    <w:p>
      <w:pPr>
        <w:numPr>
          <w:ilvl w:val="0"/>
          <w:numId w:val="1"/>
        </w:num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58.57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57.47</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98.12</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属于正常差异。</w:t>
      </w:r>
    </w:p>
    <w:p>
      <w:pPr>
        <w:numPr>
          <w:ilvl w:val="0"/>
          <w:numId w:val="0"/>
        </w:numPr>
        <w:autoSpaceDE w:val="0"/>
        <w:autoSpaceDN w:val="0"/>
        <w:adjustRightInd w:val="0"/>
        <w:spacing w:line="560" w:lineRule="exact"/>
        <w:jc w:val="both"/>
        <w:rPr>
          <w:rFonts w:hint="default" w:ascii="仿宋_GB2312" w:hAnsi="黑体" w:eastAsia="仿宋_GB2312" w:cs="仿宋_GB2312"/>
          <w:kern w:val="0"/>
          <w:sz w:val="32"/>
          <w:szCs w:val="32"/>
          <w:lang w:val="en-US" w:eastAsia="zh-CN"/>
        </w:rPr>
      </w:pPr>
      <w:r>
        <w:rPr>
          <w:rFonts w:hint="eastAsia" w:ascii="仿宋" w:hAnsi="仿宋" w:eastAsia="仿宋" w:cs="仿宋"/>
          <w:sz w:val="32"/>
          <w:szCs w:val="32"/>
          <w:highlight w:val="none"/>
        </w:rPr>
        <w:drawing>
          <wp:anchor distT="0" distB="0" distL="114300" distR="114300" simplePos="0" relativeHeight="251661312" behindDoc="0" locked="0" layoutInCell="1" allowOverlap="1">
            <wp:simplePos x="0" y="0"/>
            <wp:positionH relativeFrom="column">
              <wp:posOffset>1824990</wp:posOffset>
            </wp:positionH>
            <wp:positionV relativeFrom="paragraph">
              <wp:posOffset>309880</wp:posOffset>
            </wp:positionV>
            <wp:extent cx="4474845" cy="2412365"/>
            <wp:effectExtent l="4445" t="4445" r="16510" b="21590"/>
            <wp:wrapTopAndBottom/>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numPr>
          <w:ilvl w:val="0"/>
          <w:numId w:val="1"/>
        </w:numPr>
        <w:autoSpaceDE w:val="0"/>
        <w:autoSpaceDN w:val="0"/>
        <w:adjustRightInd w:val="0"/>
        <w:spacing w:line="560" w:lineRule="exact"/>
        <w:ind w:left="0" w:leftChars="0"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社会保障和就业支出（</w:t>
      </w:r>
      <w:r>
        <w:rPr>
          <w:rFonts w:hint="eastAsia" w:ascii="仿宋_GB2312" w:eastAsia="仿宋_GB2312" w:cs="仿宋_GB2312"/>
          <w:kern w:val="0"/>
          <w:sz w:val="32"/>
          <w:szCs w:val="32"/>
          <w:lang w:val="en-US" w:eastAsia="zh-CN"/>
        </w:rPr>
        <w:t>208</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8.76万元，</w:t>
      </w:r>
      <w:r>
        <w:rPr>
          <w:rFonts w:hint="eastAsia" w:ascii="仿宋_GB2312" w:hAnsi="黑体" w:eastAsia="仿宋_GB2312" w:cs="仿宋_GB2312"/>
          <w:kern w:val="0"/>
          <w:sz w:val="32"/>
          <w:szCs w:val="32"/>
        </w:rPr>
        <w:t>支出决算为</w:t>
      </w:r>
      <w:r>
        <w:rPr>
          <w:rFonts w:hint="eastAsia" w:ascii="仿宋_GB2312" w:eastAsia="仿宋_GB2312" w:cs="仿宋_GB2312"/>
          <w:kern w:val="0"/>
          <w:sz w:val="32"/>
          <w:szCs w:val="32"/>
          <w:lang w:val="en-US" w:eastAsia="zh-CN"/>
        </w:rPr>
        <w:t>7.96万元，完成年初预算的90.87%，主要原因是社保缴费基数的表动调整。</w:t>
      </w:r>
    </w:p>
    <w:p>
      <w:pPr>
        <w:widowControl w:val="0"/>
        <w:numPr>
          <w:ilvl w:val="0"/>
          <w:numId w:val="0"/>
        </w:numPr>
        <w:autoSpaceDE w:val="0"/>
        <w:autoSpaceDN w:val="0"/>
        <w:adjustRightInd w:val="0"/>
        <w:spacing w:line="560" w:lineRule="exact"/>
        <w:jc w:val="both"/>
        <w:rPr>
          <w:rFonts w:hint="default" w:ascii="仿宋_GB2312" w:eastAsia="仿宋_GB2312" w:cs="仿宋_GB2312"/>
          <w:kern w:val="0"/>
          <w:sz w:val="32"/>
          <w:szCs w:val="32"/>
          <w:lang w:val="en-US" w:eastAsia="zh-CN"/>
        </w:rPr>
      </w:pPr>
      <w:r>
        <w:rPr>
          <w:rFonts w:hint="eastAsia" w:ascii="仿宋" w:hAnsi="仿宋" w:eastAsia="仿宋" w:cs="仿宋"/>
          <w:sz w:val="32"/>
          <w:szCs w:val="32"/>
          <w:highlight w:val="none"/>
        </w:rPr>
        <w:drawing>
          <wp:anchor distT="0" distB="0" distL="114300" distR="114300" simplePos="0" relativeHeight="251662336" behindDoc="0" locked="0" layoutInCell="1" allowOverlap="1">
            <wp:simplePos x="0" y="0"/>
            <wp:positionH relativeFrom="column">
              <wp:posOffset>1718945</wp:posOffset>
            </wp:positionH>
            <wp:positionV relativeFrom="paragraph">
              <wp:posOffset>183515</wp:posOffset>
            </wp:positionV>
            <wp:extent cx="4474845" cy="3215640"/>
            <wp:effectExtent l="4445" t="4445" r="16510" b="18415"/>
            <wp:wrapTopAndBottom/>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autoSpaceDE w:val="0"/>
        <w:autoSpaceDN w:val="0"/>
        <w:adjustRightInd w:val="0"/>
        <w:spacing w:line="560" w:lineRule="exact"/>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三</w:t>
      </w:r>
      <w:r>
        <w:rPr>
          <w:rFonts w:hint="eastAsia" w:ascii="仿宋_GB2312" w:eastAsia="仿宋_GB2312"/>
          <w:bCs/>
          <w:kern w:val="0"/>
          <w:sz w:val="32"/>
          <w:szCs w:val="32"/>
        </w:rPr>
        <w:t>）</w:t>
      </w:r>
      <w:r>
        <w:rPr>
          <w:rFonts w:hint="eastAsia" w:ascii="仿宋_GB2312" w:eastAsia="仿宋_GB2312" w:cs="仿宋_GB2312"/>
          <w:kern w:val="0"/>
          <w:sz w:val="32"/>
          <w:szCs w:val="32"/>
        </w:rPr>
        <w:t>住房保障支出（</w:t>
      </w:r>
      <w:r>
        <w:rPr>
          <w:rFonts w:hint="eastAsia" w:ascii="仿宋_GB2312" w:eastAsia="仿宋_GB2312" w:cs="仿宋_GB2312"/>
          <w:kern w:val="0"/>
          <w:sz w:val="32"/>
          <w:szCs w:val="32"/>
          <w:lang w:val="en-US" w:eastAsia="zh-CN"/>
        </w:rPr>
        <w:t>221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6.57万元，支出决算为0万元，完成年初预算的0%，主要原因是本部门为乡镇二级核算单位，公积金由一级主管单位水源镇人民政府统一进行申报和缴纳，不在本部门核算。</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tbl>
      <w:tblPr>
        <w:tblStyle w:val="3"/>
        <w:tblW w:w="11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6"/>
        <w:gridCol w:w="1439"/>
        <w:gridCol w:w="1329"/>
        <w:gridCol w:w="1078"/>
        <w:gridCol w:w="1467"/>
        <w:gridCol w:w="2386"/>
        <w:gridCol w:w="2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12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3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3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4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38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4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2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2010601</w:t>
            </w:r>
          </w:p>
        </w:tc>
        <w:tc>
          <w:tcPr>
            <w:tcW w:w="143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13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58.57</w:t>
            </w:r>
          </w:p>
        </w:tc>
        <w:tc>
          <w:tcPr>
            <w:tcW w:w="10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57.47</w:t>
            </w:r>
          </w:p>
        </w:tc>
        <w:tc>
          <w:tcPr>
            <w:tcW w:w="14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98.12%</w:t>
            </w:r>
          </w:p>
        </w:tc>
        <w:tc>
          <w:tcPr>
            <w:tcW w:w="238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本部门工资福利支出、社会保障缴费等</w:t>
            </w:r>
          </w:p>
        </w:tc>
        <w:tc>
          <w:tcPr>
            <w:tcW w:w="24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20"/>
                <w:szCs w:val="20"/>
                <w:highlight w:val="none"/>
                <w:u w:val="none"/>
                <w:lang w:val="en-US" w:eastAsia="zh-CN"/>
              </w:rPr>
              <w:t>正常变动差异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jc w:val="center"/>
        </w:trPr>
        <w:tc>
          <w:tcPr>
            <w:tcW w:w="12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r>
              <w:rPr>
                <w:rFonts w:hint="eastAsia" w:ascii="宋体" w:hAnsi="宋体" w:cs="宋体"/>
                <w:i w:val="0"/>
                <w:iCs w:val="0"/>
                <w:color w:val="000000"/>
                <w:sz w:val="20"/>
                <w:szCs w:val="20"/>
                <w:highlight w:val="none"/>
                <w:u w:val="none"/>
                <w:lang w:val="en-US" w:eastAsia="zh-CN"/>
              </w:rPr>
              <w:t>080505</w:t>
            </w:r>
          </w:p>
        </w:tc>
        <w:tc>
          <w:tcPr>
            <w:tcW w:w="143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13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8.76</w:t>
            </w:r>
          </w:p>
        </w:tc>
        <w:tc>
          <w:tcPr>
            <w:tcW w:w="10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7.96</w:t>
            </w:r>
          </w:p>
        </w:tc>
        <w:tc>
          <w:tcPr>
            <w:tcW w:w="14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sz w:val="18"/>
                <w:szCs w:val="18"/>
                <w:highlight w:val="none"/>
                <w:u w:val="none"/>
                <w:lang w:val="en-US" w:eastAsia="zh-CN"/>
              </w:rPr>
              <w:t>90.87%</w:t>
            </w:r>
          </w:p>
        </w:tc>
        <w:tc>
          <w:tcPr>
            <w:tcW w:w="238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24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人员基数变动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jc w:val="center"/>
        </w:trPr>
        <w:tc>
          <w:tcPr>
            <w:tcW w:w="12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2210201</w:t>
            </w:r>
          </w:p>
        </w:tc>
        <w:tc>
          <w:tcPr>
            <w:tcW w:w="143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13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6.57</w:t>
            </w:r>
          </w:p>
        </w:tc>
        <w:tc>
          <w:tcPr>
            <w:tcW w:w="10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c>
          <w:tcPr>
            <w:tcW w:w="14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c>
          <w:tcPr>
            <w:tcW w:w="238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在职职工公积金缴纳</w:t>
            </w:r>
          </w:p>
        </w:tc>
        <w:tc>
          <w:tcPr>
            <w:tcW w:w="24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仿宋_GB2312" w:hAnsi="黑体" w:eastAsia="仿宋_GB2312" w:cs="仿宋_GB2312"/>
                <w:kern w:val="0"/>
                <w:sz w:val="24"/>
                <w:szCs w:val="24"/>
                <w:lang w:val="en-US" w:eastAsia="zh-CN"/>
              </w:rPr>
              <w:t>本部门为乡镇二级核算单位，公积金由一级主管单位水源镇人民政府统一进行申报和缴纳，不在本部门核算</w:t>
            </w:r>
            <w:r>
              <w:rPr>
                <w:rFonts w:hint="eastAsia" w:ascii="仿宋_GB2312" w:hAnsi="黑体" w:eastAsia="仿宋_GB2312" w:cs="仿宋_GB2312"/>
                <w:kern w:val="0"/>
                <w:sz w:val="40"/>
                <w:szCs w:val="40"/>
                <w:lang w:val="en-US" w:eastAsia="zh-CN"/>
              </w:rPr>
              <w:t>。</w:t>
            </w:r>
          </w:p>
        </w:tc>
      </w:tr>
    </w:tbl>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62.78</w:t>
      </w:r>
      <w:r>
        <w:rPr>
          <w:rFonts w:hint="eastAsia" w:ascii="仿宋_GB2312" w:eastAsia="仿宋_GB2312" w:cs="仿宋_GB2312"/>
          <w:kern w:val="0"/>
          <w:sz w:val="32"/>
          <w:szCs w:val="32"/>
        </w:rPr>
        <w:t>万元，支出具体情况如下：</w:t>
      </w:r>
    </w:p>
    <w:p>
      <w:pPr>
        <w:numPr>
          <w:ilvl w:val="0"/>
          <w:numId w:val="2"/>
        </w:numPr>
        <w:jc w:val="left"/>
        <w:rPr>
          <w:rFonts w:hint="eastAsia" w:ascii="仿宋" w:hAnsi="仿宋" w:eastAsia="仿宋" w:cs="仿宋"/>
          <w:sz w:val="32"/>
          <w:szCs w:val="32"/>
          <w:highlight w:val="none"/>
          <w:lang w:val="en-US" w:eastAsia="zh-CN"/>
        </w:rPr>
      </w:pPr>
      <w:r>
        <w:rPr>
          <w:rFonts w:hint="eastAsia" w:ascii="仿宋_GB2312" w:eastAsia="仿宋_GB2312"/>
          <w:bCs/>
          <w:kern w:val="0"/>
          <w:sz w:val="32"/>
          <w:szCs w:val="32"/>
        </w:rPr>
        <w:t>工资福利支出</w:t>
      </w:r>
      <w:r>
        <w:rPr>
          <w:rFonts w:hint="eastAsia" w:ascii="仿宋_GB2312" w:eastAsia="仿宋_GB2312" w:cs="仿宋_GB2312"/>
          <w:kern w:val="0"/>
          <w:sz w:val="32"/>
          <w:szCs w:val="32"/>
          <w:lang w:val="en-US" w:eastAsia="zh-CN"/>
        </w:rPr>
        <w:t>59.76</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94.78</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主要原因是人员工资及社保基数的变动调整。</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30101基本工资18.16万元，30102津贴补贴12.19万元，30103奖金13.95万元，30108机关事业单位基本养老保险缴费7.96万元，30110职工基本医疗保险缴费3.2万元，30112其他社会保障缴费0.21万元，30199其他工资福利支出4.1万元。</w:t>
      </w:r>
    </w:p>
    <w:p>
      <w:pPr>
        <w:widowControl w:val="0"/>
        <w:numPr>
          <w:ilvl w:val="0"/>
          <w:numId w:val="0"/>
        </w:numPr>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6114415" cy="3246755"/>
            <wp:effectExtent l="4445" t="4445" r="15240" b="6350"/>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val="0"/>
        <w:numPr>
          <w:ilvl w:val="0"/>
          <w:numId w:val="0"/>
        </w:numPr>
        <w:jc w:val="left"/>
        <w:rPr>
          <w:rFonts w:hint="default" w:ascii="仿宋" w:hAnsi="仿宋" w:eastAsia="仿宋" w:cs="仿宋"/>
          <w:sz w:val="32"/>
          <w:szCs w:val="32"/>
          <w:highlight w:val="none"/>
          <w:lang w:val="en-US" w:eastAsia="zh-CN"/>
        </w:rPr>
      </w:pPr>
    </w:p>
    <w:p>
      <w:pPr>
        <w:widowControl w:val="0"/>
        <w:numPr>
          <w:ilvl w:val="0"/>
          <w:numId w:val="0"/>
        </w:numPr>
        <w:jc w:val="left"/>
        <w:rPr>
          <w:rFonts w:hint="default" w:ascii="仿宋" w:hAnsi="仿宋" w:eastAsia="仿宋" w:cs="仿宋"/>
          <w:sz w:val="32"/>
          <w:szCs w:val="32"/>
          <w:highlight w:val="none"/>
          <w:lang w:val="en-US" w:eastAsia="zh-CN"/>
        </w:rPr>
      </w:pPr>
    </w:p>
    <w:p>
      <w:pPr>
        <w:numPr>
          <w:ilvl w:val="0"/>
          <w:numId w:val="2"/>
        </w:numPr>
        <w:ind w:left="0" w:leftChars="0" w:firstLine="0" w:firstLineChars="0"/>
        <w:jc w:val="left"/>
        <w:rPr>
          <w:rFonts w:hint="eastAsia" w:ascii="仿宋" w:hAnsi="仿宋" w:eastAsia="仿宋" w:cs="仿宋"/>
          <w:sz w:val="32"/>
          <w:szCs w:val="32"/>
          <w:highlight w:val="none"/>
          <w:lang w:val="en-US" w:eastAsia="zh-CN"/>
        </w:rPr>
      </w:pPr>
      <w:r>
        <w:rPr>
          <w:rFonts w:hint="eastAsia" w:ascii="仿宋_GB2312" w:eastAsia="仿宋_GB2312"/>
          <w:bCs/>
          <w:kern w:val="0"/>
          <w:sz w:val="32"/>
          <w:szCs w:val="32"/>
        </w:rPr>
        <w:t>商品和服务支出</w:t>
      </w:r>
      <w:r>
        <w:rPr>
          <w:rFonts w:hint="eastAsia" w:ascii="仿宋_GB2312" w:eastAsia="仿宋_GB2312" w:cs="仿宋_GB2312"/>
          <w:kern w:val="0"/>
          <w:sz w:val="32"/>
          <w:szCs w:val="32"/>
          <w:lang w:val="en-US" w:eastAsia="zh-CN"/>
        </w:rPr>
        <w:t>2.98</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37.96</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主要原因是本部门2023年度日常运转经费方面的支出。</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30201办公费0.57万元，30206电费0.16万元，30207邮电费0.56万元，30211差旅费0.6万元，30228工会经费1.1万元。</w:t>
      </w:r>
    </w:p>
    <w:p>
      <w:pPr>
        <w:widowControl w:val="0"/>
        <w:numPr>
          <w:ilvl w:val="0"/>
          <w:numId w:val="0"/>
        </w:numPr>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6929755" cy="2973070"/>
            <wp:effectExtent l="4445" t="4445" r="19050" b="1333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val="0"/>
        <w:numPr>
          <w:ilvl w:val="0"/>
          <w:numId w:val="0"/>
        </w:numPr>
        <w:jc w:val="left"/>
        <w:rPr>
          <w:rFonts w:hint="eastAsia" w:ascii="仿宋" w:hAnsi="仿宋" w:eastAsia="仿宋" w:cs="仿宋"/>
          <w:sz w:val="32"/>
          <w:szCs w:val="32"/>
          <w:highlight w:val="none"/>
          <w:lang w:val="en-US" w:eastAsia="zh-CN"/>
        </w:rPr>
      </w:pPr>
    </w:p>
    <w:p>
      <w:pPr>
        <w:autoSpaceDE w:val="0"/>
        <w:autoSpaceDN w:val="0"/>
        <w:adjustRightInd w:val="0"/>
        <w:spacing w:line="560" w:lineRule="exact"/>
        <w:ind w:firstLine="640" w:firstLineChars="200"/>
        <w:jc w:val="both"/>
        <w:rPr>
          <w:rFonts w:hint="default" w:ascii="仿宋_GB2312" w:eastAsia="仿宋_GB2312"/>
          <w:bCs/>
          <w:kern w:val="0"/>
          <w:sz w:val="32"/>
          <w:szCs w:val="32"/>
          <w:lang w:val="en-US" w:eastAsia="zh-CN"/>
        </w:rPr>
      </w:pPr>
      <w:r>
        <w:rPr>
          <w:rFonts w:hint="eastAsia" w:ascii="仿宋_GB2312" w:eastAsia="仿宋_GB2312"/>
          <w:bCs/>
          <w:kern w:val="0"/>
          <w:sz w:val="32"/>
          <w:szCs w:val="32"/>
          <w:lang w:val="en-US" w:eastAsia="zh-CN"/>
        </w:rPr>
        <w:t>（三）对个人和家庭的补助0.04万元，主要用于缴纳大额医疗费补助。</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 xml:space="preserve"> </w:t>
      </w:r>
      <w:r>
        <w:rPr>
          <w:rFonts w:hint="eastAsia" w:ascii="仿宋_GB2312" w:hAnsi="黑体" w:eastAsia="仿宋_GB2312"/>
          <w:bCs/>
          <w:color w:val="000000"/>
          <w:sz w:val="32"/>
          <w:szCs w:val="32"/>
          <w:u w:val="none"/>
          <w:lang w:val="en-US" w:eastAsia="zh-CN"/>
        </w:rPr>
        <w:t>环江毛南族自治县</w:t>
      </w:r>
      <w:r>
        <w:rPr>
          <w:rFonts w:hint="eastAsia" w:ascii="仿宋_GB2312" w:eastAsia="仿宋_GB2312" w:cs="仿宋_GB2312"/>
          <w:kern w:val="0"/>
          <w:sz w:val="32"/>
          <w:szCs w:val="32"/>
          <w:u w:val="none"/>
          <w:lang w:val="en-US" w:eastAsia="zh-CN"/>
        </w:rPr>
        <w:t>水源镇财政所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无变动</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default" w:ascii="仿宋_GB2312" w:eastAsia="仿宋_GB2312" w:cs="仿宋_GB2312"/>
          <w:kern w:val="0"/>
          <w:sz w:val="32"/>
          <w:szCs w:val="32"/>
          <w:lang w:val="en-US" w:eastAsia="zh-CN"/>
        </w:rPr>
      </w:pPr>
      <w:r>
        <w:rPr>
          <w:rFonts w:hint="eastAsia" w:ascii="仿宋_GB2312" w:hAnsi="黑体" w:eastAsia="仿宋_GB2312"/>
          <w:kern w:val="0"/>
          <w:sz w:val="32"/>
          <w:szCs w:val="32"/>
          <w:lang w:eastAsia="zh-CN"/>
        </w:rPr>
        <w:t>环江毛南族自治县水源镇财政所</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与年初预算无差异。</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cs="仿宋_GB2312"/>
          <w:kern w:val="0"/>
          <w:sz w:val="32"/>
          <w:szCs w:val="32"/>
        </w:rPr>
        <w:t>一般公共服务支出（类）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与年初预算无差异。</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lang w:eastAsia="zh-CN"/>
        </w:rPr>
        <w:t>环江毛南族自治县水源镇财政所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kern w:val="0"/>
          <w:sz w:val="32"/>
          <w:szCs w:val="32"/>
          <w:lang w:eastAsia="zh-CN"/>
        </w:rPr>
        <w:t>环江毛南族自治县水源镇财政所</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与年初预算无差异。</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cs="仿宋_GB2312"/>
          <w:kern w:val="0"/>
          <w:sz w:val="32"/>
          <w:szCs w:val="32"/>
        </w:rPr>
        <w:t>一般公共服务支出（类）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与年初预算无差异。</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sz w:val="32"/>
          <w:szCs w:val="32"/>
          <w:highlight w:val="none"/>
          <w:lang w:eastAsia="zh-CN"/>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年度财政拨款安排的“三公”经费支出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 w:hAnsi="仿宋" w:eastAsia="仿宋" w:cs="仿宋"/>
          <w:sz w:val="32"/>
          <w:szCs w:val="32"/>
          <w:highlight w:val="none"/>
        </w:rPr>
        <w:t>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环江毛南族自治县水源镇财政所</w:t>
      </w:r>
      <w:r>
        <w:rPr>
          <w:rFonts w:ascii="仿宋_GB2312" w:hAnsi="仿宋_GB2312" w:eastAsia="仿宋_GB2312" w:cs="仿宋_GB2312"/>
          <w:color w:val="auto"/>
          <w:sz w:val="32"/>
          <w:u w:color="auto"/>
        </w:rPr>
        <w:t>没有</w:t>
      </w:r>
      <w:r>
        <w:rPr>
          <w:rFonts w:hint="eastAsia" w:ascii="仿宋" w:hAnsi="仿宋" w:eastAsia="仿宋" w:cs="仿宋"/>
          <w:sz w:val="32"/>
          <w:szCs w:val="32"/>
          <w:highlight w:val="none"/>
        </w:rPr>
        <w:t>“三公”经费</w:t>
      </w:r>
      <w:r>
        <w:rPr>
          <w:rFonts w:hint="eastAsia" w:ascii="仿宋" w:hAnsi="仿宋" w:eastAsia="仿宋" w:cs="仿宋"/>
          <w:sz w:val="32"/>
          <w:szCs w:val="32"/>
          <w:highlight w:val="none"/>
          <w:lang w:val="en-US" w:eastAsia="zh-CN"/>
        </w:rPr>
        <w:t>的支出。</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sz w:val="32"/>
          <w:szCs w:val="32"/>
          <w:highlight w:val="none"/>
          <w:lang w:val="en-US" w:eastAsia="zh-CN"/>
        </w:rPr>
        <w:t>本部门</w:t>
      </w:r>
      <w:r>
        <w:rPr>
          <w:rFonts w:hint="eastAsia" w:ascii="仿宋_GB2312" w:hAnsi="Times New Roman" w:eastAsia="仿宋_GB2312" w:cs="Times New Roman"/>
          <w:color w:val="auto"/>
          <w:sz w:val="32"/>
          <w:szCs w:val="32"/>
          <w:lang w:val="en-US" w:eastAsia="zh-CN"/>
        </w:rPr>
        <w:t>没有</w:t>
      </w:r>
      <w:r>
        <w:rPr>
          <w:rFonts w:hint="eastAsia" w:ascii="仿宋" w:hAnsi="仿宋" w:eastAsia="仿宋" w:cs="仿宋"/>
          <w:sz w:val="32"/>
          <w:szCs w:val="32"/>
          <w:highlight w:val="none"/>
        </w:rPr>
        <w:t>“三公”经费</w:t>
      </w:r>
      <w:r>
        <w:rPr>
          <w:rFonts w:hint="eastAsia" w:ascii="仿宋" w:hAnsi="仿宋" w:eastAsia="仿宋" w:cs="仿宋"/>
          <w:sz w:val="32"/>
          <w:szCs w:val="32"/>
          <w:highlight w:val="none"/>
          <w:lang w:val="en-US" w:eastAsia="zh-CN"/>
        </w:rPr>
        <w:t>的支出。</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r>
        <w:rPr>
          <w:rFonts w:hint="eastAsia" w:ascii="仿宋_GB2312" w:hAnsi="Times New Roman" w:eastAsia="仿宋_GB2312" w:cs="Times New Roman"/>
          <w:color w:val="000000" w:themeColor="text1"/>
          <w:sz w:val="32"/>
          <w:szCs w:val="32"/>
          <w14:textFill>
            <w14:solidFill>
              <w14:schemeClr w14:val="tx1"/>
            </w14:solidFill>
          </w14:textFill>
        </w:rPr>
        <w:t>开支内容包括：</w:t>
      </w:r>
      <w:r>
        <w:rPr>
          <w:rFonts w:hint="eastAsia" w:ascii="仿宋_GB2312" w:hAnsi="Times New Roman" w:eastAsia="仿宋_GB2312" w:cs="Times New Roman"/>
          <w:color w:val="auto"/>
          <w:sz w:val="32"/>
          <w:szCs w:val="32"/>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u w:color="auto"/>
          <w:lang w:eastAsia="zh-CN"/>
        </w:rPr>
        <w:t>0万元</w:t>
      </w:r>
      <w:r>
        <w:rPr>
          <w:rFonts w:hint="eastAsia" w:ascii="仿宋" w:hAnsi="仿宋" w:eastAsia="仿宋" w:cs="仿宋"/>
          <w:sz w:val="32"/>
          <w:szCs w:val="32"/>
          <w:highlight w:val="none"/>
        </w:rPr>
        <w:t>。其中：公务用车购置支出</w:t>
      </w:r>
      <w:r>
        <w:rPr>
          <w:rFonts w:hint="eastAsia" w:ascii="仿宋" w:hAnsi="仿宋" w:eastAsia="仿宋" w:cs="仿宋"/>
          <w:sz w:val="32"/>
          <w:u w:color="auto"/>
          <w:lang w:eastAsia="zh-CN"/>
        </w:rPr>
        <w:t>0万元</w:t>
      </w:r>
      <w:r>
        <w:rPr>
          <w:rFonts w:hint="eastAsia" w:ascii="仿宋" w:hAnsi="仿宋" w:eastAsia="仿宋" w:cs="仿宋"/>
          <w:sz w:val="32"/>
          <w:szCs w:val="32"/>
          <w:highlight w:val="none"/>
        </w:rPr>
        <w:t>，完成年初预算的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bookmarkStart w:id="0" w:name="PO_part3A6B2IncReason1"/>
      <w:r>
        <w:rPr>
          <w:rFonts w:hint="eastAsia" w:ascii="仿宋" w:hAnsi="仿宋" w:eastAsia="仿宋" w:cs="仿宋"/>
          <w:color w:val="auto"/>
          <w:sz w:val="32"/>
          <w:szCs w:val="32"/>
        </w:rPr>
        <w:t>本部门无公务用车购置</w:t>
      </w:r>
      <w:bookmarkEnd w:id="0"/>
      <w:r>
        <w:rPr>
          <w:rFonts w:hint="eastAsia" w:ascii="仿宋" w:hAnsi="仿宋" w:eastAsia="仿宋" w:cs="仿宋"/>
          <w:color w:val="auto"/>
          <w:sz w:val="32"/>
          <w:szCs w:val="32"/>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hint="eastAsia" w:ascii="仿宋" w:hAnsi="仿宋" w:eastAsia="仿宋" w:cs="仿宋"/>
          <w:sz w:val="32"/>
          <w:u w:color="auto"/>
          <w:lang w:eastAsia="zh-CN"/>
        </w:rPr>
        <w:t>0万元</w:t>
      </w:r>
      <w:r>
        <w:rPr>
          <w:rFonts w:hint="eastAsia" w:ascii="仿宋" w:hAnsi="仿宋" w:eastAsia="仿宋" w:cs="仿宋"/>
          <w:sz w:val="32"/>
          <w:szCs w:val="32"/>
          <w:highlight w:val="none"/>
        </w:rPr>
        <w:t>，完成年初预算的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w:t>
      </w:r>
      <w:r>
        <w:rPr>
          <w:rFonts w:hint="eastAsia" w:ascii="仿宋" w:hAnsi="仿宋" w:eastAsia="仿宋" w:cs="仿宋"/>
          <w:sz w:val="32"/>
          <w:u w:color="auto"/>
          <w:lang w:eastAsia="zh-CN"/>
        </w:rPr>
        <w:t>0万元</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rPr>
        <w:t>部门无公务用车</w:t>
      </w:r>
      <w:r>
        <w:rPr>
          <w:rFonts w:hint="eastAsia" w:ascii="仿宋" w:hAnsi="仿宋" w:eastAsia="仿宋" w:cs="仿宋"/>
          <w:color w:val="auto"/>
          <w:sz w:val="32"/>
          <w:szCs w:val="32"/>
          <w:lang w:val="en-US" w:eastAsia="zh-CN"/>
        </w:rPr>
        <w:t>运行。</w:t>
      </w:r>
      <w:r>
        <w:rPr>
          <w:rFonts w:hint="eastAsia" w:ascii="仿宋" w:hAnsi="仿宋" w:eastAsia="仿宋" w:cs="仿宋"/>
          <w:sz w:val="32"/>
          <w:szCs w:val="32"/>
          <w:highlight w:val="none"/>
        </w:rPr>
        <w:t>2022年，</w:t>
      </w:r>
      <w:r>
        <w:rPr>
          <w:rFonts w:hint="eastAsia" w:ascii="仿宋" w:hAnsi="仿宋" w:eastAsia="仿宋" w:cs="仿宋"/>
          <w:sz w:val="32"/>
          <w:u w:color="auto"/>
          <w:lang w:val="en-US" w:eastAsia="zh-CN"/>
        </w:rPr>
        <w:t>环江毛南族自治县水源镇财政所</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hint="eastAsia" w:ascii="仿宋" w:hAnsi="仿宋" w:eastAsia="仿宋" w:cs="仿宋"/>
          <w:sz w:val="32"/>
          <w:u w:color="auto"/>
          <w:lang w:eastAsia="zh-CN"/>
        </w:rPr>
        <w:t>0万元</w:t>
      </w:r>
      <w:r>
        <w:rPr>
          <w:rFonts w:hint="eastAsia" w:ascii="仿宋" w:hAnsi="仿宋" w:eastAsia="仿宋" w:cs="仿宋"/>
          <w:sz w:val="32"/>
          <w:szCs w:val="32"/>
          <w:highlight w:val="none"/>
          <w:lang w:eastAsia="zh-CN"/>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rPr>
        <w:t>本部门无</w:t>
      </w:r>
      <w:r>
        <w:rPr>
          <w:rFonts w:hint="eastAsia" w:ascii="仿宋" w:hAnsi="仿宋" w:eastAsia="仿宋" w:cs="仿宋"/>
          <w:color w:val="auto"/>
          <w:sz w:val="32"/>
          <w:szCs w:val="32"/>
          <w:lang w:val="en-US" w:eastAsia="zh-CN"/>
        </w:rPr>
        <w:t>公务接待支出。</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2.98</w:t>
      </w:r>
      <w:r>
        <w:rPr>
          <w:rFonts w:hint="eastAsia" w:ascii="仿宋_GB2312" w:eastAsia="仿宋_GB2312" w:cs="仿宋_GB2312"/>
          <w:kern w:val="0"/>
          <w:sz w:val="32"/>
          <w:szCs w:val="32"/>
        </w:rPr>
        <w:t>万元（与部门决算中行政单位和参照公务员法管理事业单位财政拨款基本支出中公用经费之和一致），比年初预算数减少</w:t>
      </w:r>
      <w:r>
        <w:rPr>
          <w:rFonts w:hint="eastAsia" w:ascii="仿宋_GB2312" w:eastAsia="仿宋_GB2312" w:cs="仿宋_GB2312"/>
          <w:kern w:val="0"/>
          <w:sz w:val="32"/>
          <w:szCs w:val="32"/>
          <w:lang w:val="en-US" w:eastAsia="zh-CN"/>
        </w:rPr>
        <w:t>4.87</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163.42</w:t>
      </w:r>
      <w:r>
        <w:rPr>
          <w:rFonts w:hint="eastAsia" w:ascii="仿宋_GB2312" w:eastAsia="仿宋_GB2312" w:cs="仿宋_GB2312"/>
          <w:kern w:val="0"/>
          <w:sz w:val="32"/>
          <w:szCs w:val="32"/>
        </w:rPr>
        <w:t xml:space="preserve"> %，比上年决算数增加</w:t>
      </w:r>
      <w:r>
        <w:rPr>
          <w:rFonts w:hint="eastAsia" w:ascii="仿宋_GB2312" w:eastAsia="仿宋_GB2312" w:cs="仿宋_GB2312"/>
          <w:kern w:val="0"/>
          <w:sz w:val="32"/>
          <w:szCs w:val="32"/>
          <w:lang w:val="en-US" w:eastAsia="zh-CN"/>
        </w:rPr>
        <w:t>0.42</w:t>
      </w:r>
      <w:r>
        <w:rPr>
          <w:rFonts w:hint="eastAsia" w:ascii="仿宋_GB2312" w:eastAsia="仿宋_GB2312" w:cs="仿宋_GB2312"/>
          <w:kern w:val="0"/>
          <w:sz w:val="32"/>
          <w:szCs w:val="32"/>
        </w:rPr>
        <w:t>元，增长</w:t>
      </w:r>
      <w:r>
        <w:rPr>
          <w:rFonts w:hint="eastAsia" w:ascii="仿宋_GB2312" w:eastAsia="仿宋_GB2312" w:cs="仿宋_GB2312"/>
          <w:kern w:val="0"/>
          <w:sz w:val="32"/>
          <w:szCs w:val="32"/>
          <w:lang w:val="en-US" w:eastAsia="zh-CN"/>
        </w:rPr>
        <w:t>16.41</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年初预算将公务交通补贴核算在</w:t>
      </w:r>
      <w:r>
        <w:rPr>
          <w:rFonts w:hint="eastAsia" w:ascii="仿宋_GB2312" w:eastAsia="仿宋_GB2312" w:cs="仿宋_GB2312"/>
          <w:kern w:val="0"/>
          <w:sz w:val="32"/>
          <w:szCs w:val="32"/>
        </w:rPr>
        <w:t>公用经费</w:t>
      </w:r>
      <w:r>
        <w:rPr>
          <w:rFonts w:hint="eastAsia" w:ascii="仿宋_GB2312" w:eastAsia="仿宋_GB2312" w:cs="仿宋_GB2312"/>
          <w:kern w:val="0"/>
          <w:sz w:val="32"/>
          <w:szCs w:val="32"/>
          <w:lang w:val="en-US" w:eastAsia="zh-CN"/>
        </w:rPr>
        <w:t>中</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决算核算在人员经费中吗，因此造成差额。</w:t>
      </w:r>
    </w:p>
    <w:p>
      <w:pPr>
        <w:numPr>
          <w:ilvl w:val="0"/>
          <w:numId w:val="3"/>
        </w:num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政府采购支出情况说明。</w:t>
      </w:r>
    </w:p>
    <w:p>
      <w:pPr>
        <w:numPr>
          <w:ilvl w:val="0"/>
          <w:numId w:val="0"/>
        </w:num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本部门无政府采购支出</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both"/>
        <w:rPr>
          <w:rFonts w:hint="eastAsia" w:ascii="仿宋_GB2312" w:eastAsia="仿宋_GB2312" w:cs="仿宋_GB2312"/>
          <w:b/>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辆，单位价值50万元以上通用设备</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 xml:space="preserve">台（套）；单位价值100万元以上专用设备 </w:t>
      </w:r>
      <w:r>
        <w:rPr>
          <w:rFonts w:hint="eastAsia" w:ascii="仿宋_GB2312" w:eastAsia="仿宋_GB2312" w:cs="仿宋_GB2312"/>
          <w:kern w:val="0"/>
          <w:sz w:val="32"/>
          <w:szCs w:val="32"/>
          <w:lang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default" w:ascii="仿宋_GB2312" w:eastAsia="仿宋_GB2312" w:cs="仿宋_GB2312"/>
          <w:caps w:val="0"/>
          <w:color w:val="auto"/>
          <w:kern w:val="0"/>
          <w:sz w:val="32"/>
          <w:szCs w:val="32"/>
          <w:vertAlign w:val="baseline"/>
          <w:lang w:val="en-US" w:bidi="ar"/>
        </w:rPr>
      </w:pPr>
      <w:r>
        <w:rPr>
          <w:rFonts w:hint="eastAsia" w:ascii="仿宋_GB2312" w:eastAsia="仿宋_GB2312" w:cs="仿宋_GB2312"/>
          <w:b w:val="0"/>
          <w:bCs w:val="0"/>
          <w:caps w:val="0"/>
          <w:color w:val="auto"/>
          <w:kern w:val="0"/>
          <w:sz w:val="32"/>
          <w:szCs w:val="32"/>
          <w:vertAlign w:val="baseline"/>
          <w:lang w:val="en-US" w:eastAsia="zh-CN" w:bidi="ar"/>
        </w:rPr>
        <w:t>本部门为二级预算单位，整体支出绩效自评由主管单位开展。</w:t>
      </w:r>
    </w:p>
    <w:p>
      <w:pPr>
        <w:keepNext w:val="0"/>
        <w:keepLines w:val="0"/>
        <w:pageBreakBefore w:val="0"/>
        <w:widowControl w:val="0"/>
        <w:numPr>
          <w:ilvl w:val="0"/>
          <w:numId w:val="4"/>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800" w:leftChars="0" w:right="0" w:firstLine="0" w:firstLineChars="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项目支出绩效自评结果。</w:t>
      </w:r>
    </w:p>
    <w:p>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800" w:leftChars="0" w:right="0" w:rightChars="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2.64</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2.64</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2.64</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88</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w:t>
      </w:r>
      <w:r>
        <w:rPr>
          <w:rFonts w:hint="eastAsia" w:ascii="仿宋" w:hAnsi="仿宋" w:eastAsia="仿宋" w:cs="仿宋"/>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预算执行率不高</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部分工作经费在工作开展时未能及时支付</w:t>
      </w:r>
      <w:r>
        <w:rPr>
          <w:rFonts w:hint="eastAsia" w:ascii="仿宋" w:hAnsi="仿宋" w:eastAsia="仿宋" w:cs="仿宋"/>
          <w:color w:val="000000" w:themeColor="text1"/>
          <w:sz w:val="32"/>
          <w:szCs w:val="32"/>
          <w14:textFill>
            <w14:solidFill>
              <w14:schemeClr w14:val="tx1"/>
            </w14:solidFill>
          </w14:textFill>
        </w:rPr>
        <w:t>。下一步改进措施：是</w:t>
      </w:r>
      <w:r>
        <w:rPr>
          <w:rFonts w:hint="eastAsia" w:ascii="仿宋" w:hAnsi="仿宋" w:eastAsia="仿宋" w:cs="仿宋"/>
          <w:color w:val="000000" w:themeColor="text1"/>
          <w:sz w:val="32"/>
          <w:szCs w:val="32"/>
          <w:lang w:val="en-US" w:eastAsia="zh-CN"/>
          <w14:textFill>
            <w14:solidFill>
              <w14:schemeClr w14:val="tx1"/>
            </w14:solidFill>
          </w14:textFill>
        </w:rPr>
        <w:t>提高预算执行率</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对各项经费做到应付尽付</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（2）部分重点项目绩效自评情况（至少选择一个重点项目做具体说明）：根据年初设定的绩效目标，</w:t>
      </w: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项目自评得分为</w:t>
      </w:r>
      <w:r>
        <w:rPr>
          <w:rFonts w:hint="eastAsia" w:ascii="仿宋_GB2312" w:eastAsia="仿宋_GB2312" w:cs="仿宋_GB2312"/>
          <w:b w:val="0"/>
          <w:bCs w:val="0"/>
          <w:caps w:val="0"/>
          <w:color w:val="auto"/>
          <w:kern w:val="0"/>
          <w:sz w:val="32"/>
          <w:szCs w:val="32"/>
          <w:vertAlign w:val="baseline"/>
          <w:lang w:val="en-US" w:eastAsia="zh-CN" w:bidi="ar"/>
        </w:rPr>
        <w:t>95.24</w:t>
      </w:r>
      <w:r>
        <w:rPr>
          <w:rFonts w:hint="eastAsia" w:ascii="仿宋_GB2312" w:hAnsi="Times New Roman" w:eastAsia="仿宋_GB2312" w:cs="仿宋_GB2312"/>
          <w:b w:val="0"/>
          <w:bCs w:val="0"/>
          <w:caps w:val="0"/>
          <w:color w:val="auto"/>
          <w:kern w:val="0"/>
          <w:sz w:val="32"/>
          <w:szCs w:val="32"/>
          <w:vertAlign w:val="baseline"/>
          <w:lang w:val="en-US" w:eastAsia="zh-CN" w:bidi="ar"/>
        </w:rPr>
        <w:t>分，</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kern w:val="0"/>
          <w:sz w:val="32"/>
          <w:szCs w:val="32"/>
          <w:lang w:val="en-US" w:eastAsia="zh-CN"/>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2.64</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88</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 w:hAnsi="仿宋" w:eastAsia="仿宋" w:cs="仿宋"/>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预算执行率不高</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部分工作经费在工作开展时未能及时支付</w:t>
      </w:r>
      <w:r>
        <w:rPr>
          <w:rFonts w:hint="eastAsia" w:ascii="仿宋" w:hAnsi="仿宋" w:eastAsia="仿宋" w:cs="仿宋"/>
          <w:color w:val="000000" w:themeColor="text1"/>
          <w:sz w:val="32"/>
          <w:szCs w:val="32"/>
          <w14:textFill>
            <w14:solidFill>
              <w14:schemeClr w14:val="tx1"/>
            </w14:solidFill>
          </w14:textFill>
        </w:rPr>
        <w:t>。下一步改进措施：是</w:t>
      </w:r>
      <w:r>
        <w:rPr>
          <w:rFonts w:hint="eastAsia" w:ascii="仿宋" w:hAnsi="仿宋" w:eastAsia="仿宋" w:cs="仿宋"/>
          <w:color w:val="000000" w:themeColor="text1"/>
          <w:sz w:val="32"/>
          <w:szCs w:val="32"/>
          <w:lang w:val="en-US" w:eastAsia="zh-CN"/>
          <w14:textFill>
            <w14:solidFill>
              <w14:schemeClr w14:val="tx1"/>
            </w14:solidFill>
          </w14:textFill>
        </w:rPr>
        <w:t>提高预算执行率</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对各项经费做到应付尽付</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highlight w:val="none"/>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w:t>
      </w:r>
      <w:r>
        <w:rPr>
          <w:rFonts w:hint="eastAsia" w:ascii="仿宋_GB2312" w:eastAsia="仿宋_GB2312" w:cs="仿宋_GB2312"/>
          <w:b w:val="0"/>
          <w:bCs w:val="0"/>
          <w:caps w:val="0"/>
          <w:color w:val="auto"/>
          <w:kern w:val="0"/>
          <w:sz w:val="32"/>
          <w:szCs w:val="32"/>
          <w:vertAlign w:val="baseline"/>
          <w:lang w:val="en-US" w:eastAsia="zh-CN" w:bidi="ar"/>
        </w:rPr>
        <w:t>工作经费</w:t>
      </w:r>
      <w:r>
        <w:rPr>
          <w:rFonts w:hint="eastAsia" w:ascii="仿宋_GB2312" w:hAnsi="Times New Roman" w:eastAsia="仿宋_GB2312" w:cs="仿宋_GB2312"/>
          <w:b w:val="0"/>
          <w:bCs w:val="0"/>
          <w:caps w:val="0"/>
          <w:color w:val="auto"/>
          <w:kern w:val="0"/>
          <w:sz w:val="32"/>
          <w:szCs w:val="32"/>
          <w:vertAlign w:val="baseline"/>
          <w:lang w:val="en-US" w:eastAsia="zh-CN" w:bidi="ar"/>
        </w:rPr>
        <w:t>”等</w:t>
      </w: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个重点项目进行了部门评价，评价结果为</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等，涉及资金</w:t>
      </w:r>
      <w:r>
        <w:rPr>
          <w:rFonts w:hint="eastAsia" w:ascii="仿宋_GB2312" w:eastAsia="仿宋_GB2312" w:cs="仿宋_GB2312"/>
          <w:b w:val="0"/>
          <w:bCs w:val="0"/>
          <w:caps w:val="0"/>
          <w:color w:val="auto"/>
          <w:kern w:val="0"/>
          <w:sz w:val="32"/>
          <w:szCs w:val="32"/>
          <w:vertAlign w:val="baseline"/>
          <w:lang w:val="en-US" w:eastAsia="zh-CN" w:bidi="ar"/>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万元。从评价情况来看，</w:t>
      </w:r>
      <w:r>
        <w:rPr>
          <w:rFonts w:hint="eastAsia" w:ascii="仿宋_GB2312" w:eastAsia="仿宋_GB2312" w:cs="仿宋_GB2312"/>
          <w:b w:val="0"/>
          <w:bCs w:val="0"/>
          <w:caps w:val="0"/>
          <w:color w:val="auto"/>
          <w:kern w:val="0"/>
          <w:sz w:val="32"/>
          <w:szCs w:val="32"/>
          <w:vertAlign w:val="baseline"/>
          <w:lang w:val="en-US" w:eastAsia="zh-CN" w:bidi="ar"/>
        </w:rPr>
        <w:t>该项目已完成了2023年度的基本绩效目标</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pPr>
        <w:keepNext w:val="0"/>
        <w:keepLines w:val="0"/>
        <w:pageBreakBefore w:val="0"/>
        <w:widowControl w:val="0"/>
        <w:numPr>
          <w:ilvl w:val="0"/>
          <w:numId w:val="4"/>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800" w:leftChars="0" w:right="0" w:firstLine="0" w:firstLineChars="0"/>
        <w:jc w:val="both"/>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财政绩效评价结果</w:t>
      </w:r>
    </w:p>
    <w:p>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800" w:leftChars="0" w:right="0" w:rightChars="0"/>
        <w:jc w:val="both"/>
        <w:outlineLvl w:val="9"/>
        <w:rPr>
          <w:rFonts w:hint="eastAsia" w:ascii="仿宋_GB2312" w:eastAsia="仿宋_GB2312" w:cs="仿宋_GB2312"/>
          <w:b/>
          <w:kern w:val="0"/>
          <w:sz w:val="32"/>
          <w:szCs w:val="32"/>
        </w:rPr>
      </w:pPr>
      <w:r>
        <w:rPr>
          <w:rFonts w:hint="eastAsia" w:ascii="仿宋_GB2312" w:eastAsia="仿宋_GB2312" w:cs="仿宋_GB2312"/>
          <w:caps w:val="0"/>
          <w:color w:val="auto"/>
          <w:kern w:val="0"/>
          <w:sz w:val="32"/>
          <w:szCs w:val="32"/>
          <w:vertAlign w:val="baseline"/>
          <w:lang w:val="en-US" w:eastAsia="zh-CN" w:bidi="ar"/>
        </w:rPr>
        <w:t>无。</w:t>
      </w:r>
    </w:p>
    <w:p>
      <w:pPr>
        <w:autoSpaceDE w:val="0"/>
        <w:autoSpaceDN w:val="0"/>
        <w:adjustRightInd w:val="0"/>
        <w:spacing w:line="560" w:lineRule="exact"/>
        <w:jc w:val="center"/>
        <w:rPr>
          <w:rFonts w:hint="eastAsia" w:ascii="黑体" w:hAnsi="黑体" w:eastAsia="黑体" w:cs="仿宋_GB2312"/>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1" w:name="_GoBack"/>
      <w:bookmarkEnd w:id="1"/>
    </w:p>
    <w:sectPr>
      <w:footerReference r:id="rId3" w:type="default"/>
      <w:pgSz w:w="16838" w:h="11906" w:orient="landscape"/>
      <w:pgMar w:top="1587" w:right="1701" w:bottom="147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6B40B"/>
    <w:multiLevelType w:val="singleLevel"/>
    <w:tmpl w:val="AD76B40B"/>
    <w:lvl w:ilvl="0" w:tentative="0">
      <w:start w:val="2"/>
      <w:numFmt w:val="decimal"/>
      <w:lvlText w:val="%1."/>
      <w:lvlJc w:val="left"/>
      <w:pPr>
        <w:tabs>
          <w:tab w:val="left" w:pos="312"/>
        </w:tabs>
        <w:ind w:left="800" w:leftChars="0" w:firstLine="0" w:firstLineChars="0"/>
      </w:pPr>
    </w:lvl>
  </w:abstractNum>
  <w:abstractNum w:abstractNumId="1">
    <w:nsid w:val="C907D9E4"/>
    <w:multiLevelType w:val="singleLevel"/>
    <w:tmpl w:val="C907D9E4"/>
    <w:lvl w:ilvl="0" w:tentative="0">
      <w:start w:val="1"/>
      <w:numFmt w:val="chineseCounting"/>
      <w:suff w:val="nothing"/>
      <w:lvlText w:val="（%1）"/>
      <w:lvlJc w:val="left"/>
      <w:rPr>
        <w:rFonts w:hint="eastAsia"/>
      </w:rPr>
    </w:lvl>
  </w:abstractNum>
  <w:abstractNum w:abstractNumId="2">
    <w:nsid w:val="19D68792"/>
    <w:multiLevelType w:val="singleLevel"/>
    <w:tmpl w:val="19D68792"/>
    <w:lvl w:ilvl="0" w:tentative="0">
      <w:start w:val="2"/>
      <w:numFmt w:val="chineseCounting"/>
      <w:suff w:val="nothing"/>
      <w:lvlText w:val="（%1）"/>
      <w:lvlJc w:val="left"/>
      <w:rPr>
        <w:rFonts w:hint="eastAsia"/>
      </w:rPr>
    </w:lvl>
  </w:abstractNum>
  <w:abstractNum w:abstractNumId="3">
    <w:nsid w:val="77B67471"/>
    <w:multiLevelType w:val="singleLevel"/>
    <w:tmpl w:val="77B6747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B52F2"/>
    <w:rsid w:val="0F520B9A"/>
    <w:rsid w:val="15E77FBB"/>
    <w:rsid w:val="1B741317"/>
    <w:rsid w:val="2FC63BEF"/>
    <w:rsid w:val="33397DAB"/>
    <w:rsid w:val="50CF388F"/>
    <w:rsid w:val="5B8B5825"/>
    <w:rsid w:val="63DD30CB"/>
    <w:rsid w:val="690B52F2"/>
    <w:rsid w:val="780F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font21"/>
    <w:basedOn w:val="4"/>
    <w:uiPriority w:val="0"/>
    <w:rPr>
      <w:rFonts w:hint="eastAsia" w:ascii="华文中宋" w:hAnsi="华文中宋" w:eastAsia="华文中宋" w:cs="华文中宋"/>
      <w:color w:val="000000"/>
      <w:sz w:val="44"/>
      <w:szCs w:val="44"/>
      <w:u w:val="none"/>
    </w:rPr>
  </w:style>
  <w:style w:type="character" w:customStyle="1" w:styleId="6">
    <w:name w:val="font61"/>
    <w:basedOn w:val="4"/>
    <w:uiPriority w:val="0"/>
    <w:rPr>
      <w:rFonts w:hint="eastAsia" w:ascii="华文中宋" w:hAnsi="华文中宋" w:eastAsia="华文中宋" w:cs="华文中宋"/>
      <w:color w:val="000000"/>
      <w:sz w:val="44"/>
      <w:szCs w:val="44"/>
      <w:u w:val="none"/>
    </w:rPr>
  </w:style>
  <w:style w:type="character" w:customStyle="1" w:styleId="7">
    <w:name w:val="font7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Pt>
            <c:idx val="3"/>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dPt>
          <c:dPt>
            <c:idx val="4"/>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dPt>
          <c:dLbls>
            <c:dLbl>
              <c:idx val="0"/>
              <c:layout>
                <c:manualLayout>
                  <c:x val="0.11516567075954"/>
                  <c:y val="-0.17901314377280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38810339217319"/>
                  <c:y val="0.06649309509974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56390847437562"/>
                  <c:y val="0.4371627091489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60685339217319"/>
                  <c:y val="0.08649309509974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336896607826811"/>
                  <c:y val="0.22899309509974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一般公共预算财政拨款收入</c:v>
                </c:pt>
                <c:pt idx="1">
                  <c:v>其他收入</c:v>
                </c:pt>
                <c:pt idx="2">
                  <c:v>国有资本经营预算财政拨款收入</c:v>
                </c:pt>
                <c:pt idx="3">
                  <c:v>事业收入</c:v>
                </c:pt>
                <c:pt idx="4">
                  <c:v>经营收入</c:v>
                </c:pt>
              </c:strCache>
            </c:strRef>
          </c:cat>
          <c:val>
            <c:numRef>
              <c:f>Sheet1!$B$2:$B$6</c:f>
              <c:numCache>
                <c:formatCode>General</c:formatCode>
                <c:ptCount val="5"/>
                <c:pt idx="0">
                  <c:v>63.5</c:v>
                </c:pt>
                <c:pt idx="1">
                  <c:v>0</c:v>
                </c:pt>
                <c:pt idx="2">
                  <c:v>0</c:v>
                </c:pt>
                <c:pt idx="3">
                  <c:v>0</c:v>
                </c:pt>
                <c:pt idx="4">
                  <c:v>0</c:v>
                </c:pt>
              </c:numCache>
            </c:numRef>
          </c:val>
        </c:ser>
        <c:dLbls>
          <c:showLegendKey val="0"/>
          <c:showVal val="1"/>
          <c:showCatName val="0"/>
          <c:showSerName val="0"/>
          <c:showPercent val="0"/>
          <c:showBubbleSize val="0"/>
          <c:showLeaderLines val="1"/>
        </c:dLbls>
        <c:firstSliceAng val="36"/>
      </c:pieChart>
      <c:spPr>
        <a:noFill/>
        <a:ln>
          <a:noFill/>
        </a:ln>
        <a:effectLst/>
      </c:spPr>
    </c:plotArea>
    <c:legend>
      <c:legendPos val="t"/>
      <c:layout>
        <c:manualLayout>
          <c:xMode val="edge"/>
          <c:yMode val="edge"/>
          <c:x val="0.0282656740723508"/>
          <c:y val="0.10137916525471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一般公共服务支出</c:v>
                </c:pt>
                <c:pt idx="1">
                  <c:v>社会保障和就业支出</c:v>
                </c:pt>
              </c:strCache>
            </c:strRef>
          </c:cat>
          <c:val>
            <c:numRef>
              <c:f>Sheet1!$B$2:$B$3</c:f>
              <c:numCache>
                <c:formatCode>General</c:formatCode>
                <c:ptCount val="2"/>
                <c:pt idx="0">
                  <c:v>57.49</c:v>
                </c:pt>
                <c:pt idx="1">
                  <c:v>8.35</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一般公共服务支出</c:v>
                </c:pt>
                <c:pt idx="1">
                  <c:v>社会保障和就业支出</c:v>
                </c:pt>
              </c:strCache>
            </c:strRef>
          </c:cat>
          <c:val>
            <c:numRef>
              <c:f>Sheet1!$C$2:$C$3</c:f>
              <c:numCache>
                <c:formatCode>General</c:formatCode>
                <c:ptCount val="2"/>
                <c:pt idx="0">
                  <c:v>57.46</c:v>
                </c:pt>
                <c:pt idx="1">
                  <c:v>7.96</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manualLayout>
          <c:xMode val="edge"/>
          <c:yMode val="edge"/>
          <c:x val="0.39525"/>
          <c:y val="0.904411764705882"/>
          <c:w val="0.2045"/>
          <c:h val="0.070378151260504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一般公共服务支出</a:t>
            </a:r>
            <a:endParaRPr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一般公共服务支出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Sheet1!$A$2:$A$3</c:f>
              <c:numCache>
                <c:formatCode>General</c:formatCode>
                <c:ptCount val="2"/>
                <c:pt idx="0">
                  <c:v>2010601</c:v>
                </c:pt>
                <c:pt idx="1">
                  <c:v>2012999</c:v>
                </c:pt>
              </c:numCache>
            </c:numRef>
          </c:cat>
          <c:val>
            <c:numRef>
              <c:f>Sheet1!$B$2:$B$3</c:f>
              <c:numCache>
                <c:formatCode>General</c:formatCode>
                <c:ptCount val="2"/>
                <c:pt idx="0">
                  <c:v>56.37</c:v>
                </c:pt>
                <c:pt idx="1">
                  <c:v>1.1</c:v>
                </c:pt>
              </c:numCache>
            </c:numRef>
          </c:val>
        </c:ser>
        <c:dLbls>
          <c:showLegendKey val="0"/>
          <c:showVal val="1"/>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年初预算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c:f>
              <c:numCache>
                <c:formatCode>General</c:formatCode>
                <c:ptCount val="1"/>
                <c:pt idx="0">
                  <c:v>2080505</c:v>
                </c:pt>
              </c:numCache>
            </c:numRef>
          </c:cat>
          <c:val>
            <c:numRef>
              <c:f>Sheet1!$B$2</c:f>
              <c:numCache>
                <c:formatCode>General</c:formatCode>
                <c:ptCount val="1"/>
                <c:pt idx="0">
                  <c:v>8.76</c:v>
                </c:pt>
              </c:numCache>
            </c:numRef>
          </c:val>
        </c:ser>
        <c:ser>
          <c:idx val="1"/>
          <c:order val="1"/>
          <c:tx>
            <c:strRef>
              <c:f>Sheet1!$C$1</c:f>
              <c:strCache>
                <c:ptCount val="1"/>
                <c:pt idx="0">
                  <c:v>年终决算</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c:f>
              <c:numCache>
                <c:formatCode>General</c:formatCode>
                <c:ptCount val="1"/>
                <c:pt idx="0">
                  <c:v>2080505</c:v>
                </c:pt>
              </c:numCache>
            </c:numRef>
          </c:cat>
          <c:val>
            <c:numRef>
              <c:f>Sheet1!$C$2</c:f>
              <c:numCache>
                <c:formatCode>General</c:formatCode>
                <c:ptCount val="1"/>
                <c:pt idx="0">
                  <c:v>7.96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Sheet1!$A$2:$A$8</c:f>
              <c:strCache>
                <c:ptCount val="7"/>
                <c:pt idx="0">
                  <c:v>30101基本工资</c:v>
                </c:pt>
                <c:pt idx="1">
                  <c:v>30102津贴补贴</c:v>
                </c:pt>
                <c:pt idx="2">
                  <c:v>30103奖金</c:v>
                </c:pt>
                <c:pt idx="3">
                  <c:v>30108机关事业单位基本养老保险缴费</c:v>
                </c:pt>
                <c:pt idx="4">
                  <c:v>30110职工基本医疗保险缴费</c:v>
                </c:pt>
                <c:pt idx="5">
                  <c:v>30112其他社会保障缴费</c:v>
                </c:pt>
                <c:pt idx="6">
                  <c:v>30199其他工资福利支出</c:v>
                </c:pt>
              </c:strCache>
            </c:strRef>
          </c:cat>
          <c:val>
            <c:numRef>
              <c:f>Sheet1!$B$2:$B$8</c:f>
              <c:numCache>
                <c:formatCode>General</c:formatCode>
                <c:ptCount val="7"/>
                <c:pt idx="0">
                  <c:v>18.16</c:v>
                </c:pt>
                <c:pt idx="1">
                  <c:v>12.19</c:v>
                </c:pt>
                <c:pt idx="2">
                  <c:v>13.95</c:v>
                </c:pt>
                <c:pt idx="3">
                  <c:v>7.96</c:v>
                </c:pt>
                <c:pt idx="4">
                  <c:v>3.2</c:v>
                </c:pt>
                <c:pt idx="5">
                  <c:v>0.21</c:v>
                </c:pt>
                <c:pt idx="6">
                  <c:v>4.1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30201办公费</c:v>
                </c:pt>
                <c:pt idx="1">
                  <c:v>30206电费</c:v>
                </c:pt>
                <c:pt idx="2">
                  <c:v>30207邮电费</c:v>
                </c:pt>
                <c:pt idx="3">
                  <c:v>30211差旅费</c:v>
                </c:pt>
                <c:pt idx="4">
                  <c:v>30228工会经费</c:v>
                </c:pt>
              </c:strCache>
            </c:strRef>
          </c:cat>
          <c:val>
            <c:numRef>
              <c:f>Sheet1!$B$2:$B$6</c:f>
              <c:numCache>
                <c:formatCode>General</c:formatCode>
                <c:ptCount val="5"/>
                <c:pt idx="0">
                  <c:v>0.57</c:v>
                </c:pt>
                <c:pt idx="1">
                  <c:v>0.16</c:v>
                </c:pt>
                <c:pt idx="2" c:formatCode="0.00_ ">
                  <c:v>0.56</c:v>
                </c:pt>
                <c:pt idx="3" c:formatCode="0.00_ ">
                  <c:v>0.6</c:v>
                </c:pt>
                <c:pt idx="4" c:formatCode="0.00_ ">
                  <c:v>1.1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2024-12-20T04:05:00Z</dcterms:created>
  <dc:creator>lenovo</dc:creator>
  <cp:lastModifiedBy>Administrator</cp:lastModifiedBy>
  <dcterms:modified xsi:type="dcterms:W3CDTF">2024-12-30T11:23:19Z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E8B005FC9B954DEA9B7552E9E6B7092C</vt:lpwstr>
  </property>
</Properties>
</file>