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环江毛南族自治县洛阳镇财政所                     2023年度部门决算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_GB2312" w:eastAsia="仿宋_GB2312"/>
          <w:sz w:val="32"/>
          <w:szCs w:val="32"/>
          <w:lang w:eastAsia="zh-CN"/>
        </w:rPr>
        <w:t>机构设置情况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部门</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负责财经法律法规及相关政策的宣传与执行。</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（二）负责组织和管理</w:t>
      </w:r>
      <w:r>
        <w:rPr>
          <w:rFonts w:hint="eastAsia" w:ascii="仿宋" w:hAnsi="仿宋" w:eastAsia="仿宋" w:cs="仿宋"/>
          <w:color w:val="auto"/>
          <w:sz w:val="32"/>
          <w:szCs w:val="32"/>
          <w:lang w:val="en-US" w:eastAsia="zh-CN"/>
        </w:rPr>
        <w:t>本单位收支</w:t>
      </w:r>
      <w:r>
        <w:rPr>
          <w:rFonts w:hint="eastAsia" w:ascii="仿宋" w:hAnsi="仿宋" w:eastAsia="仿宋" w:cs="仿宋"/>
          <w:color w:val="auto"/>
          <w:sz w:val="32"/>
          <w:szCs w:val="32"/>
        </w:rPr>
        <w:t>，编制执行</w:t>
      </w:r>
      <w:r>
        <w:rPr>
          <w:rFonts w:hint="eastAsia" w:ascii="仿宋" w:hAnsi="仿宋" w:eastAsia="仿宋" w:cs="仿宋"/>
          <w:color w:val="auto"/>
          <w:sz w:val="32"/>
          <w:szCs w:val="32"/>
          <w:lang w:val="en-US" w:eastAsia="zh-CN"/>
        </w:rPr>
        <w:t>本单位</w:t>
      </w:r>
      <w:r>
        <w:rPr>
          <w:rFonts w:hint="eastAsia" w:ascii="仿宋" w:hAnsi="仿宋" w:eastAsia="仿宋" w:cs="仿宋"/>
          <w:color w:val="auto"/>
          <w:sz w:val="32"/>
          <w:szCs w:val="32"/>
        </w:rPr>
        <w:t>年度预决算</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（三）负责</w:t>
      </w:r>
      <w:r>
        <w:rPr>
          <w:rFonts w:hint="eastAsia" w:ascii="仿宋" w:hAnsi="仿宋" w:eastAsia="仿宋" w:cs="仿宋"/>
          <w:color w:val="auto"/>
          <w:sz w:val="32"/>
          <w:szCs w:val="32"/>
          <w:lang w:val="en-US" w:eastAsia="zh-CN"/>
        </w:rPr>
        <w:t>本单位</w:t>
      </w:r>
      <w:r>
        <w:rPr>
          <w:rFonts w:hint="eastAsia" w:ascii="仿宋" w:hAnsi="仿宋" w:eastAsia="仿宋" w:cs="仿宋"/>
          <w:color w:val="auto"/>
          <w:sz w:val="32"/>
          <w:szCs w:val="32"/>
        </w:rPr>
        <w:t>非税收入的管理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财政票据的申购、领发、缴销以及国有资产的管理。</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（四）落实兑现各级惠农补助资金，对农民负担和农村政策实施监</w:t>
      </w:r>
      <w:r>
        <w:rPr>
          <w:rFonts w:hint="eastAsia" w:ascii="仿宋" w:hAnsi="仿宋" w:eastAsia="仿宋" w:cs="仿宋"/>
          <w:color w:val="auto"/>
          <w:sz w:val="32"/>
          <w:szCs w:val="32"/>
          <w:lang w:val="en-US" w:eastAsia="zh-CN"/>
        </w:rPr>
        <w:t>督</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承办县财政局及镇政府交办的其他事项。</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二、机构设置情况</w:t>
      </w:r>
    </w:p>
    <w:p>
      <w:pPr>
        <w:snapToGrid w:val="0"/>
        <w:spacing w:line="520" w:lineRule="exact"/>
        <w:ind w:firstLine="420" w:firstLineChars="200"/>
        <w:rPr>
          <w:rFonts w:hint="eastAsia" w:ascii="仿宋_GB2312" w:hAnsi="宋体"/>
          <w:szCs w:val="32"/>
        </w:rPr>
      </w:pPr>
      <w:r>
        <w:rPr>
          <w:rFonts w:hint="eastAsia" w:ascii="仿宋_GB2312" w:hAnsi="宋体"/>
          <w:szCs w:val="32"/>
        </w:rPr>
        <w:t>（一）</w:t>
      </w:r>
      <w:r>
        <w:rPr>
          <w:rFonts w:hint="eastAsia" w:ascii="仿宋_GB2312" w:hAnsi="仿宋" w:eastAsia="仿宋_GB2312"/>
          <w:sz w:val="32"/>
          <w:szCs w:val="32"/>
        </w:rPr>
        <w:t>机构情况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本单位是参照公务员管理的全额拨款事业单位，机构设置包括财政所所长（或负责人）、会计、出纳等</w:t>
      </w:r>
      <w:r>
        <w:rPr>
          <w:rFonts w:hint="eastAsia" w:ascii="仿宋_GB2312" w:hAnsi="仿宋" w:eastAsia="仿宋_GB2312"/>
          <w:sz w:val="32"/>
          <w:szCs w:val="32"/>
        </w:rPr>
        <w:t>。</w:t>
      </w:r>
    </w:p>
    <w:p>
      <w:pPr>
        <w:spacing w:line="600" w:lineRule="exact"/>
        <w:ind w:firstLine="420" w:firstLineChars="200"/>
        <w:rPr>
          <w:rFonts w:hint="eastAsia" w:ascii="黑体" w:eastAsia="黑体"/>
          <w:szCs w:val="32"/>
        </w:rPr>
      </w:pPr>
      <w:r>
        <w:rPr>
          <w:rFonts w:hint="eastAsia" w:ascii="仿宋_GB2312" w:hAnsi="宋体"/>
          <w:szCs w:val="32"/>
        </w:rPr>
        <w:t>（二）</w:t>
      </w: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财政所共6个参公编制，其中在职人员3人</w:t>
      </w:r>
      <w:r>
        <w:rPr>
          <w:rFonts w:hint="eastAsia" w:ascii="仿宋_GB2312" w:hAnsi="仿宋" w:eastAsia="仿宋_GB2312"/>
          <w:sz w:val="32"/>
          <w:szCs w:val="32"/>
        </w:rPr>
        <w:t>。</w:t>
      </w:r>
      <w:r>
        <w:rPr>
          <w:rFonts w:hint="eastAsia" w:ascii="仿宋_GB2312" w:hAnsi="仿宋" w:eastAsia="仿宋_GB2312"/>
          <w:sz w:val="32"/>
          <w:szCs w:val="32"/>
          <w:lang w:val="en-US" w:eastAsia="zh-CN"/>
        </w:rPr>
        <w:t>财政所的退休人员3人</w:t>
      </w:r>
      <w:r>
        <w:rPr>
          <w:rFonts w:hint="eastAsia" w:ascii="仿宋_GB2312" w:hAnsi="仿宋"/>
          <w:sz w:val="32"/>
          <w:szCs w:val="32"/>
          <w:lang w:val="en-US" w:eastAsia="zh-CN"/>
        </w:rPr>
        <w:t>。</w:t>
      </w: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sectPr>
          <w:pgSz w:w="11906" w:h="16838"/>
          <w:pgMar w:top="1803" w:right="1440" w:bottom="1803" w:left="1440" w:header="851" w:footer="992" w:gutter="0"/>
          <w:cols w:space="0" w:num="1"/>
          <w:rtlGutter w:val="0"/>
          <w:docGrid w:type="lines" w:linePitch="312" w:charSpace="0"/>
        </w:sect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3498"/>
        <w:gridCol w:w="1438"/>
        <w:gridCol w:w="2231"/>
        <w:gridCol w:w="3466"/>
        <w:gridCol w:w="1405"/>
        <w:gridCol w:w="1902"/>
      </w:tblGrid>
      <w:tr>
        <w:tblPrEx>
          <w:tblCellMar>
            <w:top w:w="0" w:type="dxa"/>
            <w:left w:w="108" w:type="dxa"/>
            <w:bottom w:w="0" w:type="dxa"/>
            <w:right w:w="108" w:type="dxa"/>
          </w:tblCellMar>
        </w:tblPrEx>
        <w:trPr>
          <w:trHeight w:val="85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34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3466"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44.11</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38.99</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74.28</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5.12</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74.28</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118.39</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118.39</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118.39</w:t>
            </w:r>
          </w:p>
        </w:tc>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118.39</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403"/>
        <w:gridCol w:w="1559"/>
        <w:gridCol w:w="236"/>
        <w:gridCol w:w="236"/>
        <w:gridCol w:w="593"/>
        <w:gridCol w:w="1451"/>
        <w:gridCol w:w="1453"/>
        <w:gridCol w:w="1373"/>
        <w:gridCol w:w="1467"/>
        <w:gridCol w:w="1480"/>
        <w:gridCol w:w="1440"/>
        <w:gridCol w:w="1269"/>
      </w:tblGrid>
      <w:tr>
        <w:tblPrEx>
          <w:tblCellMar>
            <w:top w:w="0" w:type="dxa"/>
            <w:left w:w="108" w:type="dxa"/>
            <w:bottom w:w="0" w:type="dxa"/>
            <w:right w:w="108" w:type="dxa"/>
          </w:tblCellMar>
        </w:tblPrEx>
        <w:trPr>
          <w:trHeight w:val="90"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4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62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4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2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4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2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723"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118.39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118.39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38.99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38.99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财政事务</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2010601</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0.72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5.12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212</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74.28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21208</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 xml:space="preserve"> </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4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26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74.28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74.28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w:t>
            </w:r>
            <w:r>
              <w:rPr>
                <w:rFonts w:hint="eastAsia" w:ascii="宋体" w:hAnsi="宋体" w:eastAsia="宋体" w:cs="宋体"/>
                <w:color w:val="000000"/>
                <w:kern w:val="0"/>
                <w:sz w:val="22"/>
                <w:szCs w:val="22"/>
                <w:highlight w:val="none"/>
                <w:lang w:val="en-US" w:eastAsia="zh-CN" w:bidi="ar"/>
              </w:rPr>
              <w:t>部门</w:t>
            </w:r>
            <w:r>
              <w:rPr>
                <w:rFonts w:hint="eastAsia" w:ascii="宋体" w:hAnsi="宋体" w:eastAsia="宋体" w:cs="宋体"/>
                <w:color w:val="000000"/>
                <w:kern w:val="0"/>
                <w:sz w:val="22"/>
                <w:szCs w:val="22"/>
                <w:highlight w:val="none"/>
                <w:lang w:bidi="ar"/>
              </w:rPr>
              <w:t>本年度取得的各项收入情况。</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118.39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43.24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75.15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38.99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0.87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0"/>
                <w:szCs w:val="20"/>
                <w:u w:val="none"/>
                <w:lang w:val="en-US" w:eastAsia="zh-CN" w:bidi="ar"/>
              </w:rPr>
              <w:t>37.40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0"/>
                <w:szCs w:val="20"/>
                <w:u w:val="none"/>
                <w:lang w:val="en-US" w:eastAsia="zh-CN" w:bidi="ar"/>
              </w:rPr>
              <w:t>0.87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37.40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0.87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0.72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212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74.28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21208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74.28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74.28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2120804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ightChars="0" w:firstLine="220" w:firstLineChars="10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74.28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74.28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w:t>
            </w:r>
            <w:r>
              <w:rPr>
                <w:rFonts w:hint="eastAsia" w:ascii="宋体" w:hAnsi="宋体" w:eastAsia="宋体" w:cs="宋体"/>
                <w:color w:val="000000"/>
                <w:kern w:val="0"/>
                <w:sz w:val="22"/>
                <w:szCs w:val="22"/>
                <w:highlight w:val="none"/>
                <w:lang w:val="en-US" w:eastAsia="zh-CN" w:bidi="ar"/>
              </w:rPr>
              <w:t>部门</w:t>
            </w:r>
            <w:r>
              <w:rPr>
                <w:rFonts w:hint="eastAsia" w:ascii="宋体" w:hAnsi="宋体" w:eastAsia="宋体" w:cs="宋体"/>
                <w:color w:val="000000"/>
                <w:kern w:val="0"/>
                <w:sz w:val="22"/>
                <w:szCs w:val="22"/>
                <w:highlight w:val="none"/>
                <w:lang w:bidi="ar"/>
              </w:rPr>
              <w:t>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100"/>
        <w:gridCol w:w="745"/>
        <w:gridCol w:w="1240"/>
        <w:gridCol w:w="2240"/>
        <w:gridCol w:w="809"/>
        <w:gridCol w:w="1032"/>
        <w:gridCol w:w="1684"/>
        <w:gridCol w:w="1711"/>
        <w:gridCol w:w="1797"/>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63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44.11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38.99</w:t>
            </w:r>
          </w:p>
        </w:tc>
        <w:tc>
          <w:tcPr>
            <w:tcW w:w="1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74.28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w:t>
            </w:r>
          </w:p>
        </w:tc>
        <w:tc>
          <w:tcPr>
            <w:tcW w:w="1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118.39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118.39</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44.11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118.39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118.39</w:t>
            </w:r>
          </w:p>
        </w:tc>
        <w:tc>
          <w:tcPr>
            <w:tcW w:w="1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44.11</w:t>
            </w:r>
          </w:p>
        </w:tc>
        <w:tc>
          <w:tcPr>
            <w:tcW w:w="17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74.28</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w:t>
            </w:r>
            <w:r>
              <w:rPr>
                <w:rFonts w:hint="eastAsia" w:ascii="宋体" w:hAnsi="宋体" w:eastAsia="宋体" w:cs="宋体"/>
                <w:color w:val="000000"/>
                <w:kern w:val="0"/>
                <w:sz w:val="22"/>
                <w:szCs w:val="22"/>
                <w:highlight w:val="none"/>
                <w:lang w:val="en-US" w:eastAsia="zh-CN" w:bidi="ar"/>
              </w:rPr>
              <w:t>部门</w:t>
            </w:r>
            <w:r>
              <w:rPr>
                <w:rFonts w:hint="eastAsia" w:ascii="宋体" w:hAnsi="宋体" w:eastAsia="宋体" w:cs="宋体"/>
                <w:color w:val="000000"/>
                <w:kern w:val="0"/>
                <w:sz w:val="22"/>
                <w:szCs w:val="22"/>
                <w:highlight w:val="none"/>
                <w:lang w:bidi="ar"/>
              </w:rPr>
              <w:t>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57"/>
        <w:gridCol w:w="1126"/>
        <w:gridCol w:w="238"/>
        <w:gridCol w:w="238"/>
        <w:gridCol w:w="2380"/>
        <w:gridCol w:w="2845"/>
        <w:gridCol w:w="3107"/>
        <w:gridCol w:w="2889"/>
      </w:tblGrid>
      <w:tr>
        <w:tblPrEx>
          <w:tblCellMar>
            <w:top w:w="0" w:type="dxa"/>
            <w:left w:w="108" w:type="dxa"/>
            <w:bottom w:w="0" w:type="dxa"/>
            <w:right w:w="108" w:type="dxa"/>
          </w:tblCellMar>
        </w:tblPrEx>
        <w:trPr>
          <w:trHeight w:val="489"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51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8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11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982"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11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8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1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8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51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51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44.11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43.24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0.87</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38.99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38.12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0.87</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20106</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财政事务</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37.40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0.87</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2010601</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38.27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37.40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0.87</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0.72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0.72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5.12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5.12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9" w:hRule="atLeast"/>
        </w:trPr>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9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w:t>
            </w:r>
            <w:r>
              <w:rPr>
                <w:rFonts w:hint="eastAsia" w:ascii="宋体" w:hAnsi="宋体" w:eastAsia="宋体" w:cs="宋体"/>
                <w:color w:val="000000"/>
                <w:kern w:val="0"/>
                <w:sz w:val="22"/>
                <w:szCs w:val="22"/>
                <w:highlight w:val="none"/>
                <w:lang w:val="en-US" w:eastAsia="zh-CN" w:bidi="ar"/>
              </w:rPr>
              <w:t>部门</w:t>
            </w:r>
            <w:r>
              <w:rPr>
                <w:rFonts w:hint="eastAsia" w:ascii="宋体" w:hAnsi="宋体" w:eastAsia="宋体" w:cs="宋体"/>
                <w:color w:val="000000"/>
                <w:kern w:val="0"/>
                <w:sz w:val="22"/>
                <w:szCs w:val="22"/>
                <w:highlight w:val="none"/>
                <w:lang w:bidi="ar"/>
              </w:rPr>
              <w:t>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某某单位</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0"/>
                <w:szCs w:val="20"/>
                <w:u w:val="none"/>
                <w:lang w:val="en-US" w:eastAsia="zh-CN" w:bidi="ar"/>
              </w:rPr>
              <w:t>35.93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5.14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0"/>
                <w:szCs w:val="20"/>
                <w:u w:val="none"/>
                <w:lang w:val="en-US" w:eastAsia="zh-CN" w:bidi="ar"/>
              </w:rPr>
              <w:t>16.83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0.18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0"/>
                <w:szCs w:val="20"/>
                <w:u w:val="none"/>
                <w:lang w:val="en-US" w:eastAsia="zh-CN" w:bidi="ar"/>
              </w:rPr>
              <w:t>3.21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0"/>
                <w:szCs w:val="20"/>
                <w:u w:val="none"/>
                <w:lang w:val="en-US" w:eastAsia="zh-CN" w:bidi="ar"/>
              </w:rPr>
              <w:t>8.15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0.22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0.33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0.57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0.33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0.10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0.72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38.10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5.14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w:t>
            </w:r>
            <w:r>
              <w:rPr>
                <w:rFonts w:hint="eastAsia" w:ascii="宋体" w:hAnsi="宋体" w:eastAsia="宋体" w:cs="宋体"/>
                <w:color w:val="000000"/>
                <w:kern w:val="0"/>
                <w:sz w:val="22"/>
                <w:szCs w:val="22"/>
                <w:highlight w:val="none"/>
                <w:lang w:val="en-US" w:eastAsia="zh-CN" w:bidi="ar"/>
              </w:rPr>
              <w:t>部门</w:t>
            </w:r>
            <w:r>
              <w:rPr>
                <w:rFonts w:hint="eastAsia" w:ascii="宋体" w:hAnsi="宋体" w:eastAsia="宋体" w:cs="宋体"/>
                <w:color w:val="000000"/>
                <w:kern w:val="0"/>
                <w:sz w:val="22"/>
                <w:szCs w:val="22"/>
                <w:highlight w:val="none"/>
                <w:lang w:bidi="ar"/>
              </w:rPr>
              <w:t>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2918" w:type="dxa"/>
        <w:tblInd w:w="96" w:type="dxa"/>
        <w:tblLayout w:type="fixed"/>
        <w:tblCellMar>
          <w:top w:w="0" w:type="dxa"/>
          <w:left w:w="108" w:type="dxa"/>
          <w:bottom w:w="0" w:type="dxa"/>
          <w:right w:w="108" w:type="dxa"/>
        </w:tblCellMar>
      </w:tblPr>
      <w:tblGrid>
        <w:gridCol w:w="1297"/>
        <w:gridCol w:w="240"/>
        <w:gridCol w:w="236"/>
        <w:gridCol w:w="3604"/>
        <w:gridCol w:w="1487"/>
        <w:gridCol w:w="1145"/>
        <w:gridCol w:w="914"/>
        <w:gridCol w:w="1118"/>
        <w:gridCol w:w="1405"/>
        <w:gridCol w:w="1472"/>
      </w:tblGrid>
      <w:tr>
        <w:tblPrEx>
          <w:tblCellMar>
            <w:top w:w="0" w:type="dxa"/>
            <w:left w:w="108" w:type="dxa"/>
            <w:bottom w:w="0" w:type="dxa"/>
            <w:right w:w="108" w:type="dxa"/>
          </w:tblCellMar>
        </w:tblPrEx>
        <w:trPr>
          <w:trHeight w:val="536" w:hRule="atLeast"/>
        </w:trPr>
        <w:tc>
          <w:tcPr>
            <w:tcW w:w="12918"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7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8" w:hRule="atLeast"/>
        </w:trPr>
        <w:tc>
          <w:tcPr>
            <w:tcW w:w="8923"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111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7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77" w:hRule="atLeast"/>
        </w:trPr>
        <w:tc>
          <w:tcPr>
            <w:tcW w:w="53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3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84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4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78" w:hRule="atLeast"/>
        </w:trPr>
        <w:tc>
          <w:tcPr>
            <w:tcW w:w="53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277" w:hRule="atLeast"/>
        </w:trPr>
        <w:tc>
          <w:tcPr>
            <w:tcW w:w="53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0.00</w:t>
            </w:r>
            <w:r>
              <w:rPr>
                <w:rFonts w:hint="eastAsia" w:ascii="宋体" w:hAnsi="宋体" w:eastAsia="宋体" w:cs="宋体"/>
                <w:b/>
                <w:bCs/>
                <w:color w:val="000000"/>
                <w:sz w:val="22"/>
                <w:szCs w:val="22"/>
                <w:highlight w:val="none"/>
              </w:rPr>
              <w:t xml:space="preserve">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74.28</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74.28</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0.00</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74.28</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3840"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48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14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91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111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4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147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3840"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8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4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91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111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4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147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3840"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rightChars="0" w:firstLine="220" w:firstLineChars="10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48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4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91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111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4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val="0"/>
                <w:bCs w:val="0"/>
                <w:color w:val="000000"/>
                <w:sz w:val="22"/>
                <w:szCs w:val="22"/>
                <w:highlight w:val="none"/>
                <w:lang w:val="en-US" w:eastAsia="zh-CN"/>
              </w:rPr>
              <w:t>74.28</w:t>
            </w:r>
          </w:p>
        </w:tc>
        <w:tc>
          <w:tcPr>
            <w:tcW w:w="147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84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48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0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77" w:hRule="atLeast"/>
        </w:trPr>
        <w:tc>
          <w:tcPr>
            <w:tcW w:w="12918"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w:t>
            </w:r>
            <w:r>
              <w:rPr>
                <w:rFonts w:hint="eastAsia" w:ascii="宋体" w:hAnsi="宋体" w:eastAsia="宋体" w:cs="宋体"/>
                <w:color w:val="000000"/>
                <w:kern w:val="0"/>
                <w:sz w:val="22"/>
                <w:szCs w:val="22"/>
                <w:highlight w:val="none"/>
                <w:lang w:val="en-US" w:eastAsia="zh-CN" w:bidi="ar"/>
              </w:rPr>
              <w:t>部门</w:t>
            </w:r>
            <w:r>
              <w:rPr>
                <w:rFonts w:hint="eastAsia" w:ascii="宋体" w:hAnsi="宋体" w:eastAsia="宋体" w:cs="宋体"/>
                <w:color w:val="000000"/>
                <w:kern w:val="0"/>
                <w:sz w:val="22"/>
                <w:szCs w:val="22"/>
                <w:highlight w:val="none"/>
                <w:lang w:bidi="ar"/>
              </w:rPr>
              <w:t>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注：本</w:t>
      </w:r>
      <w:r>
        <w:rPr>
          <w:rFonts w:hint="eastAsia" w:ascii="宋体" w:hAnsi="宋体" w:eastAsia="宋体" w:cs="宋体"/>
          <w:color w:val="auto"/>
          <w:kern w:val="2"/>
          <w:sz w:val="21"/>
          <w:szCs w:val="21"/>
          <w:lang w:val="en-US" w:eastAsia="zh-CN" w:bidi="ar"/>
        </w:rPr>
        <w:t>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环江毛南族自治县洛阳镇财政所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440" w:right="1803" w:bottom="1440" w:left="1803" w:header="851" w:footer="992" w:gutter="0"/>
          <w:cols w:space="0" w:num="1"/>
          <w:rtlGutter w:val="0"/>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118.39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增加38.95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增长49.03</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118.39</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44.11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增加0.59</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增长1.36</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在职人员正常晋升晋档，工资福利相应的增加，缴费基数增加。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74.28</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增加38.36</w:t>
      </w:r>
      <w:r>
        <w:rPr>
          <w:rFonts w:hint="eastAsia" w:ascii="仿宋" w:hAnsi="仿宋" w:eastAsia="仿宋" w:cs="仿宋"/>
          <w:kern w:val="2"/>
          <w:sz w:val="32"/>
          <w:szCs w:val="32"/>
          <w:highlight w:val="none"/>
          <w:lang w:val="en-US" w:eastAsia="zh-CN" w:bidi="ar"/>
        </w:rPr>
        <w:t>万元，增长106.79%，</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此款项为华山至何家寨二级公路征地补偿款。</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0万,为事业单位在业务活动之外开展非独立核算经营活动取得的收入。较2022年度决算数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hint="eastAsia" w:ascii="仿宋" w:hAnsi="仿宋" w:eastAsia="仿宋" w:cs="仿宋"/>
          <w:sz w:val="32"/>
          <w:u w:color="auto"/>
          <w:lang w:val="en-US" w:eastAsia="zh-CN"/>
        </w:rPr>
        <w:t>增加0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本单位没有上年结转和结余。</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118.39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118.39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增加38.95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增长49.03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38.99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本单位为保证日常运转发生的基本支出和为完成各项工作任务，保障事业单位发展而发生的项目支出。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增长3.15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在职人员正常晋升晋档，工资福利相应的增加，缴费基数增加。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5.12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机关事业单位基本养老保险缴费支出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减少0.29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下降5.36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在职人员减少及正常晋升晋档，工资福利相应的增加，缴费基数增加。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城乡社区支出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74.28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华山至何家寨二级公路征地补偿款支出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38.36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增长106.79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主要原因是：项目实施过程中出现的问题已解决，项目资金得以顺利拨付。</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本单位没有结余分配资金。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主要原因是：本单位年末没有结转结余资金。</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44.11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增加0.59</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增长1.36</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43.24</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0.87</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w:t>
      </w:r>
      <w:r>
        <w:rPr>
          <w:rFonts w:hint="eastAsia" w:ascii="仿宋" w:hAnsi="仿宋" w:eastAsia="仿宋" w:cs="仿宋"/>
          <w:sz w:val="32"/>
          <w:szCs w:val="32"/>
          <w:highlight w:val="none"/>
          <w:lang w:val="en-US" w:eastAsia="zh-CN"/>
        </w:rPr>
        <w:t>为</w:t>
      </w:r>
      <w:r>
        <w:rPr>
          <w:rFonts w:hint="eastAsia" w:ascii="仿宋" w:hAnsi="仿宋" w:eastAsia="仿宋" w:cs="仿宋"/>
          <w:sz w:val="32"/>
          <w:u w:color="auto"/>
          <w:lang w:val="en-US" w:eastAsia="zh-CN"/>
        </w:rPr>
        <w:t>51.75</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44.11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85.24</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u w:color="auto"/>
          <w:lang w:val="en-US" w:eastAsia="zh-CN"/>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41.67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38.99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93.57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在职人员减少，相应的工资福利减少。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306"/>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3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2010601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40.95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93.46%</w:t>
            </w:r>
          </w:p>
        </w:tc>
        <w:tc>
          <w:tcPr>
            <w:tcW w:w="23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保证日常运转发生的基本支出，如根据国家及自治区规定的基本工资和津贴补贴等安排的人员经费支出和公用经费支出</w:t>
            </w: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在职人员减少，相应的工资福利减少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23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工会经费</w:t>
            </w: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3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5.76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5.12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88.89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在职人员减少，养老保险缴费支出减少。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04"/>
        <w:gridCol w:w="954"/>
        <w:gridCol w:w="750"/>
        <w:gridCol w:w="1146"/>
        <w:gridCol w:w="1568"/>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50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5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50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5.76</w:t>
            </w:r>
          </w:p>
        </w:tc>
        <w:tc>
          <w:tcPr>
            <w:tcW w:w="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5.12</w:t>
            </w:r>
          </w:p>
        </w:tc>
        <w:tc>
          <w:tcPr>
            <w:tcW w:w="11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88.89%</w:t>
            </w:r>
          </w:p>
        </w:tc>
        <w:tc>
          <w:tcPr>
            <w:tcW w:w="15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按规定比例计缴的养老保险</w:t>
            </w:r>
          </w:p>
        </w:tc>
        <w:tc>
          <w:tcPr>
            <w:tcW w:w="16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在职人员减少，养老保险缴费支出减少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50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5.76</w:t>
            </w:r>
          </w:p>
        </w:tc>
        <w:tc>
          <w:tcPr>
            <w:tcW w:w="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5.12</w:t>
            </w:r>
          </w:p>
        </w:tc>
        <w:tc>
          <w:tcPr>
            <w:tcW w:w="11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5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城乡社区支出</w:t>
      </w:r>
      <w:r>
        <w:rPr>
          <w:rFonts w:ascii="仿宋" w:hAnsi="仿宋" w:eastAsia="仿宋"/>
          <w:sz w:val="32"/>
          <w:u w:color="auto"/>
        </w:rPr>
        <w:t>（21</w:t>
      </w:r>
      <w:r>
        <w:rPr>
          <w:rFonts w:hint="eastAsia" w:ascii="仿宋" w:hAnsi="仿宋" w:eastAsia="仿宋"/>
          <w:sz w:val="32"/>
          <w:u w:color="auto"/>
          <w:lang w:val="en-US" w:eastAsia="zh-CN"/>
        </w:rPr>
        <w:t>2</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74.28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此款项为华山至何家寨二级公路征地补偿款</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2120804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sz w:val="18"/>
                <w:szCs w:val="18"/>
                <w:highlight w:val="none"/>
                <w:u w:val="none"/>
                <w:lang w:val="en-US" w:eastAsia="zh-CN"/>
              </w:rPr>
              <w:t>农村基础设施建设支出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74.28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此款项为华山至何家寨二级公路征地补偿款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此款项为华山至何家寨二级公路征地补偿款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74.28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4.32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由政府代缴。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按规定比例计缴的住房公积金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由政府代缴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43.24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38.10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5.14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35.93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87.04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住房公积金由政府代缴。</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30101基本工资16.83万元，30102津贴补贴3.21万元，30103奖金8.15万元，30108机关事业单位基本养老保险缴费5.12万元，30110职工基本医疗保险缴费2.06万元，30112其他社会保障缴费0.57万元。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5.14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95.9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30201办公费0.18万元，30205水费0.02万元，30206电费0.22万元，30207邮电费0.33万元，30211差旅费0.33万元，30213维修（护）费0.1万元，30228工会经费0.72万元，30239其他交通费用3.24万元。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2.17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30305生活补助2.15万元,30307医疗费补助0.02万元。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eastAsia" w:ascii="仿宋" w:hAnsi="仿宋" w:eastAsia="仿宋" w:cs="仿宋"/>
          <w:sz w:val="32"/>
          <w:u w:color="auto"/>
          <w:lang w:eastAsia="zh-CN"/>
        </w:rPr>
        <w:t>。</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eastAsia" w:ascii="仿宋" w:hAnsi="仿宋" w:eastAsia="仿宋" w:cs="仿宋"/>
          <w:sz w:val="32"/>
          <w:szCs w:val="32"/>
          <w:highlight w:val="none"/>
          <w:lang w:eastAsia="zh-CN"/>
        </w:rPr>
        <w:t>。</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eastAsia" w:ascii="仿宋" w:hAnsi="仿宋" w:eastAsia="仿宋" w:cs="仿宋"/>
          <w:sz w:val="32"/>
          <w:u w:color="auto"/>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74.28</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增加38.36</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74.28</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74.28</w:t>
      </w:r>
      <w:r>
        <w:rPr>
          <w:rFonts w:hint="eastAsia" w:ascii="仿宋" w:hAnsi="仿宋" w:eastAsia="仿宋" w:cs="仿宋"/>
          <w:sz w:val="32"/>
          <w:szCs w:val="32"/>
          <w:highlight w:val="none"/>
        </w:rPr>
        <w:t>万元。</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万元。</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none"/>
          <w:lang w:val="en-US" w:eastAsia="zh-CN"/>
        </w:rPr>
        <w:t>0</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none"/>
          <w:lang w:val="en-US" w:eastAsia="zh-CN"/>
        </w:rPr>
        <w:t>0</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none"/>
          <w:lang w:val="en-US" w:eastAsia="zh-CN"/>
        </w:rPr>
        <w:t>0</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none"/>
          <w:lang w:val="en-US" w:eastAsia="zh-CN"/>
        </w:rPr>
        <w:t>0</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4" w:name="PO_part3A6B2IncReason1"/>
      <w:r>
        <w:rPr>
          <w:rFonts w:hint="eastAsia" w:ascii="仿宋" w:hAnsi="仿宋" w:eastAsia="仿宋" w:cs="仿宋"/>
          <w:color w:val="auto"/>
          <w:sz w:val="32"/>
          <w:szCs w:val="32"/>
          <w:lang w:val="en-US" w:eastAsia="zh-CN"/>
        </w:rPr>
        <w:t>本单位无公务用车购置。</w:t>
      </w:r>
      <w:bookmarkEnd w:id="4"/>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u w:color="auto"/>
          <w:lang w:val="en-US" w:eastAsia="zh-CN"/>
        </w:rPr>
        <w:t>本</w:t>
      </w:r>
      <w:r>
        <w:rPr>
          <w:rFonts w:hint="eastAsia" w:ascii="仿宋" w:hAnsi="仿宋" w:eastAsia="仿宋" w:cs="仿宋"/>
          <w:sz w:val="32"/>
          <w:szCs w:val="32"/>
          <w:highlight w:val="none"/>
        </w:rPr>
        <w:t>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年度机关运行经费支出</w:t>
      </w:r>
      <w:r>
        <w:rPr>
          <w:rFonts w:hint="eastAsia" w:ascii="仿宋" w:hAnsi="仿宋" w:eastAsia="仿宋" w:cs="仿宋"/>
          <w:color w:val="auto"/>
          <w:sz w:val="32"/>
          <w:szCs w:val="32"/>
          <w:highlight w:val="none"/>
          <w:lang w:val="en-US" w:eastAsia="zh-CN"/>
        </w:rPr>
        <w:t>5.14</w:t>
      </w:r>
      <w:r>
        <w:rPr>
          <w:rFonts w:hint="eastAsia" w:ascii="仿宋" w:hAnsi="仿宋" w:eastAsia="仿宋" w:cs="仿宋"/>
          <w:color w:val="auto"/>
          <w:sz w:val="32"/>
          <w:szCs w:val="32"/>
          <w:highlight w:val="none"/>
        </w:rPr>
        <w:t>万元，比年初预算数</w:t>
      </w:r>
      <w:r>
        <w:rPr>
          <w:rFonts w:hint="eastAsia" w:ascii="仿宋" w:hAnsi="仿宋" w:eastAsia="仿宋" w:cs="仿宋"/>
          <w:color w:val="auto"/>
          <w:sz w:val="32"/>
          <w:szCs w:val="32"/>
          <w:highlight w:val="none"/>
          <w:lang w:val="en-US" w:eastAsia="zh-CN"/>
        </w:rPr>
        <w:t>减少0.22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下降4.10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，比上年决算数</w:t>
      </w:r>
      <w:r>
        <w:rPr>
          <w:rFonts w:hint="eastAsia" w:ascii="仿宋" w:hAnsi="仿宋" w:eastAsia="仿宋" w:cs="仿宋"/>
          <w:color w:val="auto"/>
          <w:sz w:val="32"/>
          <w:szCs w:val="32"/>
          <w:highlight w:val="none"/>
          <w:lang w:val="en-US" w:eastAsia="zh-CN"/>
        </w:rPr>
        <w:t>减少0.2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下降3.75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在职人员减少。</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auto"/>
          <w:sz w:val="32"/>
          <w:szCs w:val="32"/>
        </w:rPr>
      </w:pPr>
      <w:bookmarkStart w:id="5" w:name="_GoBack"/>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个政府性基金预算项目支出开展绩效自评，共涉及资金</w:t>
      </w:r>
      <w:r>
        <w:rPr>
          <w:rFonts w:hint="eastAsia" w:ascii="仿宋" w:hAnsi="仿宋" w:eastAsia="仿宋" w:cs="仿宋"/>
          <w:color w:val="auto"/>
          <w:sz w:val="32"/>
          <w:szCs w:val="32"/>
          <w:lang w:val="en-US" w:eastAsia="zh-CN"/>
        </w:rPr>
        <w:t>74.28</w:t>
      </w:r>
      <w:r>
        <w:rPr>
          <w:rFonts w:hint="eastAsia" w:ascii="仿宋" w:hAnsi="仿宋" w:eastAsia="仿宋" w:cs="仿宋"/>
          <w:color w:val="auto"/>
          <w:sz w:val="32"/>
          <w:szCs w:val="32"/>
        </w:rPr>
        <w:t>万元，占政府性基金预算项目支出总额的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个国有资本经营预算项目支出开展绩效自评，共涉及资金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万元，占国有资本经营预算项目支出总额的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个部门（单位）开展整体支出绩效评价试点，涉及一般公共预算支出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2.部门决算中项目绩效自评结果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我</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根据年初设定的绩效目标，</w:t>
      </w:r>
      <w:r>
        <w:rPr>
          <w:rFonts w:hint="eastAsia" w:ascii="仿宋" w:hAnsi="仿宋" w:eastAsia="仿宋" w:cs="仿宋"/>
          <w:color w:val="auto"/>
          <w:sz w:val="32"/>
          <w:szCs w:val="32"/>
          <w:lang w:val="en-US" w:eastAsia="zh-CN"/>
        </w:rPr>
        <w:t>2023年工作经费</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94.62</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预算完成率低，按实际情况，有计划的安排资金拨付</w:t>
      </w:r>
      <w:r>
        <w:rPr>
          <w:rFonts w:hint="eastAsia" w:ascii="仿宋" w:hAnsi="仿宋" w:eastAsia="仿宋" w:cs="仿宋"/>
          <w:color w:val="auto"/>
          <w:sz w:val="32"/>
          <w:szCs w:val="32"/>
        </w:rPr>
        <w:t>。下一步改进措施：</w:t>
      </w:r>
      <w:r>
        <w:rPr>
          <w:rFonts w:hint="eastAsia" w:ascii="仿宋" w:hAnsi="仿宋" w:eastAsia="仿宋" w:cs="仿宋"/>
          <w:color w:val="auto"/>
          <w:sz w:val="32"/>
          <w:szCs w:val="32"/>
          <w:lang w:val="en-US" w:eastAsia="zh-CN"/>
        </w:rPr>
        <w:t>按要求计划安排支付</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华山至何家寨二级公路征地补偿款</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p>
    <w:bookmarkEnd w:id="5"/>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NzM5NGM5MjY3ODA4YzE2NjVjMzg5YzQxYzc2Zm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67714"/>
    <w:rsid w:val="01234E98"/>
    <w:rsid w:val="015F1951"/>
    <w:rsid w:val="020C171D"/>
    <w:rsid w:val="0216715F"/>
    <w:rsid w:val="02E0291A"/>
    <w:rsid w:val="04E54546"/>
    <w:rsid w:val="05564372"/>
    <w:rsid w:val="05901BA3"/>
    <w:rsid w:val="05992762"/>
    <w:rsid w:val="05EB3B72"/>
    <w:rsid w:val="069D39AB"/>
    <w:rsid w:val="070D6840"/>
    <w:rsid w:val="07B0770E"/>
    <w:rsid w:val="07EE63E9"/>
    <w:rsid w:val="0942143F"/>
    <w:rsid w:val="0CB33F28"/>
    <w:rsid w:val="0D100297"/>
    <w:rsid w:val="0D202B45"/>
    <w:rsid w:val="0F4165A6"/>
    <w:rsid w:val="0F8D4C87"/>
    <w:rsid w:val="10505FAA"/>
    <w:rsid w:val="105F7E7E"/>
    <w:rsid w:val="11E56B5B"/>
    <w:rsid w:val="124C5D0A"/>
    <w:rsid w:val="125C77AB"/>
    <w:rsid w:val="146B50E8"/>
    <w:rsid w:val="14CB726E"/>
    <w:rsid w:val="170E4165"/>
    <w:rsid w:val="17E92249"/>
    <w:rsid w:val="18CC099D"/>
    <w:rsid w:val="18D304F1"/>
    <w:rsid w:val="199E7D0E"/>
    <w:rsid w:val="19E5256E"/>
    <w:rsid w:val="19F32577"/>
    <w:rsid w:val="19F45B80"/>
    <w:rsid w:val="1A7D48A5"/>
    <w:rsid w:val="1AF1728D"/>
    <w:rsid w:val="1B0C078D"/>
    <w:rsid w:val="1B2B31E2"/>
    <w:rsid w:val="1B4C295A"/>
    <w:rsid w:val="1B973C63"/>
    <w:rsid w:val="1BA1001E"/>
    <w:rsid w:val="1BBA4498"/>
    <w:rsid w:val="1D317259"/>
    <w:rsid w:val="1D6334B4"/>
    <w:rsid w:val="1E664F5B"/>
    <w:rsid w:val="1EB34BE1"/>
    <w:rsid w:val="211C2B9E"/>
    <w:rsid w:val="215E639F"/>
    <w:rsid w:val="21EC3183"/>
    <w:rsid w:val="225E72CD"/>
    <w:rsid w:val="232E5F73"/>
    <w:rsid w:val="237C6DAB"/>
    <w:rsid w:val="242E456F"/>
    <w:rsid w:val="246E2F77"/>
    <w:rsid w:val="254B4E2B"/>
    <w:rsid w:val="270C62B7"/>
    <w:rsid w:val="283D7C94"/>
    <w:rsid w:val="29341449"/>
    <w:rsid w:val="29451F54"/>
    <w:rsid w:val="29480E03"/>
    <w:rsid w:val="2983634D"/>
    <w:rsid w:val="2B366830"/>
    <w:rsid w:val="2BB02055"/>
    <w:rsid w:val="2C575A56"/>
    <w:rsid w:val="2CEB0EC7"/>
    <w:rsid w:val="2EE70C8C"/>
    <w:rsid w:val="2F257714"/>
    <w:rsid w:val="2F3275E5"/>
    <w:rsid w:val="30AA08EF"/>
    <w:rsid w:val="30D23D1C"/>
    <w:rsid w:val="31221CF5"/>
    <w:rsid w:val="31400178"/>
    <w:rsid w:val="321E3342"/>
    <w:rsid w:val="327759C8"/>
    <w:rsid w:val="33185FE3"/>
    <w:rsid w:val="342A1ABC"/>
    <w:rsid w:val="34EE2E36"/>
    <w:rsid w:val="35FE4C00"/>
    <w:rsid w:val="36777241"/>
    <w:rsid w:val="36C56777"/>
    <w:rsid w:val="36E77DD6"/>
    <w:rsid w:val="38701298"/>
    <w:rsid w:val="38A951DB"/>
    <w:rsid w:val="38B31605"/>
    <w:rsid w:val="39003F4F"/>
    <w:rsid w:val="39DD30A4"/>
    <w:rsid w:val="3A3E6499"/>
    <w:rsid w:val="3C07002B"/>
    <w:rsid w:val="3C4D0229"/>
    <w:rsid w:val="3D0D152A"/>
    <w:rsid w:val="3DF62756"/>
    <w:rsid w:val="3ECB73CB"/>
    <w:rsid w:val="3F1B7587"/>
    <w:rsid w:val="3FAA47CB"/>
    <w:rsid w:val="415F6FBA"/>
    <w:rsid w:val="41E57B4F"/>
    <w:rsid w:val="432F26F6"/>
    <w:rsid w:val="43880F63"/>
    <w:rsid w:val="441C5A6F"/>
    <w:rsid w:val="44C44FCC"/>
    <w:rsid w:val="44CC7369"/>
    <w:rsid w:val="457F5108"/>
    <w:rsid w:val="46184186"/>
    <w:rsid w:val="46951B6B"/>
    <w:rsid w:val="478A7569"/>
    <w:rsid w:val="48FF5824"/>
    <w:rsid w:val="49A34401"/>
    <w:rsid w:val="4A3E30AB"/>
    <w:rsid w:val="4AC14DAC"/>
    <w:rsid w:val="4B275FC8"/>
    <w:rsid w:val="4D154C85"/>
    <w:rsid w:val="4EC8553A"/>
    <w:rsid w:val="4ED41501"/>
    <w:rsid w:val="4F0516BA"/>
    <w:rsid w:val="4F58501D"/>
    <w:rsid w:val="5060129E"/>
    <w:rsid w:val="508F4E24"/>
    <w:rsid w:val="51461E90"/>
    <w:rsid w:val="51463753"/>
    <w:rsid w:val="52553A93"/>
    <w:rsid w:val="53370963"/>
    <w:rsid w:val="533E519B"/>
    <w:rsid w:val="53521F8B"/>
    <w:rsid w:val="53A3240B"/>
    <w:rsid w:val="53E22F47"/>
    <w:rsid w:val="54522FF8"/>
    <w:rsid w:val="551239E9"/>
    <w:rsid w:val="55450629"/>
    <w:rsid w:val="55587312"/>
    <w:rsid w:val="56692963"/>
    <w:rsid w:val="568B0F48"/>
    <w:rsid w:val="56D461E8"/>
    <w:rsid w:val="5786217B"/>
    <w:rsid w:val="57B37A47"/>
    <w:rsid w:val="58833FB4"/>
    <w:rsid w:val="59337A15"/>
    <w:rsid w:val="59810274"/>
    <w:rsid w:val="59E66C5F"/>
    <w:rsid w:val="5A874F21"/>
    <w:rsid w:val="5B0622BC"/>
    <w:rsid w:val="5B674D6E"/>
    <w:rsid w:val="5CA96A00"/>
    <w:rsid w:val="5CF730BC"/>
    <w:rsid w:val="5E395477"/>
    <w:rsid w:val="5E5F0DCE"/>
    <w:rsid w:val="5FA40A7B"/>
    <w:rsid w:val="5FD56D29"/>
    <w:rsid w:val="5FEC7F3F"/>
    <w:rsid w:val="603D4F94"/>
    <w:rsid w:val="60F74BC3"/>
    <w:rsid w:val="617D3BF8"/>
    <w:rsid w:val="61841F6A"/>
    <w:rsid w:val="623007A9"/>
    <w:rsid w:val="62B72874"/>
    <w:rsid w:val="637D7558"/>
    <w:rsid w:val="644F19AC"/>
    <w:rsid w:val="65AA4920"/>
    <w:rsid w:val="65F15988"/>
    <w:rsid w:val="66386C73"/>
    <w:rsid w:val="66905A6F"/>
    <w:rsid w:val="67211342"/>
    <w:rsid w:val="67694F1E"/>
    <w:rsid w:val="69597934"/>
    <w:rsid w:val="6A5C53EE"/>
    <w:rsid w:val="6B964DDC"/>
    <w:rsid w:val="6C282953"/>
    <w:rsid w:val="6C4E7B69"/>
    <w:rsid w:val="6C783074"/>
    <w:rsid w:val="6CAD3582"/>
    <w:rsid w:val="6CB57E24"/>
    <w:rsid w:val="6D2A7DD9"/>
    <w:rsid w:val="6D9E65C6"/>
    <w:rsid w:val="6DA81947"/>
    <w:rsid w:val="6EB66DE2"/>
    <w:rsid w:val="6ED3075F"/>
    <w:rsid w:val="6F2A2D4B"/>
    <w:rsid w:val="6F8A0C1E"/>
    <w:rsid w:val="6F94030F"/>
    <w:rsid w:val="703F45D4"/>
    <w:rsid w:val="707F3D13"/>
    <w:rsid w:val="715D6546"/>
    <w:rsid w:val="71BE069E"/>
    <w:rsid w:val="73953409"/>
    <w:rsid w:val="73E069A3"/>
    <w:rsid w:val="74AE3FE7"/>
    <w:rsid w:val="765F1A01"/>
    <w:rsid w:val="78104AA8"/>
    <w:rsid w:val="78E257C5"/>
    <w:rsid w:val="794B35BE"/>
    <w:rsid w:val="79E7016D"/>
    <w:rsid w:val="7A135A52"/>
    <w:rsid w:val="7A2A367D"/>
    <w:rsid w:val="7A532DB2"/>
    <w:rsid w:val="7AD6398C"/>
    <w:rsid w:val="7AEA6B74"/>
    <w:rsid w:val="7B0A3A31"/>
    <w:rsid w:val="7B234AF2"/>
    <w:rsid w:val="7B3360ED"/>
    <w:rsid w:val="7B5319F3"/>
    <w:rsid w:val="7BCC6850"/>
    <w:rsid w:val="7BDA78A7"/>
    <w:rsid w:val="7BDF037E"/>
    <w:rsid w:val="7BF50948"/>
    <w:rsid w:val="7CE66A78"/>
    <w:rsid w:val="7D23564C"/>
    <w:rsid w:val="7D5E062D"/>
    <w:rsid w:val="7D6A2A1C"/>
    <w:rsid w:val="7DF76CD8"/>
    <w:rsid w:val="7E5D154F"/>
    <w:rsid w:val="7E6354B5"/>
    <w:rsid w:val="7F044DE4"/>
    <w:rsid w:val="7F695C26"/>
    <w:rsid w:val="7F9B559F"/>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Emphasis"/>
    <w:basedOn w:val="7"/>
    <w:autoRedefine/>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8802</Words>
  <Characters>11843</Characters>
  <Lines>90</Lines>
  <Paragraphs>25</Paragraphs>
  <TotalTime>4</TotalTime>
  <ScaleCrop>false</ScaleCrop>
  <LinksUpToDate>false</LinksUpToDate>
  <CharactersWithSpaces>12062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永</cp:lastModifiedBy>
  <dcterms:modified xsi:type="dcterms:W3CDTF">2024-12-25T07:56:41Z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16A5E58A4C184A0F8AAD5879DBB8AF73</vt:lpwstr>
  </property>
</Properties>
</file>