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方正小标宋简体" w:hAnsi="方正小标宋简体" w:eastAsia="方正小标宋简体" w:cs="方正小标宋简体"/>
          <w:b w:val="0"/>
          <w:bCs w:val="0"/>
          <w:sz w:val="52"/>
          <w:szCs w:val="52"/>
          <w:highlight w:val="none"/>
        </w:rPr>
      </w:pPr>
      <w:r>
        <w:rPr>
          <w:rFonts w:hint="eastAsia" w:ascii="方正小标宋简体" w:hAnsi="方正小标宋简体" w:eastAsia="方正小标宋简体" w:cs="方正小标宋简体"/>
          <w:b w:val="0"/>
          <w:bCs w:val="0"/>
          <w:kern w:val="0"/>
          <w:sz w:val="52"/>
          <w:szCs w:val="52"/>
          <w:lang w:eastAsia="zh-CN"/>
        </w:rPr>
        <w:t>环江毛南族自治县</w:t>
      </w:r>
      <w:r>
        <w:rPr>
          <w:rFonts w:hint="eastAsia" w:ascii="方正小标宋简体" w:hAnsi="方正小标宋简体" w:eastAsia="方正小标宋简体" w:cs="方正小标宋简体"/>
          <w:b w:val="0"/>
          <w:bCs w:val="0"/>
          <w:kern w:val="0"/>
          <w:sz w:val="52"/>
          <w:szCs w:val="52"/>
          <w:lang w:val="en-US" w:eastAsia="zh-CN"/>
        </w:rPr>
        <w:t>东兴镇财政所</w:t>
      </w:r>
      <w:r>
        <w:rPr>
          <w:rFonts w:hint="eastAsia" w:ascii="方正小标宋简体" w:hAnsi="方正小标宋简体" w:eastAsia="方正小标宋简体" w:cs="方正小标宋简体"/>
          <w:b w:val="0"/>
          <w:bCs w:val="0"/>
          <w:sz w:val="52"/>
          <w:szCs w:val="52"/>
          <w:highlight w:val="none"/>
        </w:rPr>
        <w:t>202</w:t>
      </w:r>
      <w:r>
        <w:rPr>
          <w:rFonts w:hint="eastAsia" w:ascii="方正小标宋简体" w:hAnsi="方正小标宋简体" w:eastAsia="方正小标宋简体" w:cs="方正小标宋简体"/>
          <w:b w:val="0"/>
          <w:bCs w:val="0"/>
          <w:sz w:val="52"/>
          <w:szCs w:val="52"/>
          <w:highlight w:val="none"/>
          <w:lang w:val="en-US" w:eastAsia="zh-CN"/>
        </w:rPr>
        <w:t>3</w:t>
      </w:r>
      <w:r>
        <w:rPr>
          <w:rFonts w:hint="eastAsia" w:ascii="方正小标宋简体" w:hAnsi="方正小标宋简体" w:eastAsia="方正小标宋简体" w:cs="方正小标宋简体"/>
          <w:b w:val="0"/>
          <w:bCs w:val="0"/>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b w:val="0"/>
          <w:bCs w:val="0"/>
          <w:kern w:val="0"/>
          <w:sz w:val="32"/>
          <w:szCs w:val="32"/>
          <w:lang w:eastAsia="zh-CN"/>
        </w:rPr>
        <w:t>环江毛南族自治县</w:t>
      </w:r>
      <w:r>
        <w:rPr>
          <w:rFonts w:hint="eastAsia" w:ascii="黑体" w:hAnsi="黑体" w:eastAsia="黑体" w:cs="黑体"/>
          <w:b w:val="0"/>
          <w:bCs w:val="0"/>
          <w:kern w:val="0"/>
          <w:sz w:val="32"/>
          <w:szCs w:val="32"/>
          <w:lang w:val="en-US" w:eastAsia="zh-CN"/>
        </w:rPr>
        <w:t>东兴镇财政所</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b w:val="0"/>
          <w:bCs w:val="0"/>
          <w:kern w:val="0"/>
          <w:sz w:val="32"/>
          <w:szCs w:val="32"/>
          <w:lang w:eastAsia="zh-CN"/>
        </w:rPr>
        <w:t>环江毛南族自治县</w:t>
      </w:r>
      <w:r>
        <w:rPr>
          <w:rFonts w:hint="eastAsia" w:ascii="黑体" w:hAnsi="黑体" w:eastAsia="黑体" w:cs="黑体"/>
          <w:b w:val="0"/>
          <w:bCs w:val="0"/>
          <w:kern w:val="0"/>
          <w:sz w:val="32"/>
          <w:szCs w:val="32"/>
          <w:lang w:val="en-US" w:eastAsia="zh-CN"/>
        </w:rPr>
        <w:t>东兴镇财政所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b w:val="0"/>
          <w:bCs w:val="0"/>
          <w:kern w:val="0"/>
          <w:sz w:val="32"/>
          <w:szCs w:val="32"/>
          <w:lang w:eastAsia="zh-CN"/>
        </w:rPr>
        <w:t>环江毛南族自治县</w:t>
      </w:r>
      <w:r>
        <w:rPr>
          <w:rFonts w:hint="eastAsia" w:ascii="黑体" w:hAnsi="黑体" w:eastAsia="黑体" w:cs="黑体"/>
          <w:b w:val="0"/>
          <w:bCs w:val="0"/>
          <w:kern w:val="0"/>
          <w:sz w:val="32"/>
          <w:szCs w:val="32"/>
          <w:lang w:val="en-US" w:eastAsia="zh-CN"/>
        </w:rPr>
        <w:t>东兴镇财政所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val="0"/>
          <w:bCs w:val="0"/>
          <w:kern w:val="0"/>
          <w:sz w:val="32"/>
          <w:szCs w:val="32"/>
          <w:lang w:eastAsia="zh-CN"/>
        </w:rPr>
        <w:t>环江毛南族自治县</w:t>
      </w:r>
      <w:r>
        <w:rPr>
          <w:rFonts w:hint="eastAsia" w:ascii="黑体" w:hAnsi="黑体" w:eastAsia="黑体" w:cs="黑体"/>
          <w:b w:val="0"/>
          <w:bCs w:val="0"/>
          <w:kern w:val="0"/>
          <w:sz w:val="32"/>
          <w:szCs w:val="32"/>
          <w:lang w:val="en-US" w:eastAsia="zh-CN"/>
        </w:rPr>
        <w:t>东兴镇财政所</w:t>
      </w:r>
      <w:r>
        <w:rPr>
          <w:rFonts w:hint="eastAsia" w:ascii="黑体" w:hAnsi="黑体" w:eastAsia="黑体" w:cs="黑体"/>
          <w:b/>
          <w:sz w:val="32"/>
          <w:u w:color="auto"/>
          <w:lang w:eastAsia="zh-CN"/>
        </w:rPr>
        <w:t>单位</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kinsoku/>
        <w:wordWrap/>
        <w:overflowPunct/>
        <w:topLinePunct w:val="0"/>
        <w:bidi w:val="0"/>
        <w:snapToGrid/>
        <w:spacing w:line="560" w:lineRule="exact"/>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环江毛南族自治县东兴镇财政所是财政全额拨款参照公务员管理的事业单位。其主要职责：一是负责组织和管理乡镇财政收入和支出，编制执行乡镇年度预决算；</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是负责乡镇非税收入的管理；</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是落实兑现各级惠农补助资金，对农民负担和农村政策实施监督；</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是完成上级主管部门和乡镇交办的其他事项。</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我部门没有下属单位，按照部门决算编报要求，单独编制本部门决算。我单位人员编制总数为5人，实有财政供养人数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人，其中参照公务员管理办法在职在编人数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jc w:val="center"/>
        <w:rPr>
          <w:rFonts w:hint="eastAsia" w:ascii="仿宋" w:hAnsi="仿宋" w:eastAsia="仿宋" w:cs="仿宋"/>
          <w:sz w:val="32"/>
          <w:szCs w:val="32"/>
          <w:highlight w:val="none"/>
          <w:lang w:val="en-US" w:eastAsia="zh-CN"/>
        </w:rPr>
      </w:pPr>
    </w:p>
    <w:p>
      <w:pPr>
        <w:jc w:val="both"/>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b w:val="0"/>
          <w:bCs w:val="0"/>
          <w:kern w:val="0"/>
          <w:sz w:val="32"/>
          <w:szCs w:val="32"/>
          <w:lang w:eastAsia="zh-CN"/>
        </w:rPr>
        <w:t>环江毛南族自治县</w:t>
      </w:r>
      <w:r>
        <w:rPr>
          <w:rFonts w:hint="eastAsia" w:ascii="黑体" w:hAnsi="黑体" w:eastAsia="黑体" w:cs="黑体"/>
          <w:b w:val="0"/>
          <w:bCs w:val="0"/>
          <w:kern w:val="0"/>
          <w:sz w:val="32"/>
          <w:szCs w:val="32"/>
          <w:lang w:val="en-US" w:eastAsia="zh-CN"/>
        </w:rPr>
        <w:t>东兴镇财政所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262"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239"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环江毛南族自治县东兴镇财政所</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16.56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15.03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16.56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16.56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16.56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16.56</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环江毛南族自治县东兴镇财政所</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16.56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16.56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val="en-US" w:eastAsia="zh-CN"/>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15.03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15.03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14.84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2010601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14.84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1.19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0.19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0.19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农林水支出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环江毛南族自治县东兴镇财政所</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16.56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13.68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2.88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15.03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12.15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财政事务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14.84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11.96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2010601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11.96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0.19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0.19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0.19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0.19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农林水支出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2.88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2.88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环江毛南族自治县东兴镇财政所</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16.56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15.03</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15.03</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1.53</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1.53</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16.56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16.56</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16.56</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16.56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16.56</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16.56</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环江毛南族自治县东兴镇财政所</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16.56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13.68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i w:val="0"/>
                <w:iCs w:val="0"/>
                <w:color w:val="000000"/>
                <w:kern w:val="0"/>
                <w:sz w:val="22"/>
                <w:szCs w:val="22"/>
                <w:u w:val="none"/>
                <w:lang w:val="en-US" w:eastAsia="zh-CN" w:bidi="ar"/>
              </w:rPr>
              <w:t>2.88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15.03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12.15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财政事务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14.84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11.96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2010601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14.84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11.96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0.19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0.19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0.19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0.19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农林水支出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2.88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2.88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2.88</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环江毛南族自治县东兴镇财政所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0.48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3.10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1.53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0.16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0.62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0.19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0.48</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环江毛南族自治县东兴镇财政所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r>
              <w:rPr>
                <w:rFonts w:hint="eastAsia" w:ascii="Times New Roman" w:hAnsi="Times New Roman" w:eastAsia="宋体" w:cs="Times New Roman"/>
                <w:color w:val="auto"/>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环江毛南族自治县东兴镇财政所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环江毛南族自治县东兴镇财政所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center"/>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eastAsiaTheme="minorEastAsia"/>
                <w:highlight w:val="none"/>
                <w:lang w:val="en-US" w:eastAsia="zh-CN"/>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b w:val="0"/>
          <w:bCs w:val="0"/>
          <w:kern w:val="0"/>
          <w:sz w:val="32"/>
          <w:szCs w:val="32"/>
          <w:lang w:eastAsia="zh-CN"/>
        </w:rPr>
        <w:t>环江毛南族自治县</w:t>
      </w:r>
      <w:r>
        <w:rPr>
          <w:rFonts w:hint="eastAsia" w:ascii="黑体" w:hAnsi="黑体" w:eastAsia="黑体" w:cs="黑体"/>
          <w:b w:val="0"/>
          <w:bCs w:val="0"/>
          <w:kern w:val="0"/>
          <w:sz w:val="32"/>
          <w:szCs w:val="32"/>
          <w:lang w:val="en-US" w:eastAsia="zh-CN"/>
        </w:rPr>
        <w:t>东兴镇财政所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w:t>
      </w:r>
    </w:p>
    <w:p>
      <w:pPr>
        <w:ind w:firstLine="1600" w:firstLineChars="500"/>
        <w:jc w:val="both"/>
        <w:rPr>
          <w:rFonts w:ascii="仿宋" w:hAnsi="仿宋" w:eastAsia="仿宋" w:cs="仿宋"/>
          <w:sz w:val="32"/>
          <w:szCs w:val="32"/>
          <w:highlight w:val="none"/>
        </w:rPr>
      </w:pPr>
      <w:r>
        <w:rPr>
          <w:rFonts w:hint="eastAsia" w:ascii="黑体" w:hAnsi="黑体" w:eastAsia="黑体" w:cs="黑体"/>
          <w:sz w:val="32"/>
          <w:szCs w:val="32"/>
          <w:highlight w:val="none"/>
        </w:rPr>
        <w:t>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16.56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增加4.45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上升36.75</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16.56</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 w:eastAsia="仿宋_GB2312"/>
          <w:color w:val="auto"/>
          <w:sz w:val="32"/>
          <w:szCs w:val="32"/>
          <w:lang w:val="en-US" w:eastAsia="zh-CN"/>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16.56</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val="en-US" w:eastAsia="zh-CN"/>
        </w:rPr>
        <w:t>增加4.45</w:t>
      </w:r>
      <w:r>
        <w:rPr>
          <w:rFonts w:hint="eastAsia" w:ascii="仿宋" w:hAnsi="仿宋" w:eastAsia="仿宋" w:cs="仿宋"/>
          <w:kern w:val="2"/>
          <w:sz w:val="32"/>
          <w:szCs w:val="32"/>
          <w:highlight w:val="none"/>
          <w:lang w:val="en-US" w:eastAsia="zh-CN" w:bidi="ar"/>
        </w:rPr>
        <w:t>万元，上升</w:t>
      </w:r>
      <w:r>
        <w:rPr>
          <w:rFonts w:hint="eastAsia" w:ascii="仿宋" w:hAnsi="仿宋" w:eastAsia="仿宋" w:cs="仿宋"/>
          <w:sz w:val="32"/>
          <w:u w:color="auto"/>
          <w:lang w:val="en-US" w:eastAsia="zh-CN"/>
        </w:rPr>
        <w:t>36.75</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w:t>
      </w:r>
      <w:r>
        <w:rPr>
          <w:rFonts w:hint="eastAsia" w:ascii="仿宋_GB2312" w:hAnsi="仿宋" w:eastAsia="仿宋_GB2312"/>
          <w:color w:val="auto"/>
          <w:sz w:val="32"/>
          <w:szCs w:val="32"/>
          <w:lang w:eastAsia="zh-CN"/>
        </w:rPr>
        <w:t>人员经费</w:t>
      </w:r>
      <w:r>
        <w:rPr>
          <w:rFonts w:hint="eastAsia" w:ascii="仿宋_GB2312" w:hAnsi="仿宋" w:eastAsia="仿宋_GB2312"/>
          <w:color w:val="auto"/>
          <w:sz w:val="32"/>
          <w:szCs w:val="32"/>
          <w:lang w:val="en-US" w:eastAsia="zh-CN"/>
        </w:rPr>
        <w:t>增加</w:t>
      </w:r>
      <w:r>
        <w:rPr>
          <w:rFonts w:hint="eastAsia" w:ascii="仿宋_GB2312" w:hAnsi="仿宋" w:eastAsia="仿宋_GB2312"/>
          <w:color w:val="auto"/>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2.政府性基金预算财政拨款收入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河池市</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河池市</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4.上级补助收入</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万元，为上级部门当年拨付的资金。较2022年度决算数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，主要原因是：无。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5.事业收入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万元，为事业单位开展业务活动取得的收入。较2022年度决算数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w:t>
      </w:r>
      <w:r>
        <w:rPr>
          <w:rFonts w:hint="eastAsia" w:ascii="仿宋" w:hAnsi="仿宋" w:eastAsia="仿宋" w:cs="仿宋"/>
          <w:sz w:val="32"/>
          <w:u w:color="auto"/>
          <w:lang w:val="en-US" w:eastAsia="zh-CN"/>
        </w:rPr>
        <w:t>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8.其他收入</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，主要原因是：无。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9.使用非财政拨款结余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无</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16.56</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16.56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增加4.45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增加36.75</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Times New Roman" w:hAnsi="Times New Roman" w:eastAsia="仿宋_GB2312" w:cs="Times New Roman"/>
          <w:kern w:val="0"/>
          <w:sz w:val="32"/>
          <w:szCs w:val="32"/>
        </w:rPr>
      </w:pPr>
      <w:r>
        <w:rPr>
          <w:rFonts w:hint="eastAsia" w:ascii="仿宋" w:hAnsi="仿宋" w:eastAsia="仿宋" w:cs="仿宋"/>
          <w:sz w:val="32"/>
          <w:szCs w:val="32"/>
          <w:highlight w:val="none"/>
        </w:rPr>
        <w:t>1</w:t>
      </w:r>
      <w:r>
        <w:rPr>
          <w:rFonts w:ascii="仿宋" w:hAnsi="仿宋" w:eastAsia="仿宋" w:cs="仿宋"/>
          <w:sz w:val="32"/>
          <w:u w:color="auto"/>
        </w:rPr>
        <w:t>.</w:t>
      </w:r>
      <w:r>
        <w:rPr>
          <w:rFonts w:hint="default" w:ascii="Times New Roman" w:hAnsi="Times New Roman" w:eastAsia="仿宋_GB2312" w:cs="Times New Roman"/>
          <w:kern w:val="0"/>
          <w:sz w:val="32"/>
          <w:szCs w:val="32"/>
        </w:rPr>
        <w:t>一般公共服务支出（类）</w:t>
      </w:r>
      <w:r>
        <w:rPr>
          <w:rFonts w:hint="eastAsia" w:ascii="Times New Roman" w:hAnsi="Times New Roman" w:eastAsia="仿宋_GB2312" w:cs="Times New Roman"/>
          <w:kern w:val="0"/>
          <w:sz w:val="32"/>
          <w:szCs w:val="32"/>
          <w:lang w:val="en-US" w:eastAsia="zh-CN"/>
        </w:rPr>
        <w:t>15.03</w:t>
      </w:r>
      <w:r>
        <w:rPr>
          <w:rFonts w:hint="default" w:ascii="Times New Roman" w:hAnsi="Times New Roman" w:eastAsia="仿宋_GB2312" w:cs="Times New Roman"/>
          <w:kern w:val="0"/>
          <w:sz w:val="32"/>
          <w:szCs w:val="32"/>
        </w:rPr>
        <w:t>万元：主要用于</w:t>
      </w:r>
      <w:r>
        <w:rPr>
          <w:rFonts w:hint="eastAsia" w:ascii="仿宋_GB2312" w:hAnsi="仿宋_GB2312" w:eastAsia="仿宋_GB2312" w:cs="仿宋_GB2312"/>
          <w:sz w:val="32"/>
          <w:szCs w:val="32"/>
          <w:highlight w:val="none"/>
        </w:rPr>
        <w:t>本部门为保证日常运转发生的基本支出和为完成各项工作任务、保障</w:t>
      </w:r>
      <w:r>
        <w:rPr>
          <w:rFonts w:hint="eastAsia" w:ascii="仿宋_GB2312" w:hAnsi="仿宋_GB2312" w:eastAsia="仿宋_GB2312" w:cs="仿宋_GB2312"/>
          <w:kern w:val="0"/>
          <w:sz w:val="32"/>
          <w:szCs w:val="32"/>
          <w:highlight w:val="none"/>
        </w:rPr>
        <w:t>单位事业</w:t>
      </w:r>
      <w:r>
        <w:rPr>
          <w:rFonts w:hint="eastAsia" w:ascii="仿宋_GB2312" w:hAnsi="仿宋_GB2312" w:eastAsia="仿宋_GB2312" w:cs="仿宋_GB2312"/>
          <w:sz w:val="32"/>
          <w:szCs w:val="32"/>
          <w:highlight w:val="none"/>
        </w:rPr>
        <w:t>发展而发生的项目支出</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kern w:val="0"/>
          <w:sz w:val="32"/>
          <w:szCs w:val="32"/>
        </w:rPr>
        <w:t>较202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年度决算数</w:t>
      </w:r>
      <w:r>
        <w:rPr>
          <w:rFonts w:hint="eastAsia" w:ascii="Times New Roman" w:hAnsi="Times New Roman" w:eastAsia="仿宋_GB2312" w:cs="Times New Roman"/>
          <w:kern w:val="0"/>
          <w:sz w:val="32"/>
          <w:szCs w:val="32"/>
          <w:lang w:val="en-US" w:eastAsia="zh-CN"/>
        </w:rPr>
        <w:t>增加5.03</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上升50.30</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人员经费和</w:t>
      </w:r>
      <w:r>
        <w:rPr>
          <w:rFonts w:hint="eastAsia" w:ascii="仿宋_GB2312" w:hAnsi="仿宋_GB2312" w:eastAsia="仿宋_GB2312" w:cs="仿宋_GB2312"/>
          <w:kern w:val="0"/>
          <w:sz w:val="32"/>
          <w:szCs w:val="32"/>
          <w:highlight w:val="none"/>
          <w:lang w:eastAsia="zh-CN"/>
        </w:rPr>
        <w:t>办公经费支出</w:t>
      </w:r>
      <w:r>
        <w:rPr>
          <w:rFonts w:hint="eastAsia" w:ascii="仿宋_GB2312" w:hAnsi="仿宋_GB2312" w:eastAsia="仿宋_GB2312" w:cs="仿宋_GB2312"/>
          <w:kern w:val="0"/>
          <w:sz w:val="32"/>
          <w:szCs w:val="32"/>
          <w:highlight w:val="none"/>
          <w:lang w:val="en-US" w:eastAsia="zh-CN"/>
        </w:rPr>
        <w:t>增加</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1.53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Cs/>
          <w:kern w:val="0"/>
          <w:sz w:val="32"/>
          <w:szCs w:val="32"/>
          <w:lang w:eastAsia="zh-CN"/>
        </w:rPr>
        <w:t>本部门职工的机关事业单位基本养老保险缴费支出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增加0.2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上升15.04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人员经费增加。</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bCs/>
          <w:kern w:val="0"/>
          <w:sz w:val="32"/>
          <w:szCs w:val="32"/>
          <w:highlight w:val="none"/>
          <w:lang w:val="en-US" w:eastAsia="zh-CN"/>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农林水支出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213</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2.88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Cs/>
          <w:kern w:val="0"/>
          <w:sz w:val="32"/>
          <w:szCs w:val="32"/>
          <w:lang w:eastAsia="zh-CN"/>
        </w:rPr>
        <w:t>本部门</w:t>
      </w:r>
      <w:r>
        <w:rPr>
          <w:rFonts w:hint="eastAsia" w:ascii="仿宋_GB2312" w:hAnsi="仿宋_GB2312" w:eastAsia="仿宋_GB2312" w:cs="仿宋_GB2312"/>
          <w:bCs/>
          <w:spacing w:val="-3"/>
          <w:kern w:val="0"/>
          <w:sz w:val="32"/>
          <w:szCs w:val="32"/>
          <w:highlight w:val="none"/>
        </w:rPr>
        <w:t>人员经费支出和日常公用经</w:t>
      </w:r>
      <w:r>
        <w:rPr>
          <w:rFonts w:hint="eastAsia" w:ascii="仿宋_GB2312" w:hAnsi="仿宋_GB2312" w:eastAsia="仿宋_GB2312" w:cs="仿宋_GB2312"/>
          <w:bCs/>
          <w:kern w:val="0"/>
          <w:sz w:val="32"/>
          <w:szCs w:val="32"/>
          <w:highlight w:val="none"/>
        </w:rPr>
        <w:t>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增加2.1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269.23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bCs/>
          <w:spacing w:val="-3"/>
          <w:kern w:val="0"/>
          <w:sz w:val="32"/>
          <w:szCs w:val="32"/>
          <w:highlight w:val="none"/>
        </w:rPr>
        <w:t>人员经费支出和日常公用经</w:t>
      </w:r>
      <w:r>
        <w:rPr>
          <w:rFonts w:hint="eastAsia" w:ascii="仿宋_GB2312" w:hAnsi="仿宋_GB2312" w:eastAsia="仿宋_GB2312" w:cs="仿宋_GB2312"/>
          <w:bCs/>
          <w:kern w:val="0"/>
          <w:sz w:val="32"/>
          <w:szCs w:val="32"/>
          <w:highlight w:val="none"/>
        </w:rPr>
        <w:t>费</w:t>
      </w:r>
      <w:r>
        <w:rPr>
          <w:rFonts w:hint="eastAsia" w:ascii="仿宋_GB2312" w:hAnsi="仿宋_GB2312" w:eastAsia="仿宋_GB2312" w:cs="仿宋_GB2312"/>
          <w:bCs/>
          <w:kern w:val="0"/>
          <w:sz w:val="32"/>
          <w:szCs w:val="32"/>
          <w:highlight w:val="none"/>
          <w:lang w:val="en-US" w:eastAsia="zh-CN"/>
        </w:rPr>
        <w:t>支出增加。</w:t>
      </w:r>
    </w:p>
    <w:p>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_GB2312" w:cs="仿宋"/>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减少0</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减少0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环江县东兴镇财政所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16.56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bookmarkStart w:id="6" w:name="_GoBack"/>
      <w:bookmarkEnd w:id="6"/>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4.45</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36.75</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13.68</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2.88</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环江县东兴镇财政所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szCs w:val="32"/>
          <w:highlight w:val="none"/>
          <w:lang w:val="en-US" w:eastAsia="zh-CN"/>
        </w:rPr>
        <w:t>15.97</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16.56</w:t>
      </w:r>
      <w:r>
        <w:rPr>
          <w:rFonts w:hint="eastAsia" w:ascii="仿宋" w:hAnsi="仿宋" w:eastAsia="仿宋" w:cs="仿宋"/>
          <w:sz w:val="32"/>
          <w:szCs w:val="32"/>
          <w:highlight w:val="none"/>
        </w:rPr>
        <w:t>万元，完成年初预算的</w:t>
      </w:r>
      <w:r>
        <w:rPr>
          <w:rFonts w:hint="eastAsia" w:ascii="仿宋" w:hAnsi="仿宋" w:eastAsia="仿宋" w:cs="仿宋"/>
          <w:sz w:val="32"/>
          <w:highlight w:val="none"/>
          <w:u w:color="auto"/>
          <w:lang w:val="en-US" w:eastAsia="zh-CN"/>
        </w:rPr>
        <w:t>103.69</w:t>
      </w:r>
      <w:r>
        <w:rPr>
          <w:rFonts w:ascii="仿宋" w:hAnsi="仿宋" w:eastAsia="仿宋" w:cs="仿宋"/>
          <w:sz w:val="32"/>
          <w:highlight w:val="none"/>
          <w:u w:color="auto"/>
        </w:rPr>
        <w:t>%</w:t>
      </w:r>
      <w:r>
        <w:rPr>
          <w:rFonts w:hint="eastAsia" w:ascii="仿宋" w:hAnsi="仿宋" w:eastAsia="仿宋" w:cs="仿宋"/>
          <w:sz w:val="32"/>
          <w:szCs w:val="32"/>
          <w:highlight w:val="none"/>
        </w:rPr>
        <w:t>。</w:t>
      </w:r>
    </w:p>
    <w:p>
      <w:pPr>
        <w:jc w:val="left"/>
        <w:rPr>
          <w:rFonts w:ascii="仿宋" w:hAnsi="仿宋" w:eastAsia="仿宋"/>
          <w:sz w:val="32"/>
          <w:szCs w:val="32"/>
          <w:highlight w:val="none"/>
        </w:rPr>
      </w:pPr>
      <w:bookmarkStart w:id="3" w:name="OLE_LINK2"/>
      <w:bookmarkEnd w:id="3"/>
      <w:r>
        <w:rPr>
          <w:rFonts w:hint="eastAsia" w:ascii="仿宋" w:hAnsi="仿宋" w:eastAsia="仿宋"/>
          <w:sz w:val="32"/>
          <w:szCs w:val="32"/>
          <w:highlight w:val="none"/>
        </w:rPr>
        <w:t xml:space="preserve"> </w:t>
      </w:r>
    </w:p>
    <w:p>
      <w:pPr>
        <w:ind w:firstLine="640" w:firstLineChars="200"/>
        <w:jc w:val="left"/>
        <w:rPr>
          <w:rFonts w:hint="eastAsia" w:ascii="仿宋" w:hAnsi="仿宋" w:eastAsia="仿宋"/>
          <w:sz w:val="32"/>
          <w:szCs w:val="32"/>
          <w:highlight w:val="none"/>
        </w:rPr>
      </w:pPr>
      <w:r>
        <w:rPr>
          <w:rFonts w:hint="eastAsia" w:ascii="Times New Roman" w:hAnsi="Times New Roman" w:eastAsia="仿宋_GB2312" w:cs="Times New Roman"/>
          <w:bCs/>
          <w:kern w:val="0"/>
          <w:sz w:val="32"/>
          <w:szCs w:val="32"/>
          <w:highlight w:val="none"/>
          <w:lang w:eastAsia="zh-CN"/>
        </w:rPr>
        <w:t>（</w:t>
      </w:r>
      <w:r>
        <w:rPr>
          <w:rFonts w:hint="eastAsia" w:ascii="Times New Roman" w:hAnsi="Times New Roman" w:eastAsia="仿宋_GB2312" w:cs="Times New Roman"/>
          <w:bCs/>
          <w:kern w:val="0"/>
          <w:sz w:val="32"/>
          <w:szCs w:val="32"/>
          <w:highlight w:val="none"/>
          <w:lang w:val="en-US" w:eastAsia="zh-CN"/>
        </w:rPr>
        <w:t>一</w:t>
      </w:r>
      <w:r>
        <w:rPr>
          <w:rFonts w:hint="eastAsia"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一般公共服务支出（类）年初预算为</w:t>
      </w:r>
      <w:r>
        <w:rPr>
          <w:rFonts w:hint="eastAsia" w:ascii="Times New Roman" w:hAnsi="Times New Roman" w:eastAsia="仿宋_GB2312" w:cs="Times New Roman"/>
          <w:bCs/>
          <w:kern w:val="0"/>
          <w:sz w:val="32"/>
          <w:szCs w:val="32"/>
          <w:highlight w:val="none"/>
          <w:lang w:val="en-US" w:eastAsia="zh-CN"/>
        </w:rPr>
        <w:t>13.32</w:t>
      </w:r>
      <w:r>
        <w:rPr>
          <w:rFonts w:hint="default" w:ascii="Times New Roman" w:hAnsi="Times New Roman" w:eastAsia="仿宋_GB2312" w:cs="Times New Roman"/>
          <w:bCs/>
          <w:kern w:val="0"/>
          <w:sz w:val="32"/>
          <w:szCs w:val="32"/>
          <w:highlight w:val="none"/>
        </w:rPr>
        <w:t>万元，支出决算为</w:t>
      </w:r>
      <w:r>
        <w:rPr>
          <w:rFonts w:hint="eastAsia" w:ascii="Times New Roman" w:hAnsi="Times New Roman" w:eastAsia="仿宋_GB2312" w:cs="Times New Roman"/>
          <w:bCs/>
          <w:kern w:val="0"/>
          <w:sz w:val="32"/>
          <w:szCs w:val="32"/>
          <w:highlight w:val="none"/>
          <w:lang w:val="en-US" w:eastAsia="zh-CN"/>
        </w:rPr>
        <w:t>15.03</w:t>
      </w:r>
      <w:r>
        <w:rPr>
          <w:rFonts w:hint="default" w:ascii="Times New Roman" w:hAnsi="Times New Roman" w:eastAsia="仿宋_GB2312" w:cs="Times New Roman"/>
          <w:bCs/>
          <w:kern w:val="0"/>
          <w:sz w:val="32"/>
          <w:szCs w:val="32"/>
          <w:highlight w:val="none"/>
        </w:rPr>
        <w:t>万元，完成年初预算的</w:t>
      </w:r>
      <w:r>
        <w:rPr>
          <w:rFonts w:hint="eastAsia" w:ascii="Times New Roman" w:hAnsi="Times New Roman" w:eastAsia="仿宋_GB2312" w:cs="Times New Roman"/>
          <w:bCs/>
          <w:kern w:val="0"/>
          <w:sz w:val="32"/>
          <w:szCs w:val="32"/>
          <w:highlight w:val="none"/>
          <w:lang w:val="en-US" w:eastAsia="zh-CN"/>
        </w:rPr>
        <w:t>112.84</w:t>
      </w:r>
      <w:r>
        <w:rPr>
          <w:rFonts w:hint="default" w:ascii="Times New Roman" w:hAnsi="Times New Roman" w:eastAsia="仿宋_GB2312" w:cs="Times New Roman"/>
          <w:bCs/>
          <w:kern w:val="0"/>
          <w:sz w:val="32"/>
          <w:szCs w:val="32"/>
          <w:highlight w:val="none"/>
        </w:rPr>
        <w:t>%。</w:t>
      </w:r>
      <w:r>
        <w:rPr>
          <w:rFonts w:hint="default" w:ascii="Times New Roman" w:hAnsi="Times New Roman" w:eastAsia="仿宋_GB2312" w:cs="Times New Roman"/>
          <w:bCs/>
          <w:kern w:val="0"/>
          <w:sz w:val="32"/>
          <w:szCs w:val="32"/>
        </w:rPr>
        <w:t>（简要说明预决算差异）主要用于</w:t>
      </w:r>
      <w:r>
        <w:rPr>
          <w:rFonts w:hint="eastAsia" w:ascii="仿宋_GB2312" w:hAnsi="仿宋_GB2312" w:eastAsia="仿宋_GB2312" w:cs="仿宋_GB2312"/>
          <w:bCs/>
          <w:kern w:val="0"/>
          <w:sz w:val="32"/>
          <w:szCs w:val="32"/>
          <w:highlight w:val="none"/>
        </w:rPr>
        <w:t>本部门为保证日常运转发生的基本支出，如根据国家及自治区规定</w:t>
      </w:r>
      <w:r>
        <w:rPr>
          <w:rFonts w:hint="eastAsia" w:ascii="仿宋_GB2312" w:hAnsi="仿宋_GB2312" w:eastAsia="仿宋_GB2312" w:cs="仿宋_GB2312"/>
          <w:bCs/>
          <w:spacing w:val="-3"/>
          <w:kern w:val="0"/>
          <w:sz w:val="32"/>
          <w:szCs w:val="32"/>
          <w:highlight w:val="none"/>
        </w:rPr>
        <w:t>的基本工资和津补贴标准等安排的人员经费支出和日常公用经</w:t>
      </w:r>
      <w:r>
        <w:rPr>
          <w:rFonts w:hint="eastAsia" w:ascii="仿宋_GB2312" w:hAnsi="仿宋_GB2312" w:eastAsia="仿宋_GB2312" w:cs="仿宋_GB2312"/>
          <w:bCs/>
          <w:kern w:val="0"/>
          <w:sz w:val="32"/>
          <w:szCs w:val="32"/>
          <w:highlight w:val="none"/>
        </w:rPr>
        <w:t>费支出。</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2050101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cstheme="minorEastAsia"/>
                <w:i w:val="0"/>
                <w:iCs w:val="0"/>
                <w:color w:val="000000"/>
                <w:sz w:val="18"/>
                <w:szCs w:val="18"/>
                <w:highlight w:val="none"/>
                <w:u w:val="none"/>
                <w:lang w:val="en-US" w:eastAsia="zh-CN"/>
              </w:rPr>
              <w:t>13.13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cstheme="minorEastAsia"/>
                <w:i w:val="0"/>
                <w:iCs w:val="0"/>
                <w:color w:val="000000"/>
                <w:kern w:val="2"/>
                <w:sz w:val="18"/>
                <w:szCs w:val="18"/>
                <w:highlight w:val="none"/>
                <w:u w:val="none"/>
                <w:lang w:val="en-US" w:eastAsia="zh-CN" w:bidi="ar-SA"/>
              </w:rPr>
              <w:t>14.84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cstheme="minorEastAsia"/>
                <w:i w:val="0"/>
                <w:iCs w:val="0"/>
                <w:color w:val="000000"/>
                <w:sz w:val="18"/>
                <w:szCs w:val="18"/>
                <w:highlight w:val="none"/>
                <w:u w:val="none"/>
                <w:lang w:val="en-US" w:eastAsia="zh-CN"/>
              </w:rPr>
              <w:t>113.02</w:t>
            </w:r>
            <w:r>
              <w:rPr>
                <w:rFonts w:hint="eastAsia" w:asciiTheme="minorEastAsia" w:hAnsiTheme="minorEastAsia" w:eastAsiaTheme="minorEastAsia" w:cstheme="minorEastAsia"/>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bCs/>
                <w:spacing w:val="-3"/>
                <w:kern w:val="0"/>
                <w:sz w:val="18"/>
                <w:szCs w:val="18"/>
                <w:highlight w:val="none"/>
              </w:rPr>
              <w:t>基本工资和津补贴标准等安排的人员经费支出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cstheme="minorEastAsia"/>
                <w:color w:val="auto"/>
                <w:sz w:val="18"/>
                <w:szCs w:val="18"/>
                <w:highlight w:val="none"/>
                <w:lang w:val="en-US" w:eastAsia="zh-CN"/>
              </w:rPr>
              <w:t>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cstheme="minorEastAsia"/>
                <w:i w:val="0"/>
                <w:iCs w:val="0"/>
                <w:color w:val="000000"/>
                <w:sz w:val="18"/>
                <w:szCs w:val="18"/>
                <w:highlight w:val="none"/>
                <w:u w:val="none"/>
                <w:lang w:val="en-US" w:eastAsia="zh-CN"/>
              </w:rPr>
              <w:t>0.19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cstheme="minorEastAsia"/>
                <w:i w:val="0"/>
                <w:iCs w:val="0"/>
                <w:color w:val="000000"/>
                <w:kern w:val="2"/>
                <w:sz w:val="18"/>
                <w:szCs w:val="18"/>
                <w:highlight w:val="none"/>
                <w:u w:val="none"/>
                <w:lang w:val="en-US" w:eastAsia="zh-CN" w:bidi="ar-SA"/>
              </w:rPr>
              <w:t>0.19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bCs/>
                <w:spacing w:val="-3"/>
                <w:kern w:val="0"/>
                <w:sz w:val="18"/>
                <w:szCs w:val="18"/>
                <w:highlight w:val="none"/>
              </w:rPr>
              <w:t>日常公用经</w:t>
            </w:r>
            <w:r>
              <w:rPr>
                <w:rFonts w:hint="eastAsia" w:asciiTheme="minorEastAsia" w:hAnsiTheme="minorEastAsia" w:eastAsiaTheme="minorEastAsia" w:cstheme="minorEastAsia"/>
                <w:bCs/>
                <w:kern w:val="0"/>
                <w:sz w:val="18"/>
                <w:szCs w:val="18"/>
                <w:highlight w:val="none"/>
              </w:rPr>
              <w:t>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18"/>
                <w:szCs w:val="18"/>
                <w:highlight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cstheme="minorEastAsia"/>
                <w:i w:val="0"/>
                <w:iCs w:val="0"/>
                <w:color w:val="000000"/>
                <w:sz w:val="18"/>
                <w:szCs w:val="18"/>
                <w:highlight w:val="none"/>
                <w:u w:val="none"/>
                <w:lang w:val="en-US" w:eastAsia="zh-CN"/>
              </w:rPr>
              <w:t>13.32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cstheme="minorEastAsia"/>
                <w:i w:val="0"/>
                <w:iCs w:val="0"/>
                <w:color w:val="000000"/>
                <w:kern w:val="2"/>
                <w:sz w:val="18"/>
                <w:szCs w:val="18"/>
                <w:highlight w:val="none"/>
                <w:u w:val="none"/>
                <w:lang w:val="en-US" w:eastAsia="zh-CN" w:bidi="ar-SA"/>
              </w:rPr>
              <w:t>15.03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bCs/>
                <w:kern w:val="0"/>
                <w:sz w:val="18"/>
                <w:szCs w:val="18"/>
                <w:highlight w:val="none"/>
              </w:rPr>
              <w:t>主要用于</w:t>
            </w:r>
            <w:r>
              <w:rPr>
                <w:rFonts w:hint="eastAsia" w:asciiTheme="minorEastAsia" w:hAnsiTheme="minorEastAsia" w:eastAsiaTheme="minorEastAsia" w:cstheme="minorEastAsia"/>
                <w:bCs/>
                <w:kern w:val="0"/>
                <w:sz w:val="18"/>
                <w:szCs w:val="18"/>
                <w:highlight w:val="none"/>
              </w:rPr>
              <w:t>本部门为保证日常运转发生的基本支出，如根据国家及自治区规定</w:t>
            </w:r>
            <w:r>
              <w:rPr>
                <w:rFonts w:hint="eastAsia" w:asciiTheme="minorEastAsia" w:hAnsiTheme="minorEastAsia" w:eastAsiaTheme="minorEastAsia" w:cstheme="minorEastAsia"/>
                <w:bCs/>
                <w:spacing w:val="-3"/>
                <w:kern w:val="0"/>
                <w:sz w:val="18"/>
                <w:szCs w:val="18"/>
                <w:highlight w:val="none"/>
              </w:rPr>
              <w:t>的基本工资和津补贴标准等安排的人员经费支出和日常公用经</w:t>
            </w:r>
            <w:r>
              <w:rPr>
                <w:rFonts w:hint="eastAsia" w:asciiTheme="minorEastAsia" w:hAnsiTheme="minorEastAsia" w:eastAsiaTheme="minorEastAsia" w:cstheme="minorEastAsia"/>
                <w:bCs/>
                <w:kern w:val="0"/>
                <w:sz w:val="18"/>
                <w:szCs w:val="18"/>
                <w:highlight w:val="none"/>
              </w:rPr>
              <w:t>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cstheme="minorEastAsia"/>
                <w:color w:val="auto"/>
                <w:sz w:val="18"/>
                <w:szCs w:val="18"/>
                <w:highlight w:val="none"/>
                <w:lang w:val="en-US" w:eastAsia="zh-CN"/>
              </w:rPr>
              <w:t>人员增加</w:t>
            </w:r>
          </w:p>
        </w:tc>
      </w:tr>
    </w:tbl>
    <w:p>
      <w:pPr>
        <w:jc w:val="left"/>
        <w:rPr>
          <w:rFonts w:hint="eastAsia" w:asciiTheme="minorEastAsia" w:hAnsiTheme="minorEastAsia" w:eastAsiaTheme="minorEastAsia" w:cstheme="minorEastAsia"/>
          <w:sz w:val="18"/>
          <w:szCs w:val="18"/>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1.53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w:t>
      </w:r>
      <w:r>
        <w:rPr>
          <w:rFonts w:hint="eastAsia" w:ascii="仿宋" w:hAnsi="仿宋" w:eastAsia="仿宋"/>
          <w:color w:val="auto"/>
          <w:sz w:val="32"/>
          <w:szCs w:val="32"/>
          <w:highlight w:val="none"/>
          <w:lang w:val="en-US" w:eastAsia="zh-CN"/>
        </w:rPr>
        <w:t>是：</w:t>
      </w:r>
      <w:r>
        <w:rPr>
          <w:rFonts w:hint="eastAsia" w:ascii="仿宋" w:hAnsi="仿宋" w:eastAsia="仿宋" w:cs="仿宋"/>
          <w:color w:val="auto"/>
          <w:kern w:val="2"/>
          <w:sz w:val="32"/>
          <w:szCs w:val="32"/>
          <w:highlight w:val="none"/>
          <w:lang w:val="en-US" w:eastAsia="zh-CN" w:bidi="ar"/>
        </w:rPr>
        <w:t>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1.</w:t>
            </w:r>
            <w:r>
              <w:rPr>
                <w:rFonts w:hint="eastAsia" w:asciiTheme="minorEastAsia" w:hAnsiTheme="minorEastAsia" w:cstheme="minorEastAsia"/>
                <w:i w:val="0"/>
                <w:iCs w:val="0"/>
                <w:color w:val="000000"/>
                <w:sz w:val="18"/>
                <w:szCs w:val="18"/>
                <w:highlight w:val="none"/>
                <w:u w:val="none"/>
                <w:lang w:val="en-US" w:eastAsia="zh-CN"/>
              </w:rPr>
              <w:t>53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cstheme="minorEastAsia"/>
                <w:i w:val="0"/>
                <w:iCs w:val="0"/>
                <w:color w:val="000000"/>
                <w:kern w:val="2"/>
                <w:sz w:val="18"/>
                <w:szCs w:val="18"/>
                <w:highlight w:val="none"/>
                <w:u w:val="none"/>
                <w:lang w:val="en-US" w:eastAsia="zh-CN" w:bidi="ar-SA"/>
              </w:rPr>
              <w:t>1.53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360" w:firstLineChars="200"/>
              <w:textAlignment w:val="auto"/>
              <w:rPr>
                <w:rFonts w:hint="eastAsia" w:asciiTheme="minorEastAsia" w:hAnsiTheme="minorEastAsia" w:eastAsiaTheme="minorEastAsia" w:cstheme="minorEastAsia"/>
                <w:bCs/>
                <w:kern w:val="0"/>
                <w:sz w:val="18"/>
                <w:szCs w:val="18"/>
                <w:lang w:eastAsia="zh-CN"/>
              </w:rPr>
            </w:pPr>
            <w:r>
              <w:rPr>
                <w:rFonts w:hint="eastAsia" w:asciiTheme="minorEastAsia" w:hAnsiTheme="minorEastAsia" w:eastAsiaTheme="minorEastAsia" w:cstheme="minorEastAsia"/>
                <w:bCs/>
                <w:kern w:val="0"/>
                <w:sz w:val="18"/>
                <w:szCs w:val="18"/>
              </w:rPr>
              <w:t>主要用于</w:t>
            </w:r>
            <w:r>
              <w:rPr>
                <w:rFonts w:hint="eastAsia" w:asciiTheme="minorEastAsia" w:hAnsiTheme="minorEastAsia" w:eastAsiaTheme="minorEastAsia" w:cstheme="minorEastAsia"/>
                <w:bCs/>
                <w:kern w:val="0"/>
                <w:sz w:val="18"/>
                <w:szCs w:val="18"/>
                <w:lang w:eastAsia="zh-CN"/>
              </w:rPr>
              <w:t>本部门职工的机关事业单位基本养老保险缴费支出。</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cstheme="minorEastAsia"/>
                <w:color w:val="auto"/>
                <w:sz w:val="18"/>
                <w:szCs w:val="18"/>
                <w:highlight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eastAsiaTheme="minorEastAsia" w:cstheme="minorEastAsia"/>
                <w:i w:val="0"/>
                <w:iCs w:val="0"/>
                <w:color w:val="000000"/>
                <w:sz w:val="18"/>
                <w:szCs w:val="18"/>
                <w:highlight w:val="none"/>
                <w:u w:val="none"/>
                <w:lang w:val="en-US" w:eastAsia="zh-CN"/>
              </w:rPr>
              <w:t>1.</w:t>
            </w:r>
            <w:r>
              <w:rPr>
                <w:rFonts w:hint="eastAsia" w:asciiTheme="minorEastAsia" w:hAnsiTheme="minorEastAsia" w:cstheme="minorEastAsia"/>
                <w:i w:val="0"/>
                <w:iCs w:val="0"/>
                <w:color w:val="000000"/>
                <w:sz w:val="18"/>
                <w:szCs w:val="18"/>
                <w:highlight w:val="none"/>
                <w:u w:val="none"/>
                <w:lang w:val="en-US" w:eastAsia="zh-CN"/>
              </w:rPr>
              <w:t>53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t>1</w:t>
            </w:r>
            <w:r>
              <w:rPr>
                <w:rFonts w:hint="eastAsia" w:asciiTheme="minorEastAsia" w:hAnsiTheme="minorEastAsia" w:cstheme="minorEastAsia"/>
                <w:i w:val="0"/>
                <w:iCs w:val="0"/>
                <w:color w:val="000000"/>
                <w:kern w:val="2"/>
                <w:sz w:val="18"/>
                <w:szCs w:val="18"/>
                <w:highlight w:val="none"/>
                <w:u w:val="none"/>
                <w:lang w:val="en-US" w:eastAsia="zh-CN" w:bidi="ar-SA"/>
              </w:rPr>
              <w:t>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18"/>
                <w:szCs w:val="18"/>
                <w:highlight w:val="none"/>
                <w:u w:val="none"/>
                <w:lang w:val="en-US" w:eastAsia="zh-CN"/>
              </w:rPr>
            </w:pPr>
            <w:r>
              <w:rPr>
                <w:rFonts w:hint="eastAsia" w:asciiTheme="minorEastAsia" w:hAnsiTheme="minorEastAsia" w:cstheme="minorEastAsia"/>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360" w:firstLineChars="200"/>
              <w:textAlignment w:val="auto"/>
              <w:rPr>
                <w:rFonts w:hint="eastAsia" w:asciiTheme="minorEastAsia" w:hAnsiTheme="minorEastAsia" w:eastAsiaTheme="minorEastAsia" w:cstheme="minorEastAsia"/>
                <w:bCs/>
                <w:kern w:val="0"/>
                <w:sz w:val="18"/>
                <w:szCs w:val="18"/>
                <w:lang w:eastAsia="zh-CN"/>
              </w:rPr>
            </w:pPr>
            <w:r>
              <w:rPr>
                <w:rFonts w:hint="eastAsia" w:asciiTheme="minorEastAsia" w:hAnsiTheme="minorEastAsia" w:eastAsiaTheme="minorEastAsia" w:cstheme="minorEastAsia"/>
                <w:bCs/>
                <w:kern w:val="0"/>
                <w:sz w:val="18"/>
                <w:szCs w:val="18"/>
              </w:rPr>
              <w:t>主要用于</w:t>
            </w:r>
            <w:r>
              <w:rPr>
                <w:rFonts w:hint="eastAsia" w:asciiTheme="minorEastAsia" w:hAnsiTheme="minorEastAsia" w:eastAsiaTheme="minorEastAsia" w:cstheme="minorEastAsia"/>
                <w:bCs/>
                <w:kern w:val="0"/>
                <w:sz w:val="18"/>
                <w:szCs w:val="18"/>
                <w:lang w:eastAsia="zh-CN"/>
              </w:rPr>
              <w:t>本部门职工的机关事业单位基本养老保险缴费支出。</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cstheme="minorEastAsia"/>
                <w:color w:val="auto"/>
                <w:sz w:val="18"/>
                <w:szCs w:val="18"/>
                <w:highlight w:val="none"/>
                <w:lang w:val="en-US" w:eastAsia="zh-CN"/>
              </w:rPr>
              <w:t>无</w:t>
            </w:r>
          </w:p>
        </w:tc>
      </w:tr>
    </w:tbl>
    <w:p>
      <w:pPr>
        <w:jc w:val="left"/>
        <w:rPr>
          <w:rFonts w:hint="eastAsia" w:asciiTheme="minorEastAsia" w:hAnsiTheme="minorEastAsia" w:eastAsiaTheme="minorEastAsia" w:cstheme="minorEastAsia"/>
          <w:sz w:val="18"/>
          <w:szCs w:val="18"/>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2.88</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原因是：年初未做预算</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2139999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其他农林水支出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bCs/>
                <w:kern w:val="0"/>
                <w:sz w:val="18"/>
                <w:szCs w:val="18"/>
                <w:lang w:eastAsia="zh-CN"/>
              </w:rPr>
              <w:t>本部门</w:t>
            </w:r>
            <w:r>
              <w:rPr>
                <w:rFonts w:hint="eastAsia" w:ascii="宋体" w:hAnsi="宋体" w:eastAsia="宋体" w:cs="宋体"/>
                <w:bCs/>
                <w:spacing w:val="-3"/>
                <w:kern w:val="0"/>
                <w:sz w:val="18"/>
                <w:szCs w:val="18"/>
                <w:highlight w:val="none"/>
              </w:rPr>
              <w:t>人员经费支出和日常公用经</w:t>
            </w:r>
            <w:r>
              <w:rPr>
                <w:rFonts w:hint="eastAsia" w:ascii="宋体" w:hAnsi="宋体" w:eastAsia="宋体" w:cs="宋体"/>
                <w:bCs/>
                <w:kern w:val="0"/>
                <w:sz w:val="18"/>
                <w:szCs w:val="18"/>
                <w:highlight w:val="none"/>
              </w:rPr>
              <w:t>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年初未做预算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bCs/>
                <w:kern w:val="0"/>
                <w:sz w:val="18"/>
                <w:szCs w:val="18"/>
                <w:lang w:eastAsia="zh-CN"/>
              </w:rPr>
              <w:t>本部门</w:t>
            </w:r>
            <w:r>
              <w:rPr>
                <w:rFonts w:hint="eastAsia" w:ascii="宋体" w:hAnsi="宋体" w:eastAsia="宋体" w:cs="宋体"/>
                <w:bCs/>
                <w:spacing w:val="-3"/>
                <w:kern w:val="0"/>
                <w:sz w:val="18"/>
                <w:szCs w:val="18"/>
                <w:highlight w:val="none"/>
              </w:rPr>
              <w:t>人员经费支出和日常公用经</w:t>
            </w:r>
            <w:r>
              <w:rPr>
                <w:rFonts w:hint="eastAsia" w:ascii="宋体" w:hAnsi="宋体" w:eastAsia="宋体" w:cs="宋体"/>
                <w:bCs/>
                <w:kern w:val="0"/>
                <w:sz w:val="18"/>
                <w:szCs w:val="18"/>
                <w:highlight w:val="none"/>
              </w:rPr>
              <w:t>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年初未做预算</w:t>
            </w:r>
          </w:p>
        </w:tc>
      </w:tr>
    </w:tbl>
    <w:p>
      <w:pPr>
        <w:jc w:val="left"/>
        <w:rPr>
          <w:rFonts w:hint="eastAsia" w:ascii="宋体" w:hAnsi="宋体" w:eastAsia="宋体" w:cs="宋体"/>
          <w:sz w:val="18"/>
          <w:szCs w:val="18"/>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420" w:leftChars="0" w:right="0" w:rightChars="0"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1.14</w:t>
      </w:r>
      <w:r>
        <w:rPr>
          <w:rFonts w:hint="eastAsia" w:ascii="仿宋" w:hAnsi="仿宋" w:eastAsia="仿宋"/>
          <w:sz w:val="32"/>
          <w:szCs w:val="32"/>
          <w:highlight w:val="none"/>
        </w:rPr>
        <w:t>万元，</w:t>
      </w: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原因是：住房公积金由乡镇人民政府统一支付</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用于职工住房公积金的支出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住房公积金由乡镇人民政府统一支付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用于职工住房公积金的支出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住房公积金由乡镇人民政府统一支付</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_GB2312" w:hAnsi="仿宋_GB2312" w:eastAsia="仿宋_GB2312" w:cs="仿宋_GB2312"/>
          <w:b w:val="0"/>
          <w:bCs w:val="0"/>
          <w:kern w:val="0"/>
          <w:sz w:val="32"/>
          <w:szCs w:val="32"/>
          <w:lang w:eastAsia="zh-CN"/>
        </w:rPr>
        <w:t>环江毛南族自治县</w:t>
      </w:r>
      <w:r>
        <w:rPr>
          <w:rFonts w:hint="eastAsia" w:ascii="仿宋_GB2312" w:hAnsi="仿宋_GB2312" w:eastAsia="仿宋_GB2312" w:cs="仿宋_GB2312"/>
          <w:b w:val="0"/>
          <w:bCs w:val="0"/>
          <w:kern w:val="0"/>
          <w:sz w:val="32"/>
          <w:szCs w:val="32"/>
          <w:lang w:val="en-US" w:eastAsia="zh-CN"/>
        </w:rPr>
        <w:t>东兴镇财政所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13.68</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13.2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0.48</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13.19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114.80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主要原因是：人员经费增加。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3.9万元，30102津贴补贴4.03万元，30103奖金3.1万元，30106伙食补助费0万元，30107绩效工资0万元，30108机关事业单位基本养老保险缴费1.53万元，30110职工基本医疗保险缴费0.62万元，30111公务员医疗补助缴费0万元，30112其他社会保障缴费0.01万元，30113住房公积金0万元，30199其他工资福利支出0万元,30307医疗补助0.01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0.48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32.21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主要原因是：办公费用减少。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30201办公费0.05万元，30206电费0.08万元，30207邮电费0.16万元，30211差旅费0万元，30215会议费0万元，30216培训费0万元，30226劳务费0万元，30228工会经费0.19万元，30299其他商品和服务支出0万元。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highlight w:val="none"/>
          <w:u w:color="auto"/>
          <w:lang w:val="en-US" w:eastAsia="zh-CN"/>
        </w:rPr>
        <w:t>0.01</w:t>
      </w:r>
      <w:r>
        <w:rPr>
          <w:rFonts w:ascii="仿宋" w:hAnsi="仿宋" w:eastAsia="仿宋" w:cs="仿宋"/>
          <w:sz w:val="32"/>
          <w:highlight w:val="none"/>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主要原因是：年初预算无此预算。</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30307医疗补助0.01万元。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_GB2312" w:hAnsi="仿宋_GB2312" w:eastAsia="仿宋_GB2312" w:cs="仿宋_GB2312"/>
          <w:b w:val="0"/>
          <w:bCs w:val="0"/>
          <w:kern w:val="0"/>
          <w:sz w:val="32"/>
          <w:szCs w:val="32"/>
          <w:lang w:eastAsia="zh-CN"/>
        </w:rPr>
        <w:t>环江毛南族自治县</w:t>
      </w:r>
      <w:r>
        <w:rPr>
          <w:rFonts w:hint="eastAsia" w:ascii="仿宋_GB2312" w:hAnsi="仿宋_GB2312" w:eastAsia="仿宋_GB2312" w:cs="仿宋_GB2312"/>
          <w:b w:val="0"/>
          <w:bCs w:val="0"/>
          <w:kern w:val="0"/>
          <w:sz w:val="32"/>
          <w:szCs w:val="32"/>
          <w:lang w:val="en-US" w:eastAsia="zh-CN"/>
        </w:rPr>
        <w:t>东兴镇财政所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_GB2312" w:hAnsi="仿宋_GB2312" w:eastAsia="仿宋_GB2312" w:cs="仿宋_GB2312"/>
          <w:b w:val="0"/>
          <w:bCs w:val="0"/>
          <w:kern w:val="0"/>
          <w:sz w:val="32"/>
          <w:szCs w:val="32"/>
          <w:lang w:eastAsia="zh-CN"/>
        </w:rPr>
        <w:t>环江毛南族自治县</w:t>
      </w:r>
      <w:r>
        <w:rPr>
          <w:rFonts w:hint="eastAsia" w:ascii="仿宋_GB2312" w:hAnsi="仿宋_GB2312" w:eastAsia="仿宋_GB2312" w:cs="仿宋_GB2312"/>
          <w:b w:val="0"/>
          <w:bCs w:val="0"/>
          <w:kern w:val="0"/>
          <w:sz w:val="32"/>
          <w:szCs w:val="32"/>
          <w:lang w:val="en-US" w:eastAsia="zh-CN"/>
        </w:rPr>
        <w:t>东兴镇财政所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r>
        <w:rPr>
          <w:rFonts w:hint="eastAsia" w:ascii="仿宋_GB2312" w:hAnsi="仿宋_GB2312" w:eastAsia="仿宋_GB2312" w:cs="仿宋_GB2312"/>
          <w:b w:val="0"/>
          <w:bCs w:val="0"/>
          <w:kern w:val="0"/>
          <w:sz w:val="32"/>
          <w:szCs w:val="32"/>
          <w:lang w:eastAsia="zh-CN"/>
        </w:rPr>
        <w:t>环江毛南族自治县</w:t>
      </w:r>
      <w:r>
        <w:rPr>
          <w:rFonts w:hint="eastAsia" w:ascii="仿宋_GB2312" w:hAnsi="仿宋_GB2312" w:eastAsia="仿宋_GB2312" w:cs="仿宋_GB2312"/>
          <w:b w:val="0"/>
          <w:bCs w:val="0"/>
          <w:kern w:val="0"/>
          <w:sz w:val="32"/>
          <w:szCs w:val="32"/>
          <w:lang w:val="en-US" w:eastAsia="zh-CN"/>
        </w:rPr>
        <w:t>东兴镇财政所</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故本段落无表述。</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_GB2312" w:hAnsi="仿宋_GB2312" w:eastAsia="仿宋_GB2312" w:cs="仿宋_GB2312"/>
          <w:b w:val="0"/>
          <w:bCs w:val="0"/>
          <w:kern w:val="0"/>
          <w:sz w:val="32"/>
          <w:szCs w:val="32"/>
          <w:lang w:eastAsia="zh-CN"/>
        </w:rPr>
        <w:t>环江毛南族自治县</w:t>
      </w:r>
      <w:r>
        <w:rPr>
          <w:rFonts w:hint="eastAsia" w:ascii="仿宋_GB2312" w:hAnsi="仿宋_GB2312" w:eastAsia="仿宋_GB2312" w:cs="仿宋_GB2312"/>
          <w:b w:val="0"/>
          <w:bCs w:val="0"/>
          <w:kern w:val="0"/>
          <w:sz w:val="32"/>
          <w:szCs w:val="32"/>
          <w:lang w:val="en-US" w:eastAsia="zh-CN"/>
        </w:rPr>
        <w:t>东兴镇财政所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_GB2312" w:hAnsi="仿宋_GB2312" w:eastAsia="仿宋_GB2312" w:cs="仿宋_GB2312"/>
          <w:b w:val="0"/>
          <w:bCs w:val="0"/>
          <w:kern w:val="0"/>
          <w:sz w:val="32"/>
          <w:szCs w:val="32"/>
          <w:lang w:eastAsia="zh-CN"/>
        </w:rPr>
        <w:t>环江毛南族自治县</w:t>
      </w:r>
      <w:r>
        <w:rPr>
          <w:rFonts w:hint="eastAsia" w:ascii="仿宋_GB2312" w:hAnsi="仿宋_GB2312" w:eastAsia="仿宋_GB2312" w:cs="仿宋_GB2312"/>
          <w:b w:val="0"/>
          <w:bCs w:val="0"/>
          <w:kern w:val="0"/>
          <w:sz w:val="32"/>
          <w:szCs w:val="32"/>
          <w:lang w:val="en-US" w:eastAsia="zh-CN"/>
        </w:rPr>
        <w:t>东兴镇财政所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bookmarkStart w:id="4" w:name="PO_part3A5B1C1DiffReason1"/>
      <w:r>
        <w:rPr>
          <w:rFonts w:hint="eastAsia" w:ascii="仿宋_GB2312" w:hAnsi="仿宋_GB2312" w:eastAsia="仿宋_GB2312" w:cs="仿宋_GB2312"/>
          <w:b w:val="0"/>
          <w:bCs w:val="0"/>
          <w:kern w:val="0"/>
          <w:sz w:val="32"/>
          <w:szCs w:val="32"/>
          <w:lang w:eastAsia="zh-CN"/>
        </w:rPr>
        <w:t>环江毛南族自治县</w:t>
      </w:r>
      <w:r>
        <w:rPr>
          <w:rFonts w:hint="eastAsia" w:ascii="仿宋_GB2312" w:hAnsi="仿宋_GB2312" w:eastAsia="仿宋_GB2312" w:cs="仿宋_GB2312"/>
          <w:b w:val="0"/>
          <w:bCs w:val="0"/>
          <w:kern w:val="0"/>
          <w:sz w:val="32"/>
          <w:szCs w:val="32"/>
          <w:lang w:val="en-US" w:eastAsia="zh-CN"/>
        </w:rPr>
        <w:t>东兴镇财政所</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安排的支出，故本段落无表述。</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具体情况如下：</w:t>
      </w:r>
    </w:p>
    <w:p>
      <w:pPr>
        <w:numPr>
          <w:ilvl w:val="0"/>
          <w:numId w:val="3"/>
        </w:numPr>
        <w:ind w:firstLine="640" w:firstLineChars="200"/>
        <w:jc w:val="lef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因公出国（境）费支出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，比上年</w:t>
      </w:r>
      <w:r>
        <w:rPr>
          <w:rFonts w:ascii="仿宋" w:hAnsi="仿宋" w:eastAsia="仿宋" w:cs="仿宋"/>
          <w:color w:val="000000" w:themeColor="text1"/>
          <w:sz w:val="32"/>
          <w:szCs w:val="32"/>
          <w:highlight w:val="none"/>
          <w14:textFill>
            <w14:solidFill>
              <w14:schemeClr w14:val="tx1"/>
            </w14:solidFill>
          </w14:textFill>
        </w:rPr>
        <w:t>增加0.00</w:t>
      </w:r>
      <w:r>
        <w:rPr>
          <w:rFonts w:hint="eastAsia" w:ascii="仿宋" w:hAnsi="仿宋" w:eastAsia="仿宋" w:cs="仿宋"/>
          <w:color w:val="000000" w:themeColor="text1"/>
          <w:sz w:val="32"/>
          <w:szCs w:val="32"/>
          <w:highlight w:val="none"/>
          <w14:textFill>
            <w14:solidFill>
              <w14:schemeClr w14:val="tx1"/>
            </w14:solidFill>
          </w14:textFill>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（请根实际情况自行补充原因）。</w:t>
      </w:r>
      <w:r>
        <w:rPr>
          <w:rFonts w:hint="eastAsia" w:ascii="仿宋_GB2312" w:hAnsi="Times New Roman" w:eastAsia="仿宋_GB2312" w:cs="Times New Roman"/>
          <w:color w:val="000000" w:themeColor="text1"/>
          <w:sz w:val="32"/>
          <w:szCs w:val="32"/>
          <w14:textFill>
            <w14:solidFill>
              <w14:schemeClr w14:val="tx1"/>
            </w14:solidFill>
          </w14:textFill>
        </w:rPr>
        <w:t>全年使用财政拨款安排</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（局、办、镇）机关、</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个所属单位出国团组</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个，参加其他单位组织的出国团组</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highlight w:val="none"/>
          <w14:textFill>
            <w14:solidFill>
              <w14:schemeClr w14:val="tx1"/>
            </w14:solidFill>
          </w14:textFill>
        </w:rPr>
        <w:t>，全年因公出国（境）团组共计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个，累计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人次。</w:t>
      </w:r>
      <w:r>
        <w:rPr>
          <w:rFonts w:hint="eastAsia" w:ascii="仿宋_GB2312" w:hAnsi="Times New Roman" w:eastAsia="仿宋_GB2312" w:cs="Times New Roman"/>
          <w:color w:val="000000" w:themeColor="text1"/>
          <w:sz w:val="32"/>
          <w:szCs w:val="32"/>
          <w14:textFill>
            <w14:solidFill>
              <w14:schemeClr w14:val="tx1"/>
            </w14:solidFill>
          </w14:textFill>
        </w:rPr>
        <w:t>开支内容包括：</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无</w:t>
      </w:r>
      <w:r>
        <w:rPr>
          <w:rFonts w:hint="eastAsia" w:ascii="仿宋_GB2312" w:hAnsi="Times New Roman" w:eastAsia="仿宋_GB2312" w:cs="Times New Roman"/>
          <w:color w:val="000000" w:themeColor="text1"/>
          <w:sz w:val="32"/>
          <w:szCs w:val="32"/>
          <w14:textFill>
            <w14:solidFill>
              <w14:schemeClr w14:val="tx1"/>
            </w14:solidFill>
          </w14:textFill>
        </w:rPr>
        <w:t>。</w:t>
      </w:r>
    </w:p>
    <w:p>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highlight w:val="none"/>
        </w:rPr>
        <w:t>（二）公务用车购</w:t>
      </w:r>
      <w:r>
        <w:rPr>
          <w:rFonts w:hint="eastAsia" w:ascii="仿宋" w:hAnsi="仿宋" w:eastAsia="仿宋" w:cs="仿宋"/>
          <w:color w:val="000000" w:themeColor="text1"/>
          <w:sz w:val="32"/>
          <w:szCs w:val="32"/>
          <w:highlight w:val="none"/>
          <w14:textFill>
            <w14:solidFill>
              <w14:schemeClr w14:val="tx1"/>
            </w14:solidFill>
          </w14:textFill>
        </w:rPr>
        <w:t>置及运行维护费</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万元。其中：公务用车购置支出</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themeColor="text1"/>
          <w:sz w:val="32"/>
          <w:u w:color="auto"/>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，比上年</w:t>
      </w:r>
      <w:r>
        <w:rPr>
          <w:rFonts w:ascii="仿宋" w:hAnsi="仿宋" w:eastAsia="仿宋" w:cs="仿宋"/>
          <w:color w:val="000000" w:themeColor="text1"/>
          <w:sz w:val="32"/>
          <w:u w:color="auto"/>
          <w14:textFill>
            <w14:solidFill>
              <w14:schemeClr w14:val="tx1"/>
            </w14:solidFill>
          </w14:textFill>
        </w:rPr>
        <w:t>增加0.00</w:t>
      </w:r>
      <w:r>
        <w:rPr>
          <w:rFonts w:hint="eastAsia" w:ascii="仿宋" w:hAnsi="仿宋" w:eastAsia="仿宋" w:cs="仿宋"/>
          <w:color w:val="000000" w:themeColor="text1"/>
          <w:sz w:val="32"/>
          <w:szCs w:val="32"/>
          <w:highlight w:val="none"/>
          <w14:textFill>
            <w14:solidFill>
              <w14:schemeClr w14:val="tx1"/>
            </w14:solidFill>
          </w14:textFill>
        </w:rPr>
        <w:t xml:space="preserve"> 万元。</w:t>
      </w:r>
      <w:bookmarkStart w:id="5" w:name="PO_part3A6B2IncReason1"/>
      <w:r>
        <w:rPr>
          <w:rFonts w:hint="eastAsia" w:ascii="仿宋" w:hAnsi="仿宋" w:eastAsia="仿宋" w:cs="仿宋"/>
          <w:color w:val="000000" w:themeColor="text1"/>
          <w:sz w:val="32"/>
          <w:szCs w:val="32"/>
          <w14:textFill>
            <w14:solidFill>
              <w14:schemeClr w14:val="tx1"/>
            </w14:solidFill>
          </w14:textFill>
        </w:rPr>
        <w:t>本部门无公务用车购置</w:t>
      </w:r>
      <w:bookmarkEnd w:id="5"/>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eastAsia="zh-CN"/>
          <w14:textFill>
            <w14:solidFill>
              <w14:schemeClr w14:val="tx1"/>
            </w14:solidFill>
          </w14:textFill>
        </w:rPr>
        <w:t>无</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u w:color="auto"/>
          <w:lang w:eastAsia="zh-CN"/>
        </w:rPr>
        <w:t>环江毛南族自治县东兴镇财政所</w:t>
      </w:r>
      <w:r>
        <w:rPr>
          <w:rFonts w:hint="eastAsia" w:ascii="仿宋" w:hAnsi="仿宋" w:eastAsia="仿宋" w:cs="仿宋"/>
          <w:sz w:val="32"/>
          <w:szCs w:val="32"/>
          <w:highlight w:val="none"/>
        </w:rPr>
        <w:t>及</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0个</w:t>
      </w:r>
      <w:r>
        <w:rPr>
          <w:rFonts w:hint="eastAsia" w:ascii="仿宋" w:hAnsi="仿宋" w:eastAsia="仿宋" w:cs="仿宋"/>
          <w:color w:val="000000" w:themeColor="text1"/>
          <w:sz w:val="32"/>
          <w:szCs w:val="32"/>
          <w:highlight w:val="none"/>
          <w14:textFill>
            <w14:solidFill>
              <w14:schemeClr w14:val="tx1"/>
            </w14:solidFill>
          </w14:textFill>
        </w:rPr>
        <w:t>所属单位开支财政拨款的公务用车保有量为</w:t>
      </w:r>
      <w:r>
        <w:rPr>
          <w:rFonts w:ascii="仿宋" w:hAnsi="仿宋" w:eastAsia="仿宋" w:cs="仿宋"/>
          <w:color w:val="000000" w:themeColor="text1"/>
          <w:sz w:val="32"/>
          <w:u w:color="auto"/>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辆，全年运行费支出</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 xml:space="preserve">平均每辆 </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jc w:val="left"/>
        <w:rPr>
          <w:rFonts w:hint="eastAsia" w:ascii="仿宋" w:hAnsi="仿宋" w:eastAsia="仿宋_GB2312" w:cs="仿宋"/>
          <w:color w:val="FF0000"/>
          <w:sz w:val="32"/>
          <w:szCs w:val="32"/>
          <w:highlight w:val="none"/>
          <w:lang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原因是：</w:t>
      </w:r>
      <w:r>
        <w:rPr>
          <w:rFonts w:hint="default" w:ascii="Times New Roman" w:hAnsi="Times New Roman" w:eastAsia="仿宋_GB2312" w:cs="Times New Roman"/>
          <w:b w:val="0"/>
          <w:bCs w:val="0"/>
          <w:kern w:val="0"/>
          <w:sz w:val="32"/>
          <w:szCs w:val="32"/>
        </w:rPr>
        <w:t>本部门无机关运行经费支出</w:t>
      </w:r>
      <w:r>
        <w:rPr>
          <w:rFonts w:hint="eastAsia" w:ascii="Times New Roman" w:hAnsi="Times New Roman" w:eastAsia="仿宋_GB2312" w:cs="Times New Roman"/>
          <w:b w:val="0"/>
          <w:bCs w:val="0"/>
          <w:kern w:val="0"/>
          <w:sz w:val="32"/>
          <w:szCs w:val="32"/>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w:t>
      </w:r>
      <w:r>
        <w:rPr>
          <w:rFonts w:hint="eastAsia" w:ascii="仿宋" w:hAnsi="仿宋" w:eastAsia="仿宋" w:cs="仿宋"/>
          <w:color w:val="000000" w:themeColor="text1"/>
          <w:sz w:val="32"/>
          <w:szCs w:val="32"/>
          <w:lang w:val="en-US"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个，涉及资金</w:t>
      </w:r>
      <w:r>
        <w:rPr>
          <w:rFonts w:hint="eastAsia" w:ascii="仿宋" w:hAnsi="仿宋" w:eastAsia="仿宋" w:cs="仿宋"/>
          <w:color w:val="000000" w:themeColor="text1"/>
          <w:sz w:val="32"/>
          <w:szCs w:val="32"/>
          <w:lang w:val="en-US" w:eastAsia="zh-CN"/>
          <w14:textFill>
            <w14:solidFill>
              <w14:schemeClr w14:val="tx1"/>
            </w14:solidFill>
          </w14:textFill>
        </w:rPr>
        <w:t>2.88</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96</w:t>
      </w:r>
      <w:r>
        <w:rPr>
          <w:rFonts w:hint="eastAsia" w:ascii="仿宋" w:hAnsi="仿宋" w:eastAsia="仿宋" w:cs="仿宋"/>
          <w:color w:val="000000" w:themeColor="text1"/>
          <w:sz w:val="32"/>
          <w:szCs w:val="32"/>
          <w14:textFill>
            <w14:solidFill>
              <w14:schemeClr w14:val="tx1"/>
            </w14:solidFill>
          </w14:textFill>
        </w:rPr>
        <w:t>%。从评价情况来看，</w:t>
      </w:r>
      <w:r>
        <w:rPr>
          <w:rFonts w:hint="eastAsia" w:ascii="仿宋" w:hAnsi="仿宋" w:eastAsia="仿宋"/>
          <w:color w:val="auto"/>
          <w:sz w:val="32"/>
          <w:szCs w:val="32"/>
          <w:lang w:eastAsia="zh-CN"/>
        </w:rPr>
        <w:t>一年来，本部门能认真履行职责，做好统筹协调，业务管理和财务管理制度比较健全，并能得到认真贯彻执行</w:t>
      </w:r>
      <w:r>
        <w:rPr>
          <w:rFonts w:hint="eastAsia" w:ascii="仿宋" w:hAnsi="仿宋" w:eastAsia="仿宋"/>
          <w:color w:val="auto"/>
          <w:sz w:val="32"/>
          <w:szCs w:val="32"/>
        </w:rPr>
        <w:t>。</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FF0000"/>
          <w:sz w:val="32"/>
          <w:szCs w:val="32"/>
          <w:lang w:eastAsia="zh-CN"/>
        </w:rPr>
        <w:t>。</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我部门根据年初设定的绩效目标，涉农工作经费项目自评得分为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99.18</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_GB2312" w:hAnsi="宋体" w:eastAsia="仿宋_GB2312" w:cs="仿宋_GB2312"/>
          <w:i w:val="0"/>
          <w:iCs w:val="0"/>
          <w:caps w:val="0"/>
          <w:color w:val="auto"/>
          <w:spacing w:val="0"/>
          <w:sz w:val="32"/>
          <w:szCs w:val="32"/>
          <w:shd w:val="clear" w:fill="FFFFFF"/>
          <w:lang w:val="en-US" w:eastAsia="zh-CN"/>
        </w:rPr>
        <w:t>一是</w:t>
      </w:r>
      <w:r>
        <w:rPr>
          <w:rFonts w:ascii="仿宋_GB2312" w:hAnsi="宋体" w:eastAsia="仿宋_GB2312" w:cs="仿宋_GB2312"/>
          <w:i w:val="0"/>
          <w:iCs w:val="0"/>
          <w:caps w:val="0"/>
          <w:color w:val="auto"/>
          <w:spacing w:val="0"/>
          <w:sz w:val="32"/>
          <w:szCs w:val="32"/>
          <w:shd w:val="clear" w:fill="FFFFFF"/>
        </w:rPr>
        <w:t>预算绩效管理工作</w:t>
      </w:r>
      <w:r>
        <w:rPr>
          <w:rFonts w:hint="eastAsia" w:ascii="仿宋_GB2312" w:hAnsi="宋体" w:eastAsia="仿宋_GB2312" w:cs="仿宋_GB2312"/>
          <w:i w:val="0"/>
          <w:iCs w:val="0"/>
          <w:caps w:val="0"/>
          <w:color w:val="auto"/>
          <w:spacing w:val="0"/>
          <w:sz w:val="32"/>
          <w:szCs w:val="32"/>
          <w:shd w:val="clear" w:fill="FFFFFF"/>
          <w:lang w:val="en-US" w:eastAsia="zh-CN"/>
        </w:rPr>
        <w:t>机制</w:t>
      </w:r>
      <w:r>
        <w:rPr>
          <w:rFonts w:ascii="仿宋_GB2312" w:hAnsi="宋体" w:eastAsia="仿宋_GB2312" w:cs="仿宋_GB2312"/>
          <w:i w:val="0"/>
          <w:iCs w:val="0"/>
          <w:caps w:val="0"/>
          <w:color w:val="auto"/>
          <w:spacing w:val="0"/>
          <w:sz w:val="32"/>
          <w:szCs w:val="32"/>
          <w:shd w:val="clear" w:fill="FFFFFF"/>
        </w:rPr>
        <w:t>不健全</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二是有些绩效项目是开展完成，但没能及时支付，执行率较低。下一步改进措施是：一是进一步建立健全预算绩效考评工作机制；二是学习各相关部门的先进经验，加强配合，争取把绩效考评工作运用到工作当中去，并把工作做得更好；三是</w:t>
      </w:r>
      <w:r>
        <w:rPr>
          <w:rFonts w:hint="eastAsia" w:ascii="仿宋" w:hAnsi="仿宋" w:eastAsia="仿宋" w:cs="仿宋"/>
          <w:color w:val="000000" w:themeColor="text1"/>
          <w:sz w:val="32"/>
          <w:szCs w:val="32"/>
          <w14:textFill>
            <w14:solidFill>
              <w14:schemeClr w14:val="tx1"/>
            </w14:solidFill>
          </w14:textFill>
        </w:rPr>
        <w:t>减压支出、合理规划支出。</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60E4F"/>
    <w:multiLevelType w:val="singleLevel"/>
    <w:tmpl w:val="9E160E4F"/>
    <w:lvl w:ilvl="0" w:tentative="0">
      <w:start w:val="1"/>
      <w:numFmt w:val="chineseCounting"/>
      <w:suff w:val="nothing"/>
      <w:lvlText w:val="（%1）"/>
      <w:lvlJc w:val="left"/>
      <w:rPr>
        <w:rFonts w:hint="eastAsia"/>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2C63C22B"/>
    <w:multiLevelType w:val="singleLevel"/>
    <w:tmpl w:val="2C63C22B"/>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iODM3MTY1ZTY2NWFlODdlODI0NzJlYmUzMDRjNTU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447348"/>
    <w:rsid w:val="02E0291A"/>
    <w:rsid w:val="032D3B2E"/>
    <w:rsid w:val="037E123A"/>
    <w:rsid w:val="042B1767"/>
    <w:rsid w:val="04E54546"/>
    <w:rsid w:val="05992762"/>
    <w:rsid w:val="06CD71CD"/>
    <w:rsid w:val="07B0770E"/>
    <w:rsid w:val="0942143F"/>
    <w:rsid w:val="0A594074"/>
    <w:rsid w:val="0B2A3504"/>
    <w:rsid w:val="0B403483"/>
    <w:rsid w:val="0B7B15AC"/>
    <w:rsid w:val="0BC27A93"/>
    <w:rsid w:val="0BFC1FDF"/>
    <w:rsid w:val="0C5942B7"/>
    <w:rsid w:val="0D100297"/>
    <w:rsid w:val="0D202B45"/>
    <w:rsid w:val="0E1F38BB"/>
    <w:rsid w:val="0F311E7E"/>
    <w:rsid w:val="0F48281E"/>
    <w:rsid w:val="0F8D4C87"/>
    <w:rsid w:val="104A15C9"/>
    <w:rsid w:val="10505FAA"/>
    <w:rsid w:val="105F7E7E"/>
    <w:rsid w:val="11E56B5B"/>
    <w:rsid w:val="125C77AB"/>
    <w:rsid w:val="14CB726E"/>
    <w:rsid w:val="17E92249"/>
    <w:rsid w:val="18823AC5"/>
    <w:rsid w:val="18D304F1"/>
    <w:rsid w:val="198E164B"/>
    <w:rsid w:val="19A92072"/>
    <w:rsid w:val="19F32577"/>
    <w:rsid w:val="19F45B80"/>
    <w:rsid w:val="1B0C078D"/>
    <w:rsid w:val="1B2B31E2"/>
    <w:rsid w:val="1B4C295A"/>
    <w:rsid w:val="1B607376"/>
    <w:rsid w:val="1B973C63"/>
    <w:rsid w:val="1BA1001E"/>
    <w:rsid w:val="1D317259"/>
    <w:rsid w:val="1E33399B"/>
    <w:rsid w:val="1E664F5B"/>
    <w:rsid w:val="1EB34BE1"/>
    <w:rsid w:val="1ED74290"/>
    <w:rsid w:val="1F46352B"/>
    <w:rsid w:val="200B4008"/>
    <w:rsid w:val="215E639F"/>
    <w:rsid w:val="218120C7"/>
    <w:rsid w:val="21EC3183"/>
    <w:rsid w:val="225E72CD"/>
    <w:rsid w:val="23385F4E"/>
    <w:rsid w:val="246E2F77"/>
    <w:rsid w:val="254B4E2B"/>
    <w:rsid w:val="26B45F39"/>
    <w:rsid w:val="283D7C94"/>
    <w:rsid w:val="283F1F87"/>
    <w:rsid w:val="28C74374"/>
    <w:rsid w:val="29480E03"/>
    <w:rsid w:val="2983634D"/>
    <w:rsid w:val="2A3147D5"/>
    <w:rsid w:val="2BB02055"/>
    <w:rsid w:val="2C575A56"/>
    <w:rsid w:val="2CE540AF"/>
    <w:rsid w:val="2F257714"/>
    <w:rsid w:val="2F3275E5"/>
    <w:rsid w:val="302665EA"/>
    <w:rsid w:val="303A5379"/>
    <w:rsid w:val="30AA08EF"/>
    <w:rsid w:val="30D23D1C"/>
    <w:rsid w:val="31221CF5"/>
    <w:rsid w:val="31400178"/>
    <w:rsid w:val="321E3342"/>
    <w:rsid w:val="327759C8"/>
    <w:rsid w:val="33185FE3"/>
    <w:rsid w:val="34105554"/>
    <w:rsid w:val="34EE2E36"/>
    <w:rsid w:val="353A16AE"/>
    <w:rsid w:val="3640708F"/>
    <w:rsid w:val="36777241"/>
    <w:rsid w:val="37284AA6"/>
    <w:rsid w:val="37B84AED"/>
    <w:rsid w:val="37C02A03"/>
    <w:rsid w:val="38A951DB"/>
    <w:rsid w:val="38B31605"/>
    <w:rsid w:val="39003F4F"/>
    <w:rsid w:val="3A7711FF"/>
    <w:rsid w:val="3C07002B"/>
    <w:rsid w:val="3D0D152A"/>
    <w:rsid w:val="3DF62756"/>
    <w:rsid w:val="3E345A47"/>
    <w:rsid w:val="3E7A6DAD"/>
    <w:rsid w:val="3E823D9C"/>
    <w:rsid w:val="3F1B7587"/>
    <w:rsid w:val="3F7D5B79"/>
    <w:rsid w:val="40663A95"/>
    <w:rsid w:val="41E57B4F"/>
    <w:rsid w:val="42185030"/>
    <w:rsid w:val="429C4E56"/>
    <w:rsid w:val="42B249B8"/>
    <w:rsid w:val="432F26F6"/>
    <w:rsid w:val="433966A1"/>
    <w:rsid w:val="43880F63"/>
    <w:rsid w:val="441C5A6F"/>
    <w:rsid w:val="44C44FCC"/>
    <w:rsid w:val="44CC7369"/>
    <w:rsid w:val="457F5108"/>
    <w:rsid w:val="46951B6B"/>
    <w:rsid w:val="48AC6E49"/>
    <w:rsid w:val="490159E0"/>
    <w:rsid w:val="498E4E99"/>
    <w:rsid w:val="49A34401"/>
    <w:rsid w:val="49E1178B"/>
    <w:rsid w:val="4A3E30AB"/>
    <w:rsid w:val="4AC14DAC"/>
    <w:rsid w:val="4AD95EA4"/>
    <w:rsid w:val="4D154C85"/>
    <w:rsid w:val="4E6E3FBD"/>
    <w:rsid w:val="4EC8553A"/>
    <w:rsid w:val="4EFB327D"/>
    <w:rsid w:val="4FDA4365"/>
    <w:rsid w:val="50002C9D"/>
    <w:rsid w:val="508F4E24"/>
    <w:rsid w:val="51461E90"/>
    <w:rsid w:val="51463753"/>
    <w:rsid w:val="52553A93"/>
    <w:rsid w:val="53521F8B"/>
    <w:rsid w:val="53E22F47"/>
    <w:rsid w:val="54522FF8"/>
    <w:rsid w:val="54672089"/>
    <w:rsid w:val="54CC782F"/>
    <w:rsid w:val="55450629"/>
    <w:rsid w:val="55E31896"/>
    <w:rsid w:val="56692963"/>
    <w:rsid w:val="567C0AA8"/>
    <w:rsid w:val="568B0F48"/>
    <w:rsid w:val="569214AE"/>
    <w:rsid w:val="575C02E5"/>
    <w:rsid w:val="5786217B"/>
    <w:rsid w:val="58B659E4"/>
    <w:rsid w:val="5922187A"/>
    <w:rsid w:val="59337A15"/>
    <w:rsid w:val="59810274"/>
    <w:rsid w:val="5A4800C4"/>
    <w:rsid w:val="5A810A05"/>
    <w:rsid w:val="5AD9459C"/>
    <w:rsid w:val="5CA96A00"/>
    <w:rsid w:val="5CF730BC"/>
    <w:rsid w:val="5E5F0DCE"/>
    <w:rsid w:val="5F317BD7"/>
    <w:rsid w:val="5F3333FF"/>
    <w:rsid w:val="5FA40A7B"/>
    <w:rsid w:val="5FD56D29"/>
    <w:rsid w:val="5FEC7F3F"/>
    <w:rsid w:val="608126BD"/>
    <w:rsid w:val="60F74BC3"/>
    <w:rsid w:val="612800B4"/>
    <w:rsid w:val="617D3BF8"/>
    <w:rsid w:val="61841F6A"/>
    <w:rsid w:val="623007A9"/>
    <w:rsid w:val="624D7998"/>
    <w:rsid w:val="63014E7B"/>
    <w:rsid w:val="63193421"/>
    <w:rsid w:val="637D7558"/>
    <w:rsid w:val="642D6933"/>
    <w:rsid w:val="644C1F4B"/>
    <w:rsid w:val="644F19AC"/>
    <w:rsid w:val="65AA4920"/>
    <w:rsid w:val="67694F1E"/>
    <w:rsid w:val="67E25CFE"/>
    <w:rsid w:val="694E4127"/>
    <w:rsid w:val="69597934"/>
    <w:rsid w:val="69DE22C1"/>
    <w:rsid w:val="6B75365C"/>
    <w:rsid w:val="6B964DDC"/>
    <w:rsid w:val="6C783074"/>
    <w:rsid w:val="6D9E65C6"/>
    <w:rsid w:val="6DA711C1"/>
    <w:rsid w:val="6DA81947"/>
    <w:rsid w:val="6E847FC6"/>
    <w:rsid w:val="6E8F6D71"/>
    <w:rsid w:val="6EB66DE2"/>
    <w:rsid w:val="6ED3075F"/>
    <w:rsid w:val="6F2A2D4B"/>
    <w:rsid w:val="6F341B0C"/>
    <w:rsid w:val="6F8A0C1E"/>
    <w:rsid w:val="702D01B4"/>
    <w:rsid w:val="703F45D4"/>
    <w:rsid w:val="70D5663B"/>
    <w:rsid w:val="710E2608"/>
    <w:rsid w:val="715D6546"/>
    <w:rsid w:val="717B17D0"/>
    <w:rsid w:val="71BE069E"/>
    <w:rsid w:val="726873C1"/>
    <w:rsid w:val="72693C9D"/>
    <w:rsid w:val="73424B26"/>
    <w:rsid w:val="73953409"/>
    <w:rsid w:val="73E069A3"/>
    <w:rsid w:val="74A10D2C"/>
    <w:rsid w:val="752E55CB"/>
    <w:rsid w:val="77760385"/>
    <w:rsid w:val="78104AA8"/>
    <w:rsid w:val="78E257C5"/>
    <w:rsid w:val="7933397B"/>
    <w:rsid w:val="794B35BE"/>
    <w:rsid w:val="7B0551D5"/>
    <w:rsid w:val="7B0A3A31"/>
    <w:rsid w:val="7B253A17"/>
    <w:rsid w:val="7B3360ED"/>
    <w:rsid w:val="7B5319F3"/>
    <w:rsid w:val="7BDF037E"/>
    <w:rsid w:val="7BF50948"/>
    <w:rsid w:val="7C757156"/>
    <w:rsid w:val="7C80027D"/>
    <w:rsid w:val="7CE66A78"/>
    <w:rsid w:val="7D23564C"/>
    <w:rsid w:val="7D5E062D"/>
    <w:rsid w:val="7DF76CD8"/>
    <w:rsid w:val="7F6851CA"/>
    <w:rsid w:val="7F695C26"/>
    <w:rsid w:val="7F6E6F4F"/>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16.56</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Sheet1!$A$2:$A$4</c:f>
              <c:strCache>
                <c:ptCount val="3"/>
                <c:pt idx="0">
                  <c:v>一般公共服务支出</c:v>
                </c:pt>
                <c:pt idx="1">
                  <c:v>社会保障和就业支出</c:v>
                </c:pt>
                <c:pt idx="2">
                  <c:v>农林水支出</c:v>
                </c:pt>
              </c:strCache>
            </c:strRef>
          </c:cat>
          <c:val>
            <c:numRef>
              <c:f>Sheet1!$B$2:$B$4</c:f>
              <c:numCache>
                <c:formatCode>General</c:formatCode>
                <c:ptCount val="3"/>
                <c:pt idx="0">
                  <c:v>10</c:v>
                </c:pt>
                <c:pt idx="1">
                  <c:v>1.33</c:v>
                </c:pt>
                <c:pt idx="2">
                  <c:v>0.78</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Sheet1!$A$2:$A$4</c:f>
              <c:strCache>
                <c:ptCount val="3"/>
                <c:pt idx="0">
                  <c:v>一般公共服务支出</c:v>
                </c:pt>
                <c:pt idx="1">
                  <c:v>社会保障和就业支出</c:v>
                </c:pt>
                <c:pt idx="2">
                  <c:v>农林水支出</c:v>
                </c:pt>
              </c:strCache>
            </c:strRef>
          </c:cat>
          <c:val>
            <c:numRef>
              <c:f>Sheet1!$C$2:$C$4</c:f>
              <c:numCache>
                <c:formatCode>General</c:formatCode>
                <c:ptCount val="3"/>
                <c:pt idx="0">
                  <c:v>15.03</c:v>
                </c:pt>
                <c:pt idx="1">
                  <c:v>1.53</c:v>
                </c:pt>
                <c:pt idx="2">
                  <c:v>2.88</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2050101</c:v>
                </c:pt>
                <c:pt idx="1">
                  <c:v>2012999</c:v>
                </c:pt>
              </c:numCache>
            </c:numRef>
          </c:cat>
          <c:val>
            <c:numRef>
              <c:f>Sheet1!$B$2:$B$3</c:f>
              <c:numCache>
                <c:formatCode>General</c:formatCode>
                <c:ptCount val="2"/>
                <c:pt idx="0">
                  <c:v>14.84</c:v>
                </c:pt>
                <c:pt idx="1">
                  <c:v>0.19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2080505</c:v>
                </c:pt>
              </c:numCache>
            </c:numRef>
          </c:cat>
          <c:val>
            <c:numRef>
              <c:f>Sheet1!$B$2</c:f>
              <c:numCache>
                <c:formatCode>General</c:formatCode>
                <c:ptCount val="1"/>
                <c:pt idx="0">
                  <c:v>1.53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2130599</c:v>
                </c:pt>
              </c:numCache>
            </c:numRef>
          </c:cat>
          <c:val>
            <c:numRef>
              <c:f>Sheet1!$B$2</c:f>
              <c:numCache>
                <c:formatCode>General</c:formatCode>
                <c:ptCount val="1"/>
                <c:pt idx="0">
                  <c:v>2.88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2210201</c:v>
                </c:pt>
              </c:numCache>
            </c:numRef>
          </c:cat>
          <c:val>
            <c:numRef>
              <c:f>Sheet1!$B$2</c:f>
              <c:numCache>
                <c:formatCode>General</c:formatCode>
                <c:ptCount val="1"/>
                <c:pt idx="0">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Sheet1!$A$2:$A$15</c:f>
              <c:numCache>
                <c:formatCode>General</c:formatCode>
                <c:ptCount val="14"/>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pt idx="13" c:formatCode="@">
                  <c:v>30307</c:v>
                </c:pt>
              </c:numCache>
            </c:numRef>
          </c:cat>
          <c:val>
            <c:numRef>
              <c:f>Sheet1!$B$2:$B$15</c:f>
              <c:numCache>
                <c:formatCode>General</c:formatCode>
                <c:ptCount val="14"/>
                <c:pt idx="0">
                  <c:v>3.9</c:v>
                </c:pt>
                <c:pt idx="1">
                  <c:v>4.03</c:v>
                </c:pt>
                <c:pt idx="2">
                  <c:v>3.1</c:v>
                </c:pt>
                <c:pt idx="3">
                  <c:v>0</c:v>
                </c:pt>
                <c:pt idx="4">
                  <c:v>0</c:v>
                </c:pt>
                <c:pt idx="5">
                  <c:v>1.53</c:v>
                </c:pt>
                <c:pt idx="6">
                  <c:v>0</c:v>
                </c:pt>
                <c:pt idx="7">
                  <c:v>0.62</c:v>
                </c:pt>
                <c:pt idx="8">
                  <c:v>0</c:v>
                </c:pt>
                <c:pt idx="9">
                  <c:v>0.01</c:v>
                </c:pt>
                <c:pt idx="10">
                  <c:v>0</c:v>
                </c:pt>
                <c:pt idx="11">
                  <c:v>0</c:v>
                </c:pt>
                <c:pt idx="12">
                  <c:v>0</c:v>
                </c:pt>
                <c:pt idx="13" c:formatCode="@">
                  <c:v>0.01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0.05</c:v>
                </c:pt>
                <c:pt idx="1">
                  <c:v>0</c:v>
                </c:pt>
                <c:pt idx="2">
                  <c:v>0</c:v>
                </c:pt>
                <c:pt idx="3">
                  <c:v>0</c:v>
                </c:pt>
                <c:pt idx="4">
                  <c:v>0</c:v>
                </c:pt>
                <c:pt idx="5">
                  <c:v>0.08</c:v>
                </c:pt>
                <c:pt idx="6">
                  <c:v>0.16</c:v>
                </c:pt>
                <c:pt idx="7">
                  <c:v>0</c:v>
                </c:pt>
                <c:pt idx="8">
                  <c:v>0</c:v>
                </c:pt>
                <c:pt idx="9">
                  <c:v>8</c:v>
                </c:pt>
                <c:pt idx="10">
                  <c:v>0</c:v>
                </c:pt>
                <c:pt idx="11">
                  <c:v>0</c:v>
                </c:pt>
                <c:pt idx="12">
                  <c:v>0</c:v>
                </c:pt>
                <c:pt idx="13">
                  <c:v>0</c:v>
                </c:pt>
                <c:pt idx="14">
                  <c:v>0</c:v>
                </c:pt>
                <c:pt idx="15">
                  <c:v>0</c:v>
                </c:pt>
                <c:pt idx="16">
                  <c:v>0</c:v>
                </c:pt>
                <c:pt idx="17">
                  <c:v>0</c:v>
                </c:pt>
                <c:pt idx="18">
                  <c:v>0</c:v>
                </c:pt>
                <c:pt idx="19">
                  <c:v>0</c:v>
                </c:pt>
                <c:pt idx="20">
                  <c:v>0</c:v>
                </c:pt>
                <c:pt idx="21">
                  <c:v>0.19</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0.01</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2</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2024-12-25T09:22:20Z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