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lang w:eastAsia="zh-CN"/>
        </w:rPr>
        <w:t>环江毛南族自治县大才乡社保所</w:t>
      </w:r>
      <w:r>
        <w:rPr>
          <w:rFonts w:hint="eastAsia" w:ascii="黑体" w:hAnsi="黑体" w:eastAsia="黑体" w:cs="黑体"/>
          <w:b/>
          <w:bCs/>
          <w:sz w:val="52"/>
          <w:szCs w:val="52"/>
          <w:highlight w:val="none"/>
        </w:rPr>
        <w:t>202</w:t>
      </w:r>
      <w:r>
        <w:rPr>
          <w:rFonts w:hint="eastAsia" w:ascii="黑体" w:hAnsi="黑体" w:eastAsia="黑体" w:cs="黑体"/>
          <w:b/>
          <w:bCs/>
          <w:sz w:val="52"/>
          <w:szCs w:val="52"/>
          <w:highlight w:val="none"/>
          <w:lang w:val="en-US" w:eastAsia="zh-CN"/>
        </w:rPr>
        <w:t>3</w:t>
      </w:r>
      <w:r>
        <w:rPr>
          <w:rFonts w:hint="eastAsia" w:ascii="黑体" w:hAnsi="黑体" w:eastAsia="黑体" w:cs="黑体"/>
          <w:b/>
          <w:bCs/>
          <w:sz w:val="52"/>
          <w:szCs w:val="52"/>
          <w:highlight w:val="none"/>
        </w:rPr>
        <w:t>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202</w:t>
      </w:r>
      <w:r>
        <w:rPr>
          <w:rFonts w:hint="eastAsia" w:ascii="黑体" w:hAnsi="黑体" w:eastAsia="黑体" w:cs="黑体"/>
          <w:b/>
          <w:bCs/>
          <w:sz w:val="36"/>
          <w:szCs w:val="36"/>
          <w:highlight w:val="none"/>
          <w:lang w:val="en-US" w:eastAsia="zh-CN"/>
        </w:rPr>
        <w:t>4</w:t>
      </w:r>
      <w:r>
        <w:rPr>
          <w:rFonts w:hint="eastAsia" w:ascii="黑体" w:hAnsi="黑体" w:eastAsia="黑体" w:cs="黑体"/>
          <w:b/>
          <w:bCs/>
          <w:sz w:val="36"/>
          <w:szCs w:val="36"/>
          <w:highlight w:val="none"/>
        </w:rPr>
        <w:t>年</w:t>
      </w:r>
      <w:r>
        <w:rPr>
          <w:rFonts w:hint="eastAsia" w:ascii="黑体" w:hAnsi="黑体" w:eastAsia="黑体" w:cs="黑体"/>
          <w:b/>
          <w:bCs/>
          <w:sz w:val="36"/>
          <w:szCs w:val="36"/>
          <w:highlight w:val="none"/>
          <w:lang w:val="en-US" w:eastAsia="zh-CN"/>
        </w:rPr>
        <w:t>12</w:t>
      </w:r>
      <w:r>
        <w:rPr>
          <w:rFonts w:hint="eastAsia" w:ascii="黑体" w:hAnsi="黑体" w:eastAsia="黑体" w:cs="黑体"/>
          <w:b/>
          <w:bCs/>
          <w:sz w:val="36"/>
          <w:szCs w:val="36"/>
          <w:highlight w:val="none"/>
        </w:rPr>
        <w:t>月</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hint="eastAsia" w:ascii="黑体" w:hAnsi="黑体" w:eastAsia="黑体" w:cs="黑体"/>
          <w:sz w:val="32"/>
          <w:u w:color="auto"/>
          <w:lang w:eastAsia="zh-CN"/>
        </w:rPr>
        <w:t>环江毛南族自治县大才乡社保所</w:t>
      </w:r>
      <w:r>
        <w:rPr>
          <w:rFonts w:hint="eastAsia" w:ascii="黑体" w:hAnsi="黑体" w:eastAsia="黑体" w:cs="黑体"/>
          <w:sz w:val="32"/>
          <w:szCs w:val="32"/>
          <w:highlight w:val="none"/>
        </w:rPr>
        <w:t>概况</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eastAsia="zh-CN"/>
        </w:rPr>
        <w:t>环江毛南族自治县大才乡社保所</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w:t>
      </w:r>
      <w:r>
        <w:rPr>
          <w:rFonts w:hint="eastAsia" w:ascii="仿宋_GB2312" w:eastAsia="仿宋_GB2312"/>
          <w:sz w:val="32"/>
          <w:szCs w:val="32"/>
          <w:highlight w:val="none"/>
          <w:lang w:eastAsia="zh-CN"/>
        </w:rPr>
        <w:t>社保</w:t>
      </w:r>
      <w:r>
        <w:rPr>
          <w:rFonts w:hint="eastAsia" w:ascii="仿宋_GB2312" w:eastAsia="仿宋_GB2312"/>
          <w:sz w:val="32"/>
          <w:szCs w:val="32"/>
          <w:highlight w:val="none"/>
        </w:rPr>
        <w:t>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w:t>
      </w:r>
      <w:r>
        <w:rPr>
          <w:rFonts w:hint="eastAsia" w:ascii="仿宋_GB2312" w:eastAsia="仿宋_GB2312"/>
          <w:sz w:val="32"/>
          <w:szCs w:val="32"/>
          <w:highlight w:val="none"/>
          <w:lang w:val="en-US" w:eastAsia="zh-CN"/>
        </w:rPr>
        <w:t>财政</w:t>
      </w:r>
      <w:r>
        <w:rPr>
          <w:rFonts w:hint="eastAsia" w:ascii="仿宋_GB2312" w:eastAsia="仿宋_GB2312"/>
          <w:sz w:val="32"/>
          <w:szCs w:val="32"/>
          <w:highlight w:val="none"/>
        </w:rPr>
        <w:t>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w:t>
      </w:r>
      <w:r>
        <w:rPr>
          <w:rFonts w:hint="eastAsia" w:ascii="仿宋_GB2312" w:eastAsia="仿宋_GB2312"/>
          <w:sz w:val="32"/>
          <w:szCs w:val="32"/>
          <w:highlight w:val="none"/>
          <w:lang w:val="en-US" w:eastAsia="zh-CN"/>
        </w:rPr>
        <w:t>财政</w:t>
      </w:r>
      <w:r>
        <w:rPr>
          <w:rFonts w:hint="eastAsia" w:ascii="仿宋_GB2312" w:eastAsia="仿宋_GB2312"/>
          <w:sz w:val="32"/>
          <w:szCs w:val="32"/>
          <w:highlight w:val="none"/>
        </w:rPr>
        <w:t>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w:t>
      </w:r>
      <w:r>
        <w:rPr>
          <w:rFonts w:hint="eastAsia" w:ascii="仿宋_GB2312" w:eastAsia="仿宋_GB2312"/>
          <w:sz w:val="32"/>
          <w:szCs w:val="32"/>
          <w:highlight w:val="none"/>
          <w:lang w:val="en-US" w:eastAsia="zh-CN"/>
        </w:rPr>
        <w:t>财政</w:t>
      </w:r>
      <w:r>
        <w:rPr>
          <w:rFonts w:hint="eastAsia" w:ascii="仿宋_GB2312" w:hAnsi="黑体" w:eastAsia="仿宋_GB2312"/>
          <w:sz w:val="32"/>
          <w:szCs w:val="32"/>
          <w:highlight w:val="none"/>
        </w:rPr>
        <w:t>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eastAsia="仿宋_GB2312"/>
          <w:sz w:val="32"/>
          <w:szCs w:val="32"/>
          <w:highlight w:val="none"/>
          <w:lang w:val="en-US" w:eastAsia="zh-CN"/>
        </w:rPr>
        <w:t>财政</w:t>
      </w:r>
      <w:r>
        <w:rPr>
          <w:rFonts w:hint="eastAsia" w:ascii="仿宋_GB2312" w:hAnsi="黑体" w:eastAsia="仿宋_GB2312"/>
          <w:sz w:val="32"/>
          <w:szCs w:val="32"/>
          <w:highlight w:val="none"/>
        </w:rPr>
        <w:t>拨款</w:t>
      </w:r>
      <w:r>
        <w:rPr>
          <w:rFonts w:hint="eastAsia" w:ascii="仿宋_GB2312" w:eastAsia="仿宋_GB2312"/>
          <w:sz w:val="32"/>
          <w:szCs w:val="32"/>
          <w:highlight w:val="none"/>
        </w:rPr>
        <w:t>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eastAsia="zh-CN"/>
        </w:rPr>
        <w:t>环江毛南族自治县大才乡社保所</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w:t>
      </w:r>
      <w:r>
        <w:rPr>
          <w:rFonts w:hint="eastAsia" w:ascii="仿宋_GB2312" w:eastAsia="仿宋_GB2312"/>
          <w:sz w:val="32"/>
          <w:szCs w:val="32"/>
          <w:highlight w:val="none"/>
          <w:lang w:val="en-US" w:eastAsia="zh-CN"/>
        </w:rPr>
        <w:t>财政</w:t>
      </w:r>
      <w:r>
        <w:rPr>
          <w:rFonts w:hint="eastAsia" w:ascii="仿宋_GB2312" w:eastAsia="仿宋_GB2312" w:cs="仿宋_GB2312"/>
          <w:kern w:val="0"/>
          <w:sz w:val="32"/>
          <w:szCs w:val="32"/>
          <w:highlight w:val="none"/>
        </w:rPr>
        <w:t>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w:t>
      </w:r>
      <w:r>
        <w:rPr>
          <w:rFonts w:hint="eastAsia" w:ascii="仿宋_GB2312" w:eastAsia="仿宋_GB2312" w:cs="仿宋_GB2312"/>
          <w:kern w:val="0"/>
          <w:sz w:val="32"/>
          <w:szCs w:val="32"/>
          <w:highlight w:val="none"/>
          <w:lang w:eastAsia="zh-CN"/>
        </w:rPr>
        <w:t>2023</w:t>
      </w:r>
      <w:r>
        <w:rPr>
          <w:rFonts w:hint="eastAsia" w:ascii="仿宋_GB2312" w:eastAsia="仿宋_GB2312" w:cs="仿宋_GB2312"/>
          <w:kern w:val="0"/>
          <w:sz w:val="32"/>
          <w:szCs w:val="32"/>
          <w:highlight w:val="none"/>
        </w:rPr>
        <w:t>年度一般公共预算</w:t>
      </w:r>
      <w:r>
        <w:rPr>
          <w:rFonts w:hint="eastAsia" w:ascii="仿宋_GB2312" w:eastAsia="仿宋_GB2312"/>
          <w:sz w:val="32"/>
          <w:szCs w:val="32"/>
          <w:highlight w:val="none"/>
          <w:lang w:val="en-US" w:eastAsia="zh-CN"/>
        </w:rPr>
        <w:t>财政</w:t>
      </w:r>
      <w:r>
        <w:rPr>
          <w:rFonts w:hint="eastAsia" w:ascii="仿宋_GB2312" w:eastAsia="仿宋_GB2312" w:cs="仿宋_GB2312"/>
          <w:kern w:val="0"/>
          <w:sz w:val="32"/>
          <w:szCs w:val="32"/>
          <w:highlight w:val="none"/>
        </w:rPr>
        <w:t>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w:t>
      </w:r>
      <w:r>
        <w:rPr>
          <w:rFonts w:hint="eastAsia" w:ascii="仿宋_GB2312" w:eastAsia="仿宋_GB2312" w:cs="仿宋_GB2312"/>
          <w:kern w:val="0"/>
          <w:sz w:val="32"/>
          <w:szCs w:val="32"/>
          <w:highlight w:val="none"/>
          <w:lang w:eastAsia="zh-CN"/>
        </w:rPr>
        <w:t>2023</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lang w:val="en-US" w:eastAsia="zh-CN"/>
        </w:rPr>
        <w:t>六</w:t>
      </w:r>
      <w:r>
        <w:rPr>
          <w:rFonts w:hint="eastAsia" w:ascii="仿宋_GB2312" w:eastAsia="仿宋_GB2312" w:cs="仿宋_GB2312"/>
          <w:kern w:val="0"/>
          <w:sz w:val="32"/>
          <w:szCs w:val="32"/>
          <w:highlight w:val="none"/>
        </w:rPr>
        <w:t>、其他重要事项情况说明。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hint="eastAsia" w:ascii="黑体" w:hAnsi="黑体" w:eastAsia="黑体" w:cs="黑体"/>
          <w:b/>
          <w:sz w:val="32"/>
          <w:u w:color="auto"/>
          <w:lang w:eastAsia="zh-CN"/>
        </w:rPr>
        <w:t>环江毛南族自治县大才乡社保所</w:t>
      </w:r>
      <w:r>
        <w:rPr>
          <w:rFonts w:hint="eastAsia" w:ascii="黑体" w:hAnsi="黑体" w:eastAsia="黑体" w:cs="黑体"/>
          <w:b/>
          <w:bCs/>
          <w:sz w:val="32"/>
          <w:szCs w:val="32"/>
          <w:highlight w:val="none"/>
        </w:rPr>
        <w:t>概况</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pPr>
        <w:jc w:val="left"/>
        <w:rPr>
          <w:rFonts w:hint="eastAsia" w:ascii="仿宋" w:hAnsi="仿宋" w:eastAsia="仿宋" w:cs="仿宋"/>
          <w:b w:val="0"/>
          <w:bCs w:val="0"/>
          <w:i w:val="0"/>
          <w:iCs w:val="0"/>
          <w:caps w:val="0"/>
          <w:color w:val="525353"/>
          <w:spacing w:val="0"/>
          <w:sz w:val="32"/>
          <w:szCs w:val="32"/>
          <w:shd w:val="clear" w:fill="FFFFFF"/>
          <w:lang w:eastAsia="zh-CN"/>
        </w:rPr>
      </w:pPr>
      <w:r>
        <w:rPr>
          <w:rFonts w:hint="eastAsia" w:ascii="仿宋" w:hAnsi="仿宋" w:eastAsia="仿宋" w:cs="仿宋"/>
          <w:b w:val="0"/>
          <w:bCs w:val="0"/>
          <w:color w:val="auto"/>
          <w:sz w:val="32"/>
          <w:szCs w:val="32"/>
        </w:rPr>
        <w:t>（一）</w:t>
      </w:r>
      <w:r>
        <w:rPr>
          <w:rFonts w:hint="eastAsia" w:ascii="仿宋" w:hAnsi="仿宋" w:eastAsia="仿宋" w:cs="仿宋"/>
          <w:b w:val="0"/>
          <w:bCs w:val="0"/>
          <w:i w:val="0"/>
          <w:iCs w:val="0"/>
          <w:caps w:val="0"/>
          <w:color w:val="525353"/>
          <w:spacing w:val="0"/>
          <w:sz w:val="32"/>
          <w:szCs w:val="32"/>
          <w:shd w:val="clear" w:fill="FFFFFF"/>
        </w:rPr>
        <w:t>承担新型农村养老保险、新型农村合作医疗、城镇居民养老保险和城镇居民基本医疗保险等的宣传和发动工作，按上级规定收缴社会保险费；负责抓社会救助、劳动技能培训与劳动力转移等农村社会保障服务性工作</w:t>
      </w:r>
      <w:r>
        <w:rPr>
          <w:rFonts w:hint="eastAsia" w:ascii="仿宋" w:hAnsi="仿宋" w:eastAsia="仿宋" w:cs="仿宋"/>
          <w:b w:val="0"/>
          <w:bCs w:val="0"/>
          <w:i w:val="0"/>
          <w:iCs w:val="0"/>
          <w:caps w:val="0"/>
          <w:color w:val="525353"/>
          <w:spacing w:val="0"/>
          <w:sz w:val="32"/>
          <w:szCs w:val="32"/>
          <w:shd w:val="clear" w:fill="FFFFFF"/>
          <w:lang w:eastAsia="zh-CN"/>
        </w:rPr>
        <w:t>。</w:t>
      </w: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w:t>（二）编制预算，决算。</w:t>
      </w: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w:t>
      </w:r>
      <w:r>
        <w:rPr>
          <w:rFonts w:hint="eastAsia" w:ascii="仿宋" w:hAnsi="仿宋" w:eastAsia="仿宋" w:cs="仿宋"/>
          <w:b w:val="0"/>
          <w:bCs w:val="0"/>
          <w:i w:val="0"/>
          <w:iCs w:val="0"/>
          <w:caps w:val="0"/>
          <w:color w:val="525353"/>
          <w:spacing w:val="0"/>
          <w:sz w:val="32"/>
          <w:szCs w:val="32"/>
          <w:shd w:val="clear" w:fill="FFFFFF"/>
        </w:rPr>
        <w:t>完成上级业务部门和镇党委、政府交给的其他工作任务</w:t>
      </w:r>
      <w:r>
        <w:rPr>
          <w:rFonts w:hint="eastAsia" w:ascii="仿宋" w:hAnsi="仿宋" w:eastAsia="仿宋" w:cs="仿宋"/>
          <w:color w:val="auto"/>
          <w:sz w:val="32"/>
          <w:szCs w:val="32"/>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二、部门决算单位构成</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我部门没有下属单位，按照部门决算编报要求，单独编制本部门决算。</w:t>
      </w:r>
      <w:r>
        <w:rPr>
          <w:rFonts w:hint="eastAsia" w:ascii="仿宋" w:hAnsi="仿宋" w:eastAsia="仿宋" w:cs="仿宋"/>
          <w:color w:val="auto"/>
          <w:sz w:val="32"/>
          <w:szCs w:val="32"/>
          <w:lang w:val="en-US" w:eastAsia="zh-CN"/>
        </w:rPr>
        <w:t>我单位</w:t>
      </w:r>
      <w:r>
        <w:rPr>
          <w:rFonts w:hint="eastAsia" w:ascii="仿宋" w:hAnsi="仿宋" w:eastAsia="仿宋" w:cs="仿宋"/>
          <w:color w:val="auto"/>
          <w:sz w:val="32"/>
          <w:szCs w:val="32"/>
        </w:rPr>
        <w:t>人员编制总数为</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人，实有</w:t>
      </w:r>
      <w:r>
        <w:rPr>
          <w:rFonts w:hint="eastAsia" w:ascii="仿宋" w:hAnsi="仿宋" w:eastAsia="仿宋" w:cs="仿宋"/>
          <w:color w:val="auto"/>
          <w:sz w:val="32"/>
          <w:szCs w:val="32"/>
          <w:lang w:val="en-US" w:eastAsia="zh-CN"/>
        </w:rPr>
        <w:t>财政</w:t>
      </w:r>
      <w:r>
        <w:rPr>
          <w:rFonts w:hint="eastAsia" w:ascii="仿宋" w:hAnsi="仿宋" w:eastAsia="仿宋" w:cs="仿宋"/>
          <w:color w:val="auto"/>
          <w:sz w:val="32"/>
          <w:szCs w:val="32"/>
        </w:rPr>
        <w:t>供养人数3人，其中</w:t>
      </w:r>
      <w:r>
        <w:rPr>
          <w:rFonts w:hint="eastAsia" w:ascii="仿宋" w:hAnsi="仿宋" w:eastAsia="仿宋" w:cs="仿宋"/>
          <w:color w:val="auto"/>
          <w:sz w:val="32"/>
          <w:szCs w:val="32"/>
          <w:lang w:val="en-US" w:eastAsia="zh-CN"/>
        </w:rPr>
        <w:t>事业编人员</w:t>
      </w:r>
      <w:r>
        <w:rPr>
          <w:rFonts w:hint="eastAsia" w:ascii="仿宋" w:hAnsi="仿宋" w:eastAsia="仿宋" w:cs="仿宋"/>
          <w:color w:val="auto"/>
          <w:sz w:val="32"/>
          <w:szCs w:val="32"/>
        </w:rPr>
        <w:t>管理办法在职在编人数3人</w:t>
      </w:r>
    </w:p>
    <w:p>
      <w:pPr>
        <w:jc w:val="center"/>
        <w:rPr>
          <w:rFonts w:hint="eastAsia" w:ascii="仿宋" w:hAnsi="仿宋" w:eastAsia="仿宋" w:cs="仿宋"/>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eastAsia="zh-CN"/>
        </w:rPr>
        <w:t>环江毛南族自治县大才乡社保所</w:t>
      </w:r>
      <w:r>
        <w:rPr>
          <w:rFonts w:hint="eastAsia" w:ascii="黑体" w:hAnsi="黑体" w:eastAsia="黑体" w:cs="黑体"/>
          <w:sz w:val="32"/>
          <w:szCs w:val="32"/>
          <w:highlight w:val="none"/>
        </w:rPr>
        <w:t xml:space="preserve"> </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年度部门决算报表</w:t>
      </w:r>
    </w:p>
    <w:p>
      <w:pPr>
        <w:jc w:val="center"/>
        <w:rPr>
          <w:rFonts w:hint="eastAsia" w:ascii="黑体" w:hAnsi="黑体" w:eastAsia="黑体" w:cs="黑体"/>
          <w:sz w:val="32"/>
          <w:szCs w:val="32"/>
          <w:highlight w:val="none"/>
        </w:rPr>
      </w:pPr>
    </w:p>
    <w:tbl>
      <w:tblPr>
        <w:tblStyle w:val="6"/>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42"/>
        <w:gridCol w:w="816"/>
        <w:gridCol w:w="816"/>
        <w:gridCol w:w="4372"/>
        <w:gridCol w:w="816"/>
        <w:gridCol w:w="20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7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部门：河池市环江毛南族自治县大才乡社保所</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收入</w:t>
            </w:r>
          </w:p>
        </w:tc>
        <w:tc>
          <w:tcPr>
            <w:tcW w:w="0" w:type="auto"/>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金额</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一、一般公共预算财政拨款收入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themeColor="text1"/>
                <w:sz w:val="22"/>
                <w:szCs w:val="22"/>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二、政府性基金预算财政拨款收入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三、国有资本经营预算财政拨款收入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四、上级补助收入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五、事业收入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六、经营收入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七、附属单位上缴收入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八、其他收入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36.3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财政</w:t>
            </w:r>
            <w:r>
              <w:rPr>
                <w:rFonts w:hint="eastAsia" w:ascii="宋体" w:hAnsi="宋体" w:eastAsia="宋体" w:cs="宋体"/>
                <w:i w:val="0"/>
                <w:iCs w:val="0"/>
                <w:color w:val="000000"/>
                <w:kern w:val="0"/>
                <w:sz w:val="22"/>
                <w:szCs w:val="22"/>
                <w:u w:val="none"/>
                <w:lang w:val="en-US" w:eastAsia="zh-CN" w:bidi="ar"/>
              </w:rPr>
              <w:t>拨款结余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36.3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36.3</w:t>
            </w:r>
          </w:p>
        </w:tc>
      </w:tr>
    </w:tbl>
    <w:p>
      <w:pPr>
        <w:jc w:val="center"/>
        <w:rPr>
          <w:rFonts w:hint="eastAsia" w:ascii="黑体" w:hAnsi="黑体" w:eastAsia="黑体" w:cs="黑体"/>
          <w:sz w:val="32"/>
          <w:szCs w:val="32"/>
          <w:highlight w:val="none"/>
        </w:rPr>
      </w:pPr>
    </w:p>
    <w:p>
      <w:pPr>
        <w:jc w:val="center"/>
        <w:rPr>
          <w:rFonts w:hint="eastAsia" w:ascii="黑体" w:hAnsi="黑体" w:eastAsia="黑体" w:cs="黑体"/>
          <w:sz w:val="32"/>
          <w:szCs w:val="32"/>
          <w:highlight w:val="none"/>
        </w:rPr>
      </w:pPr>
    </w:p>
    <w:p>
      <w:pPr>
        <w:jc w:val="center"/>
        <w:rPr>
          <w:rFonts w:hint="eastAsia" w:ascii="黑体" w:hAnsi="黑体" w:eastAsia="黑体" w:cs="黑体"/>
          <w:sz w:val="32"/>
          <w:szCs w:val="32"/>
          <w:highlight w:val="none"/>
        </w:rPr>
      </w:pPr>
    </w:p>
    <w:p>
      <w:pPr>
        <w:jc w:val="center"/>
        <w:rPr>
          <w:rFonts w:hint="eastAsia" w:ascii="黑体" w:hAnsi="黑体" w:eastAsia="黑体" w:cs="黑体"/>
          <w:sz w:val="32"/>
          <w:szCs w:val="32"/>
          <w:highlight w:val="none"/>
        </w:rPr>
      </w:pPr>
    </w:p>
    <w:p>
      <w:pPr>
        <w:jc w:val="center"/>
        <w:rPr>
          <w:rFonts w:hint="eastAsia" w:ascii="黑体" w:hAnsi="黑体" w:eastAsia="黑体" w:cs="黑体"/>
          <w:sz w:val="32"/>
          <w:szCs w:val="32"/>
          <w:highlight w:val="none"/>
        </w:rPr>
      </w:pPr>
    </w:p>
    <w:p>
      <w:pPr>
        <w:rPr>
          <w:rFonts w:hint="default"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表二：收入决算表</w:t>
      </w:r>
    </w:p>
    <w:tbl>
      <w:tblPr>
        <w:tblStyle w:val="6"/>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0"/>
        <w:gridCol w:w="240"/>
        <w:gridCol w:w="329"/>
        <w:gridCol w:w="2877"/>
        <w:gridCol w:w="1009"/>
        <w:gridCol w:w="777"/>
        <w:gridCol w:w="668"/>
        <w:gridCol w:w="709"/>
        <w:gridCol w:w="737"/>
        <w:gridCol w:w="834"/>
        <w:gridCol w:w="15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81"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2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87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00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7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6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0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3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3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541"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60"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部门：河池市环江毛南族自治县大才乡社保所</w:t>
            </w: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2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87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00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7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6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0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3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3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541"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806"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009"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77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668"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709"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73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834"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541"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9"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877"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68"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34"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4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9"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877" w:type="dxa"/>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68"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34"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4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9"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877" w:type="dxa"/>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68"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34"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4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806"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00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0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3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3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4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806"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36.3</w:t>
            </w:r>
          </w:p>
        </w:tc>
        <w:tc>
          <w:tcPr>
            <w:tcW w:w="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36.3</w:t>
            </w:r>
          </w:p>
        </w:tc>
        <w:tc>
          <w:tcPr>
            <w:tcW w:w="6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2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0.6</w:t>
            </w:r>
          </w:p>
        </w:tc>
        <w:tc>
          <w:tcPr>
            <w:tcW w:w="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6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2080109</w:t>
            </w:r>
          </w:p>
        </w:tc>
        <w:tc>
          <w:tcPr>
            <w:tcW w:w="2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社会保险经办机构</w:t>
            </w:r>
          </w:p>
        </w:tc>
        <w:tc>
          <w:tcPr>
            <w:tcW w:w="1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27.7</w:t>
            </w:r>
          </w:p>
        </w:tc>
        <w:tc>
          <w:tcPr>
            <w:tcW w:w="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27.7</w:t>
            </w:r>
          </w:p>
        </w:tc>
        <w:tc>
          <w:tcPr>
            <w:tcW w:w="6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2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4.5</w:t>
            </w:r>
          </w:p>
        </w:tc>
        <w:tc>
          <w:tcPr>
            <w:tcW w:w="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6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2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2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3.5</w:t>
            </w:r>
          </w:p>
        </w:tc>
        <w:tc>
          <w:tcPr>
            <w:tcW w:w="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2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87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00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6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3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081"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6"/>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93"/>
        <w:gridCol w:w="222"/>
        <w:gridCol w:w="222"/>
        <w:gridCol w:w="3614"/>
        <w:gridCol w:w="982"/>
        <w:gridCol w:w="791"/>
        <w:gridCol w:w="733"/>
        <w:gridCol w:w="657"/>
        <w:gridCol w:w="657"/>
        <w:gridCol w:w="1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4081" w:type="dxa"/>
            <w:gridSpan w:val="10"/>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61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8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9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5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5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610"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9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部门：河池市环江毛南族自治县大才乡社保所</w:t>
            </w: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61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8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9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5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5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610"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651"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82"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791"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733"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65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65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61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7"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614"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82"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9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3"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5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5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614" w:type="dxa"/>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82"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9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3"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5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5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614" w:type="dxa"/>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82"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9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3"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5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5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651"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98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3"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651"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36.3</w:t>
            </w:r>
          </w:p>
        </w:tc>
        <w:tc>
          <w:tcPr>
            <w:tcW w:w="7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36.3</w:t>
            </w: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9.30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6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36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7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2080109</w:t>
            </w:r>
          </w:p>
        </w:tc>
        <w:tc>
          <w:tcPr>
            <w:tcW w:w="36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社会保险经办机构</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w:t>
            </w:r>
          </w:p>
        </w:tc>
        <w:tc>
          <w:tcPr>
            <w:tcW w:w="7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w:t>
            </w: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6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7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6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361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9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61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081" w:type="dxa"/>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rPr>
          <w:rFonts w:ascii="仿宋" w:hAnsi="仿宋" w:eastAsia="仿宋" w:cs="仿宋"/>
          <w:sz w:val="24"/>
          <w:highlight w:val="none"/>
        </w:rPr>
      </w:pPr>
    </w:p>
    <w:p>
      <w:pPr>
        <w:rPr>
          <w:rFonts w:ascii="仿宋" w:hAnsi="仿宋" w:eastAsia="仿宋" w:cs="仿宋"/>
          <w:sz w:val="24"/>
          <w:highlight w:val="none"/>
        </w:rPr>
      </w:pPr>
    </w:p>
    <w:p>
      <w:pPr>
        <w:jc w:val="center"/>
        <w:rPr>
          <w:rFonts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w:t>
      </w:r>
      <w:r>
        <w:rPr>
          <w:rFonts w:hint="eastAsia" w:ascii="仿宋" w:hAnsi="仿宋" w:eastAsia="仿宋" w:cs="仿宋"/>
          <w:sz w:val="24"/>
          <w:highlight w:val="none"/>
          <w:lang w:val="en-US" w:eastAsia="zh-CN"/>
        </w:rPr>
        <w:t>财政</w:t>
      </w:r>
      <w:r>
        <w:rPr>
          <w:rFonts w:hint="eastAsia" w:ascii="仿宋" w:hAnsi="仿宋" w:eastAsia="仿宋" w:cs="仿宋"/>
          <w:sz w:val="24"/>
          <w:highlight w:val="none"/>
        </w:rPr>
        <w:t>拨款收入支出决算总表</w:t>
      </w:r>
    </w:p>
    <w:tbl>
      <w:tblPr>
        <w:tblStyle w:val="6"/>
        <w:tblW w:w="12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75"/>
        <w:gridCol w:w="524"/>
        <w:gridCol w:w="938"/>
        <w:gridCol w:w="3567"/>
        <w:gridCol w:w="524"/>
        <w:gridCol w:w="679"/>
        <w:gridCol w:w="1160"/>
        <w:gridCol w:w="899"/>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257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社保拨款收入支出决算总表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部门：河池市环江毛南族自治县大才乡社保所</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2550"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1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298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5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09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30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2550" w:type="dxa"/>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98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5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9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0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财政</w:t>
            </w:r>
            <w:r>
              <w:rPr>
                <w:rFonts w:hint="eastAsia" w:ascii="宋体" w:hAnsi="宋体" w:eastAsia="宋体" w:cs="宋体"/>
                <w:i w:val="0"/>
                <w:iCs w:val="0"/>
                <w:color w:val="000000"/>
                <w:kern w:val="0"/>
                <w:sz w:val="22"/>
                <w:szCs w:val="22"/>
                <w:u w:val="none"/>
                <w:lang w:val="en-US" w:eastAsia="zh-CN" w:bidi="ar"/>
              </w:rPr>
              <w:t>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36.3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0.6</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财政</w:t>
            </w:r>
            <w:r>
              <w:rPr>
                <w:rFonts w:hint="eastAsia" w:ascii="宋体" w:hAnsi="宋体" w:eastAsia="宋体" w:cs="宋体"/>
                <w:i w:val="0"/>
                <w:iCs w:val="0"/>
                <w:color w:val="000000"/>
                <w:kern w:val="0"/>
                <w:sz w:val="22"/>
                <w:szCs w:val="22"/>
                <w:u w:val="none"/>
                <w:lang w:val="en-US" w:eastAsia="zh-CN" w:bidi="ar"/>
              </w:rPr>
              <w:t>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财政</w:t>
            </w:r>
            <w:r>
              <w:rPr>
                <w:rFonts w:hint="eastAsia" w:ascii="宋体" w:hAnsi="宋体" w:eastAsia="宋体" w:cs="宋体"/>
                <w:i w:val="0"/>
                <w:iCs w:val="0"/>
                <w:color w:val="000000"/>
                <w:kern w:val="0"/>
                <w:sz w:val="22"/>
                <w:szCs w:val="22"/>
                <w:u w:val="none"/>
                <w:lang w:val="en-US" w:eastAsia="zh-CN" w:bidi="ar"/>
              </w:rPr>
              <w:t>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32.2</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3.5</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36.3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36.3</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财政</w:t>
            </w:r>
            <w:r>
              <w:rPr>
                <w:rFonts w:hint="eastAsia" w:ascii="宋体" w:hAnsi="宋体" w:eastAsia="宋体" w:cs="宋体"/>
                <w:i w:val="0"/>
                <w:iCs w:val="0"/>
                <w:color w:val="000000"/>
                <w:kern w:val="0"/>
                <w:sz w:val="22"/>
                <w:szCs w:val="22"/>
                <w:u w:val="none"/>
                <w:lang w:val="en-US" w:eastAsia="zh-CN" w:bidi="ar"/>
              </w:rPr>
              <w:t>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财政</w:t>
            </w:r>
            <w:r>
              <w:rPr>
                <w:rFonts w:hint="eastAsia" w:ascii="宋体" w:hAnsi="宋体" w:eastAsia="宋体" w:cs="宋体"/>
                <w:i w:val="0"/>
                <w:iCs w:val="0"/>
                <w:color w:val="000000"/>
                <w:kern w:val="0"/>
                <w:sz w:val="22"/>
                <w:szCs w:val="22"/>
                <w:u w:val="none"/>
                <w:lang w:val="en-US" w:eastAsia="zh-CN" w:bidi="ar"/>
              </w:rPr>
              <w:t>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财政</w:t>
            </w:r>
            <w:r>
              <w:rPr>
                <w:rFonts w:hint="eastAsia" w:ascii="宋体" w:hAnsi="宋体" w:eastAsia="宋体" w:cs="宋体"/>
                <w:i w:val="0"/>
                <w:iCs w:val="0"/>
                <w:color w:val="000000"/>
                <w:kern w:val="0"/>
                <w:sz w:val="22"/>
                <w:szCs w:val="22"/>
                <w:u w:val="none"/>
                <w:lang w:val="en-US" w:eastAsia="zh-CN" w:bidi="ar"/>
              </w:rPr>
              <w:t>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财政</w:t>
            </w:r>
            <w:r>
              <w:rPr>
                <w:rFonts w:hint="eastAsia" w:ascii="宋体" w:hAnsi="宋体" w:eastAsia="宋体" w:cs="宋体"/>
                <w:i w:val="0"/>
                <w:iCs w:val="0"/>
                <w:color w:val="000000"/>
                <w:kern w:val="0"/>
                <w:sz w:val="22"/>
                <w:szCs w:val="22"/>
                <w:u w:val="none"/>
                <w:lang w:val="en-US" w:eastAsia="zh-CN" w:bidi="ar"/>
              </w:rPr>
              <w:t>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财政</w:t>
            </w:r>
            <w:r>
              <w:rPr>
                <w:rFonts w:hint="eastAsia" w:ascii="宋体" w:hAnsi="宋体" w:eastAsia="宋体" w:cs="宋体"/>
                <w:i w:val="0"/>
                <w:iCs w:val="0"/>
                <w:color w:val="000000"/>
                <w:kern w:val="0"/>
                <w:sz w:val="22"/>
                <w:szCs w:val="22"/>
                <w:u w:val="none"/>
                <w:lang w:val="en-US" w:eastAsia="zh-CN" w:bidi="ar"/>
              </w:rPr>
              <w:t>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36.3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36.3</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w:t>
      </w:r>
      <w:r>
        <w:rPr>
          <w:rFonts w:hint="eastAsia" w:ascii="仿宋" w:hAnsi="仿宋" w:eastAsia="仿宋" w:cs="仿宋"/>
          <w:sz w:val="24"/>
          <w:highlight w:val="none"/>
          <w:lang w:val="en-US" w:eastAsia="zh-CN"/>
        </w:rPr>
        <w:t>财政</w:t>
      </w:r>
      <w:r>
        <w:rPr>
          <w:rFonts w:hint="eastAsia" w:ascii="仿宋" w:hAnsi="仿宋" w:eastAsia="仿宋" w:cs="仿宋"/>
          <w:sz w:val="24"/>
          <w:highlight w:val="none"/>
        </w:rPr>
        <w:t>拨款支出决算表</w:t>
      </w:r>
    </w:p>
    <w:tbl>
      <w:tblPr>
        <w:tblStyle w:val="6"/>
        <w:tblW w:w="121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77"/>
        <w:gridCol w:w="241"/>
        <w:gridCol w:w="242"/>
        <w:gridCol w:w="4090"/>
        <w:gridCol w:w="797"/>
        <w:gridCol w:w="797"/>
        <w:gridCol w:w="16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174" w:type="dxa"/>
            <w:gridSpan w:val="7"/>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部门：河池市环江毛南族自治县大才乡社保所</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158"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6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7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77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1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50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1"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1"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1"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1"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36.3</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2080109</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社会保险经办机构</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w:t>
      </w:r>
      <w:r>
        <w:rPr>
          <w:rFonts w:hint="eastAsia" w:ascii="仿宋" w:hAnsi="仿宋" w:eastAsia="仿宋" w:cs="仿宋"/>
          <w:sz w:val="24"/>
          <w:highlight w:val="none"/>
          <w:lang w:val="en-US" w:eastAsia="zh-CN"/>
        </w:rPr>
        <w:t>财政</w:t>
      </w:r>
      <w:r>
        <w:rPr>
          <w:rFonts w:hint="eastAsia" w:ascii="仿宋" w:hAnsi="仿宋" w:eastAsia="仿宋" w:cs="仿宋"/>
          <w:sz w:val="24"/>
          <w:highlight w:val="none"/>
        </w:rPr>
        <w:t>拨款基本支出决算表</w:t>
      </w:r>
    </w:p>
    <w:p>
      <w:pPr>
        <w:jc w:val="left"/>
        <w:rPr>
          <w:rFonts w:hint="eastAsia" w:ascii="仿宋" w:hAnsi="仿宋" w:eastAsia="仿宋" w:cs="仿宋"/>
          <w:sz w:val="24"/>
          <w:highlight w:val="none"/>
        </w:rPr>
      </w:pPr>
    </w:p>
    <w:tbl>
      <w:tblPr>
        <w:tblStyle w:val="6"/>
        <w:tblW w:w="14000" w:type="dxa"/>
        <w:tblInd w:w="96" w:type="dxa"/>
        <w:tblLayout w:type="fixed"/>
        <w:tblCellMar>
          <w:top w:w="0" w:type="dxa"/>
          <w:left w:w="108" w:type="dxa"/>
          <w:bottom w:w="0" w:type="dxa"/>
          <w:right w:w="108" w:type="dxa"/>
        </w:tblCellMar>
      </w:tblPr>
      <w:tblGrid>
        <w:gridCol w:w="1107"/>
        <w:gridCol w:w="2371"/>
        <w:gridCol w:w="1106"/>
        <w:gridCol w:w="1280"/>
        <w:gridCol w:w="2347"/>
        <w:gridCol w:w="1160"/>
        <w:gridCol w:w="1173"/>
        <w:gridCol w:w="2147"/>
        <w:gridCol w:w="1309"/>
      </w:tblGrid>
      <w:tr>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0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i w:val="0"/>
                <w:iCs w:val="0"/>
                <w:color w:val="000000"/>
                <w:kern w:val="0"/>
                <w:sz w:val="20"/>
                <w:szCs w:val="20"/>
                <w:u w:val="none"/>
                <w:lang w:val="en-US" w:eastAsia="zh-CN" w:bidi="ar"/>
              </w:rPr>
              <w:t>河池市环江毛南族自治县大才乡社保所</w:t>
            </w:r>
          </w:p>
        </w:tc>
        <w:tc>
          <w:tcPr>
            <w:tcW w:w="116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56"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公用经费</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科目编码</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2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trHeight w:val="1237"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bookmarkStart w:id="0" w:name="OLE_LINK4"/>
            <w:bookmarkStart w:id="1" w:name="OLE_LINK3"/>
            <w:r>
              <w:rPr>
                <w:rFonts w:hint="eastAsia" w:ascii="宋体" w:hAnsi="宋体" w:eastAsia="宋体" w:cs="宋体"/>
                <w:i w:val="0"/>
                <w:iCs w:val="0"/>
                <w:color w:val="000000"/>
                <w:kern w:val="0"/>
                <w:sz w:val="22"/>
                <w:szCs w:val="22"/>
                <w:u w:val="none"/>
                <w:lang w:val="en-US" w:eastAsia="zh-CN" w:bidi="ar"/>
              </w:rPr>
              <w:t>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34.98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1.3</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11.3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0.2</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2.3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4.3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szCs w:val="22"/>
                <w:highlight w:val="none"/>
                <w:lang w:eastAsia="zh-CN"/>
              </w:rPr>
            </w:pPr>
            <w:r>
              <w:rPr>
                <w:rFonts w:hint="eastAsia" w:asciiTheme="minorEastAsia" w:hAnsiTheme="minorEastAsia" w:cstheme="minorEastAsia"/>
                <w:sz w:val="22"/>
                <w:szCs w:val="22"/>
                <w:vertAlign w:val="baseline"/>
                <w:lang w:val="en-US" w:eastAsia="zh-CN"/>
              </w:rPr>
              <w:t>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Theme="minorEastAsia" w:hAnsiTheme="minorEastAsia" w:cstheme="minorEastAsia"/>
                <w:sz w:val="22"/>
                <w:szCs w:val="22"/>
                <w:vertAlign w:val="baseline"/>
                <w:lang w:val="en-US" w:eastAsia="zh-CN"/>
              </w:rPr>
              <w:t>7.1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4.5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Theme="minorEastAsia" w:hAnsi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1.8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0.5</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3.5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rPr>
            </w:pPr>
            <w:r>
              <w:rPr>
                <w:rFonts w:hint="eastAsia" w:asciiTheme="minorEastAsia" w:hAnsi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Theme="minorEastAsia" w:hAnsi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rPr>
            </w:pPr>
            <w:r>
              <w:rPr>
                <w:rFonts w:hint="eastAsia" w:asciiTheme="minorEastAsia" w:hAnsiTheme="minorEastAsia" w:cstheme="minorEastAsia"/>
                <w:sz w:val="22"/>
                <w:szCs w:val="22"/>
                <w:vertAlign w:val="baseline"/>
                <w:lang w:val="en-US" w:eastAsia="zh-CN"/>
              </w:rPr>
              <w:t>0.6</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rPr>
            </w:pPr>
            <w:r>
              <w:rPr>
                <w:rFonts w:hint="eastAsia" w:asciiTheme="minorEastAsia" w:hAnsi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人员经费合计</w:t>
            </w:r>
          </w:p>
          <w:bookmarkEnd w:id="0"/>
          <w:bookmarkEnd w:id="1"/>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34.98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公用经费合计</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1.3</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w:t>
      </w:r>
      <w:r>
        <w:rPr>
          <w:rFonts w:hint="eastAsia" w:ascii="仿宋" w:hAnsi="仿宋" w:eastAsia="仿宋" w:cs="仿宋"/>
          <w:sz w:val="24"/>
          <w:highlight w:val="none"/>
          <w:lang w:val="en-US" w:eastAsia="zh-CN"/>
        </w:rPr>
        <w:t>财政</w:t>
      </w:r>
      <w:r>
        <w:rPr>
          <w:rFonts w:hint="eastAsia" w:ascii="仿宋" w:hAnsi="仿宋" w:eastAsia="仿宋" w:cs="仿宋"/>
          <w:sz w:val="24"/>
          <w:highlight w:val="none"/>
        </w:rPr>
        <w:t>拨款收入支出决算表</w:t>
      </w:r>
    </w:p>
    <w:p>
      <w:pPr>
        <w:jc w:val="left"/>
        <w:rPr>
          <w:rFonts w:hint="eastAsia" w:ascii="仿宋" w:hAnsi="仿宋" w:eastAsia="仿宋" w:cs="仿宋"/>
          <w:sz w:val="24"/>
          <w:highlight w:val="none"/>
        </w:rPr>
      </w:pPr>
    </w:p>
    <w:tbl>
      <w:tblPr>
        <w:tblStyle w:val="6"/>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w:t>
            </w:r>
            <w:r>
              <w:rPr>
                <w:rFonts w:hint="eastAsia" w:ascii="宋体" w:hAnsi="宋体" w:eastAsia="宋体" w:cs="宋体"/>
                <w:color w:val="000000"/>
                <w:kern w:val="0"/>
                <w:sz w:val="32"/>
                <w:szCs w:val="32"/>
                <w:highlight w:val="none"/>
                <w:lang w:val="en-US" w:eastAsia="zh-CN" w:bidi="ar"/>
              </w:rPr>
              <w:t>财政</w:t>
            </w:r>
            <w:r>
              <w:rPr>
                <w:rFonts w:hint="eastAsia" w:ascii="宋体" w:hAnsi="宋体" w:eastAsia="宋体" w:cs="宋体"/>
                <w:color w:val="000000"/>
                <w:kern w:val="0"/>
                <w:sz w:val="32"/>
                <w:szCs w:val="32"/>
                <w:highlight w:val="none"/>
                <w:lang w:bidi="ar"/>
              </w:rPr>
              <w:t>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kern w:val="0"/>
                <w:sz w:val="20"/>
                <w:szCs w:val="20"/>
                <w:highlight w:val="none"/>
                <w:lang w:val="en-US" w:eastAsia="zh-CN" w:bidi="ar"/>
              </w:rPr>
              <w:t>河池市</w:t>
            </w:r>
            <w:r>
              <w:rPr>
                <w:rFonts w:hint="eastAsia" w:ascii="宋体" w:hAnsi="宋体" w:eastAsia="宋体" w:cs="宋体"/>
                <w:color w:val="000000"/>
                <w:sz w:val="20"/>
                <w:u w:color="auto"/>
                <w:lang w:eastAsia="zh-CN"/>
              </w:rPr>
              <w:t>环江毛南族自治县大才乡社保所</w:t>
            </w:r>
          </w:p>
        </w:tc>
        <w:tc>
          <w:tcPr>
            <w:tcW w:w="16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 xml:space="preserve">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注：本表反映部门本年度政府性基金预算</w:t>
            </w:r>
            <w:r>
              <w:rPr>
                <w:rFonts w:hint="eastAsia" w:ascii="宋体" w:hAnsi="宋体" w:eastAsia="宋体" w:cs="宋体"/>
                <w:color w:val="auto"/>
                <w:kern w:val="0"/>
                <w:sz w:val="22"/>
                <w:szCs w:val="22"/>
                <w:highlight w:val="none"/>
                <w:lang w:val="en-US" w:eastAsia="zh-CN" w:bidi="ar"/>
              </w:rPr>
              <w:t>财政</w:t>
            </w:r>
            <w:r>
              <w:rPr>
                <w:rFonts w:hint="eastAsia" w:ascii="宋体" w:hAnsi="宋体" w:eastAsia="宋体" w:cs="宋体"/>
                <w:color w:val="auto"/>
                <w:kern w:val="0"/>
                <w:sz w:val="22"/>
                <w:szCs w:val="22"/>
                <w:highlight w:val="none"/>
                <w:lang w:bidi="ar"/>
              </w:rPr>
              <w:t>拨款收入、支出及结转和结余情况。</w:t>
            </w:r>
          </w:p>
          <w:p>
            <w:pPr>
              <w:keepNext w:val="0"/>
              <w:keepLines w:val="0"/>
              <w:widowControl w:val="0"/>
              <w:suppressLineNumbers w:val="0"/>
              <w:spacing w:before="0" w:beforeAutospacing="0" w:after="0" w:afterAutospacing="0"/>
              <w:ind w:left="0" w:right="0"/>
              <w:jc w:val="both"/>
              <w:rPr>
                <w:rFonts w:hint="default"/>
                <w:color w:val="auto"/>
              </w:rPr>
            </w:pPr>
            <w:r>
              <w:rPr>
                <w:rFonts w:hint="eastAsia" w:ascii="宋体" w:hAnsi="宋体" w:eastAsia="宋体" w:cs="宋体"/>
                <w:color w:val="auto"/>
                <w:kern w:val="2"/>
                <w:sz w:val="21"/>
                <w:szCs w:val="21"/>
                <w:lang w:val="en-US" w:eastAsia="zh-CN" w:bidi="ar"/>
              </w:rPr>
              <w:t>本部门</w:t>
            </w:r>
            <w:r>
              <w:rPr>
                <w:rFonts w:hint="eastAsia" w:ascii="Times New Roman" w:hAnsi="Times New Roman" w:eastAsia="宋体" w:cs="Times New Roman"/>
                <w:color w:val="auto"/>
                <w:kern w:val="2"/>
                <w:sz w:val="21"/>
                <w:szCs w:val="21"/>
                <w:lang w:val="en-US" w:eastAsia="zh-CN" w:bidi="ar"/>
              </w:rPr>
              <w:t>2023</w:t>
            </w:r>
            <w:r>
              <w:rPr>
                <w:rFonts w:hint="eastAsia" w:ascii="宋体" w:hAnsi="宋体" w:eastAsia="宋体" w:cs="宋体"/>
                <w:color w:val="auto"/>
                <w:kern w:val="2"/>
                <w:sz w:val="21"/>
                <w:szCs w:val="21"/>
                <w:lang w:val="en-US" w:eastAsia="zh-CN" w:bidi="ar"/>
              </w:rPr>
              <w:t>年度没有政府性基金预算财政拨款收入，也没有政府性基金预算财政拨款安排的支出，故本表无数据。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w:t>
      </w:r>
      <w:r>
        <w:rPr>
          <w:rFonts w:hint="eastAsia" w:ascii="仿宋" w:hAnsi="仿宋" w:eastAsia="仿宋" w:cs="仿宋"/>
          <w:sz w:val="24"/>
          <w:highlight w:val="none"/>
          <w:lang w:val="en-US" w:eastAsia="zh-CN"/>
        </w:rPr>
        <w:t>财政</w:t>
      </w:r>
      <w:r>
        <w:rPr>
          <w:rFonts w:hint="eastAsia" w:ascii="仿宋" w:hAnsi="仿宋" w:eastAsia="仿宋" w:cs="仿宋"/>
          <w:sz w:val="24"/>
          <w:highlight w:val="none"/>
        </w:rPr>
        <w:t>拨款支出决算表</w:t>
      </w:r>
    </w:p>
    <w:p>
      <w:pPr>
        <w:jc w:val="left"/>
        <w:rPr>
          <w:rFonts w:hint="eastAsia" w:ascii="仿宋" w:hAnsi="仿宋" w:eastAsia="仿宋" w:cs="仿宋"/>
          <w:sz w:val="24"/>
          <w:highlight w:val="none"/>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w:t>
            </w:r>
            <w:r>
              <w:rPr>
                <w:rFonts w:hint="eastAsia" w:ascii="宋体" w:hAnsi="宋体" w:eastAsia="宋体" w:cs="宋体"/>
                <w:color w:val="000000"/>
                <w:kern w:val="0"/>
                <w:sz w:val="32"/>
                <w:szCs w:val="32"/>
                <w:highlight w:val="none"/>
                <w:lang w:val="en-US" w:eastAsia="zh-CN" w:bidi="ar"/>
              </w:rPr>
              <w:t>财政</w:t>
            </w:r>
            <w:r>
              <w:rPr>
                <w:rFonts w:hint="eastAsia" w:ascii="宋体" w:hAnsi="宋体" w:eastAsia="宋体" w:cs="宋体"/>
                <w:color w:val="000000"/>
                <w:kern w:val="0"/>
                <w:sz w:val="32"/>
                <w:szCs w:val="32"/>
                <w:highlight w:val="none"/>
                <w:lang w:bidi="ar"/>
              </w:rPr>
              <w:t>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kern w:val="0"/>
                <w:sz w:val="20"/>
                <w:szCs w:val="20"/>
                <w:highlight w:val="none"/>
                <w:lang w:val="en-US" w:eastAsia="zh-CN" w:bidi="ar"/>
              </w:rPr>
              <w:t>河池市</w:t>
            </w:r>
            <w:r>
              <w:rPr>
                <w:rFonts w:hint="eastAsia" w:ascii="宋体" w:hAnsi="宋体" w:eastAsia="宋体" w:cs="宋体"/>
                <w:color w:val="000000"/>
                <w:sz w:val="20"/>
                <w:u w:color="auto"/>
                <w:lang w:eastAsia="zh-CN"/>
              </w:rPr>
              <w:t>环江毛南族自治县大才乡社保所</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w:t>
      </w:r>
      <w:r>
        <w:rPr>
          <w:rFonts w:hint="eastAsia" w:ascii="宋体" w:hAnsi="宋体" w:eastAsia="宋体" w:cs="宋体"/>
          <w:color w:val="000000"/>
          <w:kern w:val="0"/>
          <w:sz w:val="22"/>
          <w:szCs w:val="22"/>
          <w:highlight w:val="none"/>
          <w:lang w:val="en-US" w:eastAsia="zh-CN" w:bidi="ar"/>
        </w:rPr>
        <w:t>财政</w:t>
      </w:r>
      <w:r>
        <w:rPr>
          <w:rFonts w:hint="eastAsia" w:ascii="宋体" w:hAnsi="宋体" w:eastAsia="宋体" w:cs="宋体"/>
          <w:color w:val="000000"/>
          <w:kern w:val="0"/>
          <w:sz w:val="22"/>
          <w:szCs w:val="22"/>
          <w:highlight w:val="none"/>
          <w:lang w:bidi="ar"/>
        </w:rPr>
        <w:t>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2"/>
          <w:sz w:val="21"/>
          <w:szCs w:val="21"/>
          <w:lang w:val="en-US" w:eastAsia="zh-CN" w:bidi="ar"/>
        </w:rPr>
        <w:t>本部门</w:t>
      </w:r>
      <w:r>
        <w:rPr>
          <w:rFonts w:hint="eastAsia" w:ascii="Times New Roman" w:hAnsi="Times New Roman" w:eastAsia="宋体" w:cs="Times New Roman"/>
          <w:color w:val="auto"/>
          <w:kern w:val="2"/>
          <w:sz w:val="21"/>
          <w:szCs w:val="21"/>
          <w:lang w:val="en-US" w:eastAsia="zh-CN" w:bidi="ar"/>
        </w:rPr>
        <w:t>2023</w:t>
      </w:r>
      <w:r>
        <w:rPr>
          <w:rFonts w:hint="eastAsia" w:ascii="宋体" w:hAnsi="宋体" w:eastAsia="宋体" w:cs="宋体"/>
          <w:color w:val="auto"/>
          <w:kern w:val="2"/>
          <w:sz w:val="21"/>
          <w:szCs w:val="21"/>
          <w:lang w:val="en-US" w:eastAsia="zh-CN" w:bidi="ar"/>
        </w:rPr>
        <w:t>年度没有国有资本经营预算财政拨款收入，也没有国有资本经营预算财政拨款安排的支出，故本表无数据。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br w:type="page"/>
      </w:r>
    </w:p>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sz w:val="24"/>
          <w:highlight w:val="none"/>
        </w:r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eastAsia="zh-CN"/>
        </w:rPr>
        <w:t>环江毛南族自治县大才乡社保所</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年度总收入</w:t>
      </w:r>
      <w:r>
        <w:rPr>
          <w:rFonts w:hint="eastAsia" w:ascii="仿宋" w:hAnsi="仿宋" w:eastAsia="仿宋" w:cs="仿宋"/>
          <w:sz w:val="32"/>
          <w:u w:color="auto"/>
          <w:lang w:val="en-US" w:eastAsia="zh-CN"/>
        </w:rPr>
        <w:t>36.3</w:t>
      </w:r>
      <w:r>
        <w:rPr>
          <w:rFonts w:hint="eastAsia" w:ascii="仿宋" w:hAnsi="仿宋" w:eastAsia="仿宋" w:cs="仿宋"/>
          <w:sz w:val="32"/>
          <w:szCs w:val="32"/>
          <w:highlight w:val="none"/>
        </w:rPr>
        <w:t>万元，收入具体情况如下。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1.一般公共预算财政拨款收入</w:t>
      </w:r>
      <w:r>
        <w:rPr>
          <w:rFonts w:hint="eastAsia" w:ascii="仿宋" w:hAnsi="仿宋" w:eastAsia="仿宋" w:cs="仿宋"/>
          <w:sz w:val="32"/>
          <w:u w:color="auto"/>
          <w:lang w:val="en-US" w:eastAsia="zh-CN"/>
        </w:rPr>
        <w:t>36.3</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一般公共预算</w:t>
      </w:r>
      <w:r>
        <w:rPr>
          <w:rFonts w:hint="eastAsia" w:ascii="仿宋" w:hAnsi="仿宋" w:eastAsia="仿宋" w:cs="仿宋"/>
          <w:sz w:val="32"/>
          <w:szCs w:val="32"/>
          <w:highlight w:val="none"/>
          <w:lang w:val="en-US" w:eastAsia="zh-CN"/>
        </w:rPr>
        <w:t>财政</w:t>
      </w:r>
      <w:r>
        <w:rPr>
          <w:rFonts w:hint="eastAsia" w:ascii="仿宋" w:hAnsi="仿宋" w:eastAsia="仿宋" w:cs="仿宋"/>
          <w:sz w:val="32"/>
          <w:szCs w:val="32"/>
          <w:highlight w:val="none"/>
        </w:rPr>
        <w:t>拨款收入</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主要用途：</w:t>
      </w:r>
      <w:r>
        <w:rPr>
          <w:rFonts w:hint="eastAsia" w:ascii="仿宋" w:hAnsi="仿宋" w:eastAsia="仿宋" w:cs="仿宋"/>
          <w:color w:val="auto"/>
          <w:kern w:val="2"/>
          <w:sz w:val="32"/>
          <w:szCs w:val="32"/>
          <w:highlight w:val="none"/>
          <w:lang w:val="en-US" w:eastAsia="zh-CN" w:bidi="ar"/>
        </w:rPr>
        <w:t>人员经费支出。</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Times New Roman"/>
          <w:color w:val="auto"/>
          <w:sz w:val="32"/>
          <w:szCs w:val="32"/>
          <w:highlight w:val="none"/>
          <w:lang w:val="en-US"/>
        </w:rPr>
      </w:pPr>
      <w:r>
        <w:rPr>
          <w:rFonts w:hint="eastAsia" w:ascii="仿宋" w:hAnsi="仿宋" w:eastAsia="仿宋" w:cs="仿宋"/>
          <w:kern w:val="2"/>
          <w:sz w:val="32"/>
          <w:szCs w:val="32"/>
          <w:highlight w:val="none"/>
          <w:lang w:val="en-US" w:eastAsia="zh-CN" w:bidi="ar"/>
        </w:rPr>
        <w:t>2.政府性基金预算财政拨款收入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3.国有资本经营预算社保拨款收入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kern w:val="2"/>
          <w:sz w:val="32"/>
          <w:szCs w:val="32"/>
          <w:highlight w:val="none"/>
          <w:lang w:val="en-US" w:eastAsia="zh-CN" w:bidi="ar"/>
        </w:rPr>
        <w:t>4.上级补助收入</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6.经营收入0.00万,为事业单位在业务活动之外开展非独立核算</w:t>
      </w:r>
      <w:r>
        <w:rPr>
          <w:rFonts w:hint="eastAsia" w:ascii="仿宋" w:hAnsi="仿宋" w:eastAsia="仿宋" w:cs="仿宋"/>
          <w:color w:val="auto"/>
          <w:kern w:val="2"/>
          <w:sz w:val="32"/>
          <w:szCs w:val="32"/>
          <w:highlight w:val="none"/>
          <w:lang w:val="en-US" w:eastAsia="zh-CN" w:bidi="ar"/>
        </w:rPr>
        <w:t>经营活动取得的收入。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7.附属单位上缴收入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eastAsia="zh-CN"/>
        </w:rPr>
      </w:pPr>
      <w:r>
        <w:rPr>
          <w:rFonts w:hint="eastAsia" w:ascii="仿宋" w:hAnsi="仿宋" w:eastAsia="仿宋" w:cs="仿宋"/>
          <w:kern w:val="2"/>
          <w:sz w:val="32"/>
          <w:szCs w:val="32"/>
          <w:highlight w:val="none"/>
          <w:lang w:val="en-US" w:eastAsia="zh-CN" w:bidi="ar"/>
        </w:rPr>
        <w:t>8.其他收入</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10.上年结转和结余</w:t>
      </w:r>
      <w:r>
        <w:rPr>
          <w:rFonts w:hint="eastAsia" w:ascii="仿宋" w:hAnsi="仿宋" w:eastAsia="仿宋" w:cs="仿宋"/>
          <w:color w:val="auto"/>
          <w:sz w:val="32"/>
          <w:u w:color="auto"/>
          <w:lang w:val="en-US" w:eastAsia="zh-CN"/>
        </w:rPr>
        <w:t>0</w:t>
      </w:r>
      <w:r>
        <w:rPr>
          <w:rFonts w:hint="eastAsia" w:ascii="仿宋" w:hAnsi="仿宋" w:eastAsia="仿宋" w:cs="仿宋"/>
          <w:color w:val="auto"/>
          <w:kern w:val="2"/>
          <w:sz w:val="32"/>
          <w:szCs w:val="32"/>
          <w:highlight w:val="none"/>
          <w:lang w:val="en-US" w:eastAsia="zh-CN" w:bidi="ar"/>
        </w:rPr>
        <w:t>万元。</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810000"/>
            <wp:effectExtent l="4445" t="4445" r="5715" b="1079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numPr>
          <w:ilvl w:val="0"/>
          <w:numId w:val="1"/>
        </w:numPr>
        <w:ind w:firstLine="640" w:firstLineChars="200"/>
        <w:jc w:val="left"/>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年度总支出</w:t>
      </w:r>
      <w:r>
        <w:rPr>
          <w:rFonts w:hint="eastAsia" w:ascii="仿宋" w:hAnsi="仿宋" w:eastAsia="仿宋" w:cs="仿宋"/>
          <w:sz w:val="32"/>
          <w:u w:color="auto"/>
          <w:lang w:val="en-US" w:eastAsia="zh-CN"/>
        </w:rPr>
        <w:t>36.3</w:t>
      </w:r>
      <w:r>
        <w:rPr>
          <w:rFonts w:hint="eastAsia" w:ascii="仿宋" w:hAnsi="仿宋" w:eastAsia="仿宋" w:cs="仿宋"/>
          <w:sz w:val="32"/>
          <w:szCs w:val="32"/>
          <w:highlight w:val="none"/>
        </w:rPr>
        <w:t>万元，其中本年支出</w:t>
      </w:r>
      <w:r>
        <w:rPr>
          <w:rFonts w:hint="eastAsia" w:ascii="仿宋" w:hAnsi="仿宋" w:eastAsia="仿宋" w:cs="仿宋"/>
          <w:sz w:val="32"/>
          <w:u w:color="auto"/>
          <w:lang w:val="en-US" w:eastAsia="zh-CN"/>
        </w:rPr>
        <w:t>36.3</w:t>
      </w:r>
      <w:r>
        <w:rPr>
          <w:rFonts w:hint="eastAsia" w:ascii="仿宋" w:hAnsi="仿宋" w:eastAsia="仿宋" w:cs="仿宋"/>
          <w:sz w:val="32"/>
          <w:szCs w:val="32"/>
          <w:highlight w:val="none"/>
        </w:rPr>
        <w:t>万元，支出具体情况如下</w:t>
      </w:r>
      <w:r>
        <w:rPr>
          <w:rFonts w:hint="eastAsia" w:ascii="仿宋" w:hAnsi="仿宋" w:eastAsia="仿宋" w:cs="仿宋"/>
          <w:sz w:val="32"/>
          <w:szCs w:val="32"/>
          <w:highlight w:val="none"/>
          <w:lang w:eastAsia="zh-CN"/>
        </w:rPr>
        <w:t>：</w:t>
      </w:r>
    </w:p>
    <w:p>
      <w:pPr>
        <w:keepNext w:val="0"/>
        <w:keepLines w:val="0"/>
        <w:widowControl w:val="0"/>
        <w:numPr>
          <w:ilvl w:val="0"/>
          <w:numId w:val="0"/>
        </w:numPr>
        <w:suppressLineNumbers w:val="0"/>
        <w:spacing w:before="0" w:beforeAutospacing="0" w:after="0" w:afterAutospacing="0"/>
        <w:ind w:right="0" w:rightChars="0" w:firstLine="640" w:firstLineChars="200"/>
        <w:jc w:val="left"/>
        <w:rPr>
          <w:rFonts w:hint="eastAsia" w:ascii="仿宋" w:hAnsi="仿宋" w:eastAsia="仿宋" w:cs="仿宋"/>
          <w:color w:val="auto"/>
          <w:sz w:val="32"/>
          <w:szCs w:val="32"/>
          <w:highlight w:val="none"/>
        </w:rPr>
      </w:pPr>
      <w:r>
        <w:rPr>
          <w:rFonts w:hint="eastAsia" w:ascii="仿宋" w:hAnsi="仿宋" w:eastAsia="仿宋" w:cs="仿宋"/>
          <w:sz w:val="32"/>
          <w:szCs w:val="32"/>
          <w:highlight w:val="none"/>
          <w:lang w:val="en-US" w:eastAsia="zh-CN" w:bidi="ar"/>
        </w:rPr>
        <w:t>1.一般公共服务支出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bidi="ar"/>
        </w:rPr>
        <w:t>201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0.5</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人员工会费支出</w:t>
      </w:r>
      <w:r>
        <w:rPr>
          <w:rFonts w:hint="eastAsia" w:ascii="仿宋" w:hAnsi="仿宋" w:eastAsia="仿宋" w:cs="仿宋"/>
          <w:color w:val="auto"/>
          <w:sz w:val="32"/>
          <w:szCs w:val="32"/>
          <w:highlight w:val="none"/>
        </w:rPr>
        <w:t>。</w:t>
      </w:r>
    </w:p>
    <w:p>
      <w:pPr>
        <w:keepNext w:val="0"/>
        <w:keepLines w:val="0"/>
        <w:widowControl w:val="0"/>
        <w:numPr>
          <w:ilvl w:val="0"/>
          <w:numId w:val="0"/>
        </w:numPr>
        <w:suppressLineNumbers w:val="0"/>
        <w:spacing w:before="0" w:beforeAutospacing="0" w:after="0" w:afterAutospacing="0"/>
        <w:ind w:leftChars="200" w:right="0" w:rightChars="0" w:firstLine="320" w:firstLineChars="100"/>
        <w:jc w:val="left"/>
        <w:rPr>
          <w:rFonts w:hint="eastAsia" w:ascii="仿宋" w:hAnsi="仿宋" w:eastAsia="仿宋" w:cs="仿宋"/>
          <w:color w:val="auto"/>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bidi="ar"/>
        </w:rPr>
        <w:t>社会保障和就业支</w:t>
      </w:r>
      <w:r>
        <w:rPr>
          <w:rFonts w:hint="eastAsia" w:ascii="仿宋" w:hAnsi="仿宋" w:eastAsia="仿宋" w:cs="仿宋"/>
          <w:color w:val="auto"/>
          <w:sz w:val="32"/>
          <w:szCs w:val="32"/>
          <w:highlight w:val="none"/>
          <w:lang w:bidi="ar"/>
        </w:rPr>
        <w:t>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bidi="ar"/>
        </w:rPr>
        <w:t>208</w:t>
      </w:r>
      <w:r>
        <w:rPr>
          <w:rFonts w:ascii="Calibri" w:hAnsi="Calibri" w:eastAsia="宋体" w:cs="Times New Roman"/>
          <w:color w:val="auto"/>
          <w:highlight w:val="none"/>
          <w:lang w:bidi="ar"/>
        </w:rPr>
        <w:t xml:space="preserve"> </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val="en-US" w:eastAsia="zh-CN" w:bidi="ar"/>
        </w:rPr>
        <w:t>32.2</w:t>
      </w:r>
      <w:r>
        <w:rPr>
          <w:rFonts w:hint="eastAsia" w:ascii="仿宋" w:hAnsi="仿宋" w:eastAsia="仿宋" w:cs="仿宋"/>
          <w:color w:val="auto"/>
          <w:sz w:val="32"/>
          <w:szCs w:val="32"/>
          <w:highlight w:val="none"/>
        </w:rPr>
        <w:t>万元：主要用于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机关事业单位基本养老保险缴费支出</w:t>
      </w:r>
      <w:r>
        <w:rPr>
          <w:rFonts w:hint="eastAsia" w:ascii="仿宋" w:hAnsi="仿宋" w:eastAsia="仿宋" w:cs="仿宋"/>
          <w:color w:val="auto"/>
          <w:sz w:val="32"/>
          <w:szCs w:val="32"/>
          <w:highlight w:val="none"/>
        </w:rPr>
        <w:t>。</w:t>
      </w:r>
    </w:p>
    <w:p>
      <w:pPr>
        <w:keepNext w:val="0"/>
        <w:keepLines w:val="0"/>
        <w:widowControl w:val="0"/>
        <w:suppressLineNumbers w:val="0"/>
        <w:spacing w:before="0" w:beforeAutospacing="0" w:after="0" w:afterAutospacing="0"/>
        <w:ind w:right="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3.5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本部门在职职工住房公积金缴纳。</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_GB2312" w:cs="仿宋"/>
          <w:sz w:val="32"/>
          <w:szCs w:val="32"/>
          <w:highlight w:val="none"/>
          <w:lang w:eastAsia="zh-CN" w:bidi="ar"/>
        </w:rPr>
      </w:pP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万元，较</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2022</w:t>
      </w:r>
      <w:r>
        <w:rPr>
          <w:rFonts w:hint="default" w:ascii="仿宋_GB2312" w:hAnsi="微软雅黑" w:eastAsia="仿宋_GB2312" w:cs="仿宋_GB2312"/>
          <w:i w:val="0"/>
          <w:iCs w:val="0"/>
          <w:caps w:val="0"/>
          <w:color w:val="000000"/>
          <w:spacing w:val="0"/>
          <w:sz w:val="31"/>
          <w:szCs w:val="31"/>
          <w:highlight w:val="none"/>
          <w:shd w:val="clear" w:color="auto" w:fill="FFFFFF"/>
        </w:rPr>
        <w:t>年决算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增长0%</w:t>
      </w:r>
      <w:r>
        <w:rPr>
          <w:rFonts w:hint="eastAsia" w:ascii="仿宋_GB2312" w:hAnsi="微软雅黑" w:eastAsia="仿宋_GB2312" w:cs="仿宋_GB2312"/>
          <w:color w:val="000000"/>
          <w:sz w:val="31"/>
          <w:szCs w:val="31"/>
          <w:highlight w:val="none"/>
          <w:shd w:val="clear" w:color="auto" w:fill="FFFFFF"/>
          <w:lang w:eastAsia="zh-CN"/>
        </w:rPr>
        <w:t>。</w:t>
      </w:r>
      <w:r>
        <w:rPr>
          <w:rFonts w:hint="eastAsia" w:ascii="仿宋" w:hAnsi="仿宋" w:eastAsia="仿宋" w:cs="仿宋"/>
          <w:color w:val="auto"/>
          <w:kern w:val="2"/>
          <w:sz w:val="32"/>
          <w:szCs w:val="32"/>
          <w:highlight w:val="none"/>
          <w:lang w:val="en-US" w:eastAsia="zh-CN" w:bidi="ar"/>
        </w:rPr>
        <w:t>主要原因：无。</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年末结转和结余</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ascii="仿宋" w:hAnsi="仿宋" w:eastAsia="仿宋" w:cs="仿宋"/>
          <w:sz w:val="32"/>
          <w:u w:color="auto"/>
        </w:rPr>
        <w:t>增加</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w:t>
      </w:r>
      <w:r>
        <w:rPr>
          <w:rFonts w:ascii="仿宋" w:hAnsi="仿宋" w:eastAsia="仿宋" w:cs="仿宋"/>
          <w:sz w:val="32"/>
          <w:u w:color="auto"/>
        </w:rPr>
        <w:t>增长</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color w:val="auto"/>
          <w:kern w:val="2"/>
          <w:sz w:val="32"/>
          <w:szCs w:val="32"/>
          <w:highlight w:val="none"/>
          <w:lang w:val="en-US" w:eastAsia="zh-CN" w:bidi="ar"/>
        </w:rPr>
        <w:t>。主要原因：无。</w:t>
      </w:r>
    </w:p>
    <w:p>
      <w:pPr>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022600"/>
            <wp:effectExtent l="4445" t="4445" r="5715" b="571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w:t>
      </w:r>
      <w:bookmarkStart w:id="2" w:name="OLE_LINK1"/>
      <w:r>
        <w:rPr>
          <w:rFonts w:hint="eastAsia" w:ascii="黑体" w:hAnsi="黑体" w:eastAsia="黑体" w:cs="黑体"/>
          <w:sz w:val="32"/>
          <w:szCs w:val="32"/>
          <w:highlight w:val="none"/>
        </w:rPr>
        <w:t>一般公共预算</w:t>
      </w:r>
      <w:r>
        <w:rPr>
          <w:rFonts w:hint="eastAsia" w:ascii="黑体" w:hAnsi="黑体" w:eastAsia="黑体" w:cs="黑体"/>
          <w:sz w:val="32"/>
          <w:szCs w:val="32"/>
          <w:highlight w:val="none"/>
          <w:lang w:eastAsia="zh-CN"/>
        </w:rPr>
        <w:t>社保</w:t>
      </w:r>
      <w:r>
        <w:rPr>
          <w:rFonts w:hint="eastAsia" w:ascii="黑体" w:hAnsi="黑体" w:eastAsia="黑体" w:cs="黑体"/>
          <w:sz w:val="32"/>
          <w:szCs w:val="32"/>
          <w:highlight w:val="none"/>
        </w:rPr>
        <w:t>拨款支出决算情况</w:t>
      </w:r>
      <w:bookmarkEnd w:id="2"/>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环江毛南族自治县大才乡社保所2023</w:t>
      </w:r>
      <w:r>
        <w:rPr>
          <w:rFonts w:hint="eastAsia" w:ascii="仿宋" w:hAnsi="仿宋" w:eastAsia="仿宋" w:cs="仿宋"/>
          <w:sz w:val="32"/>
          <w:szCs w:val="32"/>
          <w:highlight w:val="none"/>
        </w:rPr>
        <w:t>年度一般公共预算</w:t>
      </w:r>
      <w:r>
        <w:rPr>
          <w:rFonts w:hint="eastAsia" w:ascii="仿宋" w:hAnsi="仿宋" w:eastAsia="仿宋" w:cs="仿宋"/>
          <w:sz w:val="32"/>
          <w:szCs w:val="32"/>
          <w:highlight w:val="none"/>
          <w:lang w:eastAsia="zh-CN"/>
        </w:rPr>
        <w:t>社保</w:t>
      </w:r>
      <w:r>
        <w:rPr>
          <w:rFonts w:hint="eastAsia" w:ascii="仿宋" w:hAnsi="仿宋" w:eastAsia="仿宋" w:cs="仿宋"/>
          <w:sz w:val="32"/>
          <w:szCs w:val="32"/>
          <w:highlight w:val="none"/>
        </w:rPr>
        <w:t>拨款支出</w:t>
      </w:r>
      <w:r>
        <w:rPr>
          <w:rFonts w:hint="eastAsia" w:ascii="仿宋" w:hAnsi="仿宋" w:eastAsia="仿宋" w:cs="仿宋"/>
          <w:sz w:val="32"/>
          <w:u w:color="auto"/>
          <w:lang w:val="en-US" w:eastAsia="zh-CN"/>
        </w:rPr>
        <w:t>36.3</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其中：基本支出</w:t>
      </w:r>
      <w:r>
        <w:rPr>
          <w:rFonts w:hint="eastAsia" w:ascii="仿宋" w:hAnsi="仿宋" w:eastAsia="仿宋" w:cs="仿宋"/>
          <w:sz w:val="32"/>
          <w:u w:color="auto"/>
          <w:lang w:val="en-US" w:eastAsia="zh-CN"/>
        </w:rPr>
        <w:t>36.3</w:t>
      </w:r>
      <w:r>
        <w:rPr>
          <w:rFonts w:hint="eastAsia" w:ascii="仿宋" w:hAnsi="仿宋" w:eastAsia="仿宋" w:cs="仿宋"/>
          <w:sz w:val="32"/>
          <w:szCs w:val="32"/>
          <w:highlight w:val="none"/>
        </w:rPr>
        <w:t>万元，项目支出</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环江毛南族自治县大才乡社保所2023</w:t>
      </w:r>
      <w:r>
        <w:rPr>
          <w:rFonts w:hint="eastAsia" w:ascii="仿宋" w:hAnsi="仿宋" w:eastAsia="仿宋" w:cs="仿宋"/>
          <w:sz w:val="32"/>
          <w:szCs w:val="32"/>
          <w:highlight w:val="none"/>
        </w:rPr>
        <w:t xml:space="preserve"> 年度一般公共预算</w:t>
      </w:r>
      <w:r>
        <w:rPr>
          <w:rFonts w:hint="eastAsia" w:ascii="仿宋" w:hAnsi="仿宋" w:eastAsia="仿宋" w:cs="仿宋"/>
          <w:sz w:val="32"/>
          <w:szCs w:val="32"/>
          <w:highlight w:val="none"/>
          <w:lang w:val="en-US" w:eastAsia="zh-CN"/>
        </w:rPr>
        <w:t>财政</w:t>
      </w:r>
      <w:r>
        <w:rPr>
          <w:rFonts w:hint="eastAsia" w:ascii="仿宋" w:hAnsi="仿宋" w:eastAsia="仿宋" w:cs="仿宋"/>
          <w:sz w:val="32"/>
          <w:szCs w:val="32"/>
          <w:highlight w:val="none"/>
        </w:rPr>
        <w:t>拨款支出年初预算为</w:t>
      </w:r>
      <w:r>
        <w:rPr>
          <w:rFonts w:hint="eastAsia" w:ascii="仿宋" w:hAnsi="仿宋" w:eastAsia="仿宋" w:cs="仿宋"/>
          <w:sz w:val="32"/>
          <w:u w:color="auto"/>
          <w:lang w:val="en-US" w:eastAsia="zh-CN"/>
        </w:rPr>
        <w:t>34.58</w:t>
      </w:r>
      <w:r>
        <w:rPr>
          <w:rFonts w:hint="eastAsia" w:ascii="仿宋" w:hAnsi="仿宋" w:eastAsia="仿宋" w:cs="仿宋"/>
          <w:sz w:val="32"/>
          <w:szCs w:val="32"/>
          <w:highlight w:val="none"/>
        </w:rPr>
        <w:t>万元，支出决算为</w:t>
      </w:r>
      <w:r>
        <w:rPr>
          <w:rFonts w:hint="eastAsia" w:ascii="仿宋" w:hAnsi="仿宋" w:eastAsia="仿宋" w:cs="仿宋"/>
          <w:sz w:val="32"/>
          <w:u w:color="auto"/>
          <w:lang w:val="en-US" w:eastAsia="zh-CN"/>
        </w:rPr>
        <w:t>36.6</w:t>
      </w:r>
      <w:r>
        <w:rPr>
          <w:rFonts w:hint="eastAsia" w:ascii="仿宋" w:hAnsi="仿宋" w:eastAsia="仿宋" w:cs="仿宋"/>
          <w:sz w:val="32"/>
          <w:szCs w:val="32"/>
          <w:highlight w:val="none"/>
        </w:rPr>
        <w:t>万元，完成年初预算的</w:t>
      </w:r>
      <w:r>
        <w:rPr>
          <w:rFonts w:hint="eastAsia" w:ascii="仿宋" w:hAnsi="仿宋" w:eastAsia="仿宋" w:cs="仿宋"/>
          <w:sz w:val="32"/>
          <w:u w:color="auto"/>
          <w:lang w:val="en-US" w:eastAsia="zh-CN"/>
        </w:rPr>
        <w:t>105.8%</w:t>
      </w:r>
      <w:r>
        <w:rPr>
          <w:rFonts w:hint="eastAsia" w:ascii="仿宋" w:hAnsi="仿宋" w:eastAsia="仿宋" w:cs="仿宋"/>
          <w:sz w:val="32"/>
          <w:szCs w:val="32"/>
          <w:highlight w:val="none"/>
        </w:rPr>
        <w:t>。</w:t>
      </w:r>
      <w:bookmarkStart w:id="3" w:name="OLE_LINK2"/>
      <w:bookmarkEnd w:id="3"/>
    </w:p>
    <w:p>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ascii="仿宋" w:hAnsi="仿宋" w:eastAsia="仿宋"/>
          <w:sz w:val="32"/>
          <w:szCs w:val="32"/>
          <w:highlight w:val="none"/>
        </w:rPr>
      </w:pPr>
      <w:r>
        <w:rPr>
          <w:rFonts w:hint="eastAsia" w:ascii="仿宋" w:hAnsi="仿宋" w:eastAsia="仿宋"/>
          <w:sz w:val="32"/>
          <w:szCs w:val="32"/>
          <w:highlight w:val="none"/>
        </w:rPr>
        <w:t>一般公共服务支出</w:t>
      </w:r>
      <w:r>
        <w:rPr>
          <w:rFonts w:ascii="仿宋" w:hAnsi="仿宋" w:eastAsia="仿宋"/>
          <w:sz w:val="32"/>
          <w:u w:color="auto"/>
        </w:rPr>
        <w:t>（201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0.56</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0.6</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103.5</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原因是：单位</w:t>
      </w:r>
      <w:r>
        <w:rPr>
          <w:rFonts w:hint="eastAsia" w:ascii="仿宋" w:hAnsi="仿宋" w:eastAsia="仿宋" w:cs="仿宋"/>
          <w:color w:val="auto"/>
          <w:kern w:val="2"/>
          <w:sz w:val="32"/>
          <w:szCs w:val="32"/>
          <w:highlight w:val="none"/>
          <w:lang w:val="en-US" w:eastAsia="zh-CN" w:bidi="ar"/>
        </w:rPr>
        <w:t>人员工资的浮动：</w:t>
      </w:r>
    </w:p>
    <w:p>
      <w:pPr>
        <w:keepNext w:val="0"/>
        <w:keepLines w:val="0"/>
        <w:widowControl w:val="0"/>
        <w:numPr>
          <w:ilvl w:val="0"/>
          <w:numId w:val="0"/>
        </w:numPr>
        <w:suppressLineNumbers w:val="0"/>
        <w:spacing w:before="0" w:beforeAutospacing="0" w:after="0" w:afterAutospacing="0"/>
        <w:ind w:right="0" w:rightChars="0"/>
        <w:jc w:val="left"/>
        <w:rPr>
          <w:rFonts w:hint="eastAsia" w:ascii="仿宋" w:hAnsi="仿宋" w:eastAsia="仿宋"/>
          <w:sz w:val="32"/>
          <w:szCs w:val="32"/>
          <w:highlight w:val="none"/>
          <w:lang w:val="en-US" w:eastAsia="zh-CN"/>
        </w:rPr>
      </w:pPr>
    </w:p>
    <w:p>
      <w:pPr>
        <w:keepNext w:val="0"/>
        <w:keepLines w:val="0"/>
        <w:widowControl w:val="0"/>
        <w:numPr>
          <w:ilvl w:val="0"/>
          <w:numId w:val="0"/>
        </w:numPr>
        <w:suppressLineNumbers w:val="0"/>
        <w:spacing w:before="0" w:beforeAutospacing="0" w:after="0" w:afterAutospacing="0"/>
        <w:ind w:right="0" w:rightChars="0"/>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0.56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103.5%</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工会经费支出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预决算一直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0.56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ind w:firstLine="640" w:firstLineChars="200"/>
        <w:jc w:val="left"/>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30.66</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32.2</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105</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 xml:space="preserve"> 人员工资又变动，支出增加。</w:t>
      </w:r>
    </w:p>
    <w:p>
      <w:pPr>
        <w:jc w:val="left"/>
        <w:rPr>
          <w:rFonts w:hint="eastAsia" w:ascii="仿宋" w:hAnsi="仿宋" w:eastAsia="仿宋"/>
          <w:sz w:val="32"/>
          <w:szCs w:val="32"/>
          <w:highlight w:val="none"/>
          <w:lang w:val="en-US" w:eastAsia="zh-CN"/>
        </w:rPr>
      </w:pP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2080109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社会保险经办机构</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26.18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27.7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105.8%</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用于社会保险经办机构人员工资</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highlight w:val="none"/>
                <w:lang w:val="en-US" w:eastAsia="zh-CN" w:bidi="ar"/>
              </w:rPr>
            </w:pPr>
            <w:r>
              <w:rPr>
                <w:rFonts w:hint="eastAsia" w:ascii="宋体" w:hAnsi="宋体" w:eastAsia="宋体" w:cs="宋体"/>
                <w:i w:val="0"/>
                <w:iCs w:val="0"/>
                <w:color w:val="auto"/>
                <w:sz w:val="20"/>
                <w:szCs w:val="20"/>
                <w:highlight w:val="none"/>
                <w:u w:val="none"/>
                <w:lang w:val="en-US" w:eastAsia="zh-CN"/>
              </w:rPr>
              <w:t>用于社会保险经办机构人员工资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4.48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养老保险缴费支出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养老保险缴费支出</w:t>
            </w: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lang w:val="en-US" w:eastAsia="zh-CN"/>
        </w:rPr>
        <w:t>住房保障</w:t>
      </w:r>
      <w:r>
        <w:rPr>
          <w:rFonts w:hint="eastAsia" w:ascii="仿宋" w:hAnsi="仿宋" w:eastAsia="仿宋"/>
          <w:sz w:val="32"/>
          <w:szCs w:val="32"/>
          <w:highlight w:val="none"/>
        </w:rPr>
        <w:t>支出</w:t>
      </w:r>
      <w:r>
        <w:rPr>
          <w:rFonts w:ascii="仿宋" w:hAnsi="仿宋" w:eastAsia="仿宋"/>
          <w:sz w:val="32"/>
          <w:u w:color="auto"/>
        </w:rPr>
        <w:t>（2</w:t>
      </w:r>
      <w:r>
        <w:rPr>
          <w:rFonts w:hint="eastAsia" w:ascii="仿宋" w:hAnsi="仿宋" w:eastAsia="仿宋"/>
          <w:sz w:val="32"/>
          <w:u w:color="auto"/>
          <w:lang w:val="en-US" w:eastAsia="zh-CN"/>
        </w:rPr>
        <w:t>21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3.36</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3.5</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rPr>
        <w:t>完成年初预算的</w:t>
      </w:r>
      <w:r>
        <w:rPr>
          <w:rFonts w:hint="eastAsia" w:ascii="仿宋" w:hAnsi="仿宋" w:eastAsia="仿宋"/>
          <w:sz w:val="32"/>
          <w:szCs w:val="32"/>
          <w:highlight w:val="none"/>
          <w:lang w:val="en-US" w:eastAsia="zh-CN"/>
        </w:rPr>
        <w:t>104</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 xml:space="preserve"> 人员住房公积金变动，支出增加。</w:t>
      </w:r>
    </w:p>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年度一般公共预算</w:t>
      </w:r>
      <w:r>
        <w:rPr>
          <w:rFonts w:hint="eastAsia" w:ascii="黑体" w:hAnsi="黑体" w:eastAsia="黑体" w:cs="黑体"/>
          <w:sz w:val="32"/>
          <w:szCs w:val="32"/>
          <w:highlight w:val="none"/>
          <w:lang w:eastAsia="zh-CN"/>
        </w:rPr>
        <w:t>社保</w:t>
      </w:r>
      <w:r>
        <w:rPr>
          <w:rFonts w:hint="eastAsia" w:ascii="黑体" w:hAnsi="黑体" w:eastAsia="黑体" w:cs="黑体"/>
          <w:sz w:val="32"/>
          <w:szCs w:val="32"/>
          <w:highlight w:val="none"/>
        </w:rPr>
        <w:t>拨款基本支出决算情况说明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环江毛南族自治县大才乡社保所2023</w:t>
      </w:r>
      <w:r>
        <w:rPr>
          <w:rFonts w:hint="eastAsia" w:ascii="仿宋" w:hAnsi="仿宋" w:eastAsia="仿宋" w:cs="仿宋"/>
          <w:sz w:val="32"/>
          <w:szCs w:val="32"/>
          <w:highlight w:val="none"/>
        </w:rPr>
        <w:t>年度一般公共预算</w:t>
      </w:r>
      <w:r>
        <w:rPr>
          <w:rFonts w:hint="eastAsia" w:ascii="仿宋" w:hAnsi="仿宋" w:eastAsia="仿宋" w:cs="仿宋"/>
          <w:sz w:val="32"/>
          <w:szCs w:val="32"/>
          <w:highlight w:val="none"/>
          <w:lang w:val="en-US" w:eastAsia="zh-CN"/>
        </w:rPr>
        <w:t>财政</w:t>
      </w:r>
      <w:r>
        <w:rPr>
          <w:rFonts w:hint="eastAsia" w:ascii="仿宋" w:hAnsi="仿宋" w:eastAsia="仿宋" w:cs="仿宋"/>
          <w:sz w:val="32"/>
          <w:szCs w:val="32"/>
          <w:highlight w:val="none"/>
        </w:rPr>
        <w:t>拨款基本支出</w:t>
      </w:r>
      <w:r>
        <w:rPr>
          <w:rFonts w:hint="eastAsia" w:ascii="仿宋" w:hAnsi="仿宋" w:eastAsia="仿宋" w:cs="仿宋"/>
          <w:sz w:val="32"/>
          <w:u w:color="auto"/>
          <w:lang w:val="en-US" w:eastAsia="zh-CN"/>
        </w:rPr>
        <w:t>36.3</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lang w:val="en-US" w:eastAsia="zh-CN"/>
        </w:rPr>
        <w:t>34.98</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lang w:val="en-US" w:eastAsia="zh-CN"/>
        </w:rPr>
        <w:t>1.3</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hint="default" w:ascii="仿宋" w:hAnsi="仿宋" w:eastAsia="仿宋" w:cs="仿宋"/>
          <w:color w:val="FF0000"/>
          <w:sz w:val="32"/>
          <w:szCs w:val="32"/>
          <w:highlight w:val="none"/>
          <w:lang w:val="en-US"/>
        </w:rPr>
      </w:pPr>
      <w:r>
        <w:rPr>
          <w:rFonts w:hint="eastAsia" w:ascii="仿宋" w:hAnsi="仿宋" w:eastAsia="仿宋" w:cs="仿宋"/>
          <w:sz w:val="32"/>
          <w:szCs w:val="32"/>
          <w:highlight w:val="none"/>
        </w:rPr>
        <w:t>工资福利支出</w:t>
      </w:r>
      <w:r>
        <w:rPr>
          <w:rFonts w:hint="eastAsia" w:ascii="仿宋" w:hAnsi="仿宋" w:eastAsia="仿宋" w:cs="仿宋"/>
          <w:sz w:val="32"/>
          <w:u w:color="auto"/>
          <w:lang w:val="en-US" w:eastAsia="zh-CN"/>
        </w:rPr>
        <w:t>34.98</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105</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主要原因是：人员工资有变动，支出增加。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11.3万元，30102津贴补贴2.3万元，30103奖金4.3万元，30107绩效工资7.1万元，30108机关事业单位基本养老保险缴费4.5万元，30110职工基本医疗保险缴费1.8万元，30112其他社会保险缴费0.18万元，30113住房公积金3.5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商品和服务支出</w:t>
      </w:r>
      <w:r>
        <w:rPr>
          <w:rFonts w:hint="eastAsia" w:ascii="仿宋" w:hAnsi="仿宋" w:eastAsia="仿宋" w:cs="仿宋"/>
          <w:sz w:val="32"/>
          <w:u w:color="auto"/>
          <w:lang w:val="en-US" w:eastAsia="zh-CN"/>
        </w:rPr>
        <w:t>1.3</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30201办公费0.22万元，30211差旅费费0.5万元，30228工会经费0.55万元，。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both"/>
        <w:rPr>
          <w:rFonts w:hint="eastAsia" w:ascii="仿宋" w:hAnsi="仿宋" w:eastAsia="仿宋" w:cs="仿宋"/>
          <w:sz w:val="32"/>
          <w:szCs w:val="32"/>
          <w:highlight w:val="none"/>
        </w:rPr>
      </w:pPr>
    </w:p>
    <w:p>
      <w:pPr>
        <w:jc w:val="both"/>
        <w:rPr>
          <w:rFonts w:hint="eastAsia" w:ascii="仿宋" w:hAnsi="仿宋" w:eastAsia="仿宋" w:cs="仿宋"/>
          <w:sz w:val="32"/>
          <w:szCs w:val="32"/>
          <w:highlight w:val="none"/>
        </w:rPr>
      </w:pP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对个人和家庭的补助</w:t>
      </w:r>
      <w:r>
        <w:rPr>
          <w:rFonts w:hint="eastAsia" w:ascii="仿宋" w:hAnsi="仿宋" w:eastAsia="仿宋" w:cs="仿宋"/>
          <w:sz w:val="32"/>
          <w:u w:color="auto"/>
          <w:lang w:val="en-US" w:eastAsia="zh-CN"/>
        </w:rPr>
        <w:t>0</w:t>
      </w:r>
      <w:r>
        <w:rPr>
          <w:rFonts w:ascii="仿宋" w:hAnsi="仿宋" w:eastAsia="仿宋" w:cs="仿宋"/>
          <w:sz w:val="32"/>
          <w:u w:color="auto"/>
        </w:rPr>
        <w:t>元</w:t>
      </w:r>
      <w:r>
        <w:rPr>
          <w:rFonts w:hint="eastAsia" w:ascii="仿宋" w:hAnsi="仿宋" w:eastAsia="仿宋" w:cs="仿宋"/>
          <w:sz w:val="32"/>
          <w:u w:color="auto"/>
          <w:lang w:eastAsia="zh-CN"/>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r>
        <w:rPr>
          <w:rFonts w:hint="eastAsia" w:ascii="仿宋" w:hAnsi="仿宋" w:eastAsia="仿宋" w:cs="仿宋"/>
          <w:color w:val="auto"/>
          <w:kern w:val="2"/>
          <w:sz w:val="32"/>
          <w:szCs w:val="32"/>
          <w:highlight w:val="none"/>
          <w:lang w:val="en-US" w:eastAsia="zh-CN" w:bidi="ar"/>
        </w:rPr>
        <w:t>主要原因：无。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auto"/>
          <w:kern w:val="2"/>
          <w:sz w:val="32"/>
          <w:szCs w:val="32"/>
          <w:highlight w:val="none"/>
          <w:lang w:val="en-US" w:eastAsia="zh-CN" w:bidi="ar"/>
        </w:rPr>
        <w:t>主要原因：无。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jc w:val="center"/>
        <w:rPr>
          <w:rFonts w:hint="eastAsia" w:ascii="仿宋" w:hAnsi="仿宋" w:eastAsia="仿宋" w:cs="仿宋"/>
          <w:sz w:val="32"/>
          <w:szCs w:val="32"/>
          <w:highlight w:val="none"/>
        </w:rPr>
      </w:pP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r>
        <w:rPr>
          <w:rFonts w:hint="eastAsia" w:ascii="仿宋" w:hAnsi="仿宋" w:eastAsia="仿宋" w:cs="仿宋"/>
          <w:color w:val="auto"/>
          <w:kern w:val="2"/>
          <w:sz w:val="32"/>
          <w:szCs w:val="32"/>
          <w:highlight w:val="none"/>
          <w:lang w:val="en-US" w:eastAsia="zh-CN" w:bidi="ar"/>
        </w:rPr>
        <w:t>主要原因：无。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616200"/>
            <wp:effectExtent l="4445" t="4445" r="16510" b="825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jc w:val="left"/>
        <w:rPr>
          <w:rFonts w:hint="eastAsia" w:ascii="黑体" w:hAnsi="黑体" w:eastAsia="黑体" w:cs="黑体"/>
          <w:sz w:val="32"/>
          <w:szCs w:val="32"/>
          <w:highlight w:val="none"/>
        </w:rPr>
      </w:pPr>
    </w:p>
    <w:p>
      <w:pPr>
        <w:jc w:val="left"/>
        <w:rPr>
          <w:rFonts w:hint="eastAsia" w:ascii="黑体" w:hAnsi="黑体" w:eastAsia="黑体" w:cs="黑体"/>
          <w:sz w:val="32"/>
          <w:szCs w:val="32"/>
          <w:highlight w:val="none"/>
        </w:rPr>
      </w:pPr>
    </w:p>
    <w:p>
      <w:pPr>
        <w:jc w:val="left"/>
        <w:rPr>
          <w:rFonts w:ascii="黑体" w:hAnsi="黑体" w:eastAsia="黑体" w:cs="黑体"/>
          <w:sz w:val="32"/>
          <w:szCs w:val="32"/>
          <w:highlight w:val="none"/>
        </w:rPr>
      </w:pPr>
      <w:r>
        <w:rPr>
          <w:rFonts w:hint="eastAsia" w:ascii="黑体" w:hAnsi="黑体" w:eastAsia="黑体" w:cs="黑体"/>
          <w:sz w:val="32"/>
          <w:szCs w:val="32"/>
          <w:highlight w:val="none"/>
        </w:rPr>
        <w:t>四、</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年度政府性基金支出决算情况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环江毛南族自治县大才乡社保所2023</w:t>
      </w:r>
      <w:r>
        <w:rPr>
          <w:rFonts w:hint="eastAsia" w:ascii="仿宋" w:hAnsi="仿宋" w:eastAsia="仿宋" w:cs="仿宋"/>
          <w:sz w:val="32"/>
          <w:szCs w:val="32"/>
          <w:highlight w:val="none"/>
        </w:rPr>
        <w:t>年度政府性基金支出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环江毛南族自治县大才乡社保所2023</w:t>
      </w:r>
      <w:r>
        <w:rPr>
          <w:rFonts w:hint="eastAsia" w:ascii="仿宋" w:hAnsi="仿宋" w:eastAsia="仿宋" w:cs="仿宋"/>
          <w:sz w:val="32"/>
          <w:szCs w:val="32"/>
          <w:highlight w:val="none"/>
        </w:rPr>
        <w:t>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五、</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年度国有资本经营预算支出决算情况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环江毛南族自治县大才乡社保所2023</w:t>
      </w:r>
      <w:r>
        <w:rPr>
          <w:rFonts w:hint="eastAsia" w:ascii="仿宋" w:hAnsi="仿宋" w:eastAsia="仿宋" w:cs="仿宋"/>
          <w:sz w:val="32"/>
          <w:szCs w:val="32"/>
          <w:highlight w:val="none"/>
        </w:rPr>
        <w:t>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环江毛南族自治县大才乡社保所2023</w:t>
      </w:r>
      <w:r>
        <w:rPr>
          <w:rFonts w:hint="eastAsia" w:ascii="仿宋" w:hAnsi="仿宋" w:eastAsia="仿宋" w:cs="仿宋"/>
          <w:sz w:val="32"/>
          <w:szCs w:val="32"/>
          <w:highlight w:val="none"/>
        </w:rPr>
        <w:t xml:space="preserve"> 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lang w:val="en-US" w:eastAsia="zh-CN"/>
        </w:rPr>
        <w:t>六</w:t>
      </w:r>
      <w:r>
        <w:rPr>
          <w:rFonts w:hint="eastAsia" w:ascii="黑体" w:hAnsi="黑体" w:eastAsia="黑体" w:cs="黑体"/>
          <w:sz w:val="32"/>
          <w:szCs w:val="32"/>
          <w:highlight w:val="none"/>
        </w:rPr>
        <w:t>、其他重要事项情况说明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 机</w:t>
      </w:r>
      <w:r>
        <w:rPr>
          <w:rFonts w:hint="eastAsia" w:ascii="黑体" w:hAnsi="黑体" w:eastAsia="黑体" w:cs="黑体"/>
          <w:color w:val="auto"/>
          <w:sz w:val="32"/>
          <w:szCs w:val="32"/>
          <w:highlight w:val="none"/>
        </w:rPr>
        <w:t>关运行经费支出情况说</w:t>
      </w:r>
      <w:r>
        <w:rPr>
          <w:rFonts w:hint="eastAsia" w:ascii="黑体" w:hAnsi="黑体" w:eastAsia="黑体" w:cs="黑体"/>
          <w:sz w:val="32"/>
          <w:szCs w:val="32"/>
          <w:highlight w:val="none"/>
        </w:rPr>
        <w:t>明</w:t>
      </w:r>
    </w:p>
    <w:p>
      <w:pPr>
        <w:ind w:firstLine="640" w:firstLineChars="200"/>
        <w:jc w:val="left"/>
        <w:rPr>
          <w:rFonts w:hint="default" w:ascii="仿宋" w:hAnsi="仿宋" w:eastAsia="仿宋" w:cs="仿宋"/>
          <w:sz w:val="32"/>
          <w:szCs w:val="32"/>
          <w:highlight w:val="none"/>
        </w:rPr>
      </w:pPr>
      <w:r>
        <w:rPr>
          <w:rFonts w:hint="default" w:ascii="仿宋" w:hAnsi="仿宋" w:eastAsia="仿宋" w:cs="仿宋"/>
          <w:sz w:val="32"/>
          <w:szCs w:val="32"/>
          <w:highlight w:val="none"/>
        </w:rPr>
        <w:t>本部门</w:t>
      </w:r>
      <w:r>
        <w:rPr>
          <w:rFonts w:hint="eastAsia" w:ascii="仿宋" w:hAnsi="仿宋" w:eastAsia="仿宋" w:cs="仿宋"/>
          <w:sz w:val="32"/>
          <w:szCs w:val="32"/>
          <w:highlight w:val="none"/>
          <w:lang w:eastAsia="zh-CN"/>
        </w:rPr>
        <w:t>2023</w:t>
      </w:r>
      <w:r>
        <w:rPr>
          <w:rFonts w:hint="default" w:ascii="仿宋" w:hAnsi="仿宋" w:eastAsia="仿宋" w:cs="仿宋"/>
          <w:sz w:val="32"/>
          <w:szCs w:val="32"/>
          <w:highlight w:val="none"/>
        </w:rPr>
        <w:t>年度机关运行经费支出</w:t>
      </w:r>
      <w:r>
        <w:rPr>
          <w:rFonts w:hint="eastAsia" w:ascii="仿宋" w:hAnsi="仿宋" w:eastAsia="仿宋" w:cs="仿宋"/>
          <w:sz w:val="32"/>
          <w:szCs w:val="32"/>
          <w:highlight w:val="none"/>
          <w:lang w:val="en-US" w:eastAsia="zh-CN"/>
        </w:rPr>
        <w:t>1.3</w:t>
      </w:r>
      <w:r>
        <w:rPr>
          <w:rFonts w:hint="default" w:ascii="仿宋" w:hAnsi="仿宋" w:eastAsia="仿宋" w:cs="仿宋"/>
          <w:sz w:val="32"/>
          <w:szCs w:val="32"/>
          <w:highlight w:val="none"/>
        </w:rPr>
        <w:t>万元，比年初预算数</w:t>
      </w:r>
      <w:r>
        <w:rPr>
          <w:rFonts w:hint="eastAsia" w:ascii="仿宋" w:hAnsi="仿宋" w:eastAsia="仿宋" w:cs="仿宋"/>
          <w:sz w:val="32"/>
          <w:szCs w:val="32"/>
          <w:highlight w:val="none"/>
          <w:lang w:val="en-US" w:eastAsia="zh-CN"/>
        </w:rPr>
        <w:t>增加0.02</w:t>
      </w:r>
      <w:r>
        <w:rPr>
          <w:rFonts w:hint="default" w:ascii="仿宋" w:hAnsi="仿宋" w:eastAsia="仿宋" w:cs="仿宋"/>
          <w:sz w:val="32"/>
          <w:szCs w:val="32"/>
          <w:highlight w:val="none"/>
        </w:rPr>
        <w:t>万元，</w:t>
      </w:r>
      <w:r>
        <w:rPr>
          <w:rFonts w:hint="eastAsia" w:ascii="仿宋" w:hAnsi="仿宋" w:eastAsia="仿宋" w:cs="仿宋"/>
          <w:sz w:val="32"/>
          <w:szCs w:val="32"/>
          <w:highlight w:val="none"/>
          <w:lang w:val="en-US" w:eastAsia="zh-CN"/>
        </w:rPr>
        <w:t>上升1.5</w:t>
      </w:r>
      <w:r>
        <w:rPr>
          <w:rFonts w:hint="default" w:ascii="仿宋" w:hAnsi="仿宋" w:eastAsia="仿宋" w:cs="仿宋"/>
          <w:sz w:val="32"/>
          <w:szCs w:val="32"/>
          <w:highlight w:val="none"/>
        </w:rPr>
        <w:t>%，原因是：</w:t>
      </w:r>
      <w:r>
        <w:rPr>
          <w:rFonts w:hint="eastAsia" w:ascii="仿宋" w:hAnsi="仿宋" w:eastAsia="仿宋" w:cs="仿宋"/>
          <w:sz w:val="32"/>
          <w:szCs w:val="32"/>
          <w:highlight w:val="none"/>
          <w:lang w:val="en-US" w:eastAsia="zh-CN"/>
        </w:rPr>
        <w:t>单位人员差旅费有增加</w:t>
      </w:r>
      <w:r>
        <w:rPr>
          <w:rFonts w:hint="default" w:ascii="仿宋" w:hAnsi="仿宋" w:eastAsia="仿宋" w:cs="仿宋"/>
          <w:sz w:val="32"/>
          <w:szCs w:val="32"/>
          <w:highlight w:val="none"/>
        </w:rPr>
        <w:t>。</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年度政府采购支出总额</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万元，其中：政府采购货物支出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万元、政府采购工程支出</w:t>
      </w:r>
      <w:r>
        <w:rPr>
          <w:rFonts w:hint="eastAsia" w:ascii="仿宋" w:hAnsi="仿宋" w:eastAsia="仿宋" w:cs="仿宋"/>
          <w:sz w:val="32"/>
          <w:szCs w:val="32"/>
          <w:highlight w:val="none"/>
          <w:lang w:eastAsia="zh-CN"/>
        </w:rPr>
        <w:t>0万元</w:t>
      </w:r>
      <w:r>
        <w:rPr>
          <w:rFonts w:hint="eastAsia" w:ascii="仿宋" w:hAnsi="仿宋" w:eastAsia="仿宋" w:cs="仿宋"/>
          <w:sz w:val="32"/>
          <w:szCs w:val="32"/>
          <w:highlight w:val="none"/>
        </w:rPr>
        <w:t>、政府采购服务支出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万元。授予中小企业合同金额</w:t>
      </w:r>
      <w:r>
        <w:rPr>
          <w:rFonts w:hint="eastAsia" w:ascii="仿宋" w:hAnsi="仿宋" w:eastAsia="仿宋" w:cs="仿宋"/>
          <w:sz w:val="32"/>
          <w:szCs w:val="32"/>
          <w:highlight w:val="none"/>
          <w:lang w:eastAsia="zh-CN"/>
        </w:rPr>
        <w:t>0万元</w:t>
      </w:r>
      <w:r>
        <w:rPr>
          <w:rFonts w:hint="eastAsia" w:ascii="仿宋" w:hAnsi="仿宋" w:eastAsia="仿宋" w:cs="仿宋"/>
          <w:sz w:val="32"/>
          <w:szCs w:val="32"/>
          <w:highlight w:val="none"/>
        </w:rPr>
        <w:t>，占政府采购支出总额的</w:t>
      </w:r>
      <w:r>
        <w:rPr>
          <w:rFonts w:ascii="仿宋" w:hAnsi="仿宋" w:eastAsia="仿宋" w:cs="仿宋"/>
          <w:sz w:val="32"/>
          <w:szCs w:val="32"/>
          <w:highlight w:val="none"/>
        </w:rPr>
        <w:t>0.00%</w:t>
      </w:r>
      <w:r>
        <w:rPr>
          <w:rFonts w:hint="eastAsia" w:ascii="仿宋" w:hAnsi="仿宋" w:eastAsia="仿宋" w:cs="仿宋"/>
          <w:sz w:val="32"/>
          <w:szCs w:val="32"/>
          <w:highlight w:val="none"/>
        </w:rPr>
        <w:t>，其中：授予小微企业合同金额</w:t>
      </w:r>
      <w:r>
        <w:rPr>
          <w:rFonts w:hint="eastAsia" w:ascii="仿宋" w:hAnsi="仿宋" w:eastAsia="仿宋" w:cs="仿宋"/>
          <w:sz w:val="32"/>
          <w:szCs w:val="32"/>
          <w:highlight w:val="none"/>
          <w:lang w:eastAsia="zh-CN"/>
        </w:rPr>
        <w:t>0万元</w:t>
      </w:r>
      <w:r>
        <w:rPr>
          <w:rFonts w:hint="eastAsia" w:ascii="仿宋" w:hAnsi="仿宋" w:eastAsia="仿宋" w:cs="仿宋"/>
          <w:sz w:val="32"/>
          <w:szCs w:val="32"/>
          <w:highlight w:val="none"/>
        </w:rPr>
        <w:t>，占授予中小企业合同金额的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原因是：本部门无政府采购支出。</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截至</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w:t>
      </w:r>
    </w:p>
    <w:p>
      <w:pPr>
        <w:ind w:firstLine="640" w:firstLineChars="200"/>
        <w:jc w:val="left"/>
        <w:rPr>
          <w:rFonts w:hint="eastAsia" w:ascii="仿宋" w:hAnsi="仿宋" w:eastAsia="仿宋" w:cs="仿宋"/>
          <w:sz w:val="32"/>
          <w:szCs w:val="32"/>
          <w:highlight w:val="none"/>
        </w:rPr>
      </w:pPr>
    </w:p>
    <w:p>
      <w:pPr>
        <w:ind w:firstLine="640" w:firstLineChars="200"/>
        <w:jc w:val="left"/>
        <w:rPr>
          <w:rFonts w:hint="eastAsia" w:ascii="仿宋" w:hAnsi="仿宋" w:eastAsia="仿宋" w:cs="仿宋"/>
          <w:sz w:val="32"/>
          <w:szCs w:val="32"/>
          <w:highlight w:val="none"/>
        </w:rPr>
      </w:pPr>
      <w:bookmarkStart w:id="4" w:name="_GoBack"/>
      <w:bookmarkEnd w:id="4"/>
    </w:p>
    <w:p>
      <w:pPr>
        <w:jc w:val="left"/>
        <w:rPr>
          <w:rFonts w:ascii="仿宋" w:hAnsi="仿宋" w:eastAsia="仿宋" w:cs="仿宋"/>
          <w:color w:val="auto"/>
          <w:sz w:val="32"/>
          <w:szCs w:val="32"/>
          <w:highlight w:val="none"/>
        </w:rPr>
      </w:pPr>
      <w:r>
        <w:rPr>
          <w:rFonts w:hint="eastAsia" w:ascii="黑体" w:hAnsi="黑体" w:eastAsia="黑体" w:cs="黑体"/>
          <w:sz w:val="32"/>
          <w:szCs w:val="32"/>
          <w:highlight w:val="none"/>
        </w:rPr>
        <w:t>（</w:t>
      </w:r>
      <w:r>
        <w:rPr>
          <w:rFonts w:hint="eastAsia" w:ascii="黑体" w:hAnsi="黑体" w:eastAsia="黑体" w:cs="黑体"/>
          <w:color w:val="auto"/>
          <w:sz w:val="32"/>
          <w:szCs w:val="32"/>
          <w:highlight w:val="none"/>
        </w:rPr>
        <w:t>四）预算绩效管理工作开展情况</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1.绩效管理工作开展情况。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auto"/>
          <w:sz w:val="32"/>
          <w:szCs w:val="32"/>
        </w:rPr>
        <w:t>根据</w:t>
      </w:r>
      <w:r>
        <w:rPr>
          <w:rFonts w:hint="eastAsia" w:ascii="仿宋" w:hAnsi="仿宋" w:eastAsia="仿宋" w:cs="仿宋"/>
          <w:color w:val="auto"/>
          <w:sz w:val="32"/>
          <w:szCs w:val="32"/>
          <w:lang w:val="en-US" w:eastAsia="zh-CN"/>
        </w:rPr>
        <w:t>财政</w:t>
      </w:r>
      <w:r>
        <w:rPr>
          <w:rFonts w:hint="eastAsia" w:ascii="仿宋" w:hAnsi="仿宋" w:eastAsia="仿宋" w:cs="仿宋"/>
          <w:color w:val="auto"/>
          <w:sz w:val="32"/>
          <w:szCs w:val="32"/>
        </w:rPr>
        <w:t>预算管理要求，本部门组织对</w:t>
      </w:r>
      <w:r>
        <w:rPr>
          <w:rFonts w:hint="eastAsia" w:ascii="仿宋" w:hAnsi="仿宋" w:eastAsia="仿宋" w:cs="仿宋"/>
          <w:color w:val="auto"/>
          <w:sz w:val="32"/>
          <w:szCs w:val="32"/>
          <w:lang w:eastAsia="zh-CN"/>
        </w:rPr>
        <w:t>2023年</w:t>
      </w:r>
      <w:r>
        <w:rPr>
          <w:rFonts w:hint="eastAsia" w:ascii="仿宋" w:hAnsi="仿宋" w:eastAsia="仿宋" w:cs="仿宋"/>
          <w:color w:val="auto"/>
          <w:sz w:val="32"/>
          <w:szCs w:val="32"/>
        </w:rPr>
        <w:t>度</w:t>
      </w:r>
      <w:r>
        <w:rPr>
          <w:rFonts w:hint="eastAsia" w:ascii="仿宋" w:hAnsi="仿宋" w:eastAsia="仿宋" w:cs="仿宋"/>
          <w:color w:val="auto"/>
          <w:sz w:val="32"/>
          <w:szCs w:val="32"/>
          <w:lang w:val="en-US" w:eastAsia="zh-CN"/>
        </w:rPr>
        <w:t>0个</w:t>
      </w:r>
      <w:r>
        <w:rPr>
          <w:rFonts w:hint="eastAsia" w:ascii="仿宋" w:hAnsi="仿宋" w:eastAsia="仿宋" w:cs="仿宋"/>
          <w:color w:val="auto"/>
          <w:sz w:val="32"/>
          <w:szCs w:val="32"/>
        </w:rPr>
        <w:t>一般公共预算项目支出开展绩效自评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共涉及资金0万元</w:t>
      </w:r>
      <w:r>
        <w:rPr>
          <w:rFonts w:hint="eastAsia" w:ascii="仿宋" w:hAnsi="仿宋" w:eastAsia="仿宋" w:cs="仿宋"/>
          <w:color w:val="auto"/>
          <w:sz w:val="32"/>
          <w:szCs w:val="32"/>
        </w:rPr>
        <w:t>。</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2023年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个政府性基金预算项目支出开展绩效自评，共涉及资金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万元，占政府性基金预算项目支出总额的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2023年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个国有资本经营预算项目支出开展绩效自评，共涉及资金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万元，占国有资本经营预算项目支出总额的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jc w:val="left"/>
        <w:rPr>
          <w:rFonts w:hint="eastAsia" w:ascii="仿宋" w:hAnsi="仿宋" w:eastAsia="仿宋" w:cs="仿宋"/>
          <w:color w:val="FF0000"/>
          <w:sz w:val="32"/>
          <w:szCs w:val="32"/>
          <w:lang w:val="en-US" w:eastAsia="zh-CN"/>
        </w:rPr>
      </w:pP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个部门（单位）开展整体支出绩效评价试点，涉及一般公共预算支出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val="en-US" w:eastAsia="zh-CN"/>
          <w14:textFill>
            <w14:solidFill>
              <w14:schemeClr w14:val="tx1"/>
            </w14:solidFill>
          </w14:textFill>
        </w:rPr>
        <w:t>本部门不作为一级预算部门，</w:t>
      </w:r>
      <w:r>
        <w:rPr>
          <w:rFonts w:hint="eastAsia" w:ascii="仿宋" w:hAnsi="仿宋" w:eastAsia="仿宋" w:cs="仿宋"/>
          <w:color w:val="auto"/>
          <w:sz w:val="32"/>
          <w:szCs w:val="32"/>
        </w:rPr>
        <w:t>无需开展</w:t>
      </w:r>
      <w:r>
        <w:rPr>
          <w:rFonts w:hint="eastAsia" w:ascii="仿宋" w:hAnsi="仿宋" w:eastAsia="仿宋" w:cs="仿宋"/>
          <w:color w:val="auto"/>
          <w:sz w:val="32"/>
          <w:szCs w:val="32"/>
          <w:lang w:val="en-US" w:eastAsia="zh-CN"/>
        </w:rPr>
        <w:t>部门整体</w:t>
      </w:r>
      <w:r>
        <w:rPr>
          <w:rFonts w:hint="eastAsia" w:ascii="仿宋" w:hAnsi="仿宋" w:eastAsia="仿宋" w:cs="仿宋"/>
          <w:color w:val="auto"/>
          <w:sz w:val="32"/>
          <w:szCs w:val="32"/>
        </w:rPr>
        <w:t>绩效自评</w:t>
      </w:r>
      <w:r>
        <w:rPr>
          <w:rFonts w:hint="eastAsia" w:ascii="仿宋" w:hAnsi="仿宋" w:eastAsia="仿宋" w:cs="仿宋"/>
          <w:color w:val="auto"/>
          <w:sz w:val="32"/>
          <w:szCs w:val="32"/>
          <w:lang w:eastAsia="zh-CN"/>
        </w:rPr>
        <w:t>。</w:t>
      </w:r>
    </w:p>
    <w:p>
      <w:pPr>
        <w:jc w:val="left"/>
        <w:rPr>
          <w:rFonts w:hint="eastAsia" w:ascii="仿宋" w:hAnsi="仿宋" w:eastAsia="仿宋" w:cs="仿宋"/>
          <w:sz w:val="32"/>
          <w:szCs w:val="32"/>
          <w:highlight w:val="none"/>
        </w:rPr>
      </w:pPr>
    </w:p>
    <w:p>
      <w:pPr>
        <w:jc w:val="left"/>
        <w:rPr>
          <w:rFonts w:hint="eastAsia" w:ascii="仿宋" w:hAnsi="仿宋" w:eastAsia="仿宋" w:cs="仿宋"/>
          <w:sz w:val="32"/>
          <w:szCs w:val="32"/>
          <w:highlight w:val="none"/>
        </w:rPr>
      </w:pPr>
    </w:p>
    <w:p>
      <w:pPr>
        <w:jc w:val="left"/>
        <w:rPr>
          <w:rFonts w:hint="eastAsia" w:ascii="仿宋" w:hAnsi="仿宋" w:eastAsia="仿宋" w:cs="仿宋"/>
          <w:sz w:val="32"/>
          <w:szCs w:val="32"/>
          <w:highlight w:val="none"/>
        </w:rPr>
      </w:pPr>
    </w:p>
    <w:p>
      <w:pPr>
        <w:ind w:firstLine="2560" w:firstLineChars="800"/>
        <w:jc w:val="both"/>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w:t>
      </w:r>
      <w:r>
        <w:rPr>
          <w:rFonts w:hint="eastAsia" w:ascii="仿宋" w:hAnsi="仿宋" w:eastAsia="仿宋" w:cs="仿宋"/>
          <w:sz w:val="32"/>
          <w:szCs w:val="32"/>
          <w:highlight w:val="none"/>
          <w:lang w:eastAsia="zh-CN"/>
        </w:rPr>
        <w:t>社保</w:t>
      </w:r>
      <w:r>
        <w:rPr>
          <w:rFonts w:hint="eastAsia" w:ascii="仿宋" w:hAnsi="仿宋" w:eastAsia="仿宋" w:cs="仿宋"/>
          <w:sz w:val="32"/>
          <w:szCs w:val="32"/>
          <w:highlight w:val="none"/>
        </w:rPr>
        <w:t>拨款收入：指</w:t>
      </w:r>
      <w:r>
        <w:rPr>
          <w:rFonts w:hint="eastAsia" w:ascii="仿宋" w:hAnsi="仿宋" w:eastAsia="仿宋" w:cs="仿宋"/>
          <w:sz w:val="32"/>
          <w:szCs w:val="32"/>
          <w:highlight w:val="none"/>
          <w:lang w:val="en-US" w:eastAsia="zh-CN"/>
        </w:rPr>
        <w:t>环江</w:t>
      </w:r>
      <w:r>
        <w:rPr>
          <w:rFonts w:ascii="仿宋" w:hAnsi="仿宋" w:eastAsia="仿宋" w:cs="仿宋"/>
          <w:sz w:val="32"/>
          <w:u w:color="auto"/>
        </w:rPr>
        <w:t>市</w:t>
      </w:r>
      <w:r>
        <w:rPr>
          <w:rFonts w:hint="eastAsia" w:ascii="仿宋" w:hAnsi="仿宋" w:eastAsia="仿宋" w:cs="仿宋"/>
          <w:sz w:val="32"/>
          <w:u w:color="auto"/>
          <w:lang w:val="en-US" w:eastAsia="zh-CN"/>
        </w:rPr>
        <w:t>=县</w:t>
      </w:r>
      <w:r>
        <w:rPr>
          <w:rFonts w:hint="eastAsia" w:ascii="仿宋" w:hAnsi="仿宋" w:eastAsia="仿宋" w:cs="仿宋"/>
          <w:sz w:val="32"/>
          <w:u w:color="auto"/>
          <w:lang w:eastAsia="zh-CN"/>
        </w:rPr>
        <w:t>社保</w:t>
      </w:r>
      <w:r>
        <w:rPr>
          <w:rFonts w:ascii="仿宋" w:hAnsi="仿宋" w:eastAsia="仿宋" w:cs="仿宋"/>
          <w:sz w:val="32"/>
          <w:u w:color="auto"/>
        </w:rPr>
        <w:t>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w:t>
      </w:r>
      <w:r>
        <w:rPr>
          <w:rFonts w:hint="eastAsia" w:ascii="仿宋" w:hAnsi="仿宋" w:eastAsia="仿宋" w:cs="仿宋"/>
          <w:sz w:val="32"/>
          <w:szCs w:val="32"/>
          <w:highlight w:val="none"/>
          <w:lang w:eastAsia="zh-CN"/>
        </w:rPr>
        <w:t>社保</w:t>
      </w:r>
      <w:r>
        <w:rPr>
          <w:rFonts w:hint="eastAsia" w:ascii="仿宋" w:hAnsi="仿宋" w:eastAsia="仿宋" w:cs="仿宋"/>
          <w:sz w:val="32"/>
          <w:szCs w:val="32"/>
          <w:highlight w:val="none"/>
        </w:rPr>
        <w:t>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w:t>
      </w:r>
      <w:r>
        <w:rPr>
          <w:rFonts w:hint="eastAsia" w:ascii="仿宋" w:hAnsi="仿宋" w:eastAsia="仿宋" w:cs="仿宋"/>
          <w:sz w:val="32"/>
          <w:szCs w:val="32"/>
          <w:highlight w:val="none"/>
          <w:lang w:eastAsia="zh-CN"/>
        </w:rPr>
        <w:t>社保</w:t>
      </w:r>
      <w:r>
        <w:rPr>
          <w:rFonts w:hint="eastAsia" w:ascii="仿宋" w:hAnsi="仿宋" w:eastAsia="仿宋" w:cs="仿宋"/>
          <w:sz w:val="32"/>
          <w:szCs w:val="32"/>
          <w:highlight w:val="none"/>
        </w:rPr>
        <w:t>拨款收入”“事业收入”“经营收入”“其他收入”不足以安排当年支出的情况下，使用非</w:t>
      </w:r>
      <w:r>
        <w:rPr>
          <w:rFonts w:hint="eastAsia" w:ascii="仿宋" w:hAnsi="仿宋" w:eastAsia="仿宋" w:cs="仿宋"/>
          <w:sz w:val="32"/>
          <w:szCs w:val="32"/>
          <w:highlight w:val="none"/>
          <w:lang w:eastAsia="zh-CN"/>
        </w:rPr>
        <w:t>社保</w:t>
      </w:r>
      <w:r>
        <w:rPr>
          <w:rFonts w:hint="eastAsia" w:ascii="仿宋" w:hAnsi="仿宋" w:eastAsia="仿宋" w:cs="仿宋"/>
          <w:sz w:val="32"/>
          <w:szCs w:val="32"/>
          <w:highlight w:val="none"/>
        </w:rPr>
        <w:t>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hint="eastAsia" w:ascii="仿宋" w:hAnsi="仿宋" w:eastAsia="仿宋" w:cs="仿宋"/>
          <w:sz w:val="32"/>
          <w:u w:color="auto"/>
          <w:lang w:val="en-US" w:eastAsia="zh-CN"/>
        </w:rPr>
        <w:t>环江县</w:t>
      </w:r>
      <w:r>
        <w:rPr>
          <w:rFonts w:hint="eastAsia" w:ascii="仿宋" w:hAnsi="仿宋" w:eastAsia="仿宋" w:cs="仿宋"/>
          <w:sz w:val="32"/>
          <w:u w:color="auto"/>
          <w:lang w:eastAsia="zh-CN"/>
        </w:rPr>
        <w:t>社保</w:t>
      </w:r>
      <w:r>
        <w:rPr>
          <w:rFonts w:ascii="仿宋" w:hAnsi="仿宋" w:eastAsia="仿宋" w:cs="仿宋"/>
          <w:sz w:val="32"/>
          <w:u w:color="auto"/>
        </w:rPr>
        <w:t>预决算管理的“三公”经费，是指</w:t>
      </w:r>
      <w:r>
        <w:rPr>
          <w:rFonts w:hint="eastAsia" w:ascii="仿宋" w:hAnsi="仿宋" w:eastAsia="仿宋" w:cs="仿宋"/>
          <w:sz w:val="32"/>
          <w:u w:color="auto"/>
          <w:lang w:val="en-US" w:eastAsia="zh-CN"/>
        </w:rPr>
        <w:t>环江县</w:t>
      </w:r>
      <w:r>
        <w:rPr>
          <w:rFonts w:ascii="仿宋" w:hAnsi="仿宋" w:eastAsia="仿宋" w:cs="仿宋"/>
          <w:sz w:val="32"/>
          <w:u w:color="auto"/>
        </w:rPr>
        <w:t>部门用</w:t>
      </w:r>
      <w:r>
        <w:rPr>
          <w:rFonts w:hint="eastAsia" w:ascii="仿宋" w:hAnsi="仿宋" w:eastAsia="仿宋" w:cs="仿宋"/>
          <w:sz w:val="32"/>
          <w:u w:color="auto"/>
          <w:lang w:eastAsia="zh-CN"/>
        </w:rPr>
        <w:t>社保</w:t>
      </w:r>
      <w:r>
        <w:rPr>
          <w:rFonts w:ascii="仿宋" w:hAnsi="仿宋" w:eastAsia="仿宋" w:cs="仿宋"/>
          <w:sz w:val="32"/>
          <w:u w:color="auto"/>
        </w:rPr>
        <w:t>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CDA9B928"/>
    <w:multiLevelType w:val="singleLevel"/>
    <w:tmpl w:val="CDA9B928"/>
    <w:lvl w:ilvl="0" w:tentative="0">
      <w:start w:val="2"/>
      <w:numFmt w:val="chineseCounting"/>
      <w:suff w:val="nothing"/>
      <w:lvlText w:val="（%1）"/>
      <w:lvlJc w:val="left"/>
      <w:rPr>
        <w:rFonts w:hint="eastAsia"/>
      </w:rPr>
    </w:lvl>
  </w:abstractNum>
  <w:abstractNum w:abstractNumId="2">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iOTZkYjkwN2Q1MTBhY2U1NDI3ZmEwNzcyMDM4OGM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76805"/>
    <w:rsid w:val="00F95135"/>
    <w:rsid w:val="00F9658C"/>
    <w:rsid w:val="00F978FD"/>
    <w:rsid w:val="00FA738E"/>
    <w:rsid w:val="00FC438B"/>
    <w:rsid w:val="01234E98"/>
    <w:rsid w:val="015F1951"/>
    <w:rsid w:val="020C171D"/>
    <w:rsid w:val="0216715F"/>
    <w:rsid w:val="02E0291A"/>
    <w:rsid w:val="045F7B6C"/>
    <w:rsid w:val="04BA0275"/>
    <w:rsid w:val="04E54546"/>
    <w:rsid w:val="04F05A45"/>
    <w:rsid w:val="05992762"/>
    <w:rsid w:val="07B0770E"/>
    <w:rsid w:val="08626C5A"/>
    <w:rsid w:val="08C07440"/>
    <w:rsid w:val="0942143F"/>
    <w:rsid w:val="0A791E4A"/>
    <w:rsid w:val="0BB51692"/>
    <w:rsid w:val="0C211877"/>
    <w:rsid w:val="0C5E0CF4"/>
    <w:rsid w:val="0D100297"/>
    <w:rsid w:val="0D202B45"/>
    <w:rsid w:val="0F8D4C87"/>
    <w:rsid w:val="0FD61878"/>
    <w:rsid w:val="10505FAA"/>
    <w:rsid w:val="105F7E7E"/>
    <w:rsid w:val="11E56B5B"/>
    <w:rsid w:val="12566369"/>
    <w:rsid w:val="125C77AB"/>
    <w:rsid w:val="128A099F"/>
    <w:rsid w:val="14A74F2B"/>
    <w:rsid w:val="14BE2A47"/>
    <w:rsid w:val="14CB726E"/>
    <w:rsid w:val="163B0AEA"/>
    <w:rsid w:val="170E4165"/>
    <w:rsid w:val="17E92249"/>
    <w:rsid w:val="18D304F1"/>
    <w:rsid w:val="19F32577"/>
    <w:rsid w:val="19F45B80"/>
    <w:rsid w:val="1B0C078D"/>
    <w:rsid w:val="1B2B31E2"/>
    <w:rsid w:val="1B4C295A"/>
    <w:rsid w:val="1B973C63"/>
    <w:rsid w:val="1BA1001E"/>
    <w:rsid w:val="1CDB054E"/>
    <w:rsid w:val="1D317259"/>
    <w:rsid w:val="1D6334B4"/>
    <w:rsid w:val="1E106D3A"/>
    <w:rsid w:val="1E664F5B"/>
    <w:rsid w:val="1EB34BE1"/>
    <w:rsid w:val="215E639F"/>
    <w:rsid w:val="21EC3183"/>
    <w:rsid w:val="225E72CD"/>
    <w:rsid w:val="228D6F42"/>
    <w:rsid w:val="22C0331F"/>
    <w:rsid w:val="246E2F77"/>
    <w:rsid w:val="25180851"/>
    <w:rsid w:val="254B4E2B"/>
    <w:rsid w:val="283D7C94"/>
    <w:rsid w:val="285C4C30"/>
    <w:rsid w:val="29480E03"/>
    <w:rsid w:val="2983634D"/>
    <w:rsid w:val="2AF90AD8"/>
    <w:rsid w:val="2B00317F"/>
    <w:rsid w:val="2BB02055"/>
    <w:rsid w:val="2C575A56"/>
    <w:rsid w:val="2CC24B23"/>
    <w:rsid w:val="2F0749EB"/>
    <w:rsid w:val="2F257714"/>
    <w:rsid w:val="2F3275E5"/>
    <w:rsid w:val="2FBD6970"/>
    <w:rsid w:val="30243FBF"/>
    <w:rsid w:val="305350AD"/>
    <w:rsid w:val="30AA08EF"/>
    <w:rsid w:val="30D23D1C"/>
    <w:rsid w:val="31221CF5"/>
    <w:rsid w:val="31400178"/>
    <w:rsid w:val="31724332"/>
    <w:rsid w:val="31C82D8C"/>
    <w:rsid w:val="321E3342"/>
    <w:rsid w:val="327759C8"/>
    <w:rsid w:val="33185FE3"/>
    <w:rsid w:val="33B24859"/>
    <w:rsid w:val="34EE2E36"/>
    <w:rsid w:val="35A55795"/>
    <w:rsid w:val="36777241"/>
    <w:rsid w:val="36AC569A"/>
    <w:rsid w:val="38A951DB"/>
    <w:rsid w:val="38B31605"/>
    <w:rsid w:val="39003F4F"/>
    <w:rsid w:val="3C07002B"/>
    <w:rsid w:val="3D0D152A"/>
    <w:rsid w:val="3DF62756"/>
    <w:rsid w:val="3E2D46DD"/>
    <w:rsid w:val="3EC261B0"/>
    <w:rsid w:val="3F1B7587"/>
    <w:rsid w:val="404412AB"/>
    <w:rsid w:val="40465D3F"/>
    <w:rsid w:val="40E60342"/>
    <w:rsid w:val="40E94F8D"/>
    <w:rsid w:val="414A1CC0"/>
    <w:rsid w:val="41E57B4F"/>
    <w:rsid w:val="432F26F6"/>
    <w:rsid w:val="43880F63"/>
    <w:rsid w:val="441C5A6F"/>
    <w:rsid w:val="44C44FCC"/>
    <w:rsid w:val="44CC7369"/>
    <w:rsid w:val="457F5108"/>
    <w:rsid w:val="46951B6B"/>
    <w:rsid w:val="488B6009"/>
    <w:rsid w:val="495F18E0"/>
    <w:rsid w:val="49A34401"/>
    <w:rsid w:val="4A3E30AB"/>
    <w:rsid w:val="4AC14DAC"/>
    <w:rsid w:val="4B0A2E42"/>
    <w:rsid w:val="4CCC43BB"/>
    <w:rsid w:val="4D154C85"/>
    <w:rsid w:val="4EC8553A"/>
    <w:rsid w:val="50155C26"/>
    <w:rsid w:val="508F4E24"/>
    <w:rsid w:val="51461E90"/>
    <w:rsid w:val="51463753"/>
    <w:rsid w:val="52553A93"/>
    <w:rsid w:val="53521F8B"/>
    <w:rsid w:val="53E22F47"/>
    <w:rsid w:val="54522FF8"/>
    <w:rsid w:val="55450629"/>
    <w:rsid w:val="55E63891"/>
    <w:rsid w:val="56692963"/>
    <w:rsid w:val="568B0F48"/>
    <w:rsid w:val="5786217B"/>
    <w:rsid w:val="59337A15"/>
    <w:rsid w:val="59810274"/>
    <w:rsid w:val="5BDD637C"/>
    <w:rsid w:val="5C8D37D5"/>
    <w:rsid w:val="5CA96A00"/>
    <w:rsid w:val="5CF730BC"/>
    <w:rsid w:val="5E5F0DCE"/>
    <w:rsid w:val="5F6B6DB9"/>
    <w:rsid w:val="5FA40A7B"/>
    <w:rsid w:val="5FD56D29"/>
    <w:rsid w:val="5FEC7F3F"/>
    <w:rsid w:val="60320560"/>
    <w:rsid w:val="60F74BC3"/>
    <w:rsid w:val="616672E8"/>
    <w:rsid w:val="617D3BF8"/>
    <w:rsid w:val="61841F6A"/>
    <w:rsid w:val="623007A9"/>
    <w:rsid w:val="637D7558"/>
    <w:rsid w:val="644F19AC"/>
    <w:rsid w:val="653C1BA6"/>
    <w:rsid w:val="654E215E"/>
    <w:rsid w:val="65877C94"/>
    <w:rsid w:val="65AA4920"/>
    <w:rsid w:val="65DF6112"/>
    <w:rsid w:val="65F20970"/>
    <w:rsid w:val="66A65723"/>
    <w:rsid w:val="67694F1E"/>
    <w:rsid w:val="69597934"/>
    <w:rsid w:val="6A034B3D"/>
    <w:rsid w:val="6AF90F35"/>
    <w:rsid w:val="6B964DDC"/>
    <w:rsid w:val="6C783074"/>
    <w:rsid w:val="6D9E65C6"/>
    <w:rsid w:val="6DA81947"/>
    <w:rsid w:val="6EB66DE2"/>
    <w:rsid w:val="6ED3075F"/>
    <w:rsid w:val="6F2A2D4B"/>
    <w:rsid w:val="6F8A0C1E"/>
    <w:rsid w:val="6FFF6D03"/>
    <w:rsid w:val="703F45D4"/>
    <w:rsid w:val="715D6546"/>
    <w:rsid w:val="71BE069E"/>
    <w:rsid w:val="72A457C0"/>
    <w:rsid w:val="73953409"/>
    <w:rsid w:val="73E069A3"/>
    <w:rsid w:val="77D31DA0"/>
    <w:rsid w:val="78104AA8"/>
    <w:rsid w:val="78A7420E"/>
    <w:rsid w:val="78E257C5"/>
    <w:rsid w:val="794B35BE"/>
    <w:rsid w:val="794F23A2"/>
    <w:rsid w:val="7B0A3A31"/>
    <w:rsid w:val="7B3360ED"/>
    <w:rsid w:val="7B5319F3"/>
    <w:rsid w:val="7BDF037E"/>
    <w:rsid w:val="7BF50948"/>
    <w:rsid w:val="7C5A38F3"/>
    <w:rsid w:val="7CE66A78"/>
    <w:rsid w:val="7D23564C"/>
    <w:rsid w:val="7D2C6F37"/>
    <w:rsid w:val="7D5E062D"/>
    <w:rsid w:val="7DF76CD8"/>
    <w:rsid w:val="7EE85A05"/>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6.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决算收入支出图表</a:t>
            </a:r>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Sheet1!$A$2:$A$3</c:f>
              <c:strCache>
                <c:ptCount val="2"/>
                <c:pt idx="0">
                  <c:v>一般公共预算财政拨款收入</c:v>
                </c:pt>
                <c:pt idx="1">
                  <c:v>其他收入</c:v>
                </c:pt>
              </c:strCache>
            </c:strRef>
          </c:cat>
          <c:val>
            <c:numRef>
              <c:f>Sheet1!$B$2:$B$3</c:f>
              <c:numCache>
                <c:formatCode>General</c:formatCode>
                <c:ptCount val="2"/>
                <c:pt idx="0">
                  <c:v>36.3</c:v>
                </c:pt>
                <c:pt idx="1">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manualLayout>
          <c:layoutTarget val="inner"/>
          <c:xMode val="edge"/>
          <c:yMode val="edge"/>
          <c:x val="0.05595"/>
          <c:y val="0.154201680672269"/>
          <c:w val="0.91655"/>
          <c:h val="0.643151260504202"/>
        </c:manualLayout>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Sheet1!$A$2:$A$4</c:f>
              <c:strCache>
                <c:ptCount val="3"/>
                <c:pt idx="0">
                  <c:v>一般公共服务支出</c:v>
                </c:pt>
                <c:pt idx="1">
                  <c:v>社会保障和就业支出</c:v>
                </c:pt>
                <c:pt idx="2">
                  <c:v>住房保障支出</c:v>
                </c:pt>
              </c:strCache>
            </c:strRef>
          </c:cat>
          <c:val>
            <c:numRef>
              <c:f>Sheet1!$B$2:$B$4</c:f>
              <c:numCache>
                <c:formatCode>General</c:formatCode>
                <c:ptCount val="3"/>
                <c:pt idx="0">
                  <c:v>0</c:v>
                </c:pt>
                <c:pt idx="1">
                  <c:v>0</c:v>
                </c:pt>
                <c:pt idx="2">
                  <c:v>0</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Sheet1!$A$2:$A$4</c:f>
              <c:strCache>
                <c:ptCount val="3"/>
                <c:pt idx="0">
                  <c:v>一般公共服务支出</c:v>
                </c:pt>
                <c:pt idx="1">
                  <c:v>社会保障和就业支出</c:v>
                </c:pt>
                <c:pt idx="2">
                  <c:v>住房保障支出</c:v>
                </c:pt>
              </c:strCache>
            </c:strRef>
          </c:cat>
          <c:val>
            <c:numRef>
              <c:f>Sheet1!$C$2:$C$4</c:f>
              <c:numCache>
                <c:formatCode>General</c:formatCode>
                <c:ptCount val="3"/>
                <c:pt idx="0">
                  <c:v>0.6</c:v>
                </c:pt>
                <c:pt idx="1">
                  <c:v>32.2</c:v>
                </c:pt>
                <c:pt idx="2">
                  <c:v>3.5</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2012999</c:v>
                </c:pt>
                <c:pt idx="1">
                  <c:v>201x</c:v>
                </c:pt>
              </c:strCache>
            </c:strRef>
          </c:cat>
          <c:val>
            <c:numRef>
              <c:f>Sheet1!$B$2:$B$3</c:f>
              <c:numCache>
                <c:formatCode>General</c:formatCode>
                <c:ptCount val="2"/>
                <c:pt idx="0">
                  <c:v>0.6</c:v>
                </c:pt>
                <c:pt idx="1">
                  <c:v>0.6</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Sheet1!$A$2:$A$3</c:f>
              <c:numCache>
                <c:formatCode>General</c:formatCode>
                <c:ptCount val="2"/>
                <c:pt idx="0">
                  <c:v>2080505</c:v>
                </c:pt>
                <c:pt idx="1">
                  <c:v>2080109</c:v>
                </c:pt>
              </c:numCache>
            </c:numRef>
          </c:cat>
          <c:val>
            <c:numRef>
              <c:f>Sheet1!$B$2:$B$3</c:f>
              <c:numCache>
                <c:formatCode>General</c:formatCode>
                <c:ptCount val="2"/>
                <c:pt idx="0">
                  <c:v>4.5</c:v>
                </c:pt>
                <c:pt idx="1">
                  <c:v>27.7</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住房保障</a:t>
            </a:r>
            <a:r>
              <a:rPr lang="en-US"/>
              <a:t>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3.5</c:v>
                </c:pt>
                <c:pt idx="1">
                  <c:v>3.5</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Sheet1!$A$2:$A$9</c:f>
              <c:numCache>
                <c:formatCode>General</c:formatCode>
                <c:ptCount val="8"/>
                <c:pt idx="0">
                  <c:v>30101</c:v>
                </c:pt>
                <c:pt idx="1">
                  <c:v>30102</c:v>
                </c:pt>
                <c:pt idx="2">
                  <c:v>30103</c:v>
                </c:pt>
                <c:pt idx="3">
                  <c:v>30107</c:v>
                </c:pt>
                <c:pt idx="4">
                  <c:v>30108</c:v>
                </c:pt>
                <c:pt idx="5">
                  <c:v>30110</c:v>
                </c:pt>
                <c:pt idx="6">
                  <c:v>30112</c:v>
                </c:pt>
                <c:pt idx="7">
                  <c:v>30113</c:v>
                </c:pt>
              </c:numCache>
            </c:numRef>
          </c:cat>
          <c:val>
            <c:numRef>
              <c:f>Sheet1!$B$2:$B$9</c:f>
              <c:numCache>
                <c:formatCode>General</c:formatCode>
                <c:ptCount val="8"/>
                <c:pt idx="0">
                  <c:v>11.3</c:v>
                </c:pt>
                <c:pt idx="1">
                  <c:v>2.3</c:v>
                </c:pt>
                <c:pt idx="2">
                  <c:v>4.3</c:v>
                </c:pt>
                <c:pt idx="3">
                  <c:v>7.1</c:v>
                </c:pt>
                <c:pt idx="4">
                  <c:v>4.5</c:v>
                </c:pt>
                <c:pt idx="5">
                  <c:v>1.8</c:v>
                </c:pt>
                <c:pt idx="6">
                  <c:v>0.18</c:v>
                </c:pt>
                <c:pt idx="7">
                  <c:v>3.5</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0.22</c:v>
                </c:pt>
                <c:pt idx="1">
                  <c:v>0</c:v>
                </c:pt>
                <c:pt idx="2">
                  <c:v>0</c:v>
                </c:pt>
                <c:pt idx="3">
                  <c:v>0</c:v>
                </c:pt>
                <c:pt idx="4">
                  <c:v>0</c:v>
                </c:pt>
                <c:pt idx="5">
                  <c:v>0</c:v>
                </c:pt>
                <c:pt idx="6">
                  <c:v>0</c:v>
                </c:pt>
                <c:pt idx="7">
                  <c:v>0</c:v>
                </c:pt>
                <c:pt idx="8">
                  <c:v>0</c:v>
                </c:pt>
                <c:pt idx="9">
                  <c:v>0.5</c:v>
                </c:pt>
                <c:pt idx="10">
                  <c:v>0</c:v>
                </c:pt>
                <c:pt idx="11">
                  <c:v>0</c:v>
                </c:pt>
                <c:pt idx="12">
                  <c:v>0</c:v>
                </c:pt>
                <c:pt idx="13">
                  <c:v>0</c:v>
                </c:pt>
                <c:pt idx="14">
                  <c:v>0</c:v>
                </c:pt>
                <c:pt idx="15">
                  <c:v>0</c:v>
                </c:pt>
                <c:pt idx="16">
                  <c:v>0</c:v>
                </c:pt>
                <c:pt idx="17">
                  <c:v>0</c:v>
                </c:pt>
                <c:pt idx="18">
                  <c:v>0</c:v>
                </c:pt>
                <c:pt idx="19">
                  <c:v>0</c:v>
                </c:pt>
                <c:pt idx="20">
                  <c:v>0</c:v>
                </c:pt>
                <c:pt idx="21">
                  <c:v>0.55</c:v>
                </c:pt>
                <c:pt idx="22">
                  <c:v>0</c:v>
                </c:pt>
                <c:pt idx="23">
                  <c:v>0</c:v>
                </c:pt>
                <c:pt idx="24">
                  <c:v>0</c:v>
                </c:pt>
                <c:pt idx="25">
                  <c:v>0</c:v>
                </c:pt>
                <c:pt idx="26">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Sheet1!$B$2:$B$13</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0CACF-E88F-4774-9588-59B2C8C8876C}">
  <ds:schemaRefs/>
</ds:datastoreItem>
</file>

<file path=docProps/app.xml><?xml version="1.0" encoding="utf-8"?>
<Properties xmlns="http://schemas.openxmlformats.org/officeDocument/2006/extended-properties" xmlns:vt="http://schemas.openxmlformats.org/officeDocument/2006/docPropsVTypes">
  <Template>Normal.dotm</Template>
  <Pages>30</Pages>
  <Words>6678</Words>
  <Characters>13912</Characters>
  <Lines>90</Lines>
  <Paragraphs>25</Paragraphs>
  <TotalTime>14</TotalTime>
  <ScaleCrop>false</ScaleCrop>
  <LinksUpToDate>false</LinksUpToDate>
  <CharactersWithSpaces>14005</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HJCL</cp:lastModifiedBy>
  <dcterms:modified xsi:type="dcterms:W3CDTF">2024-12-25T03:40:06Z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1544CFC224974D70BC8B8E201F844F0A</vt:lpwstr>
  </property>
</Properties>
</file>