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方正小标宋简体" w:hAnsi="黑体" w:eastAsia="方正小标宋简体"/>
          <w:bCs/>
          <w:color w:val="000000"/>
          <w:sz w:val="52"/>
          <w:szCs w:val="52"/>
        </w:rPr>
      </w:pPr>
      <w:r>
        <w:rPr>
          <w:rFonts w:hint="eastAsia" w:ascii="方正小标宋简体" w:hAnsi="Times New Roman" w:eastAsia="方正小标宋简体" w:cs="Times New Roman"/>
          <w:kern w:val="0"/>
          <w:sz w:val="52"/>
          <w:szCs w:val="52"/>
          <w:lang w:val="en-US" w:eastAsia="zh-CN"/>
        </w:rPr>
        <w:t>环江毛南族自治县大才乡卫生和计划生育服务所</w:t>
      </w:r>
    </w:p>
    <w:p>
      <w:pPr>
        <w:jc w:val="center"/>
        <w:rPr>
          <w:rFonts w:ascii="黑体" w:hAnsi="黑体" w:eastAsia="黑体" w:cs="黑体"/>
          <w:b/>
          <w:bCs/>
          <w:sz w:val="52"/>
          <w:szCs w:val="52"/>
          <w:highlight w:val="none"/>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3253" w:firstLineChars="900"/>
        <w:jc w:val="both"/>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环江毛南族自治县大才乡计生所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环江毛南族自治县大才乡计生所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社保</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环江毛南族自治县大才乡计生所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环江毛南族自治县大才乡计生所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560" w:lineRule="exact"/>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1.</w:t>
      </w:r>
      <w:r>
        <w:rPr>
          <w:rFonts w:hint="eastAsia" w:ascii="仿宋_GB2312" w:hAnsi="黑体" w:eastAsia="仿宋_GB2312" w:cs="Times New Roman"/>
          <w:sz w:val="32"/>
          <w:szCs w:val="32"/>
          <w:shd w:val="clear" w:color="auto" w:fill="auto"/>
        </w:rPr>
        <w:t>承担宣传国家现行的人口和计划生育方针、政策、法律、法规。</w:t>
      </w:r>
    </w:p>
    <w:p>
      <w:pPr>
        <w:spacing w:line="560" w:lineRule="exact"/>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2</w:t>
      </w:r>
      <w:r>
        <w:rPr>
          <w:rFonts w:hint="eastAsia" w:ascii="仿宋_GB2312" w:hAnsi="黑体" w:eastAsia="仿宋_GB2312" w:cs="Times New Roman"/>
          <w:sz w:val="32"/>
          <w:szCs w:val="32"/>
          <w:shd w:val="clear" w:color="auto" w:fill="auto"/>
        </w:rPr>
        <w:t>.做好计划生育生殖健康科普知识的宣传、教育,开展生殖保健服务;提供避孕药具及相关的指导、咨询和随访;对已经施行避孕、节育手术和复通手术的对象提供相关的咨询、随访服务。</w:t>
      </w:r>
    </w:p>
    <w:p>
      <w:pPr>
        <w:spacing w:line="560" w:lineRule="exact"/>
        <w:ind w:firstLine="640" w:firstLineChars="200"/>
        <w:rPr>
          <w:rFonts w:hint="eastAsia" w:ascii="仿宋_GB2312" w:eastAsia="仿宋_GB2312"/>
          <w:sz w:val="32"/>
          <w:szCs w:val="32"/>
        </w:rPr>
      </w:pPr>
      <w:r>
        <w:rPr>
          <w:rFonts w:hint="eastAsia" w:ascii="仿宋_GB2312" w:hAnsi="黑体" w:eastAsia="仿宋_GB2312" w:cs="Times New Roman"/>
          <w:sz w:val="32"/>
          <w:szCs w:val="32"/>
          <w:shd w:val="clear" w:color="auto" w:fill="auto"/>
          <w:lang w:val="en-US" w:eastAsia="zh-CN"/>
        </w:rPr>
        <w:t>3</w:t>
      </w:r>
      <w:r>
        <w:rPr>
          <w:rFonts w:hint="eastAsia" w:ascii="仿宋_GB2312" w:hAnsi="黑体" w:eastAsia="仿宋_GB2312" w:cs="Times New Roman"/>
          <w:sz w:val="32"/>
          <w:szCs w:val="32"/>
          <w:shd w:val="clear" w:color="auto" w:fill="auto"/>
        </w:rPr>
        <w:t>.开展上级指定的计划生育技术服务项目;协助做好常住人口和流动人口计划生育服务管理及统计上报工作;承办计生协会有关业务;完成上级业务部门和镇党委、政府交给的其他工作任务。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环江毛南族自治县大才乡计生所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2"/>
        <w:gridCol w:w="816"/>
        <w:gridCol w:w="816"/>
        <w:gridCol w:w="4372"/>
        <w:gridCol w:w="816"/>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部门：河池市环江毛南族自治县大才乡计生所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53.1</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部门：河池市环江毛南族自治县大才乡计生所</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53.1</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53.1</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41.2</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712"/>
        <w:gridCol w:w="682"/>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1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3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部门：河池市环江毛南族自治县大才乡计生所</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1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3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1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53.1</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53.1</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0"/>
        <w:gridCol w:w="537"/>
        <w:gridCol w:w="937"/>
        <w:gridCol w:w="3563"/>
        <w:gridCol w:w="537"/>
        <w:gridCol w:w="669"/>
        <w:gridCol w:w="1169"/>
        <w:gridCol w:w="885"/>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4081"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社保拨款收入支出决算总表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2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5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1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26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部门：河池市环江毛南族自治县大才乡计生所</w:t>
            </w:r>
          </w:p>
        </w:tc>
        <w:tc>
          <w:tcPr>
            <w:tcW w:w="5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1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73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344"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427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6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69"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8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75"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8"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6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9"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1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9"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53.1</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41.2</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41.2</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53.1</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53.1</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53.1</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拨款结转和结余</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拨款结转和结余</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6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53.1</w:t>
            </w:r>
          </w:p>
        </w:tc>
        <w:tc>
          <w:tcPr>
            <w:tcW w:w="35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53.1</w:t>
            </w:r>
          </w:p>
        </w:tc>
        <w:tc>
          <w:tcPr>
            <w:tcW w:w="11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53.1</w:t>
            </w:r>
          </w:p>
        </w:tc>
        <w:tc>
          <w:tcPr>
            <w:tcW w:w="8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67"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1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部门：河池市环江毛南族自治县大才乡计生所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53.1</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河池市环江毛南族自治县大才乡计生所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5.7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环江毛南族自治县大才乡计生所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环江毛南族自治县大才乡计生所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环江毛南族自治县大才乡计生所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53.1</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53.1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3.国有资本经营预算社保拨款收入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53.1</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53.1</w:t>
      </w:r>
      <w:r>
        <w:rPr>
          <w:rFonts w:hint="eastAsia" w:ascii="仿宋" w:hAnsi="仿宋" w:eastAsia="仿宋" w:cs="仿宋"/>
          <w:sz w:val="32"/>
          <w:szCs w:val="32"/>
          <w:highlight w:val="none"/>
        </w:rPr>
        <w:t>万元，支出具体情况如下</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人员工会经费支出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社会保障和就业支</w:t>
      </w:r>
      <w:r>
        <w:rPr>
          <w:rFonts w:hint="eastAsia" w:ascii="仿宋" w:hAnsi="仿宋" w:eastAsia="仿宋" w:cs="仿宋"/>
          <w:color w:val="auto"/>
          <w:sz w:val="32"/>
          <w:szCs w:val="32"/>
          <w:highlight w:val="none"/>
          <w:lang w:bidi="ar"/>
        </w:rPr>
        <w:t>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6.5</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卫生健康支</w:t>
      </w:r>
      <w:r>
        <w:rPr>
          <w:rFonts w:hint="eastAsia" w:ascii="仿宋" w:hAnsi="仿宋" w:eastAsia="仿宋" w:cs="仿宋"/>
          <w:color w:val="auto"/>
          <w:sz w:val="32"/>
          <w:szCs w:val="32"/>
          <w:highlight w:val="none"/>
          <w:lang w:bidi="ar"/>
        </w:rPr>
        <w:t>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w:t>
      </w:r>
      <w:r>
        <w:rPr>
          <w:rFonts w:hint="eastAsia" w:ascii="仿宋" w:hAnsi="仿宋" w:eastAsia="仿宋" w:cs="仿宋"/>
          <w:color w:val="auto"/>
          <w:sz w:val="32"/>
          <w:szCs w:val="32"/>
          <w:highlight w:val="none"/>
          <w:lang w:val="en-US" w:eastAsia="zh-CN" w:bidi="ar"/>
        </w:rPr>
        <w:t>10</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41.2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计划生育卫生服务所人员工资支出</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社保</w:t>
      </w:r>
      <w:r>
        <w:rPr>
          <w:rFonts w:hint="eastAsia" w:ascii="黑体" w:hAnsi="黑体" w:eastAsia="黑体" w:cs="黑体"/>
          <w:sz w:val="32"/>
          <w:szCs w:val="32"/>
          <w:highlight w:val="none"/>
        </w:rPr>
        <w:t>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环江毛南族自治县大才乡计生所2023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53.1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53.1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环江毛南族自治县大才乡计生所2023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u w:color="auto"/>
          <w:lang w:val="en-US" w:eastAsia="zh-CN"/>
        </w:rPr>
        <w:t>57.42</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53.1</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92.5%，差异原因：有一位人员退休</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left"/>
        <w:rPr>
          <w:rFonts w:hint="eastAsia" w:ascii="仿宋" w:hAnsi="仿宋" w:eastAsia="仿宋" w:cs="仿宋"/>
          <w:sz w:val="32"/>
          <w:szCs w:val="32"/>
          <w:highlight w:val="none"/>
        </w:rPr>
      </w:pPr>
    </w:p>
    <w:p>
      <w:pPr>
        <w:keepNext w:val="0"/>
        <w:keepLines w:val="0"/>
        <w:widowControl w:val="0"/>
        <w:numPr>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90.2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有人员退休，支出减少。</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卫生健康支出</w:t>
      </w:r>
      <w:r>
        <w:rPr>
          <w:rFonts w:ascii="仿宋" w:hAnsi="仿宋" w:eastAsia="仿宋"/>
          <w:sz w:val="32"/>
          <w:u w:color="auto"/>
        </w:rPr>
        <w:t>（2</w:t>
      </w:r>
      <w:r>
        <w:rPr>
          <w:rFonts w:hint="eastAsia" w:ascii="仿宋" w:hAnsi="仿宋" w:eastAsia="仿宋"/>
          <w:sz w:val="32"/>
          <w:u w:color="auto"/>
          <w:lang w:val="en-US" w:eastAsia="zh-CN"/>
        </w:rPr>
        <w:t>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43.88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41.2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93.9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有人员退休，支出减少。</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2100716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计划生育机构支出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用于计划生育机构人员工资支出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用于计划生育机构人员工资支出</w:t>
            </w: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83.3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有人员退休，人员住房公积金变动，支出减少。</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社保</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环江毛南族自治县大才乡计生所2023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53.1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49.2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3.9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49.2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92.5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主要原因是：人员工资有变动，支出增加。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17.3万元，30102津贴补贴3.8万元，30103奖金5.7万元，30107绩效工资8.5万元，30108机关事业单位基本养老保险缴费6.5万元，30110职工基本医疗保险缴费2.6万元，30112其他社会保险缴费0.2万元，30113住房公积金4.5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3.9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30201办公费0.2万元，30205水费0.2万元，30206电费0.5万元，30228工会经费0.55万元， 30231公务用车运行维护费1.9万元。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numId w:val="0"/>
        </w:numPr>
        <w:suppressLineNumbers w:val="0"/>
        <w:spacing w:before="0" w:beforeAutospacing="0" w:after="0" w:afterAutospacing="0"/>
        <w:ind w:right="0" w:rightChars="0"/>
        <w:jc w:val="left"/>
        <w:rPr>
          <w:rFonts w:ascii="仿宋" w:hAnsi="仿宋" w:eastAsia="仿宋" w:cs="仿宋"/>
          <w:color w:val="FF0000"/>
          <w:sz w:val="32"/>
          <w:szCs w:val="32"/>
          <w:highlight w:val="none"/>
        </w:rPr>
      </w:pPr>
    </w:p>
    <w:p>
      <w:pPr>
        <w:keepNext w:val="0"/>
        <w:keepLines w:val="0"/>
        <w:widowControl w:val="0"/>
        <w:numPr>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ind w:firstLine="320" w:firstLineChars="1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环江毛南族自治县大才乡计生所2023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环江毛南族自治县大才乡计生所2023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环江毛南族自治县大才乡计生所2023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环江毛南族自治县大才乡计生所2023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3.9</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w:t>
      </w:r>
      <w:r>
        <w:rPr>
          <w:rFonts w:hint="default" w:ascii="仿宋" w:hAnsi="仿宋" w:eastAsia="仿宋" w:cs="仿宋"/>
          <w:sz w:val="32"/>
          <w:szCs w:val="32"/>
          <w:highlight w:val="none"/>
        </w:rPr>
        <w:t>万元</w:t>
      </w:r>
      <w:bookmarkStart w:id="4" w:name="_GoBack"/>
      <w:bookmarkEnd w:id="4"/>
      <w:r>
        <w:rPr>
          <w:rFonts w:hint="default" w:ascii="仿宋" w:hAnsi="仿宋" w:eastAsia="仿宋" w:cs="仿宋"/>
          <w:sz w:val="32"/>
          <w:szCs w:val="32"/>
          <w:highlight w:val="none"/>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社保</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社保</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社保</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98C7D58"/>
    <w:rsid w:val="0A791E4A"/>
    <w:rsid w:val="0BB51692"/>
    <w:rsid w:val="0C211877"/>
    <w:rsid w:val="0C5E0CF4"/>
    <w:rsid w:val="0D100297"/>
    <w:rsid w:val="0D202B45"/>
    <w:rsid w:val="0E9D18B8"/>
    <w:rsid w:val="0F8D4C87"/>
    <w:rsid w:val="10505FAA"/>
    <w:rsid w:val="105F7E7E"/>
    <w:rsid w:val="11E56B5B"/>
    <w:rsid w:val="12566369"/>
    <w:rsid w:val="125C77AB"/>
    <w:rsid w:val="128A099F"/>
    <w:rsid w:val="14A74F2B"/>
    <w:rsid w:val="14BE2A47"/>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15E639F"/>
    <w:rsid w:val="21EC3183"/>
    <w:rsid w:val="225E72CD"/>
    <w:rsid w:val="228D6F42"/>
    <w:rsid w:val="22C0331F"/>
    <w:rsid w:val="246E2F77"/>
    <w:rsid w:val="25180851"/>
    <w:rsid w:val="254B4E2B"/>
    <w:rsid w:val="283D7C94"/>
    <w:rsid w:val="285C4C30"/>
    <w:rsid w:val="29480E03"/>
    <w:rsid w:val="2983634D"/>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77241"/>
    <w:rsid w:val="36AC569A"/>
    <w:rsid w:val="38A951DB"/>
    <w:rsid w:val="38B31605"/>
    <w:rsid w:val="39003F4F"/>
    <w:rsid w:val="3C07002B"/>
    <w:rsid w:val="3D0D152A"/>
    <w:rsid w:val="3DF62756"/>
    <w:rsid w:val="3E2D46DD"/>
    <w:rsid w:val="3EC261B0"/>
    <w:rsid w:val="3F1B7587"/>
    <w:rsid w:val="404412AB"/>
    <w:rsid w:val="40465D3F"/>
    <w:rsid w:val="40E60342"/>
    <w:rsid w:val="40E94F8D"/>
    <w:rsid w:val="414A1CC0"/>
    <w:rsid w:val="41E57B4F"/>
    <w:rsid w:val="432F26F6"/>
    <w:rsid w:val="43880F63"/>
    <w:rsid w:val="441C5A6F"/>
    <w:rsid w:val="44C44FCC"/>
    <w:rsid w:val="44CC7369"/>
    <w:rsid w:val="457F5108"/>
    <w:rsid w:val="46951B6B"/>
    <w:rsid w:val="488B6009"/>
    <w:rsid w:val="495F18E0"/>
    <w:rsid w:val="49A34401"/>
    <w:rsid w:val="4A3E30AB"/>
    <w:rsid w:val="4AC14DAC"/>
    <w:rsid w:val="4CCC43BB"/>
    <w:rsid w:val="4D154C85"/>
    <w:rsid w:val="4EC8553A"/>
    <w:rsid w:val="50155C26"/>
    <w:rsid w:val="508F4E24"/>
    <w:rsid w:val="51461E90"/>
    <w:rsid w:val="51463753"/>
    <w:rsid w:val="52553A93"/>
    <w:rsid w:val="526B7319"/>
    <w:rsid w:val="53521F8B"/>
    <w:rsid w:val="53E22F47"/>
    <w:rsid w:val="54522FF8"/>
    <w:rsid w:val="55450629"/>
    <w:rsid w:val="55E63891"/>
    <w:rsid w:val="56692963"/>
    <w:rsid w:val="568B0F48"/>
    <w:rsid w:val="5786217B"/>
    <w:rsid w:val="59337A15"/>
    <w:rsid w:val="59810274"/>
    <w:rsid w:val="59B17D39"/>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94F23A2"/>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8.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53.1</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
          <c:y val="0.487666666666667"/>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Sheet1!$C$2:$C$5</c:f>
              <c:numCache>
                <c:formatCode>General</c:formatCode>
                <c:ptCount val="4"/>
                <c:pt idx="0">
                  <c:v>0.9</c:v>
                </c:pt>
                <c:pt idx="1">
                  <c:v>6.5</c:v>
                </c:pt>
                <c:pt idx="2">
                  <c:v>41.2</c:v>
                </c:pt>
                <c:pt idx="3">
                  <c:v>4.5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0.9</c:v>
                </c:pt>
                <c:pt idx="1">
                  <c:v>0.9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6.5</c:v>
                </c:pt>
                <c:pt idx="1">
                  <c:v>6.5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计划生育机构</a:t>
            </a:r>
            <a:r>
              <a:rPr lang="en-US"/>
              <a:t>支出</a:t>
            </a:r>
            <a:endParaRPr lang="en-US" sz="1100"/>
          </a:p>
        </c:rich>
      </c:tx>
      <c:layout/>
      <c:overlay val="0"/>
      <c:spPr>
        <a:noFill/>
        <a:ln>
          <a:noFill/>
        </a:ln>
        <a:effectLst/>
      </c:spPr>
    </c:title>
    <c:autoTitleDeleted val="0"/>
    <c:plotArea>
      <c:layout>
        <c:manualLayout>
          <c:layoutTarget val="inner"/>
          <c:xMode val="edge"/>
          <c:yMode val="edge"/>
          <c:x val="0.0506030935149709"/>
          <c:y val="0.164099526066351"/>
          <c:w val="0.918177948063005"/>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2100716</c:v>
                </c:pt>
                <c:pt idx="1">
                  <c:v>210x</c:v>
                </c:pt>
              </c:strCache>
            </c:strRef>
          </c:cat>
          <c:val>
            <c:numRef>
              <c:f>Sheet1!$B$2:$B$3</c:f>
              <c:numCache>
                <c:formatCode>General</c:formatCode>
                <c:ptCount val="2"/>
                <c:pt idx="0">
                  <c:v>41.2</c:v>
                </c:pt>
                <c:pt idx="1">
                  <c:v>41.2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4.5</c:v>
                </c:pt>
                <c:pt idx="1">
                  <c:v>4.5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17.3</c:v>
                </c:pt>
                <c:pt idx="1">
                  <c:v>3.8</c:v>
                </c:pt>
                <c:pt idx="2">
                  <c:v>5.7</c:v>
                </c:pt>
                <c:pt idx="3">
                  <c:v>8.5</c:v>
                </c:pt>
                <c:pt idx="4">
                  <c:v>6.5</c:v>
                </c:pt>
                <c:pt idx="5">
                  <c:v>2.6</c:v>
                </c:pt>
                <c:pt idx="6">
                  <c:v>0.2</c:v>
                </c:pt>
                <c:pt idx="7">
                  <c:v>4.5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0.2</c:v>
                </c:pt>
                <c:pt idx="1">
                  <c:v>0</c:v>
                </c:pt>
                <c:pt idx="2">
                  <c:v>0</c:v>
                </c:pt>
                <c:pt idx="3">
                  <c:v>0</c:v>
                </c:pt>
                <c:pt idx="4">
                  <c:v>0.2</c:v>
                </c:pt>
                <c:pt idx="5">
                  <c:v>0.5</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0.9</c:v>
                </c:pt>
                <c:pt idx="22">
                  <c:v>1.9</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20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HJCL</cp:lastModifiedBy>
  <dcterms:modified xsi:type="dcterms:W3CDTF">2024-12-25T03:16:05Z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FFD132507754441DBB5D79C068132EC8</vt:lpwstr>
  </property>
</Properties>
</file>