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lang w:eastAsia="zh-CN"/>
        </w:rPr>
      </w:pPr>
      <w:r>
        <w:rPr>
          <w:rFonts w:hint="eastAsia"/>
          <w:sz w:val="56"/>
          <w:szCs w:val="56"/>
          <w:lang w:eastAsia="zh-CN"/>
        </w:rPr>
        <w:t>环江毛南族自治县第一初级中学</w:t>
      </w:r>
    </w:p>
    <w:p>
      <w:pPr>
        <w:pStyle w:val="10"/>
        <w:jc w:val="center"/>
        <w:rPr>
          <w:rFonts w:hint="eastAsia" w:eastAsiaTheme="majorEastAsia"/>
          <w:sz w:val="56"/>
          <w:szCs w:val="56"/>
          <w:lang w:val="en-US" w:eastAsia="zh-CN"/>
        </w:rPr>
        <w:sectPr>
          <w:headerReference r:id="rId3" w:type="default"/>
          <w:footerReference r:id="rId4" w:type="default"/>
          <w:pgSz w:w="11900" w:h="16840"/>
          <w:pgMar w:top="4713" w:right="1913" w:bottom="4713" w:left="2020" w:header="4285" w:footer="2381" w:gutter="0"/>
          <w:pgBorders>
            <w:top w:val="none" w:sz="0" w:space="0"/>
            <w:left w:val="none" w:sz="0" w:space="0"/>
            <w:bottom w:val="none" w:sz="0" w:space="0"/>
            <w:right w:val="none" w:sz="0" w:space="0"/>
          </w:pgBorders>
          <w:pgNumType w:fmt="decimal" w:start="1"/>
          <w:cols w:space="720" w:num="1"/>
          <w:docGrid w:linePitch="360" w:charSpace="0"/>
        </w:sectPr>
      </w:pPr>
      <w:r>
        <w:rPr>
          <w:rFonts w:hint="eastAsia"/>
          <w:sz w:val="56"/>
          <w:szCs w:val="56"/>
          <w:lang w:eastAsia="zh-CN"/>
        </w:rPr>
        <w:t>2024</w:t>
      </w:r>
      <w:r>
        <w:rPr>
          <w:rFonts w:hint="eastAsia" w:asciiTheme="majorEastAsia" w:hAnsiTheme="majorEastAsia" w:eastAsiaTheme="majorEastAsia" w:cstheme="majorEastAsia"/>
          <w:sz w:val="56"/>
          <w:szCs w:val="56"/>
          <w:u w:color="auto"/>
        </w:rPr>
        <w:t>年</w:t>
      </w:r>
      <w:r>
        <w:rPr>
          <w:rFonts w:hint="eastAsia" w:asciiTheme="majorEastAsia" w:hAnsiTheme="majorEastAsia" w:eastAsiaTheme="majorEastAsia" w:cstheme="majorEastAsia"/>
          <w:sz w:val="56"/>
          <w:szCs w:val="56"/>
        </w:rPr>
        <w:t>度部门预算</w:t>
      </w:r>
      <w:r>
        <w:rPr>
          <w:rFonts w:hint="eastAsia" w:asciiTheme="majorEastAsia" w:hAnsiTheme="majorEastAsia" w:eastAsiaTheme="majorEastAsia" w:cstheme="majorEastAsia"/>
          <w:sz w:val="56"/>
          <w:szCs w:val="56"/>
          <w:lang w:val="en-US" w:eastAsia="zh-CN"/>
        </w:rPr>
        <w:t>公开</w:t>
      </w:r>
    </w:p>
    <w:p>
      <w:pPr>
        <w:pStyle w:val="12"/>
        <w:keepNext/>
        <w:keepLines/>
        <w:spacing w:after="240"/>
        <w:jc w:val="center"/>
      </w:pPr>
      <w:bookmarkStart w:id="0" w:name="bookmark1"/>
      <w:bookmarkStart w:id="1" w:name="bookmark2"/>
      <w:bookmarkStart w:id="2" w:name="bookmark0"/>
      <w:r>
        <w:t>目录</w:t>
      </w:r>
      <w:bookmarkEnd w:id="0"/>
      <w:bookmarkEnd w:id="1"/>
      <w:bookmarkEnd w:id="2"/>
    </w:p>
    <w:p>
      <w:pPr>
        <w:pStyle w:val="16"/>
        <w:ind w:left="0" w:leftChars="0" w:firstLine="320" w:firstLineChars="100"/>
        <w:jc w:val="left"/>
      </w:pPr>
      <w:r>
        <w:t>第一部分</w:t>
      </w:r>
      <w:r>
        <w:rPr>
          <w:rFonts w:hint="eastAsia"/>
          <w:lang w:eastAsia="zh-CN"/>
        </w:rPr>
        <w:t>：</w:t>
      </w:r>
      <w:r>
        <w:rPr>
          <w:u w:color="auto"/>
        </w:rPr>
        <w:t>环江毛南族自治县第一初级中学单位</w:t>
      </w:r>
      <w:r>
        <w:t>概况</w:t>
      </w:r>
    </w:p>
    <w:p>
      <w:pPr>
        <w:pStyle w:val="16"/>
        <w:jc w:val="left"/>
        <w:rPr>
          <w:rFonts w:hint="eastAsia"/>
          <w:b w:val="0"/>
          <w:bCs w:val="0"/>
          <w:lang w:val="en-US" w:eastAsia="zh-CN"/>
        </w:rPr>
      </w:pPr>
      <w:r>
        <w:rPr>
          <w:rFonts w:hint="eastAsia"/>
          <w:b w:val="0"/>
          <w:bCs w:val="0"/>
          <w:lang w:val="en-US" w:eastAsia="zh-CN"/>
        </w:rPr>
        <w:t>一、主要职责</w:t>
      </w:r>
    </w:p>
    <w:p>
      <w:pPr>
        <w:pStyle w:val="16"/>
        <w:jc w:val="left"/>
        <w:rPr>
          <w:rFonts w:hint="eastAsia"/>
          <w:b w:val="0"/>
          <w:bCs w:val="0"/>
        </w:rPr>
      </w:pPr>
      <w:r>
        <w:rPr>
          <w:rFonts w:hint="eastAsia"/>
          <w:b w:val="0"/>
          <w:bCs w:val="0"/>
          <w:lang w:val="en-US" w:eastAsia="zh-CN"/>
        </w:rPr>
        <w:t>二、</w:t>
      </w:r>
      <w:r>
        <w:rPr>
          <w:rFonts w:hint="eastAsia"/>
          <w:b w:val="0"/>
          <w:bCs w:val="0"/>
        </w:rPr>
        <w:t>机构设置情况</w:t>
      </w:r>
    </w:p>
    <w:p>
      <w:pPr>
        <w:pStyle w:val="16"/>
        <w:ind w:left="0" w:leftChars="0" w:firstLine="320" w:firstLineChars="100"/>
        <w:jc w:val="left"/>
      </w:pPr>
      <w:r>
        <w:t>第二部分</w:t>
      </w:r>
      <w:r>
        <w:rPr>
          <w:rFonts w:hint="eastAsia"/>
          <w:lang w:eastAsia="zh-CN"/>
        </w:rPr>
        <w:t>：</w:t>
      </w:r>
      <w:r>
        <w:rPr>
          <w:u w:color="auto"/>
        </w:rPr>
        <w:t>环江毛南族自治县第一初级中学2024</w:t>
      </w:r>
      <w:r>
        <w:t>部门预算情况说明</w:t>
      </w:r>
    </w:p>
    <w:p>
      <w:pPr>
        <w:pStyle w:val="16"/>
        <w:numPr>
          <w:ilvl w:val="0"/>
          <w:numId w:val="0"/>
        </w:numPr>
        <w:ind w:firstLine="640" w:firstLineChars="200"/>
        <w:jc w:val="left"/>
        <w:rPr>
          <w:rFonts w:hint="eastAsia"/>
        </w:rPr>
      </w:pPr>
      <w:r>
        <w:rPr>
          <w:rFonts w:hint="eastAsia"/>
        </w:rPr>
        <w:t>一、部门收支总体情况说明</w:t>
      </w:r>
    </w:p>
    <w:p>
      <w:pPr>
        <w:pStyle w:val="16"/>
        <w:numPr>
          <w:ilvl w:val="0"/>
          <w:numId w:val="0"/>
        </w:numPr>
        <w:ind w:firstLine="640" w:firstLineChars="200"/>
        <w:jc w:val="left"/>
        <w:rPr>
          <w:rFonts w:hint="eastAsia"/>
        </w:rPr>
      </w:pPr>
      <w:r>
        <w:rPr>
          <w:rFonts w:hint="eastAsia"/>
        </w:rPr>
        <w:t>二、部门收入总体情况说明</w:t>
      </w:r>
    </w:p>
    <w:p>
      <w:pPr>
        <w:pStyle w:val="16"/>
        <w:numPr>
          <w:ilvl w:val="0"/>
          <w:numId w:val="0"/>
        </w:numPr>
        <w:ind w:firstLine="640" w:firstLineChars="200"/>
        <w:jc w:val="left"/>
        <w:rPr>
          <w:rFonts w:hint="eastAsia"/>
        </w:rPr>
      </w:pPr>
      <w:r>
        <w:rPr>
          <w:rFonts w:hint="eastAsia"/>
        </w:rPr>
        <w:t>三、部门支出总体情况说明</w:t>
      </w:r>
    </w:p>
    <w:p>
      <w:pPr>
        <w:pStyle w:val="16"/>
        <w:numPr>
          <w:ilvl w:val="0"/>
          <w:numId w:val="0"/>
        </w:numPr>
        <w:ind w:firstLine="640" w:firstLineChars="200"/>
        <w:jc w:val="left"/>
        <w:rPr>
          <w:rFonts w:hint="eastAsia"/>
        </w:rPr>
      </w:pPr>
      <w:r>
        <w:rPr>
          <w:rFonts w:hint="eastAsia"/>
        </w:rPr>
        <w:t>四、财政拨款收支总体情况说明</w:t>
      </w:r>
    </w:p>
    <w:p>
      <w:pPr>
        <w:pStyle w:val="16"/>
        <w:numPr>
          <w:ilvl w:val="0"/>
          <w:numId w:val="0"/>
        </w:numPr>
        <w:ind w:firstLine="640" w:firstLineChars="200"/>
        <w:jc w:val="left"/>
        <w:rPr>
          <w:rFonts w:hint="eastAsia"/>
        </w:rPr>
      </w:pPr>
      <w:r>
        <w:rPr>
          <w:rFonts w:hint="eastAsia"/>
        </w:rPr>
        <w:t>五、一般公共预算支出情况说明</w:t>
      </w:r>
    </w:p>
    <w:p>
      <w:pPr>
        <w:pStyle w:val="16"/>
        <w:numPr>
          <w:ilvl w:val="0"/>
          <w:numId w:val="0"/>
        </w:numPr>
        <w:ind w:firstLine="640" w:firstLineChars="200"/>
        <w:jc w:val="left"/>
        <w:rPr>
          <w:rFonts w:hint="eastAsia"/>
        </w:rPr>
      </w:pPr>
      <w:r>
        <w:rPr>
          <w:rFonts w:hint="eastAsia"/>
        </w:rPr>
        <w:t>六、一般公共预算基本支出情况说明</w:t>
      </w:r>
    </w:p>
    <w:p>
      <w:pPr>
        <w:pStyle w:val="16"/>
        <w:numPr>
          <w:ilvl w:val="0"/>
          <w:numId w:val="0"/>
        </w:numPr>
        <w:ind w:firstLine="640" w:firstLineChars="200"/>
        <w:jc w:val="left"/>
        <w:rPr>
          <w:rFonts w:hint="eastAsia"/>
        </w:rPr>
      </w:pPr>
      <w:r>
        <w:rPr>
          <w:rFonts w:hint="eastAsia"/>
        </w:rPr>
        <w:t>七、一般公共预算“三公”经费支出情况说明</w:t>
      </w:r>
    </w:p>
    <w:p>
      <w:pPr>
        <w:pStyle w:val="16"/>
        <w:numPr>
          <w:ilvl w:val="0"/>
          <w:numId w:val="0"/>
        </w:numPr>
        <w:ind w:firstLine="640" w:firstLineChars="200"/>
        <w:jc w:val="left"/>
        <w:rPr>
          <w:rFonts w:hint="eastAsia"/>
        </w:rPr>
      </w:pPr>
      <w:r>
        <w:rPr>
          <w:rFonts w:hint="eastAsia"/>
        </w:rPr>
        <w:t>八、政府性基金预算支出情况说明</w:t>
      </w:r>
    </w:p>
    <w:p>
      <w:pPr>
        <w:pStyle w:val="16"/>
        <w:numPr>
          <w:ilvl w:val="0"/>
          <w:numId w:val="0"/>
        </w:numPr>
        <w:ind w:firstLine="640" w:firstLineChars="200"/>
        <w:jc w:val="left"/>
        <w:rPr>
          <w:rFonts w:hint="eastAsia"/>
        </w:rPr>
      </w:pPr>
      <w:r>
        <w:rPr>
          <w:rFonts w:hint="eastAsia"/>
        </w:rPr>
        <w:t>九、国有资本经营预算支出情况说明</w:t>
      </w:r>
    </w:p>
    <w:p>
      <w:pPr>
        <w:pStyle w:val="16"/>
        <w:numPr>
          <w:ilvl w:val="0"/>
          <w:numId w:val="0"/>
        </w:numPr>
        <w:ind w:firstLine="640" w:firstLineChars="200"/>
        <w:jc w:val="left"/>
      </w:pPr>
      <w:r>
        <w:rPr>
          <w:rFonts w:hint="eastAsia"/>
        </w:rPr>
        <w:t>十、其他重要事项情况说明</w:t>
      </w:r>
    </w:p>
    <w:p>
      <w:pPr>
        <w:pStyle w:val="16"/>
        <w:ind w:left="0" w:leftChars="0" w:firstLine="320" w:firstLineChars="100"/>
        <w:jc w:val="left"/>
      </w:pPr>
      <w:r>
        <w:t>第三部分</w:t>
      </w:r>
      <w:r>
        <w:rPr>
          <w:rFonts w:hint="eastAsia"/>
          <w:lang w:eastAsia="zh-CN"/>
        </w:rPr>
        <w:t>：</w:t>
      </w:r>
      <w:r>
        <w:rPr>
          <w:u w:color="auto"/>
        </w:rPr>
        <w:t>环江毛南族自治县第一初级中学2024</w:t>
      </w:r>
      <w:r>
        <w:rPr>
          <w:rFonts w:ascii="Times New Roman" w:hAnsi="Times New Roman" w:cs="Times New Roman"/>
          <w:u w:color="auto"/>
        </w:rPr>
        <w:t>年</w:t>
      </w:r>
      <w:r>
        <w:t>部门预算</w:t>
      </w:r>
      <w:r>
        <w:rPr>
          <w:rFonts w:hint="eastAsia"/>
          <w:lang w:val="en-US" w:eastAsia="zh-CN"/>
        </w:rPr>
        <w:t>相关报</w:t>
      </w:r>
      <w:r>
        <w:t>表</w:t>
      </w:r>
    </w:p>
    <w:p>
      <w:pPr>
        <w:pStyle w:val="16"/>
        <w:jc w:val="left"/>
        <w:rPr>
          <w:rFonts w:hint="eastAsia"/>
        </w:rPr>
      </w:pPr>
      <w:r>
        <w:rPr>
          <w:rFonts w:hint="eastAsia"/>
        </w:rPr>
        <w:t>一、部门收支总体情况表</w:t>
      </w:r>
    </w:p>
    <w:p>
      <w:pPr>
        <w:pStyle w:val="16"/>
        <w:jc w:val="left"/>
        <w:rPr>
          <w:rFonts w:hint="eastAsia"/>
        </w:rPr>
      </w:pPr>
      <w:r>
        <w:rPr>
          <w:rFonts w:hint="eastAsia"/>
        </w:rPr>
        <w:t>二、部门收入总体情况表</w:t>
      </w:r>
    </w:p>
    <w:p>
      <w:pPr>
        <w:pStyle w:val="16"/>
        <w:jc w:val="left"/>
        <w:rPr>
          <w:rFonts w:hint="eastAsia"/>
        </w:rPr>
      </w:pPr>
      <w:r>
        <w:rPr>
          <w:rFonts w:hint="eastAsia"/>
        </w:rPr>
        <w:t>三、部门支出总体情况表</w:t>
      </w:r>
    </w:p>
    <w:p>
      <w:pPr>
        <w:pStyle w:val="16"/>
        <w:jc w:val="left"/>
        <w:rPr>
          <w:rFonts w:hint="eastAsia"/>
        </w:rPr>
      </w:pPr>
      <w:r>
        <w:rPr>
          <w:rFonts w:hint="eastAsia"/>
        </w:rPr>
        <w:t>四、财政拨款收支总体情况表</w:t>
      </w:r>
    </w:p>
    <w:p>
      <w:pPr>
        <w:pStyle w:val="16"/>
        <w:jc w:val="left"/>
        <w:rPr>
          <w:rFonts w:hint="eastAsia"/>
        </w:rPr>
      </w:pPr>
      <w:r>
        <w:rPr>
          <w:rFonts w:hint="eastAsia"/>
        </w:rPr>
        <w:t>五、一般公共预算支出情况表</w:t>
      </w:r>
    </w:p>
    <w:p>
      <w:pPr>
        <w:pStyle w:val="16"/>
        <w:jc w:val="left"/>
        <w:rPr>
          <w:rFonts w:hint="eastAsia"/>
        </w:rPr>
      </w:pPr>
      <w:r>
        <w:rPr>
          <w:rFonts w:hint="eastAsia"/>
        </w:rPr>
        <w:t>六、一般公共预算基本支出情况表</w:t>
      </w:r>
    </w:p>
    <w:p>
      <w:pPr>
        <w:pStyle w:val="16"/>
        <w:jc w:val="left"/>
        <w:rPr>
          <w:rFonts w:hint="eastAsia"/>
        </w:rPr>
      </w:pPr>
      <w:r>
        <w:rPr>
          <w:rFonts w:hint="eastAsia"/>
        </w:rPr>
        <w:t>七、一般公共预算“三公”经费支出情况表</w:t>
      </w:r>
    </w:p>
    <w:p>
      <w:pPr>
        <w:pStyle w:val="16"/>
        <w:jc w:val="left"/>
        <w:rPr>
          <w:rFonts w:hint="eastAsia"/>
        </w:rPr>
      </w:pPr>
      <w:r>
        <w:rPr>
          <w:rFonts w:hint="eastAsia"/>
        </w:rPr>
        <w:t>八、政府性基金预算支出情况表</w:t>
      </w:r>
    </w:p>
    <w:p>
      <w:pPr>
        <w:pStyle w:val="16"/>
        <w:jc w:val="left"/>
        <w:rPr>
          <w:rFonts w:hint="eastAsia"/>
        </w:rPr>
      </w:pPr>
      <w:r>
        <w:rPr>
          <w:rFonts w:hint="eastAsia"/>
        </w:rPr>
        <w:t>九、国有资本经营预算支出情况表</w:t>
      </w:r>
    </w:p>
    <w:p>
      <w:pPr>
        <w:pStyle w:val="16"/>
        <w:jc w:val="left"/>
        <w:rPr>
          <w:rFonts w:hint="eastAsia" w:eastAsia="宋体"/>
          <w:lang w:eastAsia="zh-CN"/>
        </w:rPr>
      </w:pPr>
      <w:r>
        <w:rPr>
          <w:rFonts w:hint="eastAsia"/>
        </w:rPr>
        <w:t>十、2024年度预算项目绩效目标公开表</w:t>
      </w:r>
    </w:p>
    <w:p>
      <w:pPr>
        <w:pStyle w:val="16"/>
        <w:ind w:left="0" w:leftChars="0" w:firstLine="320" w:firstLineChars="100"/>
        <w:jc w:val="left"/>
        <w:rPr>
          <w:rFonts w:hint="eastAsia" w:eastAsia="宋体"/>
          <w:lang w:eastAsia="zh-CN"/>
        </w:rPr>
        <w:sectPr>
          <w:footerReference r:id="rId5" w:type="default"/>
          <w:pgSz w:w="11900" w:h="16840"/>
          <w:pgMar w:top="1508" w:right="1674" w:bottom="1508" w:left="1851" w:header="0" w:footer="1077" w:gutter="0"/>
          <w:pgBorders>
            <w:top w:val="none" w:sz="0" w:space="0"/>
            <w:left w:val="none" w:sz="0" w:space="0"/>
            <w:bottom w:val="none" w:sz="0" w:space="0"/>
            <w:right w:val="none" w:sz="0" w:space="0"/>
          </w:pgBorders>
          <w:pgNumType w:fmt="decimal"/>
          <w:cols w:space="720" w:num="1"/>
          <w:docGrid w:linePitch="360" w:charSpace="0"/>
        </w:sectPr>
      </w:pPr>
      <w:r>
        <w:t>第四部分</w:t>
      </w:r>
      <w:r>
        <w:rPr>
          <w:rFonts w:hint="eastAsia"/>
          <w:lang w:eastAsia="zh-CN"/>
        </w:rPr>
        <w:t>：</w:t>
      </w:r>
      <w:r>
        <w:t>名词</w:t>
      </w:r>
      <w:r>
        <w:rPr>
          <w:rFonts w:hint="eastAsia"/>
          <w:lang w:val="en-US" w:eastAsia="zh-CN"/>
        </w:rPr>
        <w:t>解释</w:t>
      </w:r>
    </w:p>
    <w:p>
      <w:pPr>
        <w:pStyle w:val="12"/>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4"/>
      <w:bookmarkStart w:id="4" w:name="bookmark13"/>
      <w:bookmarkStart w:id="5" w:name="bookmark12"/>
      <w:r>
        <w:rPr>
          <w:b/>
          <w:bCs/>
          <w:sz w:val="40"/>
          <w:szCs w:val="40"/>
        </w:rPr>
        <w:t>第一部分</w:t>
      </w:r>
      <w:r>
        <w:rPr>
          <w:rFonts w:hint="eastAsia"/>
          <w:b/>
          <w:bCs/>
          <w:sz w:val="40"/>
          <w:szCs w:val="40"/>
          <w:lang w:eastAsia="zh-CN"/>
        </w:rPr>
        <w:t>：</w:t>
      </w:r>
      <w:r>
        <w:rPr>
          <w:b/>
          <w:sz w:val="40"/>
          <w:u w:color="auto"/>
        </w:rPr>
        <w:t>环江毛南族自治县第一初级中学</w:t>
      </w:r>
      <w:r>
        <w:rPr>
          <w:b/>
          <w:bCs/>
          <w:sz w:val="40"/>
          <w:szCs w:val="40"/>
        </w:rPr>
        <w:t>概况</w:t>
      </w:r>
      <w:bookmarkEnd w:id="3"/>
      <w:bookmarkEnd w:id="4"/>
      <w:bookmarkEnd w:id="5"/>
    </w:p>
    <w:p>
      <w:pPr>
        <w:pStyle w:val="16"/>
        <w:spacing w:after="0" w:line="619" w:lineRule="exact"/>
        <w:ind w:firstLine="620"/>
        <w:jc w:val="left"/>
        <w:rPr>
          <w:b/>
          <w:bCs/>
        </w:rPr>
      </w:pPr>
      <w:r>
        <w:rPr>
          <w:rFonts w:hint="eastAsia"/>
          <w:b/>
          <w:bCs/>
          <w:lang w:val="en-US" w:eastAsia="zh-CN"/>
        </w:rPr>
        <w:t>一、</w:t>
      </w:r>
      <w:r>
        <w:rPr>
          <w:b/>
          <w:bCs/>
        </w:rPr>
        <w:t>主要职责</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（一）全面贯彻党和国家的教育方针、政策，贯彻实施国家有关教育的法律、法规和规章。坚持以德育为首，全面推进素质教育，培养全面发展的社会主义事业建设者和接班人。</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（二）研究拟定学校发展规划及年度计划，组织实施教育体制和办学体制等方面的改革。</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（三）负责指导学校做好招生和学籍管理工作，组织辖区内常住户籍所有符合入学条件的少年儿童实施就近免试入学，对已经入学新生，及时办理注册手续，使学生取得学籍。</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（四）负责管理和指导中学实施义务教育，促进基础教育发展，实施初中学历教育，全面推行素质教育，开发学生智力、培养学生能力。</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（五）规划和指导学校的教育教学工作，指导学校的德育、体育、艺术、劳动技术教育等工作。督促学校严格执行国家颁布的课程计划和课程标准。</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（六）对学校的管理、教学、教研等进行组织和督导，不断提高全镇学校的教育教学质量。</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（七）负责对学校的校舍建设、教职工队伍建设、人事、财务、校产、招生、安全、卫生等工作进行管理和指导。</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（八）负责指导学校党的建设和思想政治工作，规划和指导学校的精神文明建设工作；制定对全镇学校管理和考核的规章制度，加强教师队伍管理，指导学校对教职工管理和考核的相关业务。</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（九）指导学校开展好学校、家庭、社会三结合教育各项工作。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（十）对学校和教职工的其他相关指导和服务工作及社会服务工作。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（十一）指导学校认真搞好校产、经费的管理和使用工作，严格执行财务管理制度。</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（十二）承办上级各部门交办的其他事项。</w:t>
      </w:r>
    </w:p>
    <w:p>
      <w:pPr>
        <w:pStyle w:val="16"/>
        <w:spacing w:after="0" w:line="619" w:lineRule="exact"/>
        <w:ind w:firstLine="620"/>
        <w:jc w:val="left"/>
        <w:rPr>
          <w:rFonts w:hint="eastAsia"/>
          <w:b/>
          <w:bCs/>
          <w:lang w:val="en-US" w:eastAsia="zh-CN"/>
        </w:rPr>
      </w:pPr>
      <w:bookmarkStart w:id="6" w:name="bookmark24"/>
      <w:r>
        <w:rPr>
          <w:rFonts w:hint="eastAsia"/>
          <w:b/>
          <w:bCs/>
          <w:lang w:val="en-US" w:eastAsia="zh-CN"/>
        </w:rPr>
        <w:t>二</w:t>
      </w:r>
      <w:bookmarkEnd w:id="6"/>
      <w:r>
        <w:rPr>
          <w:rFonts w:hint="eastAsia"/>
          <w:b/>
          <w:bCs/>
          <w:lang w:val="en-US" w:eastAsia="zh-CN"/>
        </w:rPr>
        <w:t>、机构设置情况</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书记室：主持学校党支部的全面工作。具体抓党、团、少先队工会、教代会、教职员工的政治思想教育、政治理论学习分管扶贫等工作。协同校长对全校教职工进行考核和处理公共关系。指导学校工会与团委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校长室：主持学校行政全面工作。具体主管学校人事、经费、校园规划、基础设施建设规划、学校特色文化建设、教职工考核及对外联系等工作。指导财务室、校行政办工作。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副校长室：协助校长分管学校德育、安全、语言文字、综合治理、学校教育教学和教研工作以及相关迎检工作。具体负责学校德育常规管理、家校建设学校教官管理、校园安全保卫管理、负责班主任队伍建设、班主任绩效考评、学生文明卫生习惯养成教育、处理学生较大矛盾案件、德育工作计划。学校教学计划、教学教研管理、校园文化、课程设计、中考备考、百日动员大会、升学招生、中职送生、师生奖励方案；负责学校食堂管理、学校校园规划、基础设施建设、校园设施安全维护、学生住宿膳食、校园卫生、勤工俭学。</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行政办：处理学校行政日常事务。具体负责学校职称评定、岗位竞聘、语言文字办、教师个人档案管理、会议准备、会议记录、协调各处室开展工作、各种资料收集整理归档、对外宣传、校长室临时交办事务。</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教务处：具体负责教学常规管理、课程安排年级组、教研组、教材征订、各类考试、新生招生、学生体学复学、中考报名、教学计划、总结的撰写以及教师绩效评奖的核算及教师奖励、教育教学迎检。</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政教处：具体负学生安全教育、安全管理、疼情防控（学生）、年级组建设、班主任管理、网络预警安全网络文明教育、学校安全保卫、综合治理、法制、安全教育处理学生偶发事件、政教工作计划、总结的撰写、指导年级组工作、校园安全迎检工作。兼管七年级思想教育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教研处：具体负责教育教学研究、校刊创办教研活动管理，集体备课管理、校本课程、教辅资料管理学生作业管理、课程管理、教师科研管理（教学论文撰写教学案例撰写、课题研究、课赛活动）、教研资料的收集整理归档。教研工作计划、总结的撰写、教学数据分析、指导教研组、备课组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资助办：具体负责学生资助材料的统计与上报，资助办各种材料的收集、墓理与归档，留守儿童管理困难学生资助管理，残疾学生跟踪管理等</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总务处：具体负责后勤人员管理培训、学校设施安全管理（各种公用设施、校舍）、学校物资的采购及报账、学校物资管理、学校基建的管理、学校公用设施维修、学校建设项目的监督、校产管理及财务审计、监管学校代销店的经营、学校门面管理、总务处计划、总结的撰写。</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学校工会：负责学校工会和教代会的工作。服务学校发展、开好教代会、切实维护教职工的合法权益、参与学校管理、开展教工各种慰问活动、组织开展学校暖心活动</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学校团委：负责发展团员，组织开展团、队活动，协助政教处开展各种德育活动，组织学生会协助学校开展学校教育教学管理的检查、评比，学生各种礼仪培训、协助大型颁奖活动等工作。</w:t>
      </w:r>
    </w:p>
    <w:p>
      <w:pPr>
        <w:pStyle w:val="18"/>
        <w:spacing w:line="623" w:lineRule="exact"/>
        <w:ind w:firstLine="1018" w:firstLineChars="0"/>
        <w:jc w:val="left"/>
        <w:rPr>
          <w:rFonts w:hint="eastAsia"/>
          <w:highlight w:val="none"/>
          <w:lang w:val="en-US" w:eastAsia="zh-CN"/>
        </w:rPr>
      </w:pPr>
    </w:p>
    <w:p>
      <w:pPr>
        <w:pStyle w:val="18"/>
        <w:spacing w:line="623" w:lineRule="exact"/>
        <w:ind w:firstLine="1018" w:firstLineChars="0"/>
        <w:jc w:val="left"/>
        <w:rPr>
          <w:rFonts w:hint="eastAsia"/>
          <w:highlight w:val="none"/>
          <w:lang w:val="en-US" w:eastAsia="zh-CN"/>
        </w:rPr>
      </w:pPr>
    </w:p>
    <w:p>
      <w:r>
        <w:br w:type="page"/>
      </w:r>
    </w:p>
    <w:p>
      <w:pPr>
        <w:pStyle w:val="12"/>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70"/>
      <w:bookmarkStart w:id="8" w:name="bookmark69"/>
      <w:bookmarkStart w:id="9" w:name="bookmark68"/>
      <w:bookmarkStart w:id="10" w:name="bookmark28"/>
      <w:bookmarkStart w:id="11" w:name="bookmark27"/>
      <w:bookmarkStart w:id="12" w:name="bookmark26"/>
      <w:r>
        <w:rPr>
          <w:b/>
          <w:bCs/>
          <w:sz w:val="40"/>
          <w:szCs w:val="40"/>
        </w:rPr>
        <w:t>第</w:t>
      </w:r>
      <w:r>
        <w:rPr>
          <w:rFonts w:hint="eastAsia"/>
          <w:b/>
          <w:bCs/>
          <w:sz w:val="40"/>
          <w:szCs w:val="40"/>
          <w:lang w:val="en-US" w:eastAsia="zh-CN"/>
        </w:rPr>
        <w:t>二</w:t>
      </w:r>
      <w:r>
        <w:rPr>
          <w:b/>
          <w:bCs/>
          <w:sz w:val="40"/>
          <w:szCs w:val="40"/>
        </w:rPr>
        <w:t>部分</w:t>
      </w:r>
      <w:r>
        <w:rPr>
          <w:rFonts w:hint="eastAsia"/>
          <w:b/>
          <w:bCs/>
          <w:sz w:val="40"/>
          <w:szCs w:val="40"/>
          <w:lang w:eastAsia="zh-CN"/>
        </w:rPr>
        <w:t>：</w:t>
      </w:r>
      <w:bookmarkEnd w:id="7"/>
      <w:bookmarkEnd w:id="8"/>
      <w:bookmarkEnd w:id="9"/>
      <w:r>
        <w:rPr>
          <w:rFonts w:hint="eastAsia"/>
          <w:b/>
          <w:bCs/>
          <w:sz w:val="40"/>
          <w:szCs w:val="40"/>
          <w:lang w:eastAsia="zh-CN"/>
        </w:rPr>
        <w:t>环江毛南族自治县第一初级中学</w:t>
      </w:r>
      <w:r>
        <w:rPr>
          <w:b/>
          <w:sz w:val="40"/>
          <w:u w:color="auto"/>
        </w:rPr>
        <w:t>2024年部门预算情况说明</w:t>
      </w:r>
    </w:p>
    <w:p>
      <w:pPr>
        <w:pStyle w:val="16"/>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一</w:t>
      </w:r>
      <w:bookmarkEnd w:id="13"/>
      <w:r>
        <w:rPr>
          <w:rFonts w:hint="eastAsia"/>
          <w:b/>
          <w:bCs/>
          <w:lang w:val="en-US" w:eastAsia="zh-CN"/>
        </w:rPr>
        <w:t>、部门预算收支总体情况说明</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我部门总收入</w:t>
      </w:r>
      <w:r>
        <w:rPr>
          <w:rFonts w:hint="eastAsia"/>
          <w:sz w:val="28"/>
          <w:szCs w:val="28"/>
          <w:lang w:val="en-US" w:eastAsia="zh-CN"/>
        </w:rPr>
        <w:t>2042.72</w:t>
      </w:r>
      <w:r>
        <w:rPr>
          <w:rFonts w:hint="eastAsia"/>
          <w:b w:val="0"/>
          <w:bCs w:val="0"/>
          <w:sz w:val="28"/>
          <w:szCs w:val="28"/>
        </w:rPr>
        <w:t>万元，总支出</w:t>
      </w:r>
      <w:r>
        <w:rPr>
          <w:rFonts w:hint="eastAsia"/>
          <w:sz w:val="28"/>
          <w:szCs w:val="28"/>
          <w:lang w:val="en-US" w:eastAsia="zh-CN"/>
        </w:rPr>
        <w:t>2042.72</w:t>
      </w:r>
      <w:r>
        <w:rPr>
          <w:rFonts w:hint="eastAsia"/>
          <w:b w:val="0"/>
          <w:bCs w:val="0"/>
          <w:sz w:val="28"/>
          <w:szCs w:val="28"/>
        </w:rPr>
        <w:t>万元。总收入较2023年度预算数</w:t>
      </w:r>
      <w:r>
        <w:rPr>
          <w:rFonts w:hint="eastAsia"/>
          <w:sz w:val="28"/>
          <w:szCs w:val="28"/>
          <w:lang w:val="en-US" w:eastAsia="zh-CN"/>
        </w:rPr>
        <w:t>1771.53</w:t>
      </w:r>
      <w:r>
        <w:rPr>
          <w:rFonts w:hint="eastAsia"/>
          <w:b w:val="0"/>
          <w:bCs w:val="0"/>
          <w:sz w:val="28"/>
          <w:szCs w:val="28"/>
        </w:rPr>
        <w:t>万元，</w:t>
      </w:r>
      <w:r>
        <w:rPr>
          <w:rFonts w:hint="eastAsia"/>
          <w:sz w:val="28"/>
          <w:szCs w:val="28"/>
        </w:rPr>
        <w:t>增加271.19</w:t>
      </w:r>
      <w:r>
        <w:rPr>
          <w:rFonts w:hint="eastAsia"/>
          <w:b w:val="0"/>
          <w:bCs w:val="0"/>
          <w:sz w:val="28"/>
          <w:szCs w:val="28"/>
        </w:rPr>
        <w:t>万元，</w:t>
      </w:r>
      <w:r>
        <w:rPr>
          <w:rFonts w:hint="eastAsia"/>
          <w:sz w:val="28"/>
          <w:szCs w:val="28"/>
        </w:rPr>
        <w:t>增长15.31%</w:t>
      </w:r>
      <w:r>
        <w:rPr>
          <w:rFonts w:hint="eastAsia"/>
          <w:b w:val="0"/>
          <w:bCs w:val="0"/>
          <w:sz w:val="28"/>
          <w:szCs w:val="28"/>
        </w:rPr>
        <w:t>，主要原因是</w:t>
      </w:r>
      <w:r>
        <w:rPr>
          <w:rFonts w:hint="eastAsia"/>
          <w:highlight w:val="none"/>
          <w:lang w:val="en-US" w:eastAsia="zh-CN"/>
        </w:rPr>
        <w:t>人员增加，工资标准比上年度提高</w:t>
      </w:r>
      <w:r>
        <w:rPr>
          <w:rFonts w:hint="eastAsia"/>
          <w:b w:val="0"/>
          <w:bCs w:val="0"/>
          <w:sz w:val="28"/>
          <w:szCs w:val="28"/>
        </w:rPr>
        <w:t>。总支出较2023年度预算数</w:t>
      </w:r>
      <w:r>
        <w:rPr>
          <w:rFonts w:hint="eastAsia"/>
          <w:sz w:val="28"/>
          <w:szCs w:val="28"/>
          <w:lang w:val="en-US" w:eastAsia="zh-CN"/>
        </w:rPr>
        <w:t>1771.53</w:t>
      </w:r>
      <w:r>
        <w:rPr>
          <w:rFonts w:hint="eastAsia"/>
          <w:b w:val="0"/>
          <w:bCs w:val="0"/>
          <w:sz w:val="28"/>
          <w:szCs w:val="28"/>
        </w:rPr>
        <w:t>万元，</w:t>
      </w:r>
      <w:r>
        <w:rPr>
          <w:rFonts w:hint="eastAsia"/>
          <w:sz w:val="28"/>
          <w:szCs w:val="28"/>
        </w:rPr>
        <w:t>增加271.19</w:t>
      </w:r>
      <w:r>
        <w:rPr>
          <w:rFonts w:hint="eastAsia"/>
          <w:b w:val="0"/>
          <w:bCs w:val="0"/>
          <w:sz w:val="28"/>
          <w:szCs w:val="28"/>
        </w:rPr>
        <w:t>万元，</w:t>
      </w:r>
      <w:r>
        <w:rPr>
          <w:rFonts w:hint="eastAsia"/>
          <w:sz w:val="28"/>
          <w:szCs w:val="28"/>
        </w:rPr>
        <w:t>增长15.31%</w:t>
      </w:r>
      <w:r>
        <w:rPr>
          <w:rFonts w:hint="eastAsia"/>
          <w:b w:val="0"/>
          <w:bCs w:val="0"/>
          <w:sz w:val="28"/>
          <w:szCs w:val="28"/>
        </w:rPr>
        <w:t>，主要原因是</w:t>
      </w:r>
      <w:r>
        <w:rPr>
          <w:rFonts w:hint="eastAsia"/>
          <w:highlight w:val="none"/>
          <w:lang w:val="en-US" w:eastAsia="zh-CN"/>
        </w:rPr>
        <w:t>工资提高，五险一金缴费基数提高，费用支出增加</w:t>
      </w:r>
      <w:r>
        <w:rPr>
          <w:rFonts w:hint="eastAsia"/>
          <w:b w:val="0"/>
          <w:bCs w:val="0"/>
          <w:sz w:val="28"/>
          <w:szCs w:val="28"/>
        </w:rPr>
        <w:t>。</w:t>
      </w:r>
    </w:p>
    <w:p>
      <w:pPr>
        <w:pStyle w:val="16"/>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二、部门收入总体情况说明</w:t>
      </w:r>
    </w:p>
    <w:p>
      <w:pPr>
        <w:pStyle w:val="18"/>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2082"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u w:color="auto"/>
          <w:lang w:eastAsia="zh-CN"/>
        </w:rPr>
        <w:t>2024</w:t>
      </w:r>
      <w:r>
        <w:rPr>
          <w:rFonts w:hint="eastAsia" w:ascii="宋体" w:hAnsi="宋体" w:eastAsia="宋体" w:cs="宋体"/>
          <w:sz w:val="28"/>
          <w:szCs w:val="28"/>
          <w:u w:color="auto"/>
        </w:rPr>
        <w:t>年我部门总收入</w:t>
      </w:r>
      <w:r>
        <w:rPr>
          <w:rFonts w:hint="eastAsia" w:ascii="宋体" w:hAnsi="宋体" w:eastAsia="宋体" w:cs="宋体"/>
          <w:sz w:val="28"/>
          <w:szCs w:val="28"/>
          <w:lang w:val="en-US" w:eastAsia="zh-CN"/>
        </w:rPr>
        <w:t>2042.72</w:t>
      </w:r>
      <w:r>
        <w:rPr>
          <w:rFonts w:hint="eastAsia" w:ascii="宋体" w:hAnsi="宋体" w:eastAsia="宋体" w:cs="宋体"/>
          <w:sz w:val="28"/>
          <w:szCs w:val="28"/>
          <w:u w:color="auto"/>
        </w:rPr>
        <w:t>万元，较2023年度预算数</w:t>
      </w:r>
      <w:r>
        <w:rPr>
          <w:rFonts w:hint="eastAsia" w:ascii="宋体" w:hAnsi="宋体" w:eastAsia="宋体" w:cs="宋体"/>
          <w:sz w:val="28"/>
          <w:szCs w:val="28"/>
          <w:lang w:val="en-US" w:eastAsia="zh-CN"/>
        </w:rPr>
        <w:t>1771.53</w:t>
      </w:r>
      <w:r>
        <w:rPr>
          <w:rFonts w:hint="eastAsia" w:ascii="宋体" w:hAnsi="宋体" w:eastAsia="宋体" w:cs="宋体"/>
          <w:sz w:val="28"/>
          <w:szCs w:val="28"/>
          <w:u w:color="auto"/>
        </w:rPr>
        <w:t>万元，</w:t>
      </w:r>
      <w:r>
        <w:rPr>
          <w:rFonts w:hint="eastAsia" w:ascii="宋体" w:hAnsi="宋体" w:eastAsia="宋体" w:cs="宋体"/>
          <w:sz w:val="28"/>
          <w:szCs w:val="28"/>
        </w:rPr>
        <w:t>增加271.19</w:t>
      </w:r>
      <w:r>
        <w:rPr>
          <w:rFonts w:hint="eastAsia" w:ascii="宋体" w:hAnsi="宋体" w:eastAsia="宋体" w:cs="宋体"/>
          <w:sz w:val="28"/>
          <w:szCs w:val="28"/>
          <w:u w:color="auto"/>
        </w:rPr>
        <w:t>万元，</w:t>
      </w:r>
      <w:r>
        <w:rPr>
          <w:rFonts w:hint="eastAsia" w:ascii="宋体" w:hAnsi="宋体" w:eastAsia="宋体" w:cs="宋体"/>
          <w:sz w:val="28"/>
          <w:szCs w:val="28"/>
        </w:rPr>
        <w:t>增长15.31%</w:t>
      </w:r>
      <w:r>
        <w:rPr>
          <w:rFonts w:hint="eastAsia" w:ascii="宋体" w:hAnsi="宋体" w:eastAsia="宋体" w:cs="宋体"/>
          <w:sz w:val="28"/>
          <w:szCs w:val="28"/>
          <w:u w:color="auto"/>
        </w:rPr>
        <w:t>，主要原因是</w:t>
      </w:r>
      <w:r>
        <w:rPr>
          <w:rFonts w:hint="eastAsia"/>
          <w:highlight w:val="none"/>
          <w:lang w:val="en-US" w:eastAsia="zh-CN"/>
        </w:rPr>
        <w:t>人员增加，工资标准比上年度提高</w:t>
      </w:r>
      <w:r>
        <w:rPr>
          <w:rFonts w:hint="eastAsia" w:ascii="宋体" w:hAnsi="宋体" w:eastAsia="宋体" w:cs="宋体"/>
          <w:sz w:val="28"/>
          <w:szCs w:val="28"/>
          <w:u w:color="auto"/>
        </w:rPr>
        <w:t>。</w:t>
      </w:r>
    </w:p>
    <w:p>
      <w:pPr>
        <w:pStyle w:val="16"/>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三、部门支出总体情况说明</w:t>
      </w:r>
    </w:p>
    <w:p>
      <w:pPr>
        <w:pStyle w:val="18"/>
        <w:spacing w:line="240" w:lineRule="auto"/>
        <w:ind w:firstLine="0"/>
        <w:jc w:val="left"/>
        <w:rPr>
          <w:rFonts w:ascii="Times New Roman" w:hAnsi="Times New Roman" w:eastAsia="Times New Roman" w:cs="Times New Roman"/>
          <w:sz w:val="30"/>
          <w:szCs w:val="30"/>
        </w:rPr>
      </w:pPr>
      <w:r>
        <w:rPr>
          <w:rFonts w:ascii="Times New Roman" w:hAnsi="Times New Roman" w:eastAsia="Times New Roman" w:cs="Times New Roman"/>
          <w:sz w:val="30"/>
          <w:szCs w:val="30"/>
        </w:rPr>
        <w:drawing>
          <wp:inline distT="0" distB="0" distL="114300" distR="114300">
            <wp:extent cx="5080000" cy="3810000"/>
            <wp:effectExtent l="4445" t="4445" r="20955" b="14605"/>
            <wp:docPr id="2083"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2024</w:t>
      </w:r>
      <w:r>
        <w:rPr>
          <w:rFonts w:ascii="宋体" w:hAnsi="宋体" w:eastAsia="宋体" w:cs="宋体"/>
          <w:sz w:val="28"/>
          <w:u w:color="auto"/>
        </w:rPr>
        <w:t>年我部门总支出</w:t>
      </w:r>
      <w:r>
        <w:rPr>
          <w:rFonts w:hint="eastAsia" w:ascii="宋体" w:hAnsi="宋体" w:eastAsia="宋体" w:cs="宋体"/>
          <w:sz w:val="28"/>
          <w:szCs w:val="28"/>
          <w:lang w:val="en-US" w:eastAsia="zh-CN"/>
        </w:rPr>
        <w:t>2042.72</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1771.53</w:t>
      </w:r>
      <w:r>
        <w:rPr>
          <w:rFonts w:hint="eastAsia" w:ascii="宋体" w:hAnsi="宋体" w:eastAsia="宋体" w:cs="宋体"/>
          <w:sz w:val="28"/>
          <w:szCs w:val="28"/>
          <w:lang w:eastAsia="zh-CN"/>
        </w:rPr>
        <w:t>万元，</w:t>
      </w:r>
      <w:r>
        <w:rPr>
          <w:rFonts w:hint="eastAsia" w:ascii="宋体" w:hAnsi="宋体" w:eastAsia="宋体" w:cs="宋体"/>
          <w:sz w:val="28"/>
          <w:szCs w:val="28"/>
        </w:rPr>
        <w:t>增加271.19</w:t>
      </w:r>
      <w:r>
        <w:rPr>
          <w:rFonts w:hint="eastAsia" w:ascii="宋体" w:hAnsi="宋体" w:eastAsia="宋体" w:cs="宋体"/>
          <w:sz w:val="28"/>
          <w:szCs w:val="28"/>
          <w:lang w:eastAsia="zh-CN"/>
        </w:rPr>
        <w:t>万元，</w:t>
      </w:r>
      <w:r>
        <w:rPr>
          <w:rFonts w:hint="eastAsia" w:ascii="宋体" w:hAnsi="宋体" w:eastAsia="宋体" w:cs="宋体"/>
          <w:sz w:val="28"/>
          <w:szCs w:val="28"/>
        </w:rPr>
        <w:t>增长15.31%</w:t>
      </w:r>
      <w:r>
        <w:rPr>
          <w:rFonts w:hint="eastAsia" w:ascii="宋体" w:hAnsi="宋体" w:eastAsia="宋体" w:cs="宋体"/>
          <w:sz w:val="28"/>
          <w:szCs w:val="28"/>
          <w:lang w:eastAsia="zh-CN"/>
        </w:rPr>
        <w:t>，主要原因是</w:t>
      </w:r>
      <w:r>
        <w:rPr>
          <w:rFonts w:hint="eastAsia" w:ascii="宋体" w:hAnsi="宋体" w:eastAsia="宋体" w:cs="宋体"/>
          <w:sz w:val="28"/>
          <w:szCs w:val="28"/>
          <w:highlight w:val="none"/>
          <w:lang w:val="en-US" w:eastAsia="zh-CN"/>
        </w:rPr>
        <w:t>工资标准较上年度提高，五险一金缴费基数增加，缴费增多</w:t>
      </w:r>
      <w:r>
        <w:rPr>
          <w:rFonts w:hint="eastAsia" w:ascii="宋体" w:hAnsi="宋体" w:eastAsia="宋体" w:cs="宋体"/>
          <w:sz w:val="28"/>
          <w:szCs w:val="28"/>
          <w:lang w:eastAsia="zh-CN"/>
        </w:rPr>
        <w:t>。主要包括：</w:t>
      </w:r>
      <w:r>
        <w:rPr>
          <w:rFonts w:hint="eastAsia" w:ascii="宋体" w:hAnsi="宋体" w:eastAsia="宋体" w:cs="宋体"/>
          <w:sz w:val="28"/>
          <w:szCs w:val="28"/>
          <w:highlight w:val="none"/>
          <w:lang w:val="en-US" w:eastAsia="zh-CN"/>
        </w:rPr>
        <w:t>工资标准较上年度提高，五险一金缴费基数增加，缴费增多</w:t>
      </w:r>
      <w:r>
        <w:rPr>
          <w:rFonts w:hint="eastAsia" w:ascii="宋体" w:hAnsi="宋体" w:eastAsia="宋体" w:cs="宋体"/>
          <w:sz w:val="28"/>
          <w:szCs w:val="28"/>
          <w:lang w:eastAsia="zh-CN"/>
        </w:rPr>
        <w:t>。</w:t>
      </w:r>
    </w:p>
    <w:p>
      <w:pPr>
        <w:pStyle w:val="18"/>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hint="eastAsia" w:ascii="宋体" w:hAnsi="宋体" w:eastAsia="宋体" w:cs="宋体"/>
          <w:sz w:val="28"/>
          <w:szCs w:val="28"/>
        </w:rPr>
      </w:pPr>
      <w:r>
        <w:rPr>
          <w:rFonts w:hint="eastAsia" w:ascii="宋体" w:hAnsi="宋体" w:eastAsia="宋体" w:cs="宋体"/>
          <w:sz w:val="28"/>
          <w:szCs w:val="28"/>
        </w:rPr>
        <w:t>（一）按支出功能分类科目划分，共分为</w:t>
      </w:r>
      <w:r>
        <w:rPr>
          <w:rFonts w:hint="eastAsia" w:ascii="宋体" w:hAnsi="宋体" w:eastAsia="宋体" w:cs="宋体"/>
          <w:sz w:val="28"/>
          <w:szCs w:val="28"/>
          <w:lang w:val="en-US" w:eastAsia="zh-CN"/>
        </w:rPr>
        <w:t>4</w:t>
      </w:r>
      <w:r>
        <w:rPr>
          <w:rFonts w:hint="eastAsia" w:ascii="宋体" w:hAnsi="宋体" w:eastAsia="宋体" w:cs="宋体"/>
          <w:sz w:val="28"/>
          <w:szCs w:val="28"/>
        </w:rPr>
        <w:t>类，其中:</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u w:color="auto"/>
        </w:rPr>
        <w:t>1)教育支出</w:t>
      </w:r>
      <w:r>
        <w:rPr>
          <w:rFonts w:hint="eastAsia" w:ascii="宋体" w:hAnsi="宋体" w:eastAsia="宋体" w:cs="宋体"/>
          <w:sz w:val="28"/>
          <w:szCs w:val="28"/>
          <w:lang w:val="en-US" w:eastAsia="zh-CN"/>
        </w:rPr>
        <w:t>1631.39</w:t>
      </w:r>
      <w:r>
        <w:rPr>
          <w:rFonts w:hint="eastAsia" w:ascii="宋体" w:hAnsi="宋体" w:eastAsia="宋体" w:cs="宋体"/>
          <w:sz w:val="28"/>
          <w:szCs w:val="28"/>
        </w:rPr>
        <w:t>万元，占支出总预算</w:t>
      </w:r>
      <w:r>
        <w:rPr>
          <w:rFonts w:hint="eastAsia" w:ascii="宋体" w:hAnsi="宋体" w:eastAsia="宋体" w:cs="宋体"/>
          <w:sz w:val="28"/>
          <w:szCs w:val="28"/>
          <w:lang w:val="en-US" w:eastAsia="zh-CN"/>
        </w:rPr>
        <w:t>79.86%</w:t>
      </w:r>
      <w:r>
        <w:rPr>
          <w:rFonts w:hint="eastAsia" w:ascii="宋体" w:hAnsi="宋体" w:eastAsia="宋体" w:cs="宋体"/>
          <w:sz w:val="28"/>
          <w:szCs w:val="28"/>
        </w:rPr>
        <w:t>,比上年</w:t>
      </w:r>
      <w:r>
        <w:rPr>
          <w:rFonts w:hint="eastAsia" w:ascii="宋体" w:hAnsi="宋体" w:eastAsia="宋体" w:cs="宋体"/>
          <w:sz w:val="28"/>
          <w:szCs w:val="28"/>
          <w:lang w:val="en-US" w:eastAsia="zh-CN"/>
        </w:rPr>
        <w:t>增长240.29</w:t>
      </w:r>
      <w:r>
        <w:rPr>
          <w:rFonts w:hint="eastAsia" w:ascii="宋体" w:hAnsi="宋体" w:eastAsia="宋体" w:cs="宋体"/>
          <w:sz w:val="28"/>
          <w:szCs w:val="28"/>
        </w:rPr>
        <w:t>万元，</w:t>
      </w:r>
      <w:r>
        <w:rPr>
          <w:rFonts w:hint="eastAsia" w:ascii="宋体" w:hAnsi="宋体" w:eastAsia="宋体" w:cs="宋体"/>
          <w:sz w:val="28"/>
          <w:szCs w:val="28"/>
          <w:lang w:val="en-US" w:eastAsia="zh-CN"/>
        </w:rPr>
        <w:t>增长17.27%</w:t>
      </w:r>
      <w:r>
        <w:rPr>
          <w:rFonts w:hint="eastAsia" w:ascii="宋体" w:hAnsi="宋体" w:eastAsia="宋体" w:cs="宋体"/>
          <w:sz w:val="28"/>
          <w:szCs w:val="28"/>
        </w:rPr>
        <w:t>,</w:t>
      </w:r>
      <w:r>
        <w:rPr>
          <w:rFonts w:hint="eastAsia" w:ascii="宋体" w:hAnsi="宋体" w:eastAsia="宋体" w:cs="宋体"/>
          <w:sz w:val="28"/>
          <w:szCs w:val="28"/>
          <w:highlight w:val="none"/>
        </w:rPr>
        <w:t>主要原因是：</w:t>
      </w:r>
      <w:r>
        <w:rPr>
          <w:rFonts w:hint="eastAsia" w:ascii="宋体" w:hAnsi="宋体" w:eastAsia="宋体" w:cs="宋体"/>
          <w:sz w:val="28"/>
          <w:szCs w:val="28"/>
          <w:highlight w:val="none"/>
          <w:lang w:val="en-US" w:eastAsia="zh-CN"/>
        </w:rPr>
        <w:t>工资标准较上年度提高，五险一金缴费基数增加，缴费增多</w:t>
      </w:r>
      <w:r>
        <w:rPr>
          <w:rFonts w:hint="eastAsia" w:ascii="宋体" w:hAnsi="宋体" w:eastAsia="宋体" w:cs="宋体"/>
          <w:sz w:val="28"/>
          <w:szCs w:val="28"/>
          <w:highlight w:val="none"/>
        </w:rPr>
        <w:t>。</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u w:color="auto"/>
        </w:rPr>
        <w:t>2)社会保障和就业支出</w:t>
      </w:r>
      <w:r>
        <w:rPr>
          <w:rFonts w:hint="eastAsia" w:ascii="宋体" w:hAnsi="宋体" w:eastAsia="宋体" w:cs="宋体"/>
          <w:sz w:val="28"/>
          <w:szCs w:val="28"/>
          <w:lang w:val="en-US" w:eastAsia="zh-CN"/>
        </w:rPr>
        <w:t>209.92</w:t>
      </w:r>
      <w:r>
        <w:rPr>
          <w:rFonts w:hint="eastAsia" w:ascii="宋体" w:hAnsi="宋体" w:eastAsia="宋体" w:cs="宋体"/>
          <w:sz w:val="28"/>
          <w:szCs w:val="28"/>
        </w:rPr>
        <w:t>万元，占支出总预算</w:t>
      </w:r>
      <w:r>
        <w:rPr>
          <w:rFonts w:hint="eastAsia" w:ascii="宋体" w:hAnsi="宋体" w:eastAsia="宋体" w:cs="宋体"/>
          <w:sz w:val="28"/>
          <w:szCs w:val="28"/>
          <w:lang w:val="en-US" w:eastAsia="zh-CN"/>
        </w:rPr>
        <w:t>10.28%</w:t>
      </w:r>
      <w:r>
        <w:rPr>
          <w:rFonts w:hint="eastAsia" w:ascii="宋体" w:hAnsi="宋体" w:eastAsia="宋体" w:cs="宋体"/>
          <w:sz w:val="28"/>
          <w:szCs w:val="28"/>
        </w:rPr>
        <w:t>,比上年</w:t>
      </w:r>
      <w:r>
        <w:rPr>
          <w:rFonts w:hint="eastAsia" w:ascii="宋体" w:hAnsi="宋体" w:eastAsia="宋体" w:cs="宋体"/>
          <w:sz w:val="28"/>
          <w:szCs w:val="28"/>
          <w:lang w:val="en-US" w:eastAsia="zh-CN"/>
        </w:rPr>
        <w:t>增长6.50</w:t>
      </w:r>
      <w:r>
        <w:rPr>
          <w:rFonts w:hint="eastAsia" w:ascii="宋体" w:hAnsi="宋体" w:eastAsia="宋体" w:cs="宋体"/>
          <w:sz w:val="28"/>
          <w:szCs w:val="28"/>
        </w:rPr>
        <w:t>万元，</w:t>
      </w:r>
      <w:r>
        <w:rPr>
          <w:rFonts w:hint="eastAsia" w:ascii="宋体" w:hAnsi="宋体" w:eastAsia="宋体" w:cs="宋体"/>
          <w:sz w:val="28"/>
          <w:szCs w:val="28"/>
          <w:lang w:val="en-US" w:eastAsia="zh-CN"/>
        </w:rPr>
        <w:t>增长3.20%</w:t>
      </w:r>
      <w:r>
        <w:rPr>
          <w:rFonts w:hint="eastAsia" w:ascii="宋体" w:hAnsi="宋体" w:eastAsia="宋体" w:cs="宋体"/>
          <w:sz w:val="28"/>
          <w:szCs w:val="28"/>
        </w:rPr>
        <w:t>,</w:t>
      </w:r>
      <w:r>
        <w:rPr>
          <w:rFonts w:hint="eastAsia" w:ascii="宋体" w:hAnsi="宋体" w:eastAsia="宋体" w:cs="宋体"/>
          <w:sz w:val="28"/>
          <w:szCs w:val="28"/>
          <w:highlight w:val="none"/>
        </w:rPr>
        <w:t>主要原因是：</w:t>
      </w:r>
      <w:r>
        <w:rPr>
          <w:rFonts w:hint="eastAsia" w:ascii="宋体" w:hAnsi="宋体" w:eastAsia="宋体" w:cs="宋体"/>
          <w:sz w:val="28"/>
          <w:szCs w:val="28"/>
          <w:highlight w:val="none"/>
          <w:lang w:val="en-US" w:eastAsia="zh-CN"/>
        </w:rPr>
        <w:t>工资标准较上年度提高，五险一金缴费基数增加，缴费增多</w:t>
      </w:r>
      <w:r>
        <w:rPr>
          <w:rFonts w:hint="eastAsia" w:ascii="宋体" w:hAnsi="宋体" w:eastAsia="宋体" w:cs="宋体"/>
          <w:sz w:val="28"/>
          <w:szCs w:val="28"/>
          <w:highlight w:val="none"/>
        </w:rPr>
        <w:t>。</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u w:color="auto"/>
        </w:rPr>
        <w:t>3)一般公共服务支出</w:t>
      </w:r>
      <w:r>
        <w:rPr>
          <w:rFonts w:hint="eastAsia" w:ascii="宋体" w:hAnsi="宋体" w:eastAsia="宋体" w:cs="宋体"/>
          <w:sz w:val="28"/>
          <w:szCs w:val="28"/>
          <w:lang w:val="en-US" w:eastAsia="zh-CN"/>
        </w:rPr>
        <w:t>26.24</w:t>
      </w:r>
      <w:r>
        <w:rPr>
          <w:rFonts w:hint="eastAsia" w:ascii="宋体" w:hAnsi="宋体" w:eastAsia="宋体" w:cs="宋体"/>
          <w:sz w:val="28"/>
          <w:szCs w:val="28"/>
        </w:rPr>
        <w:t>万元，占支出总预算</w:t>
      </w:r>
      <w:r>
        <w:rPr>
          <w:rFonts w:hint="eastAsia" w:ascii="宋体" w:hAnsi="宋体" w:eastAsia="宋体" w:cs="宋体"/>
          <w:sz w:val="28"/>
          <w:szCs w:val="28"/>
          <w:lang w:val="en-US" w:eastAsia="zh-CN"/>
        </w:rPr>
        <w:t>1.28%</w:t>
      </w:r>
      <w:r>
        <w:rPr>
          <w:rFonts w:hint="eastAsia" w:ascii="宋体" w:hAnsi="宋体" w:eastAsia="宋体" w:cs="宋体"/>
          <w:sz w:val="28"/>
          <w:szCs w:val="28"/>
        </w:rPr>
        <w:t>,比上年</w:t>
      </w:r>
      <w:r>
        <w:rPr>
          <w:rFonts w:hint="eastAsia" w:ascii="宋体" w:hAnsi="宋体" w:eastAsia="宋体" w:cs="宋体"/>
          <w:sz w:val="28"/>
          <w:szCs w:val="28"/>
          <w:lang w:val="en-US" w:eastAsia="zh-CN"/>
        </w:rPr>
        <w:t>增长1.79</w:t>
      </w:r>
      <w:r>
        <w:rPr>
          <w:rFonts w:hint="eastAsia" w:ascii="宋体" w:hAnsi="宋体" w:eastAsia="宋体" w:cs="宋体"/>
          <w:sz w:val="28"/>
          <w:szCs w:val="28"/>
        </w:rPr>
        <w:t>万元，</w:t>
      </w:r>
      <w:r>
        <w:rPr>
          <w:rFonts w:hint="eastAsia" w:ascii="宋体" w:hAnsi="宋体" w:eastAsia="宋体" w:cs="宋体"/>
          <w:sz w:val="28"/>
          <w:szCs w:val="28"/>
          <w:lang w:val="en-US" w:eastAsia="zh-CN"/>
        </w:rPr>
        <w:t>增长7.32%</w:t>
      </w:r>
      <w:r>
        <w:rPr>
          <w:rFonts w:hint="eastAsia" w:ascii="宋体" w:hAnsi="宋体" w:eastAsia="宋体" w:cs="宋体"/>
          <w:sz w:val="28"/>
          <w:szCs w:val="28"/>
        </w:rPr>
        <w:t>,</w:t>
      </w:r>
      <w:r>
        <w:rPr>
          <w:rFonts w:hint="eastAsia" w:ascii="宋体" w:hAnsi="宋体" w:eastAsia="宋体" w:cs="宋体"/>
          <w:sz w:val="28"/>
          <w:szCs w:val="28"/>
          <w:highlight w:val="none"/>
        </w:rPr>
        <w:t>主要原因是：</w:t>
      </w:r>
      <w:r>
        <w:rPr>
          <w:rFonts w:hint="eastAsia" w:ascii="宋体" w:hAnsi="宋体" w:eastAsia="宋体" w:cs="宋体"/>
          <w:sz w:val="28"/>
          <w:szCs w:val="28"/>
          <w:highlight w:val="none"/>
          <w:lang w:val="en-US" w:eastAsia="zh-CN"/>
        </w:rPr>
        <w:t>工资标准较上年度提高，五险一金缴费基数增加，缴费增多</w:t>
      </w:r>
      <w:r>
        <w:rPr>
          <w:rFonts w:hint="eastAsia" w:ascii="宋体" w:hAnsi="宋体" w:eastAsia="宋体" w:cs="宋体"/>
          <w:sz w:val="28"/>
          <w:szCs w:val="28"/>
          <w:highlight w:val="none"/>
        </w:rPr>
        <w:t>。</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u w:color="auto"/>
        </w:rPr>
        <w:t>4)住房保障支出</w:t>
      </w:r>
      <w:r>
        <w:rPr>
          <w:rFonts w:hint="eastAsia" w:ascii="宋体" w:hAnsi="宋体" w:eastAsia="宋体" w:cs="宋体"/>
          <w:sz w:val="28"/>
          <w:szCs w:val="28"/>
          <w:lang w:val="en-US" w:eastAsia="zh-CN"/>
        </w:rPr>
        <w:t>175.17</w:t>
      </w:r>
      <w:r>
        <w:rPr>
          <w:rFonts w:hint="eastAsia" w:ascii="宋体" w:hAnsi="宋体" w:eastAsia="宋体" w:cs="宋体"/>
          <w:sz w:val="28"/>
          <w:szCs w:val="28"/>
        </w:rPr>
        <w:t>万元，占支出总预算</w:t>
      </w:r>
      <w:r>
        <w:rPr>
          <w:rFonts w:hint="eastAsia" w:ascii="宋体" w:hAnsi="宋体" w:eastAsia="宋体" w:cs="宋体"/>
          <w:sz w:val="28"/>
          <w:szCs w:val="28"/>
          <w:lang w:val="en-US" w:eastAsia="zh-CN"/>
        </w:rPr>
        <w:t>8.58%</w:t>
      </w:r>
      <w:r>
        <w:rPr>
          <w:rFonts w:hint="eastAsia" w:ascii="宋体" w:hAnsi="宋体" w:eastAsia="宋体" w:cs="宋体"/>
          <w:sz w:val="28"/>
          <w:szCs w:val="28"/>
        </w:rPr>
        <w:t>,比上年</w:t>
      </w:r>
      <w:r>
        <w:rPr>
          <w:rFonts w:hint="eastAsia" w:ascii="宋体" w:hAnsi="宋体" w:eastAsia="宋体" w:cs="宋体"/>
          <w:sz w:val="28"/>
          <w:szCs w:val="28"/>
          <w:lang w:val="en-US" w:eastAsia="zh-CN"/>
        </w:rPr>
        <w:t>增长22.61</w:t>
      </w:r>
      <w:r>
        <w:rPr>
          <w:rFonts w:hint="eastAsia" w:ascii="宋体" w:hAnsi="宋体" w:eastAsia="宋体" w:cs="宋体"/>
          <w:sz w:val="28"/>
          <w:szCs w:val="28"/>
        </w:rPr>
        <w:t>万元，</w:t>
      </w:r>
      <w:r>
        <w:rPr>
          <w:rFonts w:hint="eastAsia" w:ascii="宋体" w:hAnsi="宋体" w:eastAsia="宋体" w:cs="宋体"/>
          <w:sz w:val="28"/>
          <w:szCs w:val="28"/>
          <w:lang w:val="en-US" w:eastAsia="zh-CN"/>
        </w:rPr>
        <w:t>增长14.82%</w:t>
      </w:r>
      <w:r>
        <w:rPr>
          <w:rFonts w:hint="eastAsia" w:ascii="宋体" w:hAnsi="宋体" w:eastAsia="宋体" w:cs="宋体"/>
          <w:sz w:val="28"/>
          <w:szCs w:val="28"/>
        </w:rPr>
        <w:t>,</w:t>
      </w:r>
      <w:r>
        <w:rPr>
          <w:rFonts w:hint="eastAsia" w:ascii="宋体" w:hAnsi="宋体" w:eastAsia="宋体" w:cs="宋体"/>
          <w:sz w:val="28"/>
          <w:szCs w:val="28"/>
          <w:highlight w:val="none"/>
        </w:rPr>
        <w:t>主要原因是：</w:t>
      </w:r>
      <w:r>
        <w:rPr>
          <w:rFonts w:hint="eastAsia" w:ascii="宋体" w:hAnsi="宋体" w:eastAsia="宋体" w:cs="宋体"/>
          <w:sz w:val="28"/>
          <w:szCs w:val="28"/>
          <w:highlight w:val="none"/>
          <w:lang w:val="en-US" w:eastAsia="zh-CN"/>
        </w:rPr>
        <w:t>工资标准较上年度提高，公积金缴费基数增加，缴费增多</w:t>
      </w:r>
      <w:r>
        <w:rPr>
          <w:rFonts w:hint="eastAsia" w:ascii="宋体" w:hAnsi="宋体" w:eastAsia="宋体" w:cs="宋体"/>
          <w:sz w:val="28"/>
          <w:szCs w:val="28"/>
          <w:highlight w:val="none"/>
        </w:rPr>
        <w:t>。</w:t>
      </w:r>
    </w:p>
    <w:p>
      <w:pPr>
        <w:pStyle w:val="18"/>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hint="eastAsia" w:ascii="宋体" w:hAnsi="宋体" w:eastAsia="宋体" w:cs="宋体"/>
          <w:sz w:val="28"/>
          <w:szCs w:val="28"/>
        </w:rPr>
      </w:pPr>
      <w:r>
        <w:rPr>
          <w:rFonts w:hint="eastAsia" w:ascii="宋体" w:hAnsi="宋体" w:eastAsia="宋体" w:cs="宋体"/>
          <w:sz w:val="28"/>
          <w:szCs w:val="28"/>
        </w:rPr>
        <w:t>(二)按支出结构分类划分，分为基本支出预算和项目支出预算。</w:t>
      </w:r>
    </w:p>
    <w:p>
      <w:pPr>
        <w:pStyle w:val="18"/>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基本支出预算。</w:t>
      </w:r>
    </w:p>
    <w:p>
      <w:pPr>
        <w:pStyle w:val="18"/>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基本支出预算</w:t>
      </w:r>
      <w:r>
        <w:rPr>
          <w:rFonts w:hint="eastAsia" w:ascii="宋体" w:hAnsi="宋体" w:eastAsia="宋体" w:cs="宋体"/>
          <w:sz w:val="28"/>
          <w:szCs w:val="28"/>
          <w:lang w:val="en-US" w:eastAsia="zh-CN"/>
        </w:rPr>
        <w:t>1864.16</w:t>
      </w:r>
      <w:r>
        <w:rPr>
          <w:rFonts w:hint="eastAsia" w:ascii="宋体" w:hAnsi="宋体" w:eastAsia="宋体" w:cs="宋体"/>
          <w:sz w:val="28"/>
          <w:szCs w:val="28"/>
        </w:rPr>
        <w:t>万元，占支出预算</w:t>
      </w:r>
      <w:r>
        <w:rPr>
          <w:rFonts w:ascii="宋体" w:hAnsi="宋体" w:eastAsia="宋体" w:cs="宋体"/>
          <w:sz w:val="28"/>
          <w:u w:color="auto"/>
        </w:rPr>
        <w:t>91.26%,比上年增长288.00万元，增长18.27%</w:t>
      </w:r>
      <w:r>
        <w:rPr>
          <w:rFonts w:hint="eastAsia" w:ascii="宋体" w:hAnsi="宋体" w:eastAsia="宋体" w:cs="宋体"/>
          <w:sz w:val="28"/>
          <w:szCs w:val="28"/>
        </w:rPr>
        <w:t>。</w:t>
      </w:r>
      <w:r>
        <w:rPr>
          <w:rFonts w:hint="eastAsia" w:ascii="宋体" w:hAnsi="宋体" w:eastAsia="宋体" w:cs="宋体"/>
          <w:sz w:val="28"/>
          <w:szCs w:val="28"/>
          <w:lang w:val="en-US" w:eastAsia="zh-CN"/>
        </w:rPr>
        <w:t>其中：</w:t>
      </w:r>
    </w:p>
    <w:p>
      <w:pPr>
        <w:pStyle w:val="3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w:t>
      </w:r>
      <w:r>
        <w:rPr>
          <w:rFonts w:ascii="宋体" w:hAnsi="宋体" w:eastAsia="宋体" w:cs="宋体"/>
          <w:sz w:val="28"/>
          <w:u w:color="auto"/>
        </w:rPr>
        <w:t>1)工资福利支出</w:t>
      </w:r>
      <w:r>
        <w:rPr>
          <w:rFonts w:hint="eastAsia" w:ascii="宋体" w:hAnsi="宋体" w:eastAsia="宋体" w:cs="宋体"/>
          <w:sz w:val="28"/>
          <w:szCs w:val="28"/>
          <w:lang w:val="en-US" w:eastAsia="zh-CN"/>
        </w:rPr>
        <w:t>1778.48</w:t>
      </w:r>
      <w:r>
        <w:rPr>
          <w:rFonts w:hint="eastAsia" w:ascii="宋体" w:hAnsi="宋体" w:eastAsia="宋体" w:cs="宋体"/>
          <w:sz w:val="28"/>
          <w:szCs w:val="28"/>
        </w:rPr>
        <w:t>万元，占基本支出总预算</w:t>
      </w:r>
      <w:r>
        <w:rPr>
          <w:rFonts w:hint="eastAsia" w:ascii="宋体" w:hAnsi="宋体" w:eastAsia="宋体" w:cs="宋体"/>
          <w:sz w:val="28"/>
          <w:szCs w:val="28"/>
          <w:lang w:val="en-US" w:eastAsia="zh-CN"/>
        </w:rPr>
        <w:t>95.40%</w:t>
      </w:r>
      <w:r>
        <w:rPr>
          <w:rFonts w:hint="eastAsia" w:ascii="宋体" w:hAnsi="宋体" w:eastAsia="宋体" w:cs="宋体"/>
          <w:sz w:val="28"/>
          <w:szCs w:val="28"/>
        </w:rPr>
        <w:t>,比上年</w:t>
      </w:r>
      <w:r>
        <w:rPr>
          <w:rFonts w:ascii="宋体" w:hAnsi="宋体" w:eastAsia="宋体" w:cs="宋体"/>
          <w:sz w:val="28"/>
          <w:u w:color="auto"/>
        </w:rPr>
        <w:t>增长263.11万元，增长17.36%,主要原因是：工资标准较上年度提高，绩效工资提高</w:t>
      </w:r>
      <w:r>
        <w:rPr>
          <w:rFonts w:hint="eastAsia" w:ascii="宋体" w:hAnsi="宋体" w:eastAsia="宋体" w:cs="宋体"/>
          <w:sz w:val="28"/>
          <w:szCs w:val="28"/>
          <w:lang w:val="en-US" w:eastAsia="zh-CN"/>
        </w:rPr>
        <w:t>。</w:t>
      </w:r>
    </w:p>
    <w:p>
      <w:pPr>
        <w:pStyle w:val="3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w:t>
      </w:r>
      <w:r>
        <w:rPr>
          <w:rFonts w:ascii="宋体" w:hAnsi="宋体" w:eastAsia="宋体" w:cs="宋体"/>
          <w:sz w:val="28"/>
          <w:u w:color="auto"/>
        </w:rPr>
        <w:t>2)商品和服务支出</w:t>
      </w:r>
      <w:r>
        <w:rPr>
          <w:rFonts w:hint="eastAsia" w:ascii="宋体" w:hAnsi="宋体" w:eastAsia="宋体" w:cs="宋体"/>
          <w:sz w:val="28"/>
          <w:szCs w:val="28"/>
          <w:lang w:val="en-US" w:eastAsia="zh-CN"/>
        </w:rPr>
        <w:t>26.24</w:t>
      </w:r>
      <w:r>
        <w:rPr>
          <w:rFonts w:hint="eastAsia" w:ascii="宋体" w:hAnsi="宋体" w:eastAsia="宋体" w:cs="宋体"/>
          <w:sz w:val="28"/>
          <w:szCs w:val="28"/>
        </w:rPr>
        <w:t>万元，占基本支出总预算</w:t>
      </w:r>
      <w:r>
        <w:rPr>
          <w:rFonts w:hint="eastAsia" w:ascii="宋体" w:hAnsi="宋体" w:eastAsia="宋体" w:cs="宋体"/>
          <w:sz w:val="28"/>
          <w:szCs w:val="28"/>
          <w:lang w:val="en-US" w:eastAsia="zh-CN"/>
        </w:rPr>
        <w:t>1.41%</w:t>
      </w:r>
      <w:r>
        <w:rPr>
          <w:rFonts w:hint="eastAsia" w:ascii="宋体" w:hAnsi="宋体" w:eastAsia="宋体" w:cs="宋体"/>
          <w:sz w:val="28"/>
          <w:szCs w:val="28"/>
        </w:rPr>
        <w:t>,比上年</w:t>
      </w:r>
      <w:r>
        <w:rPr>
          <w:rFonts w:ascii="宋体" w:hAnsi="宋体" w:eastAsia="宋体" w:cs="宋体"/>
          <w:sz w:val="28"/>
          <w:u w:color="auto"/>
        </w:rPr>
        <w:t>增长1.79万元，增长7.32%,主要原因是：业务增加，公共开支增加</w:t>
      </w:r>
      <w:r>
        <w:rPr>
          <w:rFonts w:hint="eastAsia" w:ascii="宋体" w:hAnsi="宋体" w:eastAsia="宋体" w:cs="宋体"/>
          <w:sz w:val="28"/>
          <w:szCs w:val="28"/>
          <w:lang w:val="en-US" w:eastAsia="zh-CN"/>
        </w:rPr>
        <w:t>。</w:t>
      </w:r>
    </w:p>
    <w:p>
      <w:pPr>
        <w:pStyle w:val="3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w:t>
      </w:r>
      <w:r>
        <w:rPr>
          <w:rFonts w:ascii="宋体" w:hAnsi="宋体" w:eastAsia="宋体" w:cs="宋体"/>
          <w:sz w:val="28"/>
          <w:u w:color="auto"/>
        </w:rPr>
        <w:t>3)对个人和家庭的补助</w:t>
      </w:r>
      <w:r>
        <w:rPr>
          <w:rFonts w:hint="eastAsia" w:ascii="宋体" w:hAnsi="宋体" w:eastAsia="宋体" w:cs="宋体"/>
          <w:sz w:val="28"/>
          <w:szCs w:val="28"/>
          <w:lang w:val="en-US" w:eastAsia="zh-CN"/>
        </w:rPr>
        <w:t>59.44</w:t>
      </w:r>
      <w:r>
        <w:rPr>
          <w:rFonts w:hint="eastAsia" w:ascii="宋体" w:hAnsi="宋体" w:eastAsia="宋体" w:cs="宋体"/>
          <w:sz w:val="28"/>
          <w:szCs w:val="28"/>
        </w:rPr>
        <w:t>万元，占基本支出总预算</w:t>
      </w:r>
      <w:r>
        <w:rPr>
          <w:rFonts w:hint="eastAsia" w:ascii="宋体" w:hAnsi="宋体" w:eastAsia="宋体" w:cs="宋体"/>
          <w:sz w:val="28"/>
          <w:szCs w:val="28"/>
          <w:lang w:val="en-US" w:eastAsia="zh-CN"/>
        </w:rPr>
        <w:t>3.19%</w:t>
      </w:r>
      <w:r>
        <w:rPr>
          <w:rFonts w:hint="eastAsia" w:ascii="宋体" w:hAnsi="宋体" w:eastAsia="宋体" w:cs="宋体"/>
          <w:sz w:val="28"/>
          <w:szCs w:val="28"/>
        </w:rPr>
        <w:t>,比上年</w:t>
      </w:r>
      <w:r>
        <w:rPr>
          <w:rFonts w:ascii="宋体" w:hAnsi="宋体" w:eastAsia="宋体" w:cs="宋体"/>
          <w:sz w:val="28"/>
          <w:u w:color="auto"/>
        </w:rPr>
        <w:t>增长23.10万元，增长63.57%,主要原因是：工资标准较上年度提高，五险一金缴费基数增加，缴费增多</w:t>
      </w:r>
      <w:r>
        <w:rPr>
          <w:rFonts w:hint="eastAsia" w:ascii="宋体" w:hAnsi="宋体" w:eastAsia="宋体" w:cs="宋体"/>
          <w:sz w:val="28"/>
          <w:szCs w:val="28"/>
          <w:lang w:val="en-US" w:eastAsia="zh-CN"/>
        </w:rPr>
        <w:t>。</w:t>
      </w:r>
    </w:p>
    <w:p>
      <w:pPr>
        <w:pStyle w:val="18"/>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b w:val="0"/>
          <w:bCs w:val="0"/>
          <w:color w:val="000000"/>
          <w:sz w:val="28"/>
          <w:szCs w:val="28"/>
          <w:lang w:val="zh-TW" w:eastAsia="zh-TW" w:bidi="zh-TW"/>
        </w:rPr>
      </w:pPr>
      <w:r>
        <w:rPr>
          <w:rFonts w:hint="eastAsia" w:ascii="宋体" w:hAnsi="宋体" w:eastAsia="宋体" w:cs="宋体"/>
          <w:b w:val="0"/>
          <w:bCs w:val="0"/>
          <w:color w:val="000000"/>
          <w:sz w:val="28"/>
          <w:szCs w:val="28"/>
          <w:lang w:val="zh-TW" w:eastAsia="zh-TW" w:bidi="zh-TW"/>
        </w:rPr>
        <w:t>项目支出预算。</w:t>
      </w:r>
    </w:p>
    <w:p>
      <w:pPr>
        <w:pStyle w:val="18"/>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项目支出预算</w:t>
      </w:r>
      <w:r>
        <w:rPr>
          <w:rFonts w:hint="eastAsia" w:ascii="宋体" w:hAnsi="宋体" w:eastAsia="宋体" w:cs="宋体"/>
          <w:sz w:val="28"/>
          <w:szCs w:val="28"/>
          <w:lang w:val="en-US" w:eastAsia="zh-CN"/>
        </w:rPr>
        <w:t>178.56</w:t>
      </w:r>
      <w:r>
        <w:rPr>
          <w:rFonts w:hint="eastAsia" w:ascii="宋体" w:hAnsi="宋体" w:eastAsia="宋体" w:cs="宋体"/>
          <w:sz w:val="28"/>
          <w:szCs w:val="28"/>
        </w:rPr>
        <w:t>万元，占支出预算</w:t>
      </w:r>
      <w:r>
        <w:rPr>
          <w:rFonts w:ascii="宋体" w:hAnsi="宋体" w:eastAsia="宋体" w:cs="宋体"/>
          <w:sz w:val="28"/>
          <w:u w:color="auto"/>
        </w:rPr>
        <w:t>8.74%</w:t>
      </w:r>
      <w:r>
        <w:rPr>
          <w:rFonts w:hint="eastAsia" w:ascii="宋体" w:hAnsi="宋体" w:eastAsia="宋体" w:cs="宋体"/>
          <w:sz w:val="28"/>
          <w:szCs w:val="28"/>
        </w:rPr>
        <w:t>,比上年</w:t>
      </w:r>
      <w:r>
        <w:rPr>
          <w:rFonts w:ascii="宋体" w:hAnsi="宋体" w:eastAsia="宋体" w:cs="宋体"/>
          <w:sz w:val="28"/>
          <w:u w:color="auto"/>
        </w:rPr>
        <w:t>减少16.81</w:t>
      </w:r>
      <w:r>
        <w:rPr>
          <w:rFonts w:hint="eastAsia" w:ascii="宋体" w:hAnsi="宋体" w:eastAsia="宋体" w:cs="宋体"/>
          <w:sz w:val="28"/>
          <w:szCs w:val="28"/>
        </w:rPr>
        <w:t>万元，</w:t>
      </w:r>
      <w:r>
        <w:rPr>
          <w:rFonts w:ascii="宋体" w:hAnsi="宋体" w:eastAsia="宋体" w:cs="宋体"/>
          <w:sz w:val="28"/>
          <w:u w:color="auto"/>
        </w:rPr>
        <w:t>减少8.60%</w:t>
      </w:r>
      <w:r>
        <w:rPr>
          <w:rFonts w:hint="eastAsia" w:ascii="宋体" w:hAnsi="宋体" w:eastAsia="宋体" w:cs="宋体"/>
          <w:sz w:val="28"/>
          <w:szCs w:val="28"/>
        </w:rPr>
        <w:t>。</w:t>
      </w:r>
      <w:r>
        <w:rPr>
          <w:rFonts w:hint="eastAsia" w:ascii="宋体" w:hAnsi="宋体" w:eastAsia="宋体" w:cs="宋体"/>
          <w:sz w:val="28"/>
          <w:szCs w:val="28"/>
          <w:lang w:val="en-US" w:eastAsia="zh-CN"/>
        </w:rPr>
        <w:t>其中：</w:t>
      </w:r>
    </w:p>
    <w:p>
      <w:pPr>
        <w:pStyle w:val="3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color w:val="000000"/>
          <w:sz w:val="28"/>
          <w:szCs w:val="28"/>
          <w:lang w:val="en-US" w:eastAsia="zh-CN" w:bidi="zh-TW"/>
        </w:rPr>
      </w:pPr>
      <w:r>
        <w:rPr>
          <w:rFonts w:hint="eastAsia" w:ascii="宋体" w:hAnsi="宋体" w:eastAsia="宋体" w:cs="宋体"/>
          <w:sz w:val="28"/>
          <w:szCs w:val="28"/>
        </w:rPr>
        <w:t>(</w:t>
      </w:r>
      <w:r>
        <w:rPr>
          <w:rFonts w:ascii="宋体" w:hAnsi="宋体" w:eastAsia="宋体" w:cs="宋体"/>
          <w:sz w:val="28"/>
          <w:u w:color="auto"/>
        </w:rPr>
        <w:t>1)商品和服务支出</w:t>
      </w:r>
      <w:r>
        <w:rPr>
          <w:rFonts w:hint="eastAsia" w:ascii="宋体" w:hAnsi="宋体" w:eastAsia="宋体" w:cs="宋体"/>
          <w:sz w:val="28"/>
          <w:szCs w:val="28"/>
          <w:lang w:val="en-US" w:eastAsia="zh-CN"/>
        </w:rPr>
        <w:t>166.43</w:t>
      </w:r>
      <w:r>
        <w:rPr>
          <w:rFonts w:hint="eastAsia" w:ascii="宋体" w:hAnsi="宋体" w:eastAsia="宋体" w:cs="宋体"/>
          <w:sz w:val="28"/>
          <w:szCs w:val="28"/>
        </w:rPr>
        <w:t>万元，占项</w:t>
      </w:r>
      <w:r>
        <w:rPr>
          <w:rFonts w:hint="eastAsia" w:ascii="宋体" w:hAnsi="宋体" w:eastAsia="宋体" w:cs="宋体"/>
          <w:color w:val="000000"/>
          <w:sz w:val="28"/>
          <w:szCs w:val="28"/>
          <w:lang w:val="zh-TW" w:eastAsia="zh-TW" w:bidi="zh-TW"/>
        </w:rPr>
        <w:t>目支出总预算</w:t>
      </w:r>
      <w:r>
        <w:rPr>
          <w:rFonts w:hint="eastAsia" w:ascii="宋体" w:hAnsi="宋体" w:eastAsia="宋体" w:cs="宋体"/>
          <w:color w:val="000000"/>
          <w:sz w:val="28"/>
          <w:szCs w:val="28"/>
          <w:lang w:val="en-US" w:eastAsia="zh-CN" w:bidi="zh-TW"/>
        </w:rPr>
        <w:t>93.21%</w:t>
      </w:r>
      <w:r>
        <w:rPr>
          <w:rFonts w:hint="eastAsia" w:ascii="宋体" w:hAnsi="宋体" w:eastAsia="宋体" w:cs="宋体"/>
          <w:color w:val="000000"/>
          <w:sz w:val="28"/>
          <w:szCs w:val="28"/>
          <w:lang w:val="zh-TW" w:eastAsia="zh-TW" w:bidi="zh-TW"/>
        </w:rPr>
        <w:t>,比上年</w:t>
      </w:r>
      <w:r>
        <w:rPr>
          <w:rFonts w:ascii="宋体" w:hAnsi="宋体" w:eastAsia="宋体" w:cs="宋体"/>
          <w:color w:val="000000"/>
          <w:sz w:val="28"/>
          <w:u w:color="auto"/>
        </w:rPr>
        <w:t>增长1.06万元，增长0.64%,主要原因是：</w:t>
      </w:r>
      <w:r>
        <w:rPr>
          <w:rFonts w:hint="eastAsia" w:ascii="宋体" w:hAnsi="宋体" w:eastAsia="宋体" w:cs="宋体"/>
          <w:color w:val="000000"/>
          <w:sz w:val="28"/>
          <w:szCs w:val="28"/>
          <w:lang w:val="zh-TW" w:eastAsia="zh-TW" w:bidi="zh-TW"/>
        </w:rPr>
        <w:t>人员增加，工资提高，费用增加</w:t>
      </w:r>
      <w:r>
        <w:rPr>
          <w:rFonts w:hint="eastAsia" w:ascii="宋体" w:hAnsi="宋体" w:eastAsia="宋体" w:cs="宋体"/>
          <w:color w:val="000000"/>
          <w:sz w:val="28"/>
          <w:szCs w:val="28"/>
          <w:lang w:val="en-US" w:eastAsia="zh-CN" w:bidi="zh-TW"/>
        </w:rPr>
        <w:t>。</w:t>
      </w:r>
    </w:p>
    <w:p>
      <w:pPr>
        <w:pStyle w:val="3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color w:val="000000"/>
          <w:sz w:val="28"/>
          <w:szCs w:val="28"/>
          <w:lang w:val="en-US" w:eastAsia="zh-CN" w:bidi="zh-TW"/>
        </w:rPr>
      </w:pPr>
      <w:r>
        <w:rPr>
          <w:rFonts w:hint="eastAsia" w:ascii="宋体" w:hAnsi="宋体" w:eastAsia="宋体" w:cs="宋体"/>
          <w:sz w:val="28"/>
          <w:szCs w:val="28"/>
        </w:rPr>
        <w:t>(</w:t>
      </w:r>
      <w:r>
        <w:rPr>
          <w:rFonts w:ascii="宋体" w:hAnsi="宋体" w:eastAsia="宋体" w:cs="宋体"/>
          <w:sz w:val="28"/>
          <w:u w:color="auto"/>
        </w:rPr>
        <w:t>2)资本性支出</w:t>
      </w:r>
      <w:r>
        <w:rPr>
          <w:rFonts w:hint="eastAsia" w:ascii="宋体" w:hAnsi="宋体" w:eastAsia="宋体" w:cs="宋体"/>
          <w:sz w:val="28"/>
          <w:szCs w:val="28"/>
          <w:lang w:val="en-US" w:eastAsia="zh-CN"/>
        </w:rPr>
        <w:t>12.13</w:t>
      </w:r>
      <w:r>
        <w:rPr>
          <w:rFonts w:hint="eastAsia" w:ascii="宋体" w:hAnsi="宋体" w:eastAsia="宋体" w:cs="宋体"/>
          <w:sz w:val="28"/>
          <w:szCs w:val="28"/>
        </w:rPr>
        <w:t>万元，占项</w:t>
      </w:r>
      <w:r>
        <w:rPr>
          <w:rFonts w:hint="eastAsia" w:ascii="宋体" w:hAnsi="宋体" w:eastAsia="宋体" w:cs="宋体"/>
          <w:color w:val="000000"/>
          <w:sz w:val="28"/>
          <w:szCs w:val="28"/>
          <w:lang w:val="zh-TW" w:eastAsia="zh-TW" w:bidi="zh-TW"/>
        </w:rPr>
        <w:t>目支出总预算</w:t>
      </w:r>
      <w:r>
        <w:rPr>
          <w:rFonts w:hint="eastAsia" w:ascii="宋体" w:hAnsi="宋体" w:eastAsia="宋体" w:cs="宋体"/>
          <w:color w:val="000000"/>
          <w:sz w:val="28"/>
          <w:szCs w:val="28"/>
          <w:lang w:val="en-US" w:eastAsia="zh-CN" w:bidi="zh-TW"/>
        </w:rPr>
        <w:t>6.79%</w:t>
      </w:r>
      <w:r>
        <w:rPr>
          <w:rFonts w:hint="eastAsia" w:ascii="宋体" w:hAnsi="宋体" w:eastAsia="宋体" w:cs="宋体"/>
          <w:color w:val="000000"/>
          <w:sz w:val="28"/>
          <w:szCs w:val="28"/>
          <w:lang w:val="zh-TW" w:eastAsia="zh-TW" w:bidi="zh-TW"/>
        </w:rPr>
        <w:t>,比上年</w:t>
      </w:r>
      <w:r>
        <w:rPr>
          <w:rFonts w:ascii="宋体" w:hAnsi="宋体" w:eastAsia="宋体" w:cs="宋体"/>
          <w:color w:val="000000"/>
          <w:sz w:val="28"/>
          <w:u w:color="auto"/>
        </w:rPr>
        <w:t>减少17.87万元，减少59.57%,主要原因是：</w:t>
      </w:r>
      <w:r>
        <w:rPr>
          <w:rFonts w:hint="eastAsia" w:ascii="宋体" w:hAnsi="宋体" w:eastAsia="宋体" w:cs="宋体"/>
          <w:color w:val="000000"/>
          <w:sz w:val="28"/>
          <w:szCs w:val="28"/>
          <w:lang w:val="zh-TW" w:eastAsia="zh-TW" w:bidi="zh-TW"/>
        </w:rPr>
        <w:t>业务减少，活动费用减少</w:t>
      </w:r>
      <w:r>
        <w:rPr>
          <w:rFonts w:hint="eastAsia" w:ascii="宋体" w:hAnsi="宋体" w:eastAsia="宋体" w:cs="宋体"/>
          <w:color w:val="000000"/>
          <w:sz w:val="28"/>
          <w:szCs w:val="28"/>
          <w:lang w:val="en-US" w:eastAsia="zh-CN" w:bidi="zh-TW"/>
        </w:rPr>
        <w:t>。</w:t>
      </w:r>
    </w:p>
    <w:p>
      <w:pPr>
        <w:pStyle w:val="16"/>
        <w:spacing w:after="0" w:line="619" w:lineRule="exact"/>
        <w:ind w:firstLine="620"/>
        <w:jc w:val="left"/>
        <w:rPr>
          <w:rFonts w:hint="eastAsia"/>
          <w:b/>
          <w:bCs/>
          <w:lang w:val="en-US" w:eastAsia="zh-CN"/>
        </w:rPr>
      </w:pPr>
      <w:r>
        <w:rPr>
          <w:rFonts w:hint="eastAsia"/>
          <w:b/>
          <w:bCs/>
          <w:lang w:val="en-US" w:eastAsia="zh-CN"/>
        </w:rPr>
        <w:t>四、财政拨款收支总体情况说明</w:t>
      </w:r>
    </w:p>
    <w:p>
      <w:pPr>
        <w:pStyle w:val="18"/>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2084"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u w:color="auto"/>
        </w:rPr>
        <w:t>年</w:t>
      </w:r>
      <w:r>
        <w:rPr>
          <w:rFonts w:hint="eastAsia" w:ascii="宋体" w:hAnsi="宋体" w:eastAsia="宋体" w:cs="宋体"/>
          <w:sz w:val="28"/>
          <w:szCs w:val="28"/>
        </w:rPr>
        <w:t>财政拨款收入我部门财政拨款总收入</w:t>
      </w:r>
      <w:r>
        <w:rPr>
          <w:rFonts w:hint="eastAsia" w:ascii="宋体" w:hAnsi="宋体" w:eastAsia="宋体" w:cs="宋体"/>
          <w:sz w:val="28"/>
          <w:szCs w:val="28"/>
          <w:lang w:val="en-US" w:eastAsia="zh-CN" w:bidi="en-US"/>
        </w:rPr>
        <w:t>2042.72</w:t>
      </w:r>
      <w:r>
        <w:rPr>
          <w:rFonts w:hint="eastAsia" w:ascii="宋体" w:hAnsi="宋体" w:eastAsia="宋体" w:cs="宋体"/>
          <w:sz w:val="28"/>
          <w:szCs w:val="28"/>
        </w:rPr>
        <w:t>万元，总支出</w:t>
      </w:r>
      <w:r>
        <w:rPr>
          <w:rFonts w:hint="eastAsia" w:ascii="宋体" w:hAnsi="宋体" w:eastAsia="宋体" w:cs="宋体"/>
          <w:sz w:val="28"/>
          <w:szCs w:val="28"/>
          <w:lang w:val="en-US" w:eastAsia="zh-CN" w:bidi="en-US"/>
        </w:rPr>
        <w:t>2042.72</w:t>
      </w:r>
      <w:r>
        <w:rPr>
          <w:rFonts w:hint="eastAsia" w:ascii="宋体" w:hAnsi="宋体" w:eastAsia="宋体" w:cs="宋体"/>
          <w:sz w:val="28"/>
          <w:szCs w:val="28"/>
        </w:rPr>
        <w:t>万元。财政拨款总收入较2023年度预算数</w:t>
      </w:r>
      <w:r>
        <w:rPr>
          <w:rFonts w:hint="eastAsia" w:ascii="宋体" w:hAnsi="宋体" w:eastAsia="宋体" w:cs="宋体"/>
          <w:sz w:val="28"/>
          <w:szCs w:val="28"/>
          <w:lang w:val="en-US" w:eastAsia="zh-CN" w:bidi="en-US"/>
        </w:rPr>
        <w:t>1771.53</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增加271.19</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增长15.31%</w:t>
      </w:r>
      <w:r>
        <w:rPr>
          <w:rFonts w:hint="eastAsia" w:ascii="宋体" w:hAnsi="宋体" w:eastAsia="宋体" w:cs="宋体"/>
          <w:sz w:val="28"/>
          <w:szCs w:val="28"/>
        </w:rPr>
        <w:t>，主要原因是</w:t>
      </w:r>
      <w:r>
        <w:rPr>
          <w:rFonts w:hint="eastAsia"/>
          <w:highlight w:val="none"/>
          <w:lang w:val="en-US" w:eastAsia="zh-CN"/>
        </w:rPr>
        <w:t>工资标准较上年度提高，五险一金缴费基数增加，缴费增多</w:t>
      </w:r>
      <w:r>
        <w:rPr>
          <w:rFonts w:hint="eastAsia" w:ascii="宋体" w:hAnsi="宋体" w:eastAsia="宋体" w:cs="宋体"/>
          <w:sz w:val="28"/>
          <w:szCs w:val="28"/>
        </w:rPr>
        <w:t>。财政拨款总支出较2023年度预算数</w:t>
      </w:r>
      <w:r>
        <w:rPr>
          <w:rFonts w:hint="eastAsia" w:ascii="宋体" w:hAnsi="宋体" w:eastAsia="宋体" w:cs="宋体"/>
          <w:sz w:val="28"/>
          <w:szCs w:val="28"/>
          <w:lang w:val="en-US" w:eastAsia="zh-CN" w:bidi="en-US"/>
        </w:rPr>
        <w:t>1771.53</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增加271.19</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增长15.31%</w:t>
      </w:r>
      <w:r>
        <w:rPr>
          <w:rFonts w:hint="eastAsia" w:ascii="宋体" w:hAnsi="宋体" w:eastAsia="宋体" w:cs="宋体"/>
          <w:sz w:val="28"/>
          <w:szCs w:val="28"/>
        </w:rPr>
        <w:t>，主要原因是</w:t>
      </w:r>
      <w:r>
        <w:rPr>
          <w:rFonts w:hint="eastAsia"/>
          <w:highlight w:val="none"/>
          <w:lang w:val="en-US" w:eastAsia="zh-CN"/>
        </w:rPr>
        <w:t>工资标准较上年度提高，五险一金缴费基数增加，缴费增多</w:t>
      </w:r>
      <w:r>
        <w:rPr>
          <w:rFonts w:hint="eastAsia" w:ascii="宋体" w:hAnsi="宋体" w:eastAsia="宋体" w:cs="宋体"/>
          <w:sz w:val="28"/>
          <w:szCs w:val="28"/>
        </w:rPr>
        <w:t>。</w:t>
      </w:r>
    </w:p>
    <w:p>
      <w:pPr>
        <w:pStyle w:val="16"/>
        <w:spacing w:after="0" w:line="619" w:lineRule="exact"/>
        <w:ind w:firstLine="620"/>
        <w:jc w:val="left"/>
        <w:rPr>
          <w:rFonts w:hint="eastAsia"/>
          <w:b/>
          <w:bCs/>
          <w:lang w:val="en-US" w:eastAsia="zh-CN"/>
        </w:rPr>
      </w:pPr>
      <w:r>
        <w:rPr>
          <w:rFonts w:hint="eastAsia"/>
          <w:b/>
          <w:bCs/>
          <w:lang w:val="en-US" w:eastAsia="zh-CN"/>
        </w:rPr>
        <w:t>五、一般公共预算支出情况说明</w:t>
      </w:r>
    </w:p>
    <w:p>
      <w:pPr>
        <w:pStyle w:val="18"/>
        <w:spacing w:line="240" w:lineRule="auto"/>
        <w:ind w:firstLine="0"/>
        <w:jc w:val="left"/>
        <w:rPr>
          <w:lang w:eastAsia="zh-CN"/>
        </w:rPr>
      </w:pPr>
      <w:r>
        <w:rPr>
          <w:lang w:eastAsia="zh-CN"/>
        </w:rPr>
        <w:drawing>
          <wp:inline distT="0" distB="0" distL="114300" distR="114300">
            <wp:extent cx="5080000" cy="3810000"/>
            <wp:effectExtent l="4445" t="4445" r="20955" b="14605"/>
            <wp:docPr id="2085"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lang w:val="en-US" w:eastAsia="zh-CN"/>
        </w:rPr>
        <w:t>年</w:t>
      </w:r>
      <w:r>
        <w:rPr>
          <w:rFonts w:hint="eastAsia" w:ascii="宋体" w:hAnsi="宋体" w:eastAsia="宋体" w:cs="宋体"/>
          <w:sz w:val="28"/>
          <w:szCs w:val="28"/>
        </w:rPr>
        <w:t>一般公共预算支出共</w:t>
      </w:r>
      <w:r>
        <w:rPr>
          <w:rFonts w:hint="eastAsia" w:ascii="宋体" w:hAnsi="宋体" w:eastAsia="宋体" w:cs="宋体"/>
          <w:sz w:val="28"/>
          <w:szCs w:val="28"/>
          <w:lang w:val="en-US" w:eastAsia="zh-CN"/>
        </w:rPr>
        <w:t>2042.72</w:t>
      </w:r>
      <w:r>
        <w:rPr>
          <w:rFonts w:hint="eastAsia" w:ascii="宋体" w:hAnsi="宋体" w:eastAsia="宋体" w:cs="宋体"/>
          <w:sz w:val="28"/>
          <w:szCs w:val="28"/>
        </w:rPr>
        <w:t>万元，较2023年度预算数</w:t>
      </w:r>
      <w:r>
        <w:rPr>
          <w:rFonts w:hint="eastAsia" w:ascii="宋体" w:hAnsi="宋体" w:eastAsia="宋体" w:cs="宋体"/>
          <w:sz w:val="28"/>
          <w:szCs w:val="28"/>
          <w:lang w:val="en-US" w:eastAsia="zh-CN"/>
        </w:rPr>
        <w:t>1771.53</w:t>
      </w:r>
      <w:r>
        <w:rPr>
          <w:rFonts w:hint="eastAsia" w:ascii="宋体" w:hAnsi="宋体" w:eastAsia="宋体" w:cs="宋体"/>
          <w:sz w:val="28"/>
          <w:szCs w:val="28"/>
        </w:rPr>
        <w:t>万元，</w:t>
      </w:r>
      <w:r>
        <w:rPr>
          <w:rFonts w:hint="eastAsia" w:ascii="宋体" w:hAnsi="宋体" w:eastAsia="宋体" w:cs="宋体"/>
          <w:sz w:val="28"/>
          <w:szCs w:val="28"/>
          <w:lang w:val="en-US" w:eastAsia="zh-CN"/>
        </w:rPr>
        <w:t>增加271.19</w:t>
      </w:r>
      <w:r>
        <w:rPr>
          <w:rFonts w:hint="eastAsia" w:ascii="宋体" w:hAnsi="宋体" w:eastAsia="宋体" w:cs="宋体"/>
          <w:sz w:val="28"/>
          <w:szCs w:val="28"/>
        </w:rPr>
        <w:t>万元，</w:t>
      </w:r>
      <w:r>
        <w:rPr>
          <w:rFonts w:hint="eastAsia" w:ascii="宋体" w:hAnsi="宋体" w:eastAsia="宋体" w:cs="宋体"/>
          <w:sz w:val="28"/>
          <w:szCs w:val="28"/>
          <w:lang w:val="en-US" w:eastAsia="zh-CN"/>
        </w:rPr>
        <w:t>增长15.31%</w:t>
      </w:r>
      <w:r>
        <w:rPr>
          <w:rFonts w:hint="eastAsia" w:ascii="宋体" w:hAnsi="宋体" w:eastAsia="宋体" w:cs="宋体"/>
          <w:sz w:val="28"/>
          <w:szCs w:val="28"/>
        </w:rPr>
        <w:t>，主要原因是</w:t>
      </w:r>
      <w:r>
        <w:rPr>
          <w:rFonts w:hint="eastAsia"/>
          <w:highlight w:val="none"/>
          <w:lang w:val="en-US" w:eastAsia="zh-CN"/>
        </w:rPr>
        <w:t>工资标准较上年度提高，五险一金缴费基数增加，缴费增多</w:t>
      </w:r>
      <w:r>
        <w:rPr>
          <w:rFonts w:hint="eastAsia" w:ascii="宋体" w:hAnsi="宋体" w:eastAsia="宋体" w:cs="宋体"/>
          <w:sz w:val="28"/>
          <w:szCs w:val="28"/>
        </w:rPr>
        <w:t>。中央提前下达2024年一般公共预算转移支付资金安排的支出</w:t>
      </w:r>
      <w:r>
        <w:rPr>
          <w:rFonts w:hint="eastAsia" w:ascii="宋体" w:hAnsi="宋体" w:eastAsia="宋体" w:cs="宋体"/>
          <w:sz w:val="28"/>
          <w:szCs w:val="28"/>
          <w:lang w:val="en-US" w:eastAsia="zh-CN"/>
        </w:rPr>
        <w:t>630.00</w:t>
      </w:r>
      <w:r>
        <w:rPr>
          <w:rFonts w:hint="eastAsia" w:ascii="宋体" w:hAnsi="宋体" w:eastAsia="宋体" w:cs="宋体"/>
          <w:sz w:val="28"/>
          <w:szCs w:val="28"/>
        </w:rPr>
        <w:t>万元。具体情况为：</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一般公共服务支出（类）支出</w:t>
      </w:r>
      <w:r>
        <w:rPr>
          <w:rFonts w:ascii="宋体" w:hAnsi="宋体" w:eastAsia="宋体" w:cs="宋体"/>
          <w:sz w:val="28"/>
          <w:u w:color="auto"/>
        </w:rPr>
        <w:t>26.24</w:t>
      </w:r>
      <w:r>
        <w:rPr>
          <w:rFonts w:hint="eastAsia" w:ascii="宋体" w:hAnsi="宋体" w:eastAsia="宋体" w:cs="宋体"/>
          <w:sz w:val="28"/>
          <w:szCs w:val="28"/>
        </w:rPr>
        <w:t>万元，占支出总预算的</w:t>
      </w:r>
      <w:r>
        <w:rPr>
          <w:rFonts w:ascii="宋体" w:hAnsi="宋体" w:eastAsia="宋体" w:cs="宋体"/>
          <w:sz w:val="28"/>
          <w:u w:color="auto"/>
        </w:rPr>
        <w:t>1.28%</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24.45</w:t>
      </w:r>
      <w:r>
        <w:rPr>
          <w:rFonts w:hint="eastAsia" w:ascii="宋体" w:hAnsi="宋体" w:eastAsia="宋体" w:cs="宋体"/>
          <w:sz w:val="28"/>
          <w:szCs w:val="28"/>
        </w:rPr>
        <w:t>万元，</w:t>
      </w:r>
      <w:r>
        <w:rPr>
          <w:rFonts w:ascii="宋体" w:hAnsi="宋体" w:eastAsia="宋体" w:cs="宋体"/>
          <w:sz w:val="28"/>
          <w:u w:color="auto"/>
        </w:rPr>
        <w:t>增长1.79</w:t>
      </w:r>
      <w:r>
        <w:rPr>
          <w:rFonts w:hint="eastAsia" w:ascii="宋体" w:hAnsi="宋体" w:eastAsia="宋体" w:cs="宋体"/>
          <w:sz w:val="28"/>
          <w:szCs w:val="28"/>
        </w:rPr>
        <w:t>万元，</w:t>
      </w:r>
      <w:r>
        <w:rPr>
          <w:rFonts w:ascii="宋体" w:hAnsi="宋体" w:eastAsia="宋体" w:cs="宋体"/>
          <w:sz w:val="28"/>
          <w:u w:color="auto"/>
        </w:rPr>
        <w:t>增长7.32%</w:t>
      </w:r>
      <w:r>
        <w:rPr>
          <w:rFonts w:hint="eastAsia" w:ascii="宋体" w:hAnsi="宋体" w:eastAsia="宋体" w:cs="宋体"/>
          <w:sz w:val="28"/>
          <w:szCs w:val="28"/>
        </w:rPr>
        <w:t>，主要原因是：</w:t>
      </w:r>
      <w:r>
        <w:rPr>
          <w:rFonts w:hint="eastAsia"/>
          <w:highlight w:val="none"/>
        </w:rPr>
        <w:t>工资标准较上年度提高，五险一金缴费基数增加，缴费增多</w:t>
      </w:r>
      <w:r>
        <w:rPr>
          <w:rFonts w:hint="eastAsia" w:ascii="宋体" w:hAnsi="宋体" w:eastAsia="宋体" w:cs="宋体"/>
          <w:sz w:val="28"/>
          <w:szCs w:val="28"/>
        </w:rPr>
        <w:t>。</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住房保障支出（类）支出</w:t>
      </w:r>
      <w:r>
        <w:rPr>
          <w:rFonts w:ascii="宋体" w:hAnsi="宋体" w:eastAsia="宋体" w:cs="宋体"/>
          <w:sz w:val="28"/>
          <w:u w:color="auto"/>
        </w:rPr>
        <w:t>175.17</w:t>
      </w:r>
      <w:r>
        <w:rPr>
          <w:rFonts w:hint="eastAsia" w:ascii="宋体" w:hAnsi="宋体" w:eastAsia="宋体" w:cs="宋体"/>
          <w:sz w:val="28"/>
          <w:szCs w:val="28"/>
        </w:rPr>
        <w:t>万元，占支出总预算的</w:t>
      </w:r>
      <w:r>
        <w:rPr>
          <w:rFonts w:ascii="宋体" w:hAnsi="宋体" w:eastAsia="宋体" w:cs="宋体"/>
          <w:sz w:val="28"/>
          <w:u w:color="auto"/>
        </w:rPr>
        <w:t>8.58%</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152.56</w:t>
      </w:r>
      <w:r>
        <w:rPr>
          <w:rFonts w:hint="eastAsia" w:ascii="宋体" w:hAnsi="宋体" w:eastAsia="宋体" w:cs="宋体"/>
          <w:sz w:val="28"/>
          <w:szCs w:val="28"/>
        </w:rPr>
        <w:t>万元，</w:t>
      </w:r>
      <w:r>
        <w:rPr>
          <w:rFonts w:ascii="宋体" w:hAnsi="宋体" w:eastAsia="宋体" w:cs="宋体"/>
          <w:sz w:val="28"/>
          <w:u w:color="auto"/>
        </w:rPr>
        <w:t>增长22.61</w:t>
      </w:r>
      <w:r>
        <w:rPr>
          <w:rFonts w:hint="eastAsia" w:ascii="宋体" w:hAnsi="宋体" w:eastAsia="宋体" w:cs="宋体"/>
          <w:sz w:val="28"/>
          <w:szCs w:val="28"/>
        </w:rPr>
        <w:t>万元，</w:t>
      </w:r>
      <w:r>
        <w:rPr>
          <w:rFonts w:ascii="宋体" w:hAnsi="宋体" w:eastAsia="宋体" w:cs="宋体"/>
          <w:sz w:val="28"/>
          <w:u w:color="auto"/>
        </w:rPr>
        <w:t>增长14.82%</w:t>
      </w:r>
      <w:r>
        <w:rPr>
          <w:rFonts w:hint="eastAsia" w:ascii="宋体" w:hAnsi="宋体" w:eastAsia="宋体" w:cs="宋体"/>
          <w:sz w:val="28"/>
          <w:szCs w:val="28"/>
        </w:rPr>
        <w:t>，主要原因是：</w:t>
      </w:r>
      <w:r>
        <w:rPr>
          <w:rFonts w:hint="eastAsia"/>
          <w:highlight w:val="none"/>
        </w:rPr>
        <w:t>人员增加，公积金缴费增加</w:t>
      </w:r>
      <w:r>
        <w:rPr>
          <w:rFonts w:hint="eastAsia" w:ascii="宋体" w:hAnsi="宋体" w:eastAsia="宋体" w:cs="宋体"/>
          <w:sz w:val="28"/>
          <w:szCs w:val="28"/>
        </w:rPr>
        <w:t>。</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教育支出（类）支出</w:t>
      </w:r>
      <w:r>
        <w:rPr>
          <w:rFonts w:ascii="宋体" w:hAnsi="宋体" w:eastAsia="宋体" w:cs="宋体"/>
          <w:sz w:val="28"/>
          <w:u w:color="auto"/>
        </w:rPr>
        <w:t>1631.39</w:t>
      </w:r>
      <w:r>
        <w:rPr>
          <w:rFonts w:hint="eastAsia" w:ascii="宋体" w:hAnsi="宋体" w:eastAsia="宋体" w:cs="宋体"/>
          <w:sz w:val="28"/>
          <w:szCs w:val="28"/>
        </w:rPr>
        <w:t>万元，占支出总预算的</w:t>
      </w:r>
      <w:r>
        <w:rPr>
          <w:rFonts w:ascii="宋体" w:hAnsi="宋体" w:eastAsia="宋体" w:cs="宋体"/>
          <w:sz w:val="28"/>
          <w:u w:color="auto"/>
        </w:rPr>
        <w:t>79.86%</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1391.10</w:t>
      </w:r>
      <w:r>
        <w:rPr>
          <w:rFonts w:hint="eastAsia" w:ascii="宋体" w:hAnsi="宋体" w:eastAsia="宋体" w:cs="宋体"/>
          <w:sz w:val="28"/>
          <w:szCs w:val="28"/>
        </w:rPr>
        <w:t>万元，</w:t>
      </w:r>
      <w:r>
        <w:rPr>
          <w:rFonts w:ascii="宋体" w:hAnsi="宋体" w:eastAsia="宋体" w:cs="宋体"/>
          <w:sz w:val="28"/>
          <w:u w:color="auto"/>
        </w:rPr>
        <w:t>增长240.29</w:t>
      </w:r>
      <w:r>
        <w:rPr>
          <w:rFonts w:hint="eastAsia" w:ascii="宋体" w:hAnsi="宋体" w:eastAsia="宋体" w:cs="宋体"/>
          <w:sz w:val="28"/>
          <w:szCs w:val="28"/>
        </w:rPr>
        <w:t>万元，</w:t>
      </w:r>
      <w:r>
        <w:rPr>
          <w:rFonts w:ascii="宋体" w:hAnsi="宋体" w:eastAsia="宋体" w:cs="宋体"/>
          <w:sz w:val="28"/>
          <w:u w:color="auto"/>
        </w:rPr>
        <w:t>增长17.27%</w:t>
      </w:r>
      <w:r>
        <w:rPr>
          <w:rFonts w:hint="eastAsia" w:ascii="宋体" w:hAnsi="宋体" w:eastAsia="宋体" w:cs="宋体"/>
          <w:sz w:val="28"/>
          <w:szCs w:val="28"/>
        </w:rPr>
        <w:t>，主要原因是：</w:t>
      </w:r>
      <w:r>
        <w:rPr>
          <w:rFonts w:hint="eastAsia"/>
          <w:highlight w:val="none"/>
        </w:rPr>
        <w:t>工资标准较上年度提高，五险一金缴费基数增加，缴费增多</w:t>
      </w:r>
      <w:r>
        <w:rPr>
          <w:rFonts w:hint="eastAsia" w:ascii="宋体" w:hAnsi="宋体" w:eastAsia="宋体" w:cs="宋体"/>
          <w:sz w:val="28"/>
          <w:szCs w:val="28"/>
        </w:rPr>
        <w:t>。</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社会保障和就业支出（类）支出</w:t>
      </w:r>
      <w:r>
        <w:rPr>
          <w:rFonts w:ascii="宋体" w:hAnsi="宋体" w:eastAsia="宋体" w:cs="宋体"/>
          <w:sz w:val="28"/>
          <w:u w:color="auto"/>
        </w:rPr>
        <w:t>209.92</w:t>
      </w:r>
      <w:r>
        <w:rPr>
          <w:rFonts w:hint="eastAsia" w:ascii="宋体" w:hAnsi="宋体" w:eastAsia="宋体" w:cs="宋体"/>
          <w:sz w:val="28"/>
          <w:szCs w:val="28"/>
        </w:rPr>
        <w:t>万元，占支出总预算的</w:t>
      </w:r>
      <w:r>
        <w:rPr>
          <w:rFonts w:ascii="宋体" w:hAnsi="宋体" w:eastAsia="宋体" w:cs="宋体"/>
          <w:sz w:val="28"/>
          <w:u w:color="auto"/>
        </w:rPr>
        <w:t>10.28%</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203.42</w:t>
      </w:r>
      <w:r>
        <w:rPr>
          <w:rFonts w:hint="eastAsia" w:ascii="宋体" w:hAnsi="宋体" w:eastAsia="宋体" w:cs="宋体"/>
          <w:sz w:val="28"/>
          <w:szCs w:val="28"/>
        </w:rPr>
        <w:t>万元，</w:t>
      </w:r>
      <w:r>
        <w:rPr>
          <w:rFonts w:ascii="宋体" w:hAnsi="宋体" w:eastAsia="宋体" w:cs="宋体"/>
          <w:sz w:val="28"/>
          <w:u w:color="auto"/>
        </w:rPr>
        <w:t>增长6.50</w:t>
      </w:r>
      <w:r>
        <w:rPr>
          <w:rFonts w:hint="eastAsia" w:ascii="宋体" w:hAnsi="宋体" w:eastAsia="宋体" w:cs="宋体"/>
          <w:sz w:val="28"/>
          <w:szCs w:val="28"/>
        </w:rPr>
        <w:t>万元，</w:t>
      </w:r>
      <w:r>
        <w:rPr>
          <w:rFonts w:ascii="宋体" w:hAnsi="宋体" w:eastAsia="宋体" w:cs="宋体"/>
          <w:sz w:val="28"/>
          <w:u w:color="auto"/>
        </w:rPr>
        <w:t>增长3.20%</w:t>
      </w:r>
      <w:r>
        <w:rPr>
          <w:rFonts w:hint="eastAsia" w:ascii="宋体" w:hAnsi="宋体" w:eastAsia="宋体" w:cs="宋体"/>
          <w:sz w:val="28"/>
          <w:szCs w:val="28"/>
        </w:rPr>
        <w:t>，主要原因是：</w:t>
      </w:r>
      <w:r>
        <w:rPr>
          <w:rFonts w:hint="eastAsia"/>
          <w:highlight w:val="none"/>
        </w:rPr>
        <w:t>工资标准较上年度提高，五险一金缴费基数增加，缴费增多</w:t>
      </w:r>
      <w:r>
        <w:rPr>
          <w:rFonts w:hint="eastAsia" w:ascii="宋体" w:hAnsi="宋体" w:eastAsia="宋体" w:cs="宋体"/>
          <w:sz w:val="28"/>
          <w:szCs w:val="28"/>
        </w:rPr>
        <w:t>。</w:t>
      </w:r>
    </w:p>
    <w:p>
      <w:pPr>
        <w:pStyle w:val="16"/>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六、一般公共预算基本支出情况说明</w:t>
      </w:r>
    </w:p>
    <w:p>
      <w:pPr>
        <w:pStyle w:val="16"/>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2086"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lang w:val="en-US" w:eastAsia="zh-CN"/>
        </w:rPr>
      </w:pPr>
      <w:r>
        <w:rPr>
          <w:rFonts w:hint="eastAsia"/>
          <w:lang w:val="en-US" w:eastAsia="zh-CN"/>
        </w:rPr>
        <w:t>2024</w:t>
      </w:r>
      <w:r>
        <w:rPr>
          <w:u w:color="auto"/>
        </w:rPr>
        <w:t>年</w:t>
      </w:r>
      <w:r>
        <w:rPr>
          <w:rFonts w:hint="eastAsia"/>
        </w:rPr>
        <w:t>一般公共预算基本支出共</w:t>
      </w:r>
      <w:r>
        <w:rPr>
          <w:rFonts w:hint="eastAsia"/>
          <w:lang w:val="en-US" w:eastAsia="zh-CN"/>
        </w:rPr>
        <w:t>1864.16</w:t>
      </w:r>
      <w:r>
        <w:rPr>
          <w:rFonts w:hint="eastAsia"/>
        </w:rPr>
        <w:t>万元，较2023年度预算数</w:t>
      </w:r>
      <w:r>
        <w:rPr>
          <w:rFonts w:hint="eastAsia"/>
          <w:lang w:val="en-US" w:eastAsia="zh-CN"/>
        </w:rPr>
        <w:t>1576.16</w:t>
      </w:r>
      <w:r>
        <w:rPr>
          <w:rFonts w:hint="eastAsia"/>
        </w:rPr>
        <w:t>万元</w:t>
      </w:r>
      <w:r>
        <w:rPr>
          <w:rFonts w:hint="eastAsia"/>
          <w:lang w:val="en-US" w:eastAsia="zh-CN"/>
        </w:rPr>
        <w:t>,</w:t>
      </w:r>
      <w:r>
        <w:rPr>
          <w:u w:color="auto"/>
        </w:rPr>
        <w:t>增加288.00</w:t>
      </w:r>
      <w:r>
        <w:rPr>
          <w:rFonts w:hint="eastAsia"/>
        </w:rPr>
        <w:t>万元，</w:t>
      </w:r>
      <w:r>
        <w:rPr>
          <w:rFonts w:hint="eastAsia"/>
          <w:lang w:val="en-US" w:eastAsia="zh-CN"/>
        </w:rPr>
        <w:t>增长18.27%</w:t>
      </w:r>
      <w:r>
        <w:rPr>
          <w:rFonts w:hint="eastAsia"/>
        </w:rPr>
        <w:t>，主要原因是</w:t>
      </w:r>
      <w:r>
        <w:rPr>
          <w:rFonts w:hint="eastAsia"/>
          <w:highlight w:val="none"/>
          <w:lang w:val="en-US" w:eastAsia="zh-CN"/>
        </w:rPr>
        <w:t>工资标准较上年度提高，五险一金缴费基数增加，缴费增多</w:t>
      </w:r>
      <w:r>
        <w:rPr>
          <w:rFonts w:hint="eastAsia"/>
        </w:rPr>
        <w:t>具体情况为：</w:t>
      </w:r>
    </w:p>
    <w:p>
      <w:pPr>
        <w:pStyle w:val="18"/>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工资福利支出</w:t>
      </w:r>
      <w:r>
        <w:rPr>
          <w:rFonts w:hint="eastAsia"/>
        </w:rPr>
        <w:t>支出预算</w:t>
      </w:r>
      <w:r>
        <w:rPr>
          <w:rFonts w:hint="eastAsia"/>
          <w:lang w:val="en-US" w:eastAsia="zh-CN"/>
        </w:rPr>
        <w:t>1778.48</w:t>
      </w:r>
      <w:r>
        <w:t>万元</w:t>
      </w:r>
      <w:r>
        <w:rPr>
          <w:rFonts w:hint="eastAsia"/>
          <w:lang w:eastAsia="zh-CN"/>
        </w:rPr>
        <w:t>，</w:t>
      </w:r>
      <w:r>
        <w:rPr>
          <w:rFonts w:hint="eastAsia"/>
        </w:rPr>
        <w:t>占基本支出预算的</w:t>
      </w:r>
      <w:r>
        <w:rPr>
          <w:rFonts w:hint="eastAsia"/>
          <w:lang w:val="en-US" w:eastAsia="zh-CN"/>
        </w:rPr>
        <w:t>95.40%</w:t>
      </w:r>
      <w:r>
        <w:rPr>
          <w:rFonts w:hint="eastAsia"/>
        </w:rPr>
        <w:t>，较2023年度预算数</w:t>
      </w:r>
      <w:r>
        <w:rPr>
          <w:rFonts w:hint="eastAsia"/>
          <w:lang w:val="en-US" w:eastAsia="zh-CN"/>
        </w:rPr>
        <w:t>1515.37</w:t>
      </w:r>
      <w:r>
        <w:rPr>
          <w:rFonts w:hint="eastAsia"/>
        </w:rPr>
        <w:t>万元，</w:t>
      </w:r>
      <w:r>
        <w:rPr>
          <w:rFonts w:hint="eastAsia"/>
          <w:lang w:val="en-US" w:eastAsia="zh-CN"/>
        </w:rPr>
        <w:t>增长263.11</w:t>
      </w:r>
      <w:r>
        <w:rPr>
          <w:rFonts w:hint="eastAsia"/>
        </w:rPr>
        <w:t>万元，</w:t>
      </w:r>
      <w:r>
        <w:rPr>
          <w:rFonts w:hint="eastAsia"/>
          <w:lang w:val="en-US" w:eastAsia="zh-CN"/>
        </w:rPr>
        <w:t>增长17.36%</w:t>
      </w:r>
      <w:r>
        <w:rPr>
          <w:rFonts w:hint="eastAsia"/>
        </w:rPr>
        <w:t>，主要原因是：</w:t>
      </w:r>
      <w:r>
        <w:rPr>
          <w:rFonts w:hint="eastAsia"/>
          <w:highlight w:val="none"/>
        </w:rPr>
        <w:t>工资标准较上年度提高，五险一金缴费基数增加，缴费增多</w:t>
      </w:r>
    </w:p>
    <w:p>
      <w:pPr>
        <w:pStyle w:val="18"/>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商品和服务支出</w:t>
      </w:r>
      <w:r>
        <w:rPr>
          <w:rFonts w:hint="eastAsia"/>
        </w:rPr>
        <w:t>支出预算</w:t>
      </w:r>
      <w:r>
        <w:rPr>
          <w:rFonts w:hint="eastAsia"/>
          <w:lang w:val="en-US" w:eastAsia="zh-CN"/>
        </w:rPr>
        <w:t>26.24</w:t>
      </w:r>
      <w:r>
        <w:t>万元</w:t>
      </w:r>
      <w:r>
        <w:rPr>
          <w:rFonts w:hint="eastAsia"/>
          <w:lang w:eastAsia="zh-CN"/>
        </w:rPr>
        <w:t>，</w:t>
      </w:r>
      <w:r>
        <w:rPr>
          <w:rFonts w:hint="eastAsia"/>
        </w:rPr>
        <w:t>占基本支出预算的</w:t>
      </w:r>
      <w:r>
        <w:rPr>
          <w:rFonts w:hint="eastAsia"/>
          <w:lang w:val="en-US" w:eastAsia="zh-CN"/>
        </w:rPr>
        <w:t>1.41%</w:t>
      </w:r>
      <w:r>
        <w:rPr>
          <w:rFonts w:hint="eastAsia"/>
        </w:rPr>
        <w:t>，较2023年度预算数</w:t>
      </w:r>
      <w:r>
        <w:rPr>
          <w:rFonts w:hint="eastAsia"/>
          <w:lang w:val="en-US" w:eastAsia="zh-CN"/>
        </w:rPr>
        <w:t>24.45</w:t>
      </w:r>
      <w:r>
        <w:rPr>
          <w:rFonts w:hint="eastAsia"/>
        </w:rPr>
        <w:t>万元，</w:t>
      </w:r>
      <w:r>
        <w:rPr>
          <w:rFonts w:hint="eastAsia"/>
          <w:lang w:val="en-US" w:eastAsia="zh-CN"/>
        </w:rPr>
        <w:t>增长1.79</w:t>
      </w:r>
      <w:r>
        <w:rPr>
          <w:rFonts w:hint="eastAsia"/>
        </w:rPr>
        <w:t>万元，</w:t>
      </w:r>
      <w:r>
        <w:rPr>
          <w:rFonts w:hint="eastAsia"/>
          <w:lang w:val="en-US" w:eastAsia="zh-CN"/>
        </w:rPr>
        <w:t>增长7.32%</w:t>
      </w:r>
      <w:r>
        <w:rPr>
          <w:rFonts w:hint="eastAsia"/>
        </w:rPr>
        <w:t>，主要原因是：</w:t>
      </w:r>
      <w:r>
        <w:rPr>
          <w:rFonts w:hint="eastAsia"/>
          <w:highlight w:val="none"/>
        </w:rPr>
        <w:t>人员增加，费用增加</w:t>
      </w:r>
    </w:p>
    <w:p>
      <w:pPr>
        <w:pStyle w:val="18"/>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对个人和家庭的补助</w:t>
      </w:r>
      <w:r>
        <w:rPr>
          <w:rFonts w:hint="eastAsia"/>
        </w:rPr>
        <w:t>支出预算</w:t>
      </w:r>
      <w:r>
        <w:rPr>
          <w:rFonts w:hint="eastAsia"/>
          <w:lang w:val="en-US" w:eastAsia="zh-CN"/>
        </w:rPr>
        <w:t>59.44</w:t>
      </w:r>
      <w:r>
        <w:t>万元</w:t>
      </w:r>
      <w:r>
        <w:rPr>
          <w:rFonts w:hint="eastAsia"/>
          <w:lang w:eastAsia="zh-CN"/>
        </w:rPr>
        <w:t>，</w:t>
      </w:r>
      <w:r>
        <w:rPr>
          <w:rFonts w:hint="eastAsia"/>
        </w:rPr>
        <w:t>占基本支出预算的</w:t>
      </w:r>
      <w:r>
        <w:rPr>
          <w:rFonts w:hint="eastAsia"/>
          <w:lang w:val="en-US" w:eastAsia="zh-CN"/>
        </w:rPr>
        <w:t>3.19%</w:t>
      </w:r>
      <w:r>
        <w:rPr>
          <w:rFonts w:hint="eastAsia"/>
        </w:rPr>
        <w:t>，较2023年度预算数</w:t>
      </w:r>
      <w:r>
        <w:rPr>
          <w:rFonts w:hint="eastAsia"/>
          <w:lang w:val="en-US" w:eastAsia="zh-CN"/>
        </w:rPr>
        <w:t>36.34</w:t>
      </w:r>
      <w:r>
        <w:rPr>
          <w:rFonts w:hint="eastAsia"/>
        </w:rPr>
        <w:t>万元，</w:t>
      </w:r>
      <w:r>
        <w:rPr>
          <w:rFonts w:hint="eastAsia"/>
          <w:lang w:val="en-US" w:eastAsia="zh-CN"/>
        </w:rPr>
        <w:t>增长23.10</w:t>
      </w:r>
      <w:r>
        <w:rPr>
          <w:rFonts w:hint="eastAsia"/>
        </w:rPr>
        <w:t>万元，</w:t>
      </w:r>
      <w:r>
        <w:rPr>
          <w:rFonts w:hint="eastAsia"/>
          <w:lang w:val="en-US" w:eastAsia="zh-CN"/>
        </w:rPr>
        <w:t>增长63.57%</w:t>
      </w:r>
      <w:r>
        <w:rPr>
          <w:rFonts w:hint="eastAsia"/>
        </w:rPr>
        <w:t>，主要原因是：</w:t>
      </w:r>
      <w:r>
        <w:rPr>
          <w:rFonts w:hint="eastAsia"/>
          <w:highlight w:val="none"/>
        </w:rPr>
        <w:t>人员增加，工资提高</w:t>
      </w:r>
    </w:p>
    <w:p>
      <w:pPr>
        <w:pStyle w:val="16"/>
        <w:spacing w:after="0" w:line="619" w:lineRule="exact"/>
        <w:ind w:firstLine="620"/>
        <w:jc w:val="left"/>
        <w:rPr>
          <w:rFonts w:hint="eastAsia"/>
          <w:b/>
          <w:bCs/>
        </w:rPr>
      </w:pPr>
      <w:r>
        <w:rPr>
          <w:rFonts w:hint="eastAsia"/>
          <w:b/>
          <w:bCs/>
          <w:lang w:val="en-US" w:eastAsia="zh-CN"/>
        </w:rPr>
        <w:t>七、一般公共预算</w:t>
      </w:r>
      <w:r>
        <w:rPr>
          <w:rFonts w:hint="eastAsia"/>
          <w:b/>
          <w:bCs/>
          <w:lang w:val="zh-CN" w:eastAsia="zh-CN"/>
        </w:rPr>
        <w:t>“三</w:t>
      </w:r>
      <w:r>
        <w:rPr>
          <w:rFonts w:hint="eastAsia"/>
          <w:b/>
          <w:bCs/>
          <w:lang w:val="en-US" w:eastAsia="zh-CN"/>
        </w:rPr>
        <w:t>公”经费支出情况说明</w:t>
      </w:r>
    </w:p>
    <w:p>
      <w:pPr>
        <w:pStyle w:val="16"/>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2087"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16"/>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4" w:name="bookmark90"/>
      <w:r>
        <w:rPr>
          <w:rFonts w:hint="eastAsia"/>
          <w:b w:val="0"/>
          <w:bCs w:val="0"/>
          <w:sz w:val="28"/>
          <w:szCs w:val="28"/>
          <w:lang w:eastAsia="zh-CN"/>
        </w:rPr>
        <w:t>（</w:t>
      </w:r>
      <w:r>
        <w:rPr>
          <w:rFonts w:hint="eastAsia"/>
          <w:b w:val="0"/>
          <w:bCs w:val="0"/>
          <w:sz w:val="28"/>
          <w:szCs w:val="28"/>
          <w:lang w:val="en-US" w:eastAsia="zh-CN"/>
        </w:rPr>
        <w:t>一</w:t>
      </w:r>
      <w:r>
        <w:rPr>
          <w:rFonts w:hint="eastAsia"/>
          <w:b w:val="0"/>
          <w:bCs w:val="0"/>
          <w:sz w:val="28"/>
          <w:szCs w:val="28"/>
          <w:lang w:eastAsia="zh-CN"/>
        </w:rPr>
        <w:t>）</w:t>
      </w:r>
      <w:r>
        <w:rPr>
          <w:sz w:val="28"/>
          <w:u w:color="auto"/>
        </w:rPr>
        <w:t>2024年部门预算共安排</w:t>
      </w:r>
      <w:r>
        <w:rPr>
          <w:rFonts w:hint="eastAsia"/>
          <w:b w:val="0"/>
          <w:bCs w:val="0"/>
          <w:sz w:val="28"/>
          <w:szCs w:val="28"/>
          <w:lang w:val="zh-CN" w:eastAsia="zh-CN"/>
        </w:rPr>
        <w:t>“三公</w:t>
      </w:r>
      <w:r>
        <w:rPr>
          <w:rFonts w:hint="eastAsia"/>
          <w:b w:val="0"/>
          <w:bCs w:val="0"/>
          <w:sz w:val="28"/>
          <w:szCs w:val="28"/>
          <w:lang w:val="en-US" w:eastAsia="zh-CN"/>
        </w:rPr>
        <w:t>"</w:t>
      </w:r>
      <w:r>
        <w:rPr>
          <w:rFonts w:hint="eastAsia"/>
          <w:b w:val="0"/>
          <w:bCs w:val="0"/>
          <w:sz w:val="28"/>
          <w:szCs w:val="28"/>
          <w:lang w:eastAsia="zh-CN"/>
        </w:rPr>
        <w:t>经费支出预算</w:t>
      </w:r>
      <w:r>
        <w:rPr>
          <w:rFonts w:hint="eastAsia"/>
          <w:b w:val="0"/>
          <w:bCs w:val="0"/>
          <w:sz w:val="28"/>
          <w:szCs w:val="28"/>
          <w:lang w:val="en-US" w:eastAsia="zh-CN"/>
        </w:rPr>
        <w:t>0.00</w:t>
      </w:r>
      <w:r>
        <w:rPr>
          <w:rFonts w:hint="eastAsia"/>
          <w:b w:val="0"/>
          <w:bCs w:val="0"/>
          <w:sz w:val="28"/>
          <w:szCs w:val="28"/>
          <w:lang w:eastAsia="zh-CN"/>
        </w:rPr>
        <w:t>万元（全口径），其中：因公出国（境）经费支出预算</w:t>
      </w:r>
      <w:r>
        <w:rPr>
          <w:rFonts w:hint="eastAsia"/>
          <w:b w:val="0"/>
          <w:bCs w:val="0"/>
          <w:sz w:val="28"/>
          <w:szCs w:val="28"/>
          <w:lang w:val="en-US" w:eastAsia="zh-CN"/>
        </w:rPr>
        <w:t>0.00</w:t>
      </w:r>
      <w:r>
        <w:rPr>
          <w:rFonts w:hint="eastAsia"/>
          <w:b w:val="0"/>
          <w:bCs w:val="0"/>
          <w:sz w:val="28"/>
          <w:szCs w:val="28"/>
          <w:lang w:eastAsia="zh-CN"/>
        </w:rPr>
        <w:t>万元，公务接待费支出预算</w:t>
      </w:r>
      <w:r>
        <w:rPr>
          <w:rFonts w:hint="eastAsia"/>
          <w:b w:val="0"/>
          <w:bCs w:val="0"/>
          <w:sz w:val="28"/>
          <w:szCs w:val="28"/>
          <w:lang w:val="en-US" w:eastAsia="zh-CN"/>
        </w:rPr>
        <w:t>0.00</w:t>
      </w:r>
      <w:r>
        <w:rPr>
          <w:rFonts w:hint="eastAsia"/>
          <w:b w:val="0"/>
          <w:bCs w:val="0"/>
          <w:sz w:val="28"/>
          <w:szCs w:val="28"/>
          <w:lang w:eastAsia="zh-CN"/>
        </w:rPr>
        <w:t>万元，公务用车购置及运行费支出预算</w:t>
      </w:r>
      <w:r>
        <w:rPr>
          <w:rFonts w:hint="eastAsia"/>
          <w:b w:val="0"/>
          <w:bCs w:val="0"/>
          <w:sz w:val="28"/>
          <w:szCs w:val="28"/>
          <w:lang w:val="en-US" w:eastAsia="zh-CN"/>
        </w:rPr>
        <w:t>0.00</w:t>
      </w:r>
      <w:r>
        <w:rPr>
          <w:rFonts w:hint="eastAsia"/>
          <w:b w:val="0"/>
          <w:bCs w:val="0"/>
          <w:sz w:val="28"/>
          <w:szCs w:val="28"/>
          <w:lang w:eastAsia="zh-CN"/>
        </w:rPr>
        <w:t>万元（公务用车购置费</w:t>
      </w:r>
      <w:r>
        <w:rPr>
          <w:rFonts w:hint="eastAsia"/>
          <w:b w:val="0"/>
          <w:bCs w:val="0"/>
          <w:sz w:val="28"/>
          <w:szCs w:val="28"/>
          <w:lang w:val="en-US" w:eastAsia="zh-CN"/>
        </w:rPr>
        <w:t>0.00</w:t>
      </w:r>
      <w:r>
        <w:rPr>
          <w:rFonts w:hint="eastAsia"/>
          <w:b w:val="0"/>
          <w:bCs w:val="0"/>
          <w:sz w:val="28"/>
          <w:szCs w:val="28"/>
          <w:lang w:eastAsia="zh-CN"/>
        </w:rPr>
        <w:t>万元,公务用车运行维护费</w:t>
      </w:r>
      <w:r>
        <w:rPr>
          <w:rFonts w:hint="eastAsia"/>
          <w:b w:val="0"/>
          <w:bCs w:val="0"/>
          <w:sz w:val="28"/>
          <w:szCs w:val="28"/>
          <w:lang w:val="en-US" w:eastAsia="zh-CN"/>
        </w:rPr>
        <w:t>0.00</w:t>
      </w:r>
      <w:r>
        <w:rPr>
          <w:rFonts w:hint="eastAsia"/>
          <w:b w:val="0"/>
          <w:bCs w:val="0"/>
          <w:sz w:val="28"/>
          <w:szCs w:val="28"/>
          <w:lang w:eastAsia="zh-CN"/>
        </w:rPr>
        <w:t>万元）。</w:t>
      </w:r>
    </w:p>
    <w:p>
      <w:pPr>
        <w:pStyle w:val="16"/>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w:t>
      </w:r>
      <w:r>
        <w:rPr>
          <w:rFonts w:hint="eastAsia"/>
          <w:b w:val="0"/>
          <w:bCs w:val="0"/>
          <w:sz w:val="28"/>
          <w:szCs w:val="28"/>
          <w:lang w:val="en-US" w:eastAsia="zh-CN"/>
        </w:rPr>
        <w:t>二</w:t>
      </w:r>
      <w:r>
        <w:rPr>
          <w:rFonts w:hint="eastAsia"/>
          <w:b w:val="0"/>
          <w:bCs w:val="0"/>
          <w:sz w:val="28"/>
          <w:szCs w:val="28"/>
          <w:lang w:eastAsia="zh-CN"/>
        </w:rPr>
        <w:t>）</w:t>
      </w:r>
      <w:r>
        <w:rPr>
          <w:sz w:val="28"/>
          <w:u w:color="auto"/>
        </w:rPr>
        <w:t>2024</w:t>
      </w:r>
      <w:r>
        <w:rPr>
          <w:rFonts w:hint="eastAsia"/>
          <w:b w:val="0"/>
          <w:bCs w:val="0"/>
          <w:sz w:val="28"/>
          <w:szCs w:val="28"/>
        </w:rPr>
        <w:t>年一般公共预算安排的“三公”经费支出预算</w:t>
      </w:r>
      <w:r>
        <w:rPr>
          <w:rFonts w:hint="eastAsia"/>
          <w:b w:val="0"/>
          <w:bCs w:val="0"/>
          <w:sz w:val="28"/>
          <w:szCs w:val="28"/>
          <w:lang w:val="en-US" w:eastAsia="zh-CN"/>
        </w:rPr>
        <w:t>0.00</w:t>
      </w:r>
      <w:r>
        <w:rPr>
          <w:rFonts w:hint="eastAsia"/>
          <w:b w:val="0"/>
          <w:bCs w:val="0"/>
          <w:sz w:val="28"/>
          <w:szCs w:val="28"/>
        </w:rPr>
        <w:t>万元，同口径较2023年度预算数</w:t>
      </w:r>
      <w:r>
        <w:rPr>
          <w:rFonts w:hint="eastAsia"/>
          <w:b w:val="0"/>
          <w:bCs w:val="0"/>
          <w:sz w:val="28"/>
          <w:szCs w:val="28"/>
          <w:lang w:val="en-US" w:eastAsia="zh-CN"/>
        </w:rPr>
        <w:t>0.00</w:t>
      </w:r>
      <w:r>
        <w:rPr>
          <w:rFonts w:hint="eastAsia"/>
          <w:b w:val="0"/>
          <w:bCs w:val="0"/>
          <w:sz w:val="28"/>
          <w:szCs w:val="28"/>
        </w:rPr>
        <w:t>万元，</w:t>
      </w:r>
      <w:r>
        <w:rPr>
          <w:rFonts w:hint="eastAsia"/>
          <w:b w:val="0"/>
          <w:bCs w:val="0"/>
          <w:sz w:val="28"/>
          <w:szCs w:val="28"/>
          <w:lang w:val="en-US" w:eastAsia="zh-CN"/>
        </w:rPr>
        <w:t>增长0.00</w:t>
      </w:r>
      <w:r>
        <w:rPr>
          <w:rFonts w:hint="eastAsia"/>
          <w:b w:val="0"/>
          <w:bCs w:val="0"/>
          <w:sz w:val="28"/>
          <w:szCs w:val="28"/>
        </w:rPr>
        <w:t>万元，</w:t>
      </w:r>
      <w:r>
        <w:rPr>
          <w:rFonts w:hint="eastAsia"/>
          <w:b w:val="0"/>
          <w:bCs w:val="0"/>
          <w:sz w:val="28"/>
          <w:szCs w:val="28"/>
          <w:lang w:val="en-US" w:eastAsia="zh-CN"/>
        </w:rPr>
        <w:t>增长0%</w:t>
      </w:r>
      <w:r>
        <w:rPr>
          <w:rFonts w:hint="eastAsia"/>
          <w:b w:val="0"/>
          <w:bCs w:val="0"/>
          <w:sz w:val="28"/>
          <w:szCs w:val="28"/>
        </w:rPr>
        <w:t>，具体如下：</w:t>
      </w:r>
    </w:p>
    <w:p>
      <w:pPr>
        <w:pStyle w:val="16"/>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eastAsia="宋体"/>
          <w:b w:val="0"/>
          <w:bCs w:val="0"/>
          <w:sz w:val="28"/>
          <w:szCs w:val="28"/>
          <w:lang w:eastAsia="zh-CN"/>
        </w:rPr>
      </w:pPr>
      <w:r>
        <w:rPr>
          <w:rFonts w:hint="eastAsia"/>
          <w:b w:val="0"/>
          <w:bCs w:val="0"/>
          <w:sz w:val="28"/>
          <w:szCs w:val="28"/>
        </w:rPr>
        <w:t>1.因公出国（境）费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sz w:val="28"/>
          <w:szCs w:val="28"/>
          <w:highlight w:val="none"/>
          <w:lang w:val="en-US" w:eastAsia="zh-CN"/>
        </w:rPr>
        <w:t>本单位没有三公经费支出</w:t>
      </w:r>
      <w:r>
        <w:rPr>
          <w:rFonts w:hint="eastAsia"/>
          <w:b w:val="0"/>
          <w:bCs w:val="0"/>
          <w:sz w:val="28"/>
          <w:szCs w:val="28"/>
        </w:rPr>
        <w:t>。</w:t>
      </w:r>
    </w:p>
    <w:p>
      <w:pPr>
        <w:pStyle w:val="16"/>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eastAsia="宋体"/>
          <w:b w:val="0"/>
          <w:bCs w:val="0"/>
          <w:sz w:val="28"/>
          <w:szCs w:val="28"/>
          <w:lang w:eastAsia="zh-CN"/>
        </w:rPr>
      </w:pPr>
      <w:r>
        <w:rPr>
          <w:rFonts w:hint="eastAsia"/>
          <w:b w:val="0"/>
          <w:bCs w:val="0"/>
          <w:sz w:val="28"/>
          <w:szCs w:val="28"/>
        </w:rPr>
        <w:t>2.公务接待费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sz w:val="28"/>
          <w:szCs w:val="28"/>
          <w:highlight w:val="none"/>
          <w:lang w:val="en-US" w:eastAsia="zh-CN"/>
        </w:rPr>
        <w:t>本年度没有公务接待费支出</w:t>
      </w:r>
      <w:r>
        <w:rPr>
          <w:rFonts w:hint="eastAsia"/>
          <w:b w:val="0"/>
          <w:bCs w:val="0"/>
          <w:sz w:val="28"/>
          <w:szCs w:val="28"/>
        </w:rPr>
        <w:t>。</w:t>
      </w:r>
    </w:p>
    <w:p>
      <w:pPr>
        <w:pStyle w:val="16"/>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3.公务用车购置及运行费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，其中：</w:t>
      </w:r>
    </w:p>
    <w:p>
      <w:pPr>
        <w:pStyle w:val="16"/>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eastAsia="宋体"/>
          <w:b w:val="0"/>
          <w:bCs w:val="0"/>
          <w:sz w:val="28"/>
          <w:szCs w:val="28"/>
          <w:lang w:eastAsia="zh-CN"/>
        </w:rPr>
      </w:pPr>
      <w:r>
        <w:rPr>
          <w:rFonts w:hint="eastAsia"/>
          <w:b w:val="0"/>
          <w:bCs w:val="0"/>
          <w:sz w:val="28"/>
          <w:szCs w:val="28"/>
        </w:rPr>
        <w:t>公务用车购置费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sz w:val="28"/>
          <w:szCs w:val="28"/>
          <w:highlight w:val="none"/>
          <w:lang w:val="en-US" w:eastAsia="zh-CN"/>
        </w:rPr>
        <w:t>本单位没有公务用车</w:t>
      </w:r>
      <w:r>
        <w:rPr>
          <w:rFonts w:hint="eastAsia"/>
          <w:b w:val="0"/>
          <w:bCs w:val="0"/>
          <w:sz w:val="28"/>
          <w:szCs w:val="28"/>
        </w:rPr>
        <w:t>。</w:t>
      </w:r>
    </w:p>
    <w:p>
      <w:pPr>
        <w:pStyle w:val="16"/>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公务用车运行维护费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sz w:val="28"/>
          <w:szCs w:val="28"/>
          <w:highlight w:val="none"/>
          <w:lang w:val="en-US" w:eastAsia="zh-CN"/>
        </w:rPr>
        <w:t>本单位没有公务用车</w:t>
      </w:r>
      <w:r>
        <w:rPr>
          <w:rFonts w:hint="eastAsia"/>
          <w:b w:val="0"/>
          <w:bCs w:val="0"/>
          <w:sz w:val="28"/>
          <w:szCs w:val="28"/>
        </w:rPr>
        <w:t>。</w:t>
      </w:r>
    </w:p>
    <w:p>
      <w:pPr>
        <w:pStyle w:val="16"/>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八</w:t>
      </w:r>
      <w:bookmarkEnd w:id="14"/>
      <w:r>
        <w:rPr>
          <w:rFonts w:hint="eastAsia"/>
          <w:b/>
          <w:bCs/>
          <w:lang w:val="en-US" w:eastAsia="zh-CN"/>
        </w:rPr>
        <w:t>、政府性基金预算支出情况说明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eastAsia="宋体"/>
          <w:sz w:val="28"/>
          <w:szCs w:val="28"/>
          <w:lang w:eastAsia="zh-CN"/>
        </w:rPr>
      </w:pPr>
      <w:r>
        <w:rPr>
          <w:rFonts w:hint="eastAsia"/>
          <w:sz w:val="28"/>
          <w:szCs w:val="28"/>
        </w:rPr>
        <w:t>我部门</w:t>
      </w:r>
      <w:r>
        <w:rPr>
          <w:rFonts w:hint="eastAsia"/>
          <w:b w:val="0"/>
          <w:bCs w:val="0"/>
          <w:sz w:val="28"/>
          <w:szCs w:val="28"/>
          <w:lang w:eastAsia="zh-CN"/>
        </w:rPr>
        <w:t>2024</w:t>
      </w:r>
      <w:r>
        <w:rPr>
          <w:rFonts w:hint="eastAsia"/>
          <w:sz w:val="28"/>
          <w:szCs w:val="28"/>
        </w:rPr>
        <w:t>年政府性基金预算支出共</w:t>
      </w:r>
      <w:r>
        <w:rPr>
          <w:rFonts w:hint="eastAsia"/>
          <w:b w:val="0"/>
          <w:bCs w:val="0"/>
          <w:sz w:val="28"/>
          <w:szCs w:val="28"/>
          <w:lang w:eastAsia="zh-CN"/>
        </w:rPr>
        <w:t>0.00</w:t>
      </w:r>
      <w:r>
        <w:rPr>
          <w:rFonts w:hint="eastAsia"/>
          <w:sz w:val="28"/>
          <w:szCs w:val="28"/>
        </w:rPr>
        <w:t>万元，较2023年度预算数</w:t>
      </w:r>
      <w:r>
        <w:rPr>
          <w:rFonts w:hint="eastAsia"/>
          <w:b w:val="0"/>
          <w:bCs w:val="0"/>
          <w:sz w:val="28"/>
          <w:szCs w:val="28"/>
          <w:lang w:eastAsia="zh-CN"/>
        </w:rPr>
        <w:t>0.00</w:t>
      </w:r>
      <w:r>
        <w:rPr>
          <w:rFonts w:hint="eastAsia"/>
          <w:sz w:val="28"/>
          <w:szCs w:val="28"/>
        </w:rPr>
        <w:t>万元，</w:t>
      </w:r>
      <w:r>
        <w:rPr>
          <w:rFonts w:hint="eastAsia"/>
          <w:b w:val="0"/>
          <w:bCs w:val="0"/>
          <w:sz w:val="28"/>
          <w:szCs w:val="28"/>
          <w:lang w:eastAsia="zh-CN"/>
        </w:rPr>
        <w:t>增加0.00</w:t>
      </w:r>
      <w:r>
        <w:rPr>
          <w:rFonts w:hint="eastAsia"/>
          <w:sz w:val="28"/>
          <w:szCs w:val="28"/>
        </w:rPr>
        <w:t>万元，</w:t>
      </w:r>
      <w:r>
        <w:rPr>
          <w:rFonts w:hint="eastAsia"/>
          <w:b w:val="0"/>
          <w:bCs w:val="0"/>
          <w:sz w:val="28"/>
          <w:szCs w:val="28"/>
          <w:lang w:eastAsia="zh-CN"/>
        </w:rPr>
        <w:t>增长0%</w:t>
      </w:r>
      <w:r>
        <w:rPr>
          <w:rFonts w:hint="eastAsia"/>
          <w:sz w:val="28"/>
          <w:szCs w:val="28"/>
        </w:rPr>
        <w:t>，主要原因是</w:t>
      </w:r>
      <w:r>
        <w:rPr>
          <w:rFonts w:hint="eastAsia"/>
          <w:sz w:val="28"/>
          <w:szCs w:val="28"/>
          <w:highlight w:val="none"/>
          <w:lang w:val="en-US" w:eastAsia="zh-CN"/>
        </w:rPr>
        <w:t>本年度没有政府性基金收入支出</w:t>
      </w:r>
      <w:r>
        <w:rPr>
          <w:rFonts w:hint="eastAsia"/>
          <w:sz w:val="28"/>
          <w:szCs w:val="28"/>
        </w:rPr>
        <w:t>。</w:t>
      </w:r>
    </w:p>
    <w:p>
      <w:pPr>
        <w:pStyle w:val="16"/>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5" w:name="bookmark91"/>
      <w:r>
        <w:rPr>
          <w:rFonts w:hint="eastAsia"/>
          <w:b/>
          <w:bCs/>
          <w:lang w:val="en-US" w:eastAsia="zh-CN"/>
        </w:rPr>
        <w:t>九</w:t>
      </w:r>
      <w:bookmarkEnd w:id="15"/>
      <w:r>
        <w:rPr>
          <w:rFonts w:hint="eastAsia"/>
          <w:b/>
          <w:bCs/>
          <w:lang w:val="en-US" w:eastAsia="zh-CN"/>
        </w:rPr>
        <w:t>、国有资本经营预算支出情况说明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eastAsia="宋体"/>
          <w:sz w:val="28"/>
          <w:szCs w:val="28"/>
          <w:lang w:eastAsia="zh-CN"/>
        </w:rPr>
      </w:pPr>
      <w:r>
        <w:rPr>
          <w:rFonts w:hint="eastAsia"/>
          <w:sz w:val="28"/>
          <w:szCs w:val="28"/>
        </w:rPr>
        <w:t>我部门</w:t>
      </w:r>
      <w:r>
        <w:rPr>
          <w:rFonts w:hint="eastAsia"/>
          <w:sz w:val="28"/>
          <w:szCs w:val="28"/>
          <w:lang w:eastAsia="zh-CN"/>
        </w:rPr>
        <w:t>2024</w:t>
      </w:r>
      <w:r>
        <w:rPr>
          <w:rFonts w:hint="eastAsia"/>
          <w:sz w:val="28"/>
          <w:szCs w:val="28"/>
        </w:rPr>
        <w:t>年国有资本经营预算支出共</w:t>
      </w:r>
      <w:r>
        <w:rPr>
          <w:rFonts w:hint="eastAsia"/>
          <w:sz w:val="28"/>
          <w:szCs w:val="28"/>
          <w:lang w:eastAsia="zh-CN"/>
        </w:rPr>
        <w:t>0.00</w:t>
      </w:r>
      <w:r>
        <w:rPr>
          <w:rFonts w:hint="eastAsia"/>
          <w:sz w:val="28"/>
          <w:szCs w:val="28"/>
        </w:rPr>
        <w:t>万元，较2023年度预算数</w:t>
      </w:r>
      <w:r>
        <w:rPr>
          <w:rFonts w:hint="eastAsia"/>
          <w:sz w:val="28"/>
          <w:szCs w:val="28"/>
          <w:lang w:eastAsia="zh-CN"/>
        </w:rPr>
        <w:t>0.00</w:t>
      </w:r>
      <w:r>
        <w:rPr>
          <w:rFonts w:hint="eastAsia"/>
          <w:sz w:val="28"/>
          <w:szCs w:val="28"/>
        </w:rPr>
        <w:t>万元，</w:t>
      </w:r>
      <w:r>
        <w:rPr>
          <w:rFonts w:hint="eastAsia"/>
          <w:sz w:val="28"/>
          <w:szCs w:val="28"/>
          <w:lang w:eastAsia="zh-CN"/>
        </w:rPr>
        <w:t>增加0.00</w:t>
      </w:r>
      <w:r>
        <w:rPr>
          <w:rFonts w:hint="eastAsia"/>
          <w:sz w:val="28"/>
          <w:szCs w:val="28"/>
        </w:rPr>
        <w:t>万元，</w:t>
      </w:r>
      <w:r>
        <w:rPr>
          <w:rFonts w:hint="eastAsia"/>
          <w:sz w:val="28"/>
          <w:szCs w:val="28"/>
          <w:lang w:eastAsia="zh-CN"/>
        </w:rPr>
        <w:t>增长0%</w:t>
      </w:r>
      <w:r>
        <w:rPr>
          <w:rFonts w:hint="eastAsia"/>
          <w:sz w:val="28"/>
          <w:szCs w:val="28"/>
        </w:rPr>
        <w:t>，主要原因是</w:t>
      </w:r>
      <w:r>
        <w:rPr>
          <w:rFonts w:hint="eastAsia"/>
          <w:sz w:val="28"/>
          <w:szCs w:val="28"/>
          <w:lang w:val="en-US" w:eastAsia="zh-CN"/>
        </w:rPr>
        <w:t>本年度没有国有资本经营预算支出</w:t>
      </w:r>
      <w:r>
        <w:rPr>
          <w:rFonts w:hint="eastAsia"/>
          <w:sz w:val="28"/>
          <w:szCs w:val="28"/>
        </w:rPr>
        <w:t>。</w:t>
      </w:r>
    </w:p>
    <w:p>
      <w:pPr>
        <w:pStyle w:val="16"/>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十、其他重要事项</w:t>
      </w:r>
      <w:r>
        <w:rPr>
          <w:rFonts w:hint="eastAsia"/>
          <w:b/>
          <w:bCs/>
          <w:lang w:val="en-US" w:eastAsia="zh-CN"/>
        </w:rPr>
        <w:t>情况</w:t>
      </w:r>
      <w:r>
        <w:rPr>
          <w:b/>
          <w:bCs/>
        </w:rPr>
        <w:t>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（一）机关运行经费安排情况说明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2024</w:t>
      </w:r>
      <w:r>
        <w:rPr>
          <w:rFonts w:ascii="宋体" w:hAnsi="宋体" w:eastAsia="宋体" w:cs="宋体"/>
          <w:sz w:val="28"/>
          <w:u w:color="auto"/>
        </w:rPr>
        <w:t>年本部门机关运行经费预算</w:t>
      </w:r>
      <w:r>
        <w:rPr>
          <w:rFonts w:hint="eastAsia" w:ascii="宋体" w:hAnsi="宋体" w:eastAsia="宋体" w:cs="宋体"/>
          <w:sz w:val="28"/>
          <w:szCs w:val="28"/>
          <w:lang w:val="en-US" w:eastAsia="zh-CN"/>
        </w:rPr>
        <w:t>26.24</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24.45</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增加1.79</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增长7.32%</w:t>
      </w:r>
      <w:r>
        <w:rPr>
          <w:rFonts w:hint="eastAsia" w:ascii="宋体" w:hAnsi="宋体" w:eastAsia="宋体" w:cs="宋体"/>
          <w:sz w:val="28"/>
          <w:szCs w:val="28"/>
          <w:lang w:eastAsia="zh-CN"/>
        </w:rPr>
        <w:t>，主要原因是：</w:t>
      </w:r>
      <w:r>
        <w:rPr>
          <w:rFonts w:hint="eastAsia" w:ascii="宋体" w:hAnsi="宋体" w:eastAsia="宋体" w:cs="宋体"/>
          <w:sz w:val="28"/>
          <w:szCs w:val="28"/>
          <w:lang w:val="en-US" w:eastAsia="zh-CN"/>
        </w:rPr>
        <w:t>人员增加，业务增加</w:t>
      </w:r>
      <w:r>
        <w:rPr>
          <w:rFonts w:hint="eastAsia" w:ascii="宋体" w:hAnsi="宋体" w:eastAsia="宋体" w:cs="宋体"/>
          <w:sz w:val="28"/>
          <w:szCs w:val="28"/>
          <w:lang w:eastAsia="zh-CN"/>
        </w:rPr>
        <w:t>。</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（二）政府采购预算安排情况说明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eastAsia="zh-CN"/>
        </w:rPr>
        <w:t>我部门2024年政府采购预算总金额</w:t>
      </w:r>
      <w:r>
        <w:rPr>
          <w:rFonts w:hint="eastAsia" w:ascii="宋体" w:hAnsi="宋体" w:eastAsia="宋体" w:cs="宋体"/>
          <w:sz w:val="28"/>
          <w:szCs w:val="28"/>
          <w:lang w:val="en-US" w:eastAsia="zh-CN"/>
        </w:rPr>
        <w:t>0</w:t>
      </w:r>
      <w:r>
        <w:rPr>
          <w:rFonts w:hint="eastAsia" w:ascii="宋体" w:hAnsi="宋体" w:eastAsia="宋体" w:cs="宋体"/>
          <w:sz w:val="28"/>
          <w:szCs w:val="28"/>
          <w:lang w:eastAsia="zh-CN"/>
        </w:rPr>
        <w:t>万元。其中：货物类采购</w:t>
      </w:r>
      <w:r>
        <w:rPr>
          <w:rFonts w:hint="eastAsia" w:ascii="宋体" w:hAnsi="宋体" w:eastAsia="宋体" w:cs="宋体"/>
          <w:sz w:val="28"/>
          <w:szCs w:val="28"/>
          <w:lang w:val="en-US" w:eastAsia="zh-CN"/>
        </w:rPr>
        <w:t>0</w:t>
      </w:r>
      <w:r>
        <w:rPr>
          <w:rFonts w:hint="eastAsia" w:ascii="宋体" w:hAnsi="宋体" w:eastAsia="宋体" w:cs="宋体"/>
          <w:sz w:val="28"/>
          <w:szCs w:val="28"/>
          <w:lang w:eastAsia="zh-CN"/>
        </w:rPr>
        <w:t>万元、工程类采购</w:t>
      </w:r>
      <w:r>
        <w:rPr>
          <w:rFonts w:hint="eastAsia" w:ascii="宋体" w:hAnsi="宋体" w:eastAsia="宋体" w:cs="宋体"/>
          <w:sz w:val="28"/>
          <w:szCs w:val="28"/>
          <w:lang w:val="en-US" w:eastAsia="zh-CN"/>
        </w:rPr>
        <w:t>0</w:t>
      </w:r>
      <w:r>
        <w:rPr>
          <w:rFonts w:hint="eastAsia" w:ascii="宋体" w:hAnsi="宋体" w:eastAsia="宋体" w:cs="宋体"/>
          <w:sz w:val="28"/>
          <w:szCs w:val="28"/>
          <w:lang w:eastAsia="zh-CN"/>
        </w:rPr>
        <w:t>万元、服务类采购</w:t>
      </w:r>
      <w:r>
        <w:rPr>
          <w:rFonts w:hint="eastAsia" w:ascii="宋体" w:hAnsi="宋体" w:eastAsia="宋体" w:cs="宋体"/>
          <w:sz w:val="28"/>
          <w:szCs w:val="28"/>
          <w:lang w:val="en-US" w:eastAsia="zh-CN"/>
        </w:rPr>
        <w:t>0</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主要用于：0</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（三）国有资产占用情况说明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截至2023年12月31日，本部门共有车辆</w:t>
      </w:r>
      <w:r>
        <w:rPr>
          <w:rFonts w:hint="eastAsia"/>
          <w:sz w:val="28"/>
          <w:szCs w:val="28"/>
          <w:highlight w:val="none"/>
          <w:lang w:val="en-US" w:eastAsia="zh-CN"/>
        </w:rPr>
        <w:t>0</w:t>
      </w:r>
      <w:r>
        <w:rPr>
          <w:rFonts w:hint="eastAsia" w:ascii="宋体" w:hAnsi="宋体" w:eastAsia="宋体" w:cs="宋体"/>
          <w:sz w:val="28"/>
          <w:szCs w:val="28"/>
          <w:lang w:eastAsia="zh-CN"/>
        </w:rPr>
        <w:t>辆，其中，应急机要通信用车</w:t>
      </w:r>
      <w:r>
        <w:rPr>
          <w:rFonts w:hint="eastAsia"/>
          <w:sz w:val="28"/>
          <w:szCs w:val="28"/>
          <w:highlight w:val="none"/>
          <w:lang w:val="en-US" w:eastAsia="zh-CN"/>
        </w:rPr>
        <w:t>0</w:t>
      </w:r>
      <w:r>
        <w:rPr>
          <w:rFonts w:hint="eastAsia" w:ascii="宋体" w:hAnsi="宋体" w:eastAsia="宋体" w:cs="宋体"/>
          <w:sz w:val="28"/>
          <w:szCs w:val="28"/>
          <w:lang w:eastAsia="zh-CN"/>
        </w:rPr>
        <w:t>辆、一般执法执勤用车</w:t>
      </w:r>
      <w:r>
        <w:rPr>
          <w:rFonts w:hint="eastAsia"/>
          <w:sz w:val="28"/>
          <w:szCs w:val="28"/>
          <w:highlight w:val="none"/>
          <w:lang w:val="en-US" w:eastAsia="zh-CN"/>
        </w:rPr>
        <w:t>0</w:t>
      </w:r>
      <w:r>
        <w:rPr>
          <w:rFonts w:hint="eastAsia" w:ascii="宋体" w:hAnsi="宋体" w:eastAsia="宋体" w:cs="宋体"/>
          <w:sz w:val="28"/>
          <w:szCs w:val="28"/>
          <w:lang w:eastAsia="zh-CN"/>
        </w:rPr>
        <w:t>辆、特种专业技术用车</w:t>
      </w:r>
      <w:r>
        <w:rPr>
          <w:rFonts w:hint="eastAsia"/>
          <w:sz w:val="28"/>
          <w:szCs w:val="28"/>
          <w:highlight w:val="none"/>
          <w:lang w:val="en-US" w:eastAsia="zh-CN"/>
        </w:rPr>
        <w:t>0</w:t>
      </w:r>
      <w:r>
        <w:rPr>
          <w:rFonts w:hint="eastAsia" w:ascii="宋体" w:hAnsi="宋体" w:eastAsia="宋体" w:cs="宋体"/>
          <w:sz w:val="28"/>
          <w:szCs w:val="28"/>
          <w:lang w:eastAsia="zh-CN"/>
        </w:rPr>
        <w:t>辆、其他用车</w:t>
      </w:r>
      <w:r>
        <w:rPr>
          <w:rFonts w:hint="eastAsia"/>
          <w:sz w:val="28"/>
          <w:szCs w:val="28"/>
          <w:highlight w:val="none"/>
          <w:lang w:val="en-US" w:eastAsia="zh-CN"/>
        </w:rPr>
        <w:t>0</w:t>
      </w:r>
      <w:r>
        <w:rPr>
          <w:rFonts w:hint="eastAsia" w:ascii="宋体" w:hAnsi="宋体" w:eastAsia="宋体" w:cs="宋体"/>
          <w:sz w:val="28"/>
          <w:szCs w:val="28"/>
          <w:lang w:eastAsia="zh-CN"/>
        </w:rPr>
        <w:t>辆，单位价值200万元以上大型设备</w:t>
      </w:r>
      <w:r>
        <w:rPr>
          <w:rFonts w:hint="eastAsia"/>
          <w:sz w:val="28"/>
          <w:szCs w:val="28"/>
          <w:highlight w:val="none"/>
          <w:lang w:val="en-US" w:eastAsia="zh-CN"/>
        </w:rPr>
        <w:t>0</w:t>
      </w:r>
      <w:r>
        <w:rPr>
          <w:rFonts w:hint="eastAsia" w:ascii="宋体" w:hAnsi="宋体" w:eastAsia="宋体" w:cs="宋体"/>
          <w:sz w:val="28"/>
          <w:szCs w:val="28"/>
          <w:lang w:eastAsia="zh-CN"/>
        </w:rPr>
        <w:t>台（套）。</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（四）预算绩效目标情况说明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1.我部门2024年所有项目支出全面实施绩效目标管理，涉及项目</w:t>
      </w:r>
      <w:r>
        <w:rPr>
          <w:rFonts w:hint="eastAsia"/>
          <w:sz w:val="28"/>
          <w:szCs w:val="28"/>
          <w:highlight w:val="none"/>
          <w:lang w:val="en-US" w:eastAsia="zh-CN"/>
        </w:rPr>
        <w:t>5</w:t>
      </w:r>
      <w:r>
        <w:rPr>
          <w:rFonts w:hint="eastAsia" w:ascii="宋体" w:hAnsi="宋体" w:eastAsia="宋体" w:cs="宋体"/>
          <w:sz w:val="28"/>
          <w:szCs w:val="28"/>
          <w:lang w:eastAsia="zh-CN"/>
        </w:rPr>
        <w:t>个，预算资金</w:t>
      </w:r>
      <w:r>
        <w:rPr>
          <w:rFonts w:hint="eastAsia"/>
          <w:sz w:val="28"/>
          <w:szCs w:val="28"/>
          <w:highlight w:val="none"/>
          <w:lang w:val="en-US" w:eastAsia="zh-CN"/>
        </w:rPr>
        <w:t>178.5568</w:t>
      </w:r>
      <w:r>
        <w:rPr>
          <w:rFonts w:hint="eastAsia" w:ascii="宋体" w:hAnsi="宋体" w:eastAsia="宋体" w:cs="宋体"/>
          <w:sz w:val="28"/>
          <w:szCs w:val="28"/>
          <w:lang w:eastAsia="zh-CN"/>
        </w:rPr>
        <w:t>万元。绩效目标情况详见报表（日常运转类项目、工资类人员经费项目和涉密项目等除外）。</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2.重点项目预算绩效目标说明。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1、义务教育中央级公用经费，项目经费56.28万元，项目立项依据：根据根据自治区财政厅、教育厅《关于提前下达2022年城乡义务教育中央补助经费预算的通知》（桂财教{2021}141号）及《关于提前下达2022年城乡义务教育自治区补助经费预算的通知》（桂财教{2021}152号）精神，2022年农村义务教育阶段公用经费补助标准为中学425元/生/学期，春季学期：我校学生人数为1910人。秋季学期：我校学生人数为1906人。可行性和必要性：保障学校正常运转，持续改善学校基本办学条件，促进教育健康发展。支持范围：学校日常办公运行保障学校正常运转，实施内容：学校日常办公、水电费、网络费、日常维修、教师培训出差等。</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2、义务教育公用经费，项目经费4.77万元，保障学校正常运转，持续改善学校基本办学条件，促进教育健康发展。支持范围：学校日常办公运行保障学校正常运转。</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3、自治区公用经费，项目经费32.66万元。项目立项依据：根据自治区财政厅，教育厅《关于提前下达2022年城乡义务教育中央补助经费预算的通知》(桂财教{2021）141及《关于提前下达2022年城乡义务教育自治补助经费预营的通知》(桂财教(2021}152号）精神，2022年农村义务教育阶段公用经费补助标准为初中425元/生·学期。我校学生1852人，2个学期=1852*425*2=1574200元。</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可行性和必要性：保障学校正常运转，持续改善学校基本办学条件，促进教育健康发展。</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支持范围；学校日常办公运行保障学校正常运转，</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实施内容；学校日常办公、水电费、网络费、日常维修、教师培训出差等</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4、公用经费（特教）自治区补助，项目经费1.14万元。项目立项依据：根据自治区财政厅，教育厅《关于义务教育阶段特殊教育学校随班就读残疾学生生均公用经费预算的通知》下达我校11400元。</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可行性和必要性：保障学校正常运转，持续改善学校基本办学条件，促进教育健康发展。</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支持范围：学校日常办公运行保障学校正常运转。</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实施内容：学校日常办公、水电费、网络费、日常维修、教师培训出差等。</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5、环江县第一初级中学年初预算经费，项目经费83.7万元。实施内容：完成2024年年初预算经费投入使用。</w:t>
      </w:r>
    </w:p>
    <w:p>
      <w:pPr>
        <w:pStyle w:val="18"/>
        <w:spacing w:line="624" w:lineRule="exact"/>
        <w:ind w:firstLine="600"/>
        <w:jc w:val="left"/>
        <w:rPr>
          <w:rFonts w:hint="eastAsia"/>
          <w:sz w:val="28"/>
          <w:szCs w:val="28"/>
          <w:highlight w:val="none"/>
          <w:lang w:val="en-US" w:eastAsia="zh-CN"/>
        </w:rPr>
      </w:pPr>
    </w:p>
    <w:p>
      <w:pPr>
        <w:pStyle w:val="18"/>
        <w:spacing w:line="624" w:lineRule="exact"/>
        <w:jc w:val="left"/>
        <w:rPr>
          <w:rFonts w:hint="default"/>
          <w:sz w:val="28"/>
          <w:szCs w:val="28"/>
          <w:highlight w:val="none"/>
          <w:lang w:val="en-US" w:eastAsia="zh-CN"/>
        </w:rPr>
        <w:sectPr>
          <w:headerReference r:id="rId6" w:type="default"/>
          <w:footerReference r:id="rId7" w:type="default"/>
          <w:pgSz w:w="11900" w:h="16840"/>
          <w:pgMar w:top="1440" w:right="1800" w:bottom="1440" w:left="1800" w:header="0" w:footer="1077" w:gutter="0"/>
          <w:pgBorders>
            <w:top w:val="none" w:sz="0" w:space="0"/>
            <w:left w:val="none" w:sz="0" w:space="0"/>
            <w:bottom w:val="none" w:sz="0" w:space="0"/>
            <w:right w:val="none" w:sz="0" w:space="0"/>
          </w:pgBorders>
          <w:pgNumType w:fmt="decimal"/>
          <w:cols w:space="720" w:num="1"/>
          <w:docGrid w:linePitch="360" w:charSpace="0"/>
        </w:sectPr>
      </w:pPr>
    </w:p>
    <w:bookmarkEnd w:id="10"/>
    <w:bookmarkEnd w:id="11"/>
    <w:bookmarkEnd w:id="12"/>
    <w:p>
      <w:pPr>
        <w:pStyle w:val="12"/>
        <w:keepNext/>
        <w:keepLines/>
        <w:spacing w:after="980"/>
        <w:jc w:val="center"/>
        <w:rPr>
          <w:rFonts w:hint="eastAsia" w:ascii="宋体" w:hAnsi="宋体" w:eastAsia="宋体" w:cs="宋体"/>
          <w:b/>
          <w:bCs/>
          <w:sz w:val="36"/>
          <w:szCs w:val="36"/>
        </w:rPr>
      </w:pPr>
      <w:r>
        <w:rPr>
          <w:rFonts w:hint="eastAsia" w:ascii="宋体" w:hAnsi="宋体" w:eastAsia="宋体" w:cs="宋体"/>
          <w:b/>
          <w:bCs/>
          <w:sz w:val="36"/>
          <w:szCs w:val="36"/>
        </w:rPr>
        <w:t>第</w:t>
      </w:r>
      <w:r>
        <w:rPr>
          <w:rFonts w:hint="eastAsia" w:ascii="宋体" w:hAnsi="宋体" w:eastAsia="宋体" w:cs="宋体"/>
          <w:b/>
          <w:bCs/>
          <w:sz w:val="36"/>
          <w:szCs w:val="36"/>
          <w:lang w:val="en-US" w:eastAsia="zh-CN"/>
        </w:rPr>
        <w:t>三</w:t>
      </w:r>
      <w:r>
        <w:rPr>
          <w:rFonts w:hint="eastAsia" w:ascii="宋体" w:hAnsi="宋体" w:eastAsia="宋体" w:cs="宋体"/>
          <w:b/>
          <w:bCs/>
          <w:sz w:val="36"/>
          <w:szCs w:val="36"/>
        </w:rPr>
        <w:t>部分</w:t>
      </w:r>
      <w:r>
        <w:rPr>
          <w:rFonts w:hint="eastAsia" w:ascii="宋体" w:hAnsi="宋体" w:eastAsia="宋体" w:cs="宋体"/>
          <w:b/>
          <w:bCs/>
          <w:sz w:val="36"/>
          <w:szCs w:val="36"/>
          <w:lang w:eastAsia="zh-CN"/>
        </w:rPr>
        <w:t>环江毛南族自治县第一初级中学</w:t>
      </w:r>
      <w:r>
        <w:rPr>
          <w:rFonts w:ascii="宋体" w:hAnsi="宋体" w:eastAsia="宋体" w:cs="宋体"/>
          <w:b/>
          <w:sz w:val="36"/>
          <w:u w:color="auto"/>
        </w:rPr>
        <w:t>2024年</w:t>
      </w:r>
      <w:r>
        <w:rPr>
          <w:rFonts w:hint="eastAsia" w:ascii="宋体" w:hAnsi="宋体" w:eastAsia="宋体" w:cs="宋体"/>
          <w:b/>
          <w:bCs/>
          <w:sz w:val="36"/>
          <w:szCs w:val="36"/>
        </w:rPr>
        <w:t>部门预算表</w:t>
      </w:r>
    </w:p>
    <w:p>
      <w:pPr>
        <w:pStyle w:val="22"/>
        <w:keepNext/>
        <w:keepLines/>
        <w:spacing w:after="240"/>
        <w:jc w:val="center"/>
      </w:pPr>
      <w:bookmarkStart w:id="16" w:name="bookmark30"/>
      <w:bookmarkStart w:id="17" w:name="bookmark31"/>
      <w:bookmarkStart w:id="18" w:name="bookmark29"/>
      <w:r>
        <w:t>收支总体情况表</w:t>
      </w:r>
      <w:bookmarkEnd w:id="16"/>
      <w:bookmarkEnd w:id="17"/>
      <w:bookmarkEnd w:id="18"/>
    </w:p>
    <w:tbl>
      <w:tblPr>
        <w:tblStyle w:val="4"/>
        <w:tblW w:w="0" w:type="auto"/>
        <w:tblInd w:w="0" w:type="dxa"/>
        <w:tblLayout w:type="fixed"/>
        <w:tblCellMar>
          <w:top w:w="0" w:type="dxa"/>
          <w:left w:w="10" w:type="dxa"/>
          <w:bottom w:w="0" w:type="dxa"/>
          <w:right w:w="10" w:type="dxa"/>
        </w:tblCellMar>
      </w:tblPr>
      <w:tblGrid>
        <w:gridCol w:w="3339"/>
        <w:gridCol w:w="3760"/>
        <w:gridCol w:w="3542"/>
        <w:gridCol w:w="3571"/>
      </w:tblGrid>
      <w:tr>
        <w:tblPrEx>
          <w:tblCellMar>
            <w:top w:w="0" w:type="dxa"/>
            <w:left w:w="10" w:type="dxa"/>
            <w:bottom w:w="0" w:type="dxa"/>
            <w:right w:w="10" w:type="dxa"/>
          </w:tblCellMar>
        </w:tblPrEx>
        <w:trPr>
          <w:cantSplit/>
          <w:trHeight w:val="331" w:hRule="exact"/>
        </w:trPr>
        <w:tc>
          <w:tcPr>
            <w:tcW w:w="10641" w:type="dxa"/>
            <w:gridSpan w:val="3"/>
            <w:tcBorders>
              <w:bottom w:val="single" w:color="auto" w:sz="4" w:space="0"/>
            </w:tcBorders>
            <w:shd w:val="clear" w:color="auto" w:fill="FFFFFF"/>
          </w:tcPr>
          <w:p>
            <w:pPr>
              <w:pStyle w:val="24"/>
              <w:spacing w:line="240" w:lineRule="auto"/>
              <w:ind w:firstLine="0"/>
              <w:jc w:val="left"/>
              <w:rPr>
                <w:sz w:val="17"/>
                <w:szCs w:val="17"/>
              </w:rPr>
            </w:pPr>
            <w:r>
              <w:rPr>
                <w:sz w:val="17"/>
                <w:szCs w:val="17"/>
              </w:rPr>
              <w:t>单位名称：</w:t>
            </w:r>
            <w:r>
              <w:rPr>
                <w:rFonts w:hint="eastAsia"/>
                <w:sz w:val="17"/>
                <w:szCs w:val="17"/>
                <w:lang w:eastAsia="zh-CN"/>
              </w:rPr>
              <w:t>环江毛南族自治县第一初级中学</w:t>
            </w:r>
          </w:p>
        </w:tc>
        <w:tc>
          <w:tcPr>
            <w:tcW w:w="3571" w:type="dxa"/>
            <w:tcBorders>
              <w:bottom w:val="single" w:color="auto" w:sz="4" w:space="0"/>
            </w:tcBorders>
            <w:shd w:val="clear" w:color="auto" w:fill="FFFFFF"/>
          </w:tcPr>
          <w:p>
            <w:pPr>
              <w:pStyle w:val="24"/>
              <w:spacing w:line="240" w:lineRule="auto"/>
              <w:ind w:firstLine="2380" w:firstLineChars="1400"/>
              <w:jc w:val="left"/>
              <w:rPr>
                <w:sz w:val="17"/>
                <w:szCs w:val="17"/>
              </w:rPr>
            </w:pPr>
            <w:r>
              <w:rPr>
                <w:sz w:val="17"/>
                <w:szCs w:val="17"/>
              </w:rPr>
              <w:t>单位：万元</w:t>
            </w:r>
          </w:p>
        </w:tc>
      </w:tr>
      <w:tr>
        <w:tblPrEx>
          <w:tblCellMar>
            <w:top w:w="0" w:type="dxa"/>
            <w:left w:w="10" w:type="dxa"/>
            <w:bottom w:w="0" w:type="dxa"/>
            <w:right w:w="10" w:type="dxa"/>
          </w:tblCellMar>
        </w:tblPrEx>
        <w:trPr>
          <w:cantSplit/>
          <w:trHeight w:val="456" w:hRule="exact"/>
        </w:trPr>
        <w:tc>
          <w:tcPr>
            <w:tcW w:w="70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2890" w:firstLineChars="1700"/>
              <w:jc w:val="both"/>
              <w:rPr>
                <w:sz w:val="17"/>
                <w:szCs w:val="17"/>
              </w:rPr>
            </w:pPr>
            <w:r>
              <w:rPr>
                <w:sz w:val="17"/>
                <w:szCs w:val="17"/>
              </w:rPr>
              <w:t>收入</w:t>
            </w:r>
          </w:p>
        </w:tc>
        <w:tc>
          <w:tcPr>
            <w:tcW w:w="71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right="340" w:firstLine="2890" w:firstLineChars="1700"/>
              <w:jc w:val="both"/>
              <w:rPr>
                <w:sz w:val="17"/>
                <w:szCs w:val="17"/>
              </w:rPr>
            </w:pPr>
            <w:r>
              <w:rPr>
                <w:sz w:val="17"/>
                <w:szCs w:val="17"/>
              </w:rPr>
              <w:t>支出</w:t>
            </w:r>
          </w:p>
        </w:tc>
      </w:tr>
      <w:tr>
        <w:tblPrEx>
          <w:tblCellMar>
            <w:top w:w="0" w:type="dxa"/>
            <w:left w:w="10" w:type="dxa"/>
            <w:bottom w:w="0" w:type="dxa"/>
            <w:right w:w="10" w:type="dxa"/>
          </w:tblCellMar>
        </w:tblPrEx>
        <w:trPr>
          <w:cantSplit/>
          <w:trHeight w:val="432"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sz w:val="17"/>
                <w:szCs w:val="17"/>
              </w:rPr>
            </w:pPr>
            <w:r>
              <w:rPr>
                <w:sz w:val="17"/>
                <w:szCs w:val="17"/>
              </w:rPr>
              <w:t>项目</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sz w:val="17"/>
                <w:szCs w:val="17"/>
              </w:rPr>
            </w:pPr>
            <w:r>
              <w:rPr>
                <w:sz w:val="17"/>
                <w:szCs w:val="17"/>
              </w:rPr>
              <w:t>预算数</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tabs>
                <w:tab w:val="left" w:pos="894"/>
              </w:tabs>
              <w:spacing w:line="240" w:lineRule="auto"/>
              <w:jc w:val="left"/>
              <w:rPr>
                <w:sz w:val="17"/>
                <w:szCs w:val="17"/>
              </w:rPr>
            </w:pPr>
            <w:r>
              <w:rPr>
                <w:sz w:val="17"/>
                <w:szCs w:val="17"/>
              </w:rPr>
              <w:t>项</w:t>
            </w:r>
            <w:r>
              <w:rPr>
                <w:sz w:val="17"/>
                <w:szCs w:val="17"/>
              </w:rPr>
              <w:tab/>
            </w:r>
            <w:r>
              <w:rPr>
                <w:sz w:val="17"/>
                <w:szCs w:val="17"/>
              </w:rPr>
              <w:t>目（按支出功能科目分类）</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sz w:val="17"/>
                <w:szCs w:val="17"/>
              </w:rPr>
            </w:pPr>
            <w:r>
              <w:rPr>
                <w:sz w:val="17"/>
                <w:szCs w:val="17"/>
              </w:rPr>
              <w:t>预算数</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一、一般公共预算拨款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1947.86</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一、一般公共服务支出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26.24</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630.00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二、外交支出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1317.86</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三、国防支出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二、政府性基金预算拨款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四、公共安全支出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五、教育支出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1631.39</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六、科学技术支出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三、国有资本经营预算拨款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七、文化旅游体育与传媒支出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八、社会保障和就业支出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209.92</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九、卫生健康支出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四、财政专户管理资金收入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十、节能环保支出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五、事业收入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十一、城乡社区支出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六、事业单位经营收入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十二、农林水支出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七、上级补助收入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十三、交通运输支出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八、附属单位上缴收入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十四、资源勘探工业信息等支出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九、其他收入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十五、商业服务业等支出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十六、金融支出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十七、援助其他地区支出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十八、自然资源海洋气象等支出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十九、住房保障支出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175.17</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二十、粮油物资储备支出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二十一、国有资本经营预算支出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二十二、灾害防治及应急管理支出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二十三、其他支出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二十四、债务还本支出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二十五、债务付息支出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二十六、债务发行费用支出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本年收入合计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1947.86</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本年支出合计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2042.72</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上年结转结余</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94.86</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结转下年支出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收入总计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2042.72</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支出总计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2042.72</w:t>
            </w:r>
          </w:p>
        </w:tc>
      </w:tr>
    </w:tbl>
    <w:p>
      <w:pPr>
        <w:pStyle w:val="26"/>
        <w:ind w:left="101"/>
        <w:jc w:val="left"/>
      </w:pPr>
      <w:r>
        <w:t>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r:id="rId8" w:type="default"/>
          <w:footerReference r:id="rId9" w:type="default"/>
          <w:pgSz w:w="16840" w:h="11900" w:orient="landscape"/>
          <w:pgMar w:top="2397" w:right="761" w:bottom="1966" w:left="739" w:header="0" w:footer="1474" w:gutter="0"/>
          <w:pgBorders>
            <w:top w:val="none" w:sz="0" w:space="0"/>
            <w:left w:val="none" w:sz="0" w:space="0"/>
            <w:bottom w:val="none" w:sz="0" w:space="0"/>
            <w:right w:val="none" w:sz="0" w:space="0"/>
          </w:pgBorders>
          <w:pgNumType w:fmt="decimal"/>
          <w:cols w:space="720" w:num="1"/>
          <w:docGrid w:linePitch="360" w:charSpace="0"/>
        </w:sectPr>
      </w:pPr>
    </w:p>
    <w:p>
      <w:pPr>
        <w:tabs>
          <w:tab w:val="left" w:pos="859"/>
        </w:tabs>
        <w:jc w:val="left"/>
        <w:rPr>
          <w:rFonts w:eastAsia="宋体"/>
          <w:lang w:eastAsia="zh-CN"/>
        </w:rPr>
      </w:pPr>
    </w:p>
    <w:p>
      <w:pPr>
        <w:tabs>
          <w:tab w:val="left" w:pos="859"/>
        </w:tabs>
        <w:jc w:val="center"/>
        <w:rPr>
          <w:rFonts w:hint="eastAsia" w:eastAsia="宋体"/>
          <w:lang w:val="en-US" w:eastAsia="zh-CN"/>
        </w:rPr>
      </w:pPr>
    </w:p>
    <w:p>
      <w:pPr>
        <w:tabs>
          <w:tab w:val="left" w:pos="859"/>
        </w:tabs>
        <w:jc w:val="center"/>
        <w:rPr>
          <w:rFonts w:hint="eastAsia" w:eastAsia="宋体"/>
          <w:lang w:val="en-US" w:eastAsia="zh-CN"/>
        </w:rPr>
      </w:pPr>
      <w:r>
        <w:rPr>
          <w:rFonts w:hint="eastAsia" w:eastAsia="宋体"/>
          <w:lang w:val="en-US" w:eastAsia="zh-CN"/>
        </w:rPr>
        <w:t>收入总体情况表</w:t>
      </w:r>
    </w:p>
    <w:p>
      <w:pPr>
        <w:tabs>
          <w:tab w:val="left" w:pos="859"/>
        </w:tabs>
        <w:jc w:val="center"/>
        <w:rPr>
          <w:rFonts w:hint="eastAsia" w:eastAsia="宋体"/>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3481" w:type="dxa"/>
            <w:gridSpan w:val="13"/>
            <w:tcBorders>
              <w:top w:val="nil"/>
              <w:left w:val="nil"/>
              <w:right w:val="nil"/>
            </w:tcBorders>
          </w:tcPr>
          <w:p>
            <w:pPr>
              <w:pStyle w:val="26"/>
              <w:jc w:val="both"/>
              <w:rPr>
                <w:rFonts w:hint="eastAsia"/>
                <w:lang w:val="en-US" w:eastAsia="zh-CN"/>
              </w:rPr>
            </w:pPr>
            <w:r>
              <w:rPr>
                <w:sz w:val="17"/>
                <w:szCs w:val="17"/>
              </w:rPr>
              <w:t>单位名称：</w:t>
            </w:r>
            <w:r>
              <w:rPr>
                <w:rFonts w:hint="eastAsia"/>
                <w:sz w:val="17"/>
                <w:szCs w:val="17"/>
                <w:lang w:eastAsia="zh-CN"/>
              </w:rPr>
              <w:t>环江毛南族自治县第一初级中学</w:t>
            </w:r>
          </w:p>
        </w:tc>
        <w:tc>
          <w:tcPr>
            <w:tcW w:w="2076" w:type="dxa"/>
            <w:gridSpan w:val="3"/>
            <w:tcBorders>
              <w:top w:val="nil"/>
              <w:left w:val="nil"/>
              <w:right w:val="nil"/>
            </w:tcBorders>
          </w:tcPr>
          <w:p>
            <w:pPr>
              <w:pStyle w:val="26"/>
              <w:ind w:firstLine="340" w:firstLineChars="200"/>
              <w:jc w:val="left"/>
              <w:rPr>
                <w:rFonts w:hint="eastAsia"/>
                <w:lang w:val="en-US" w:eastAsia="zh-CN"/>
              </w:rPr>
            </w:pPr>
            <w:r>
              <w:rPr>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6" w:type="dxa"/>
            <w:vMerge w:val="restart"/>
            <w:vAlign w:val="center"/>
          </w:tcPr>
          <w:p>
            <w:pPr>
              <w:tabs>
                <w:tab w:val="left" w:pos="859"/>
              </w:tabs>
              <w:jc w:val="center"/>
              <w:rPr>
                <w:rFonts w:hint="eastAsia" w:eastAsia="宋体"/>
                <w:vertAlign w:val="baseline"/>
                <w:lang w:val="en-US" w:eastAsia="zh-CN"/>
              </w:rPr>
            </w:pPr>
            <w:r>
              <w:rPr>
                <w:sz w:val="17"/>
                <w:szCs w:val="17"/>
              </w:rPr>
              <w:t>部门（单位）代码</w:t>
            </w:r>
          </w:p>
        </w:tc>
        <w:tc>
          <w:tcPr>
            <w:tcW w:w="1279" w:type="dxa"/>
            <w:vMerge w:val="restart"/>
            <w:vAlign w:val="center"/>
          </w:tcPr>
          <w:p>
            <w:pPr>
              <w:tabs>
                <w:tab w:val="left" w:pos="859"/>
              </w:tabs>
              <w:jc w:val="center"/>
              <w:rPr>
                <w:rFonts w:hint="eastAsia" w:eastAsia="宋体"/>
                <w:vertAlign w:val="baseline"/>
                <w:lang w:val="en-US" w:eastAsia="zh-CN"/>
              </w:rPr>
            </w:pPr>
            <w:r>
              <w:rPr>
                <w:sz w:val="17"/>
                <w:szCs w:val="17"/>
              </w:rPr>
              <w:t>部门（单位）名称</w:t>
            </w:r>
          </w:p>
        </w:tc>
        <w:tc>
          <w:tcPr>
            <w:tcW w:w="990" w:type="dxa"/>
            <w:vMerge w:val="restart"/>
            <w:vAlign w:val="center"/>
          </w:tcPr>
          <w:p>
            <w:pPr>
              <w:pStyle w:val="24"/>
              <w:spacing w:line="240" w:lineRule="auto"/>
              <w:ind w:left="0" w:leftChars="0" w:firstLine="0" w:firstLineChars="0"/>
              <w:jc w:val="center"/>
              <w:rPr>
                <w:rFonts w:hint="eastAsia" w:eastAsia="宋体"/>
                <w:vertAlign w:val="baseline"/>
                <w:lang w:val="en-US" w:eastAsia="zh-CN"/>
              </w:rPr>
            </w:pPr>
            <w:r>
              <w:rPr>
                <w:rFonts w:hint="eastAsia"/>
                <w:sz w:val="17"/>
                <w:szCs w:val="17"/>
                <w:lang w:val="en-US" w:eastAsia="zh-CN"/>
              </w:rPr>
              <w:t>合</w:t>
            </w:r>
            <w:r>
              <w:rPr>
                <w:sz w:val="17"/>
                <w:szCs w:val="17"/>
              </w:rPr>
              <w:t>计</w:t>
            </w:r>
          </w:p>
        </w:tc>
        <w:tc>
          <w:tcPr>
            <w:tcW w:w="5843" w:type="dxa"/>
            <w:gridSpan w:val="6"/>
          </w:tcPr>
          <w:p>
            <w:pPr>
              <w:tabs>
                <w:tab w:val="left" w:pos="859"/>
              </w:tabs>
              <w:jc w:val="center"/>
              <w:rPr>
                <w:rFonts w:hint="eastAsia" w:eastAsia="宋体"/>
                <w:vertAlign w:val="baseline"/>
                <w:lang w:val="en-US" w:eastAsia="zh-CN"/>
              </w:rPr>
            </w:pPr>
            <w:r>
              <w:rPr>
                <w:sz w:val="17"/>
                <w:szCs w:val="17"/>
              </w:rPr>
              <w:t>本年收入</w:t>
            </w:r>
          </w:p>
        </w:tc>
        <w:tc>
          <w:tcPr>
            <w:tcW w:w="5809" w:type="dxa"/>
            <w:gridSpan w:val="7"/>
          </w:tcPr>
          <w:p>
            <w:pPr>
              <w:tabs>
                <w:tab w:val="left" w:pos="859"/>
              </w:tabs>
              <w:jc w:val="center"/>
              <w:rPr>
                <w:rFonts w:hint="eastAsia" w:eastAsia="宋体"/>
                <w:vertAlign w:val="baseline"/>
                <w:lang w:val="en-US" w:eastAsia="zh-CN"/>
              </w:rPr>
            </w:pPr>
            <w:r>
              <w:rPr>
                <w:sz w:val="17"/>
                <w:szCs w:val="17"/>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trPr>
        <w:tc>
          <w:tcPr>
            <w:tcW w:w="1636" w:type="dxa"/>
            <w:vMerge w:val="continue"/>
          </w:tcPr>
          <w:p>
            <w:pPr>
              <w:tabs>
                <w:tab w:val="left" w:pos="859"/>
              </w:tabs>
              <w:jc w:val="center"/>
              <w:rPr>
                <w:rFonts w:hint="eastAsia" w:eastAsia="宋体"/>
                <w:vertAlign w:val="baseline"/>
                <w:lang w:val="en-US" w:eastAsia="zh-CN"/>
              </w:rPr>
            </w:pPr>
          </w:p>
        </w:tc>
        <w:tc>
          <w:tcPr>
            <w:tcW w:w="1279" w:type="dxa"/>
            <w:vMerge w:val="continue"/>
          </w:tcPr>
          <w:p>
            <w:pPr>
              <w:tabs>
                <w:tab w:val="left" w:pos="859"/>
              </w:tabs>
              <w:jc w:val="center"/>
              <w:rPr>
                <w:rFonts w:hint="eastAsia" w:eastAsia="宋体"/>
                <w:vertAlign w:val="baseline"/>
                <w:lang w:val="en-US" w:eastAsia="zh-CN"/>
              </w:rPr>
            </w:pPr>
          </w:p>
        </w:tc>
        <w:tc>
          <w:tcPr>
            <w:tcW w:w="990" w:type="dxa"/>
            <w:vMerge w:val="continue"/>
            <w:vAlign w:val="center"/>
          </w:tcPr>
          <w:p>
            <w:pPr>
              <w:pStyle w:val="24"/>
              <w:spacing w:line="240" w:lineRule="auto"/>
              <w:ind w:firstLine="300" w:firstLineChars="0"/>
              <w:jc w:val="center"/>
              <w:rPr>
                <w:rFonts w:hint="eastAsia" w:eastAsia="宋体"/>
                <w:vertAlign w:val="baseline"/>
                <w:lang w:val="en-US" w:eastAsia="zh-CN"/>
              </w:rPr>
            </w:pPr>
          </w:p>
        </w:tc>
        <w:tc>
          <w:tcPr>
            <w:tcW w:w="926" w:type="dxa"/>
            <w:vAlign w:val="center"/>
          </w:tcPr>
          <w:p>
            <w:pPr>
              <w:pStyle w:val="24"/>
              <w:spacing w:line="240" w:lineRule="auto"/>
              <w:ind w:firstLine="300" w:firstLineChars="0"/>
              <w:jc w:val="center"/>
              <w:rPr>
                <w:rFonts w:hint="eastAsia" w:eastAsia="宋体"/>
                <w:vertAlign w:val="baseline"/>
                <w:lang w:val="en-US" w:eastAsia="zh-CN"/>
              </w:rPr>
            </w:pPr>
            <w:r>
              <w:rPr>
                <w:sz w:val="17"/>
                <w:szCs w:val="17"/>
              </w:rPr>
              <w:t>小计</w:t>
            </w:r>
          </w:p>
        </w:tc>
        <w:tc>
          <w:tcPr>
            <w:tcW w:w="909" w:type="dxa"/>
            <w:vAlign w:val="center"/>
          </w:tcPr>
          <w:p>
            <w:pPr>
              <w:pStyle w:val="24"/>
              <w:spacing w:line="317" w:lineRule="exact"/>
              <w:ind w:firstLine="0" w:firstLineChars="0"/>
              <w:jc w:val="center"/>
              <w:rPr>
                <w:rFonts w:hint="eastAsia" w:eastAsia="宋体"/>
                <w:vertAlign w:val="baseline"/>
                <w:lang w:val="en-US" w:eastAsia="zh-CN"/>
              </w:rPr>
            </w:pPr>
            <w:r>
              <w:rPr>
                <w:sz w:val="17"/>
                <w:szCs w:val="17"/>
              </w:rPr>
              <w:t>一般公共预算</w:t>
            </w:r>
          </w:p>
        </w:tc>
        <w:tc>
          <w:tcPr>
            <w:tcW w:w="968" w:type="dxa"/>
            <w:vAlign w:val="center"/>
          </w:tcPr>
          <w:p>
            <w:pPr>
              <w:pStyle w:val="24"/>
              <w:spacing w:line="317" w:lineRule="exact"/>
              <w:ind w:firstLine="0" w:firstLineChars="0"/>
              <w:jc w:val="center"/>
              <w:rPr>
                <w:rFonts w:hint="eastAsia" w:eastAsia="宋体"/>
                <w:vertAlign w:val="baseline"/>
                <w:lang w:val="en-US" w:eastAsia="zh-CN"/>
              </w:rPr>
            </w:pPr>
            <w:r>
              <w:rPr>
                <w:sz w:val="17"/>
                <w:szCs w:val="17"/>
              </w:rPr>
              <w:t>政府性基金预算</w:t>
            </w:r>
          </w:p>
        </w:tc>
        <w:tc>
          <w:tcPr>
            <w:tcW w:w="990" w:type="dxa"/>
            <w:vAlign w:val="center"/>
          </w:tcPr>
          <w:p>
            <w:pPr>
              <w:pStyle w:val="24"/>
              <w:spacing w:line="317" w:lineRule="exact"/>
              <w:ind w:firstLine="0" w:firstLineChars="0"/>
              <w:jc w:val="center"/>
              <w:rPr>
                <w:rFonts w:hint="eastAsia" w:eastAsia="宋体"/>
                <w:vertAlign w:val="baseline"/>
                <w:lang w:val="en-US" w:eastAsia="zh-CN"/>
              </w:rPr>
            </w:pPr>
            <w:r>
              <w:rPr>
                <w:sz w:val="17"/>
                <w:szCs w:val="17"/>
              </w:rPr>
              <w:t>国有资本经营预算</w:t>
            </w:r>
          </w:p>
        </w:tc>
        <w:tc>
          <w:tcPr>
            <w:tcW w:w="1078" w:type="dxa"/>
          </w:tcPr>
          <w:p>
            <w:pPr>
              <w:pStyle w:val="24"/>
              <w:spacing w:line="312" w:lineRule="exact"/>
              <w:ind w:firstLine="0"/>
              <w:jc w:val="center"/>
              <w:rPr>
                <w:sz w:val="17"/>
                <w:szCs w:val="17"/>
              </w:rPr>
            </w:pPr>
            <w:r>
              <w:rPr>
                <w:sz w:val="17"/>
                <w:szCs w:val="17"/>
              </w:rPr>
              <w:t>财政专户管理资金</w:t>
            </w:r>
          </w:p>
          <w:p>
            <w:pPr>
              <w:pStyle w:val="24"/>
              <w:spacing w:line="312" w:lineRule="exact"/>
              <w:ind w:firstLine="0" w:firstLineChars="0"/>
              <w:jc w:val="center"/>
              <w:rPr>
                <w:rFonts w:hint="eastAsia" w:eastAsia="宋体"/>
                <w:vertAlign w:val="baseline"/>
                <w:lang w:val="en-US" w:eastAsia="zh-CN"/>
              </w:rPr>
            </w:pPr>
            <w:r>
              <w:rPr>
                <w:sz w:val="17"/>
                <w:szCs w:val="17"/>
              </w:rPr>
              <w:t>收入</w:t>
            </w:r>
          </w:p>
        </w:tc>
        <w:tc>
          <w:tcPr>
            <w:tcW w:w="972" w:type="dxa"/>
            <w:vAlign w:val="center"/>
          </w:tcPr>
          <w:p>
            <w:pPr>
              <w:pStyle w:val="24"/>
              <w:spacing w:line="240" w:lineRule="auto"/>
              <w:ind w:firstLine="0" w:firstLineChars="0"/>
              <w:jc w:val="center"/>
              <w:rPr>
                <w:rFonts w:hint="eastAsia" w:eastAsia="宋体"/>
                <w:vertAlign w:val="baseline"/>
                <w:lang w:val="en-US" w:eastAsia="zh-CN"/>
              </w:rPr>
            </w:pPr>
            <w:r>
              <w:rPr>
                <w:sz w:val="17"/>
                <w:szCs w:val="17"/>
              </w:rPr>
              <w:t>单位资金</w:t>
            </w:r>
          </w:p>
        </w:tc>
        <w:tc>
          <w:tcPr>
            <w:tcW w:w="919" w:type="dxa"/>
            <w:vAlign w:val="center"/>
          </w:tcPr>
          <w:p>
            <w:pPr>
              <w:pStyle w:val="24"/>
              <w:spacing w:line="240" w:lineRule="auto"/>
              <w:ind w:firstLine="300" w:firstLineChars="0"/>
              <w:jc w:val="center"/>
              <w:rPr>
                <w:rFonts w:hint="eastAsia" w:eastAsia="宋体"/>
                <w:vertAlign w:val="baseline"/>
                <w:lang w:val="en-US" w:eastAsia="zh-CN"/>
              </w:rPr>
            </w:pPr>
            <w:r>
              <w:rPr>
                <w:sz w:val="17"/>
                <w:szCs w:val="17"/>
              </w:rPr>
              <w:t>小计</w:t>
            </w:r>
          </w:p>
        </w:tc>
        <w:tc>
          <w:tcPr>
            <w:tcW w:w="1011" w:type="dxa"/>
            <w:vAlign w:val="center"/>
          </w:tcPr>
          <w:p>
            <w:pPr>
              <w:pStyle w:val="24"/>
              <w:spacing w:line="317" w:lineRule="exact"/>
              <w:ind w:firstLine="0" w:firstLineChars="0"/>
              <w:jc w:val="center"/>
              <w:rPr>
                <w:rFonts w:hint="eastAsia" w:eastAsia="宋体"/>
                <w:vertAlign w:val="baseline"/>
                <w:lang w:val="en-US" w:eastAsia="zh-CN"/>
              </w:rPr>
            </w:pPr>
            <w:r>
              <w:rPr>
                <w:sz w:val="17"/>
                <w:szCs w:val="17"/>
              </w:rPr>
              <w:t>一般公共预算</w:t>
            </w:r>
          </w:p>
        </w:tc>
        <w:tc>
          <w:tcPr>
            <w:tcW w:w="859" w:type="dxa"/>
            <w:vAlign w:val="center"/>
          </w:tcPr>
          <w:p>
            <w:pPr>
              <w:pStyle w:val="24"/>
              <w:spacing w:line="317" w:lineRule="exact"/>
              <w:ind w:firstLine="0" w:firstLineChars="0"/>
              <w:jc w:val="center"/>
              <w:rPr>
                <w:rFonts w:hint="eastAsia" w:eastAsia="宋体"/>
                <w:vertAlign w:val="baseline"/>
                <w:lang w:val="en-US" w:eastAsia="zh-CN"/>
              </w:rPr>
            </w:pPr>
            <w:r>
              <w:rPr>
                <w:sz w:val="17"/>
                <w:szCs w:val="17"/>
              </w:rPr>
              <w:t>政府性基金预算</w:t>
            </w:r>
          </w:p>
        </w:tc>
        <w:tc>
          <w:tcPr>
            <w:tcW w:w="1094" w:type="dxa"/>
            <w:gridSpan w:val="2"/>
            <w:vAlign w:val="center"/>
          </w:tcPr>
          <w:p>
            <w:pPr>
              <w:pStyle w:val="24"/>
              <w:spacing w:line="317" w:lineRule="exact"/>
              <w:ind w:firstLine="0" w:firstLineChars="0"/>
              <w:jc w:val="center"/>
              <w:rPr>
                <w:rFonts w:hint="eastAsia" w:eastAsia="宋体"/>
                <w:vertAlign w:val="baseline"/>
                <w:lang w:val="en-US" w:eastAsia="zh-CN"/>
              </w:rPr>
            </w:pPr>
            <w:r>
              <w:rPr>
                <w:sz w:val="17"/>
                <w:szCs w:val="17"/>
              </w:rPr>
              <w:t>国有资本经营预算</w:t>
            </w:r>
          </w:p>
        </w:tc>
        <w:tc>
          <w:tcPr>
            <w:tcW w:w="937" w:type="dxa"/>
          </w:tcPr>
          <w:p>
            <w:pPr>
              <w:pStyle w:val="24"/>
              <w:spacing w:line="312" w:lineRule="exact"/>
              <w:ind w:firstLine="0"/>
              <w:jc w:val="center"/>
              <w:rPr>
                <w:sz w:val="17"/>
                <w:szCs w:val="17"/>
              </w:rPr>
            </w:pPr>
            <w:r>
              <w:rPr>
                <w:sz w:val="17"/>
                <w:szCs w:val="17"/>
              </w:rPr>
              <w:t>财政专户管理资金</w:t>
            </w:r>
          </w:p>
          <w:p>
            <w:pPr>
              <w:pStyle w:val="24"/>
              <w:spacing w:line="312" w:lineRule="exact"/>
              <w:ind w:right="280" w:rightChars="0" w:firstLine="0" w:firstLineChars="0"/>
              <w:jc w:val="center"/>
              <w:rPr>
                <w:rFonts w:hint="eastAsia" w:eastAsia="宋体"/>
                <w:vertAlign w:val="baseline"/>
                <w:lang w:val="en-US" w:eastAsia="zh-CN"/>
              </w:rPr>
            </w:pPr>
            <w:r>
              <w:rPr>
                <w:sz w:val="17"/>
                <w:szCs w:val="17"/>
              </w:rPr>
              <w:t>收入</w:t>
            </w:r>
          </w:p>
        </w:tc>
        <w:tc>
          <w:tcPr>
            <w:tcW w:w="989" w:type="dxa"/>
            <w:vAlign w:val="center"/>
          </w:tcPr>
          <w:p>
            <w:pPr>
              <w:pStyle w:val="24"/>
              <w:spacing w:line="240" w:lineRule="auto"/>
              <w:ind w:firstLine="140" w:firstLineChars="0"/>
              <w:jc w:val="center"/>
              <w:rPr>
                <w:rFonts w:hint="eastAsia" w:eastAsia="宋体"/>
                <w:vertAlign w:val="baseline"/>
                <w:lang w:val="en-US" w:eastAsia="zh-CN"/>
              </w:rPr>
            </w:pPr>
            <w:r>
              <w:rPr>
                <w:sz w:val="17"/>
                <w:szCs w:val="17"/>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6" w:type="dxa"/>
          </w:tcPr>
          <w:p>
            <w:pPr>
              <w:tabs>
                <w:tab w:val="left" w:pos="859"/>
              </w:tabs>
              <w:jc w:val="both"/>
              <w:rPr>
                <w:rFonts w:hint="eastAsia" w:eastAsia="宋体"/>
                <w:vertAlign w:val="baseline"/>
                <w:lang w:val="en-US" w:eastAsia="zh-CN"/>
              </w:rPr>
            </w:pPr>
          </w:p>
        </w:tc>
        <w:tc>
          <w:tcPr>
            <w:tcW w:w="1279" w:type="dxa"/>
          </w:tcPr>
          <w:p>
            <w:pPr>
              <w:tabs>
                <w:tab w:val="left" w:pos="859"/>
              </w:tabs>
              <w:jc w:val="both"/>
              <w:rPr>
                <w:rFonts w:hint="eastAsia" w:eastAsia="宋体"/>
                <w:vertAlign w:val="baseline"/>
                <w:lang w:val="en-US" w:eastAsia="zh-CN"/>
              </w:rPr>
            </w:pPr>
          </w:p>
        </w:tc>
        <w:tc>
          <w:tcPr>
            <w:tcW w:w="990" w:type="dxa"/>
            <w:vAlign w:val="center"/>
          </w:tcPr>
          <w:p>
            <w:pPr>
              <w:pStyle w:val="24"/>
              <w:spacing w:line="240" w:lineRule="auto"/>
              <w:ind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w:t>
            </w:r>
          </w:p>
        </w:tc>
        <w:tc>
          <w:tcPr>
            <w:tcW w:w="926" w:type="dxa"/>
            <w:vAlign w:val="center"/>
          </w:tcPr>
          <w:p>
            <w:pPr>
              <w:pStyle w:val="24"/>
              <w:spacing w:line="240" w:lineRule="auto"/>
              <w:ind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2</w:t>
            </w:r>
          </w:p>
        </w:tc>
        <w:tc>
          <w:tcPr>
            <w:tcW w:w="909" w:type="dxa"/>
            <w:vAlign w:val="center"/>
          </w:tcPr>
          <w:p>
            <w:pPr>
              <w:pStyle w:val="24"/>
              <w:spacing w:line="240" w:lineRule="auto"/>
              <w:ind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3</w:t>
            </w:r>
          </w:p>
        </w:tc>
        <w:tc>
          <w:tcPr>
            <w:tcW w:w="968" w:type="dxa"/>
            <w:vAlign w:val="center"/>
          </w:tcPr>
          <w:p>
            <w:pPr>
              <w:pStyle w:val="24"/>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4</w:t>
            </w:r>
          </w:p>
        </w:tc>
        <w:tc>
          <w:tcPr>
            <w:tcW w:w="990" w:type="dxa"/>
            <w:vAlign w:val="center"/>
          </w:tcPr>
          <w:p>
            <w:pPr>
              <w:pStyle w:val="24"/>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5</w:t>
            </w:r>
          </w:p>
        </w:tc>
        <w:tc>
          <w:tcPr>
            <w:tcW w:w="1078" w:type="dxa"/>
            <w:vAlign w:val="center"/>
          </w:tcPr>
          <w:p>
            <w:pPr>
              <w:pStyle w:val="24"/>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6</w:t>
            </w:r>
          </w:p>
        </w:tc>
        <w:tc>
          <w:tcPr>
            <w:tcW w:w="972" w:type="dxa"/>
            <w:vAlign w:val="center"/>
          </w:tcPr>
          <w:p>
            <w:pPr>
              <w:pStyle w:val="24"/>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7</w:t>
            </w:r>
          </w:p>
        </w:tc>
        <w:tc>
          <w:tcPr>
            <w:tcW w:w="919" w:type="dxa"/>
            <w:vAlign w:val="center"/>
          </w:tcPr>
          <w:p>
            <w:pPr>
              <w:pStyle w:val="24"/>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8</w:t>
            </w:r>
          </w:p>
        </w:tc>
        <w:tc>
          <w:tcPr>
            <w:tcW w:w="1011" w:type="dxa"/>
            <w:vAlign w:val="center"/>
          </w:tcPr>
          <w:p>
            <w:pPr>
              <w:pStyle w:val="24"/>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9</w:t>
            </w:r>
          </w:p>
        </w:tc>
        <w:tc>
          <w:tcPr>
            <w:tcW w:w="859" w:type="dxa"/>
            <w:vAlign w:val="center"/>
          </w:tcPr>
          <w:p>
            <w:pPr>
              <w:pStyle w:val="24"/>
              <w:spacing w:line="240" w:lineRule="auto"/>
              <w:ind w:right="360" w:righ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10</w:t>
            </w:r>
          </w:p>
        </w:tc>
        <w:tc>
          <w:tcPr>
            <w:tcW w:w="1094" w:type="dxa"/>
            <w:gridSpan w:val="2"/>
            <w:vAlign w:val="center"/>
          </w:tcPr>
          <w:p>
            <w:pPr>
              <w:pStyle w:val="24"/>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11</w:t>
            </w:r>
          </w:p>
        </w:tc>
        <w:tc>
          <w:tcPr>
            <w:tcW w:w="937" w:type="dxa"/>
            <w:vAlign w:val="center"/>
          </w:tcPr>
          <w:p>
            <w:pPr>
              <w:pStyle w:val="24"/>
              <w:spacing w:line="240" w:lineRule="auto"/>
              <w:ind w:right="380" w:righ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12</w:t>
            </w:r>
          </w:p>
        </w:tc>
        <w:tc>
          <w:tcPr>
            <w:tcW w:w="989" w:type="dxa"/>
            <w:vAlign w:val="center"/>
          </w:tcPr>
          <w:p>
            <w:pPr>
              <w:pStyle w:val="24"/>
              <w:spacing w:line="240" w:lineRule="auto"/>
              <w:ind w:right="420" w:righ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636" w:type="dxa"/>
            <w:vAlign w:val="center"/>
          </w:tcPr>
          <w:p>
            <w:pPr>
              <w:pStyle w:val="24"/>
              <w:spacing w:line="240" w:lineRule="auto"/>
              <w:ind w:firstLine="0" w:firstLineChars="0"/>
              <w:jc w:val="lef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rPr>
              <w:t>201036</w:t>
            </w:r>
          </w:p>
        </w:tc>
        <w:tc>
          <w:tcPr>
            <w:tcW w:w="1279" w:type="dxa"/>
          </w:tcPr>
          <w:p>
            <w:pPr>
              <w:pStyle w:val="24"/>
              <w:spacing w:line="326" w:lineRule="exact"/>
              <w:ind w:firstLine="0" w:firstLineChars="0"/>
              <w:jc w:val="lef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rPr>
              <w:t>环江毛南族自治县第一初级中学</w:t>
            </w:r>
          </w:p>
        </w:tc>
        <w:tc>
          <w:tcPr>
            <w:tcW w:w="990" w:type="dxa"/>
            <w:vAlign w:val="center"/>
          </w:tcPr>
          <w:p>
            <w:pPr>
              <w:pStyle w:val="24"/>
              <w:spacing w:line="240" w:lineRule="auto"/>
              <w:ind w:left="0" w:leftChars="0"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2042.72</w:t>
            </w:r>
          </w:p>
        </w:tc>
        <w:tc>
          <w:tcPr>
            <w:tcW w:w="926" w:type="dxa"/>
            <w:vAlign w:val="center"/>
          </w:tcPr>
          <w:p>
            <w:pPr>
              <w:pStyle w:val="24"/>
              <w:spacing w:line="240" w:lineRule="auto"/>
              <w:ind w:left="0" w:leftChars="0"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1947.86</w:t>
            </w:r>
          </w:p>
        </w:tc>
        <w:tc>
          <w:tcPr>
            <w:tcW w:w="909" w:type="dxa"/>
            <w:vAlign w:val="center"/>
          </w:tcPr>
          <w:p>
            <w:pPr>
              <w:pStyle w:val="24"/>
              <w:spacing w:line="240" w:lineRule="auto"/>
              <w:ind w:left="0" w:leftChars="0"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1947.86</w:t>
            </w:r>
          </w:p>
        </w:tc>
        <w:tc>
          <w:tcPr>
            <w:tcW w:w="968" w:type="dxa"/>
            <w:vAlign w:val="center"/>
          </w:tcPr>
          <w:p>
            <w:pPr>
              <w:pStyle w:val="24"/>
              <w:spacing w:line="240" w:lineRule="auto"/>
              <w:ind w:left="0" w:leftChars="0"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990" w:type="dxa"/>
            <w:vAlign w:val="center"/>
          </w:tcPr>
          <w:p>
            <w:pPr>
              <w:pStyle w:val="24"/>
              <w:spacing w:line="240" w:lineRule="auto"/>
              <w:ind w:left="0" w:leftChars="0"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1078" w:type="dxa"/>
            <w:vAlign w:val="center"/>
          </w:tcPr>
          <w:p>
            <w:pPr>
              <w:pStyle w:val="24"/>
              <w:spacing w:line="240" w:lineRule="auto"/>
              <w:ind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972" w:type="dxa"/>
            <w:vAlign w:val="center"/>
          </w:tcPr>
          <w:p>
            <w:pPr>
              <w:pStyle w:val="24"/>
              <w:spacing w:line="240" w:lineRule="auto"/>
              <w:ind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919" w:type="dxa"/>
            <w:vAlign w:val="center"/>
          </w:tcPr>
          <w:p>
            <w:pPr>
              <w:spacing w:line="240" w:lineRule="auto"/>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94.86</w:t>
            </w:r>
          </w:p>
        </w:tc>
        <w:tc>
          <w:tcPr>
            <w:tcW w:w="1011" w:type="dxa"/>
            <w:vAlign w:val="center"/>
          </w:tcPr>
          <w:p>
            <w:pPr>
              <w:spacing w:line="240" w:lineRule="auto"/>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94.86</w:t>
            </w:r>
          </w:p>
        </w:tc>
        <w:tc>
          <w:tcPr>
            <w:tcW w:w="859" w:type="dxa"/>
            <w:vAlign w:val="center"/>
          </w:tcPr>
          <w:p>
            <w:pPr>
              <w:spacing w:line="240" w:lineRule="auto"/>
              <w:ind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1094" w:type="dxa"/>
            <w:gridSpan w:val="2"/>
            <w:vAlign w:val="center"/>
          </w:tcPr>
          <w:p>
            <w:pPr>
              <w:spacing w:line="240" w:lineRule="auto"/>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937" w:type="dxa"/>
            <w:vAlign w:val="center"/>
          </w:tcPr>
          <w:p>
            <w:pPr>
              <w:spacing w:line="240" w:lineRule="auto"/>
              <w:ind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989" w:type="dxa"/>
            <w:vAlign w:val="center"/>
          </w:tcPr>
          <w:p>
            <w:pPr>
              <w:spacing w:line="240" w:lineRule="auto"/>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7" w:type="dxa"/>
            <w:gridSpan w:val="16"/>
            <w:tcBorders>
              <w:left w:val="nil"/>
              <w:bottom w:val="nil"/>
              <w:right w:val="nil"/>
            </w:tcBorders>
          </w:tcPr>
          <w:p>
            <w:pPr>
              <w:pStyle w:val="26"/>
              <w:jc w:val="left"/>
              <w:rPr>
                <w:rFonts w:hint="eastAsia" w:eastAsia="宋体"/>
                <w:sz w:val="17"/>
                <w:szCs w:val="17"/>
                <w:vertAlign w:val="baseline"/>
                <w:lang w:val="en-US" w:eastAsia="zh-CN"/>
              </w:rPr>
            </w:pPr>
            <w:r>
              <w:rPr>
                <w:sz w:val="17"/>
                <w:szCs w:val="17"/>
              </w:rPr>
              <w:t>注：本报表金额单位转换时可能存在四舍五入尾数误差。</w:t>
            </w:r>
          </w:p>
        </w:tc>
      </w:tr>
    </w:tbl>
    <w:p>
      <w:pPr>
        <w:tabs>
          <w:tab w:val="left" w:pos="859"/>
        </w:tabs>
        <w:jc w:val="both"/>
        <w:rPr>
          <w:rFonts w:hint="eastAsia" w:eastAsia="宋体"/>
          <w:lang w:val="en-US" w:eastAsia="zh-CN"/>
        </w:rPr>
      </w:pPr>
    </w:p>
    <w:p>
      <w:pPr>
        <w:tabs>
          <w:tab w:val="left" w:pos="859"/>
        </w:tabs>
        <w:jc w:val="center"/>
        <w:rPr>
          <w:rFonts w:hint="eastAsia" w:eastAsia="宋体"/>
          <w:lang w:val="en-US" w:eastAsia="zh-CN"/>
        </w:rPr>
      </w:pPr>
    </w:p>
    <w:p>
      <w:pPr>
        <w:tabs>
          <w:tab w:val="left" w:pos="859"/>
        </w:tabs>
        <w:jc w:val="both"/>
        <w:rPr>
          <w:rFonts w:hint="eastAsia" w:eastAsia="宋体"/>
          <w:lang w:val="en-US" w:eastAsia="zh-CN"/>
        </w:rPr>
      </w:pPr>
    </w:p>
    <w:p>
      <w:pPr>
        <w:spacing w:line="1" w:lineRule="exact"/>
        <w:jc w:val="left"/>
        <w:rPr>
          <w:lang w:eastAsia="zh-CN"/>
        </w:rPr>
        <w:sectPr>
          <w:headerReference r:id="rId10" w:type="default"/>
          <w:footerReference r:id="rId11" w:type="default"/>
          <w:pgSz w:w="16840" w:h="11900" w:orient="landscape"/>
          <w:pgMar w:top="2709" w:right="764" w:bottom="2709" w:left="735" w:header="2281" w:footer="1474" w:gutter="0"/>
          <w:pgBorders>
            <w:top w:val="none" w:sz="0" w:space="0"/>
            <w:left w:val="none" w:sz="0" w:space="0"/>
            <w:bottom w:val="none" w:sz="0" w:space="0"/>
            <w:right w:val="none" w:sz="0" w:space="0"/>
          </w:pgBorders>
          <w:pgNumType w:fmt="decimal"/>
          <w:cols w:space="720" w:num="1"/>
          <w:docGrid w:linePitch="360" w:charSpace="0"/>
        </w:sectPr>
      </w:pPr>
    </w:p>
    <w:p>
      <w:pPr>
        <w:pStyle w:val="22"/>
        <w:keepNext/>
        <w:keepLines/>
        <w:spacing w:after="240"/>
        <w:jc w:val="center"/>
      </w:pPr>
      <w:bookmarkStart w:id="19" w:name="bookmark42"/>
      <w:bookmarkStart w:id="20" w:name="bookmark43"/>
      <w:bookmarkStart w:id="21" w:name="bookmark41"/>
      <w:r>
        <w:t>支出总体情况表</w:t>
      </w:r>
      <w:bookmarkEnd w:id="19"/>
      <w:bookmarkEnd w:id="20"/>
      <w:bookmarkEnd w:id="21"/>
    </w:p>
    <w:tbl>
      <w:tblPr>
        <w:tblStyle w:val="4"/>
        <w:tblW w:w="0" w:type="auto"/>
        <w:tblInd w:w="0" w:type="dxa"/>
        <w:tblLayout w:type="fixed"/>
        <w:tblCellMar>
          <w:top w:w="0" w:type="dxa"/>
          <w:left w:w="10" w:type="dxa"/>
          <w:bottom w:w="0" w:type="dxa"/>
          <w:right w:w="10" w:type="dxa"/>
        </w:tblCellMar>
      </w:tblPr>
      <w:tblGrid>
        <w:gridCol w:w="1843"/>
        <w:gridCol w:w="1934"/>
        <w:gridCol w:w="2390"/>
        <w:gridCol w:w="2280"/>
        <w:gridCol w:w="2299"/>
        <w:gridCol w:w="2222"/>
        <w:gridCol w:w="2371"/>
      </w:tblGrid>
      <w:tr>
        <w:tblPrEx>
          <w:tblCellMar>
            <w:top w:w="0" w:type="dxa"/>
            <w:left w:w="10" w:type="dxa"/>
            <w:bottom w:w="0" w:type="dxa"/>
            <w:right w:w="10" w:type="dxa"/>
          </w:tblCellMar>
        </w:tblPrEx>
        <w:trPr>
          <w:cantSplit/>
          <w:trHeight w:val="346" w:hRule="exact"/>
        </w:trPr>
        <w:tc>
          <w:tcPr>
            <w:tcW w:w="12968" w:type="dxa"/>
            <w:gridSpan w:val="6"/>
            <w:shd w:val="clear" w:color="auto" w:fill="FFFFFF"/>
          </w:tcPr>
          <w:p>
            <w:pPr>
              <w:pStyle w:val="24"/>
              <w:spacing w:line="240" w:lineRule="auto"/>
              <w:ind w:firstLine="0"/>
              <w:jc w:val="left"/>
              <w:rPr>
                <w:sz w:val="17"/>
                <w:szCs w:val="17"/>
              </w:rPr>
            </w:pPr>
            <w:r>
              <w:rPr>
                <w:sz w:val="17"/>
                <w:szCs w:val="17"/>
              </w:rPr>
              <w:t>单位名称：</w:t>
            </w:r>
            <w:r>
              <w:rPr>
                <w:rFonts w:hint="eastAsia"/>
                <w:sz w:val="17"/>
                <w:szCs w:val="17"/>
                <w:lang w:eastAsia="zh-CN"/>
              </w:rPr>
              <w:t>环江毛南族自治县第一初级中学</w:t>
            </w:r>
          </w:p>
        </w:tc>
        <w:tc>
          <w:tcPr>
            <w:tcW w:w="2371" w:type="dxa"/>
            <w:shd w:val="clear" w:color="auto" w:fill="FFFFFF"/>
          </w:tcPr>
          <w:p>
            <w:pPr>
              <w:pStyle w:val="24"/>
              <w:spacing w:line="240" w:lineRule="auto"/>
              <w:ind w:firstLine="1190" w:firstLineChars="700"/>
              <w:jc w:val="left"/>
              <w:rPr>
                <w:sz w:val="17"/>
                <w:szCs w:val="17"/>
              </w:rPr>
            </w:pPr>
            <w:r>
              <w:rPr>
                <w:sz w:val="17"/>
                <w:szCs w:val="17"/>
              </w:rPr>
              <w:t>单位：万元</w:t>
            </w:r>
          </w:p>
        </w:tc>
      </w:tr>
      <w:tr>
        <w:tblPrEx>
          <w:tblCellMar>
            <w:top w:w="0" w:type="dxa"/>
            <w:left w:w="10" w:type="dxa"/>
            <w:bottom w:w="0" w:type="dxa"/>
            <w:right w:w="10" w:type="dxa"/>
          </w:tblCellMar>
        </w:tblPrEx>
        <w:trPr>
          <w:cantSplit/>
          <w:trHeight w:val="854" w:hRule="exact"/>
        </w:trPr>
        <w:tc>
          <w:tcPr>
            <w:tcW w:w="184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科目编码</w:t>
            </w:r>
          </w:p>
        </w:tc>
        <w:tc>
          <w:tcPr>
            <w:tcW w:w="1934"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40"/>
              <w:jc w:val="left"/>
              <w:rPr>
                <w:sz w:val="17"/>
                <w:szCs w:val="17"/>
              </w:rPr>
            </w:pPr>
            <w:r>
              <w:rPr>
                <w:sz w:val="17"/>
                <w:szCs w:val="17"/>
              </w:rPr>
              <w:t>部门（单位）代码</w:t>
            </w:r>
          </w:p>
        </w:tc>
        <w:tc>
          <w:tcPr>
            <w:tcW w:w="2390" w:type="dxa"/>
            <w:tcBorders>
              <w:top w:val="single" w:color="auto" w:sz="4" w:space="0"/>
              <w:left w:val="single" w:color="auto" w:sz="4" w:space="0"/>
              <w:bottom w:val="single" w:color="auto" w:sz="4" w:space="0"/>
            </w:tcBorders>
            <w:shd w:val="clear" w:color="auto" w:fill="FFFFFF"/>
            <w:vAlign w:val="center"/>
          </w:tcPr>
          <w:p>
            <w:pPr>
              <w:pStyle w:val="24"/>
              <w:spacing w:after="120" w:line="240" w:lineRule="auto"/>
              <w:ind w:firstLine="0"/>
              <w:jc w:val="left"/>
              <w:rPr>
                <w:sz w:val="17"/>
                <w:szCs w:val="17"/>
              </w:rPr>
            </w:pPr>
            <w:r>
              <w:rPr>
                <w:sz w:val="17"/>
                <w:szCs w:val="17"/>
              </w:rPr>
              <w:t>部门（单位）名称</w:t>
            </w:r>
          </w:p>
          <w:p>
            <w:pPr>
              <w:pStyle w:val="24"/>
              <w:spacing w:line="240" w:lineRule="auto"/>
              <w:ind w:firstLine="0"/>
              <w:jc w:val="left"/>
              <w:rPr>
                <w:sz w:val="17"/>
                <w:szCs w:val="17"/>
              </w:rPr>
            </w:pPr>
            <w:r>
              <w:rPr>
                <w:sz w:val="17"/>
                <w:szCs w:val="17"/>
              </w:rPr>
              <w:t>（功能分类科目名称）</w:t>
            </w:r>
          </w:p>
        </w:tc>
        <w:tc>
          <w:tcPr>
            <w:tcW w:w="228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合计</w:t>
            </w:r>
          </w:p>
        </w:tc>
        <w:tc>
          <w:tcPr>
            <w:tcW w:w="2299"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基本支出</w:t>
            </w:r>
          </w:p>
        </w:tc>
        <w:tc>
          <w:tcPr>
            <w:tcW w:w="222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项目支出</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sz w:val="17"/>
                <w:szCs w:val="17"/>
              </w:rPr>
            </w:pPr>
            <w:r>
              <w:rPr>
                <w:sz w:val="17"/>
                <w:szCs w:val="17"/>
              </w:rPr>
              <w:t>结转下年支出</w:t>
            </w:r>
          </w:p>
        </w:tc>
      </w:tr>
      <w:tr>
        <w:tblPrEx>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val="0"/>
                <w:bCs w:val="0"/>
                <w:sz w:val="17"/>
                <w:szCs w:val="17"/>
                <w:lang w:val="en-US" w:eastAsia="zh-CN"/>
              </w:rPr>
            </w:pP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val="0"/>
                <w:bCs w:val="0"/>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合计</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2042.72</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1864.16</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178.56</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tblPrEx>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val="0"/>
                <w:bCs w:val="0"/>
                <w:sz w:val="17"/>
                <w:szCs w:val="17"/>
                <w:lang w:val="en-US" w:eastAsia="zh-CN"/>
              </w:rPr>
            </w:pP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201036</w:t>
            </w: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2042.72</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1864.16</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178.56</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tblPrEx>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2012999</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val="0"/>
                <w:bCs w:val="0"/>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其他群众团体事务支出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26.24</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26.24</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tblPrEx>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2050203</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val="0"/>
                <w:bCs w:val="0"/>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初中教育</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1630.25</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1452.83</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177.42</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tblPrEx>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2050701</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val="0"/>
                <w:bCs w:val="0"/>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特殊学校教育</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1.14</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1.14</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tblPrEx>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2080505</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val="0"/>
                <w:bCs w:val="0"/>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机关事业单位基本养老保险缴费支出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209.92</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209.92</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tblPrEx>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2210201</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val="0"/>
                <w:bCs w:val="0"/>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住房公积金</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175.17</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175.17</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bl>
    <w:p>
      <w:pPr>
        <w:pStyle w:val="26"/>
        <w:ind w:left="672"/>
        <w:jc w:val="left"/>
      </w:pPr>
      <w:r>
        <w:rPr>
          <w:b w:val="0"/>
          <w:bCs w:val="0"/>
        </w:rPr>
        <w:t>注：本报表金额单位转换时可能存在四舍五入尾数误差。</w:t>
      </w:r>
      <w:r>
        <w:br w:type="page"/>
      </w:r>
    </w:p>
    <w:p>
      <w:pPr>
        <w:pStyle w:val="22"/>
        <w:keepNext/>
        <w:keepLines/>
        <w:spacing w:after="240"/>
        <w:jc w:val="center"/>
      </w:pPr>
      <w:bookmarkStart w:id="22" w:name="bookmark44"/>
      <w:bookmarkStart w:id="23" w:name="bookmark46"/>
      <w:bookmarkStart w:id="24" w:name="bookmark45"/>
      <w:r>
        <w:t>财政拨款收支总体情况表</w:t>
      </w:r>
      <w:bookmarkEnd w:id="22"/>
      <w:bookmarkEnd w:id="23"/>
      <w:bookmarkEnd w:id="24"/>
    </w:p>
    <w:tbl>
      <w:tblPr>
        <w:tblStyle w:val="4"/>
        <w:tblW w:w="0" w:type="auto"/>
        <w:tblInd w:w="0" w:type="dxa"/>
        <w:tblLayout w:type="fixed"/>
        <w:tblCellMar>
          <w:top w:w="0" w:type="dxa"/>
          <w:left w:w="10" w:type="dxa"/>
          <w:bottom w:w="0" w:type="dxa"/>
          <w:right w:w="10" w:type="dxa"/>
        </w:tblCellMar>
      </w:tblPr>
      <w:tblGrid>
        <w:gridCol w:w="2885"/>
        <w:gridCol w:w="955"/>
        <w:gridCol w:w="3830"/>
        <w:gridCol w:w="3826"/>
        <w:gridCol w:w="3845"/>
        <w:gridCol w:w="1"/>
      </w:tblGrid>
      <w:tr>
        <w:tblPrEx>
          <w:tblCellMar>
            <w:top w:w="0" w:type="dxa"/>
            <w:left w:w="10" w:type="dxa"/>
            <w:bottom w:w="0" w:type="dxa"/>
            <w:right w:w="10" w:type="dxa"/>
          </w:tblCellMar>
        </w:tblPrEx>
        <w:trPr>
          <w:gridAfter w:val="1"/>
          <w:wAfter w:w="1" w:type="dxa"/>
          <w:cantSplit/>
          <w:trHeight w:val="346" w:hRule="exact"/>
        </w:trPr>
        <w:tc>
          <w:tcPr>
            <w:tcW w:w="11496" w:type="dxa"/>
            <w:gridSpan w:val="4"/>
            <w:shd w:val="clear" w:color="auto" w:fill="FFFFFF"/>
          </w:tcPr>
          <w:p>
            <w:pPr>
              <w:pStyle w:val="24"/>
              <w:spacing w:line="240" w:lineRule="auto"/>
              <w:ind w:firstLine="0"/>
              <w:jc w:val="left"/>
              <w:rPr>
                <w:rFonts w:hint="default"/>
                <w:sz w:val="17"/>
                <w:szCs w:val="17"/>
                <w:lang w:val="en-US"/>
              </w:rPr>
            </w:pPr>
            <w:r>
              <w:rPr>
                <w:sz w:val="17"/>
                <w:szCs w:val="17"/>
              </w:rPr>
              <w:t>单位名称：</w:t>
            </w:r>
            <w:r>
              <w:rPr>
                <w:rFonts w:hint="eastAsia"/>
                <w:sz w:val="17"/>
                <w:szCs w:val="17"/>
                <w:lang w:eastAsia="zh-CN"/>
              </w:rPr>
              <w:t>环江毛南族自治县第一初级中学</w:t>
            </w:r>
          </w:p>
        </w:tc>
        <w:tc>
          <w:tcPr>
            <w:tcW w:w="3845" w:type="dxa"/>
            <w:shd w:val="clear" w:color="auto" w:fill="FFFFFF"/>
          </w:tcPr>
          <w:p>
            <w:pPr>
              <w:pStyle w:val="24"/>
              <w:spacing w:line="240" w:lineRule="auto"/>
              <w:jc w:val="left"/>
              <w:rPr>
                <w:sz w:val="17"/>
                <w:szCs w:val="17"/>
              </w:rPr>
            </w:pPr>
            <w:r>
              <w:rPr>
                <w:sz w:val="17"/>
                <w:szCs w:val="17"/>
              </w:rPr>
              <w:t>单位：万元</w:t>
            </w:r>
          </w:p>
        </w:tc>
      </w:tr>
      <w:tr>
        <w:tblPrEx>
          <w:tblCellMar>
            <w:top w:w="0" w:type="dxa"/>
            <w:left w:w="10" w:type="dxa"/>
            <w:bottom w:w="0" w:type="dxa"/>
            <w:right w:w="10" w:type="dxa"/>
          </w:tblCellMar>
        </w:tblPrEx>
        <w:trPr>
          <w:gridAfter w:val="1"/>
          <w:wAfter w:w="1" w:type="dxa"/>
          <w:cantSplit/>
          <w:trHeight w:val="437" w:hRule="exact"/>
        </w:trPr>
        <w:tc>
          <w:tcPr>
            <w:tcW w:w="2885" w:type="dxa"/>
            <w:tcBorders>
              <w:top w:val="single" w:color="auto" w:sz="4" w:space="0"/>
              <w:left w:val="single" w:color="auto" w:sz="4" w:space="0"/>
            </w:tcBorders>
            <w:shd w:val="clear" w:color="auto" w:fill="FFFFFF"/>
          </w:tcPr>
          <w:p>
            <w:pPr>
              <w:jc w:val="left"/>
              <w:rPr>
                <w:sz w:val="10"/>
                <w:szCs w:val="10"/>
              </w:rPr>
            </w:pPr>
          </w:p>
        </w:tc>
        <w:tc>
          <w:tcPr>
            <w:tcW w:w="955" w:type="dxa"/>
            <w:tcBorders>
              <w:top w:val="single" w:color="auto" w:sz="4" w:space="0"/>
            </w:tcBorders>
            <w:shd w:val="clear" w:color="auto" w:fill="FFFFFF"/>
            <w:vAlign w:val="center"/>
          </w:tcPr>
          <w:p>
            <w:pPr>
              <w:pStyle w:val="24"/>
              <w:spacing w:line="240" w:lineRule="auto"/>
              <w:ind w:firstLine="0"/>
              <w:jc w:val="left"/>
              <w:rPr>
                <w:sz w:val="17"/>
                <w:szCs w:val="17"/>
              </w:rPr>
            </w:pPr>
            <w:r>
              <w:rPr>
                <w:sz w:val="17"/>
                <w:szCs w:val="17"/>
              </w:rPr>
              <w:t>收</w:t>
            </w:r>
          </w:p>
        </w:tc>
        <w:tc>
          <w:tcPr>
            <w:tcW w:w="3830" w:type="dxa"/>
            <w:tcBorders>
              <w:top w:val="single" w:color="auto" w:sz="4" w:space="0"/>
            </w:tcBorders>
            <w:shd w:val="clear" w:color="auto" w:fill="FFFFFF"/>
            <w:vAlign w:val="center"/>
          </w:tcPr>
          <w:p>
            <w:pPr>
              <w:pStyle w:val="24"/>
              <w:spacing w:line="240" w:lineRule="auto"/>
              <w:ind w:firstLine="340"/>
              <w:jc w:val="left"/>
              <w:rPr>
                <w:sz w:val="17"/>
                <w:szCs w:val="17"/>
              </w:rPr>
            </w:pPr>
            <w:r>
              <w:rPr>
                <w:sz w:val="17"/>
                <w:szCs w:val="17"/>
              </w:rPr>
              <w:t>入</w:t>
            </w:r>
          </w:p>
        </w:tc>
        <w:tc>
          <w:tcPr>
            <w:tcW w:w="3826" w:type="dxa"/>
            <w:tcBorders>
              <w:top w:val="single" w:color="auto" w:sz="4" w:space="0"/>
              <w:left w:val="single" w:color="auto" w:sz="4" w:space="0"/>
            </w:tcBorders>
            <w:shd w:val="clear" w:color="auto" w:fill="FFFFFF"/>
            <w:vAlign w:val="center"/>
          </w:tcPr>
          <w:p>
            <w:pPr>
              <w:pStyle w:val="24"/>
              <w:spacing w:line="240" w:lineRule="auto"/>
              <w:ind w:right="340" w:firstLine="2720" w:firstLineChars="1600"/>
              <w:jc w:val="left"/>
              <w:rPr>
                <w:sz w:val="17"/>
                <w:szCs w:val="17"/>
              </w:rPr>
            </w:pPr>
            <w:r>
              <w:rPr>
                <w:sz w:val="17"/>
                <w:szCs w:val="17"/>
              </w:rPr>
              <w:t>支</w:t>
            </w:r>
          </w:p>
        </w:tc>
        <w:tc>
          <w:tcPr>
            <w:tcW w:w="3845" w:type="dxa"/>
            <w:tcBorders>
              <w:top w:val="single" w:color="auto" w:sz="4" w:space="0"/>
              <w:right w:val="single" w:color="auto" w:sz="4" w:space="0"/>
            </w:tcBorders>
            <w:shd w:val="clear" w:color="auto" w:fill="FFFFFF"/>
            <w:vAlign w:val="center"/>
          </w:tcPr>
          <w:p>
            <w:pPr>
              <w:pStyle w:val="24"/>
              <w:spacing w:line="240" w:lineRule="auto"/>
              <w:ind w:firstLine="935" w:firstLineChars="550"/>
              <w:jc w:val="left"/>
              <w:rPr>
                <w:sz w:val="17"/>
                <w:szCs w:val="17"/>
              </w:rPr>
            </w:pPr>
            <w:r>
              <w:rPr>
                <w:sz w:val="17"/>
                <w:szCs w:val="17"/>
              </w:rPr>
              <w:t>出</w:t>
            </w:r>
          </w:p>
        </w:tc>
      </w:tr>
      <w:tr>
        <w:tblPrEx>
          <w:tblCellMar>
            <w:top w:w="0" w:type="dxa"/>
            <w:left w:w="10" w:type="dxa"/>
            <w:bottom w:w="0" w:type="dxa"/>
            <w:right w:w="10" w:type="dxa"/>
          </w:tblCellMar>
        </w:tblPrEx>
        <w:trPr>
          <w:gridAfter w:val="1"/>
          <w:wAfter w:w="1" w:type="dxa"/>
          <w:cantSplit/>
          <w:trHeight w:val="451" w:hRule="exact"/>
        </w:trPr>
        <w:tc>
          <w:tcPr>
            <w:tcW w:w="3840" w:type="dxa"/>
            <w:gridSpan w:val="2"/>
            <w:tcBorders>
              <w:top w:val="single" w:color="auto" w:sz="4" w:space="0"/>
              <w:left w:val="single" w:color="auto" w:sz="4" w:space="0"/>
            </w:tcBorders>
            <w:shd w:val="clear" w:color="auto" w:fill="FFFFFF"/>
            <w:vAlign w:val="center"/>
          </w:tcPr>
          <w:p>
            <w:pPr>
              <w:pStyle w:val="24"/>
              <w:spacing w:line="240" w:lineRule="auto"/>
              <w:ind w:firstLine="0"/>
              <w:jc w:val="center"/>
              <w:rPr>
                <w:sz w:val="17"/>
                <w:szCs w:val="17"/>
              </w:rPr>
            </w:pPr>
            <w:r>
              <w:rPr>
                <w:sz w:val="17"/>
                <w:szCs w:val="17"/>
              </w:rPr>
              <w:t>项目</w:t>
            </w:r>
          </w:p>
        </w:tc>
        <w:tc>
          <w:tcPr>
            <w:tcW w:w="3830" w:type="dxa"/>
            <w:tcBorders>
              <w:top w:val="single" w:color="auto" w:sz="4" w:space="0"/>
              <w:left w:val="single" w:color="auto" w:sz="4" w:space="0"/>
            </w:tcBorders>
            <w:shd w:val="clear" w:color="auto" w:fill="FFFFFF"/>
            <w:vAlign w:val="center"/>
          </w:tcPr>
          <w:p>
            <w:pPr>
              <w:pStyle w:val="24"/>
              <w:spacing w:line="240" w:lineRule="auto"/>
              <w:ind w:firstLine="0"/>
              <w:jc w:val="center"/>
              <w:rPr>
                <w:sz w:val="17"/>
                <w:szCs w:val="17"/>
              </w:rPr>
            </w:pPr>
            <w:r>
              <w:rPr>
                <w:sz w:val="17"/>
                <w:szCs w:val="17"/>
              </w:rPr>
              <w:t>预算数</w:t>
            </w:r>
          </w:p>
        </w:tc>
        <w:tc>
          <w:tcPr>
            <w:tcW w:w="3826" w:type="dxa"/>
            <w:tcBorders>
              <w:top w:val="single" w:color="auto" w:sz="4" w:space="0"/>
              <w:left w:val="single" w:color="auto" w:sz="4" w:space="0"/>
            </w:tcBorders>
            <w:shd w:val="clear" w:color="auto" w:fill="FFFFFF"/>
            <w:vAlign w:val="center"/>
          </w:tcPr>
          <w:p>
            <w:pPr>
              <w:pStyle w:val="24"/>
              <w:tabs>
                <w:tab w:val="left" w:pos="1034"/>
              </w:tabs>
              <w:spacing w:line="240" w:lineRule="auto"/>
              <w:ind w:firstLine="540"/>
              <w:jc w:val="center"/>
              <w:rPr>
                <w:sz w:val="17"/>
                <w:szCs w:val="17"/>
              </w:rPr>
            </w:pPr>
            <w:r>
              <w:rPr>
                <w:sz w:val="17"/>
                <w:szCs w:val="17"/>
              </w:rPr>
              <w:t>项</w:t>
            </w:r>
            <w:r>
              <w:rPr>
                <w:sz w:val="17"/>
                <w:szCs w:val="17"/>
              </w:rPr>
              <w:tab/>
            </w:r>
            <w:r>
              <w:rPr>
                <w:sz w:val="17"/>
                <w:szCs w:val="17"/>
              </w:rPr>
              <w:t>目（按支出功能科目分类）</w:t>
            </w:r>
          </w:p>
        </w:tc>
        <w:tc>
          <w:tcPr>
            <w:tcW w:w="3845"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jc w:val="center"/>
              <w:rPr>
                <w:sz w:val="17"/>
                <w:szCs w:val="17"/>
              </w:rPr>
            </w:pPr>
            <w:r>
              <w:rPr>
                <w:sz w:val="17"/>
                <w:szCs w:val="17"/>
              </w:rPr>
              <w:t>预算数</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一、一般公共预算拨款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1947.86</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一、一般公共服务支出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26.24</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630.00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二、外交支出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1317.86</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三、国防支出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二、政府性基金预算拨款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四、公共安全支出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五、教育支出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1631.39</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六、科学技术支出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三、国有资本经营预算拨款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七、文化旅游体育与传媒支出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八、社会保障和就业支出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209.92</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九、卫生健康支出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十、节能环保支出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十一、城乡社区支出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十二、农林水支出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十三、交通运输支出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十四、资源勘探工业信息等支出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十五、商业服务业等支出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十六、金融支出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十七、援助其他地区支出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十八、自然资源海洋气象等支出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十九、住房保障支出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175.17</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二十、粮油物资储备支出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二十一、国有资本经营预算支出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二十二、灾害防治及应急管理支出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二十三、其他支出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二十四、债务还本支出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二十五、债务付息支出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二十六、债务发行费用支出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本年收入合计</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1947.86</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本年支出合计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2042.72</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上年结转结余</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94.86</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结转下年支出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收入总计</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2042.72</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支出总计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2042.72</w:t>
            </w:r>
          </w:p>
        </w:tc>
      </w:tr>
      <w:tr>
        <w:tblPrEx>
          <w:tblCellMar>
            <w:top w:w="0" w:type="dxa"/>
            <w:left w:w="10" w:type="dxa"/>
            <w:bottom w:w="0" w:type="dxa"/>
            <w:right w:w="10" w:type="dxa"/>
          </w:tblCellMar>
        </w:tblPrEx>
        <w:trPr>
          <w:cantSplit/>
          <w:trHeight w:val="352" w:hRule="exact"/>
        </w:trPr>
        <w:tc>
          <w:tcPr>
            <w:tcW w:w="15342" w:type="dxa"/>
            <w:gridSpan w:val="6"/>
            <w:tcBorders>
              <w:top w:val="single" w:color="auto" w:sz="4" w:space="0"/>
            </w:tcBorders>
            <w:shd w:val="clear" w:color="auto" w:fill="FFFFFF"/>
          </w:tcPr>
          <w:p>
            <w:pPr>
              <w:jc w:val="left"/>
              <w:rPr>
                <w:rFonts w:hint="eastAsia" w:ascii="宋体" w:hAnsi="宋体" w:eastAsia="宋体" w:cs="宋体"/>
                <w:sz w:val="17"/>
                <w:szCs w:val="17"/>
                <w:lang w:eastAsia="zh-CN"/>
              </w:rPr>
            </w:pPr>
            <w:r>
              <w:rPr>
                <w:rFonts w:hint="eastAsia" w:ascii="宋体" w:hAnsi="宋体" w:eastAsia="宋体" w:cs="宋体"/>
                <w:sz w:val="17"/>
                <w:szCs w:val="17"/>
              </w:rPr>
              <w:t>注：表中功能分类科目，根据各部门实际预算编制情况编列。</w:t>
            </w:r>
          </w:p>
        </w:tc>
      </w:tr>
      <w:tr>
        <w:tblPrEx>
          <w:tblCellMar>
            <w:top w:w="0" w:type="dxa"/>
            <w:left w:w="10" w:type="dxa"/>
            <w:bottom w:w="0" w:type="dxa"/>
            <w:right w:w="10" w:type="dxa"/>
          </w:tblCellMar>
        </w:tblPrEx>
        <w:trPr>
          <w:cantSplit/>
          <w:trHeight w:val="274" w:hRule="exact"/>
        </w:trPr>
        <w:tc>
          <w:tcPr>
            <w:tcW w:w="15342" w:type="dxa"/>
            <w:gridSpan w:val="6"/>
            <w:shd w:val="clear" w:color="auto" w:fill="FFFFFF"/>
            <w:vAlign w:val="bottom"/>
          </w:tcPr>
          <w:p>
            <w:pPr>
              <w:jc w:val="left"/>
              <w:rPr>
                <w:rFonts w:hint="eastAsia" w:ascii="宋体" w:hAnsi="宋体" w:eastAsia="宋体" w:cs="宋体"/>
                <w:sz w:val="17"/>
                <w:szCs w:val="17"/>
                <w:lang w:eastAsia="zh-CN"/>
              </w:rPr>
            </w:pPr>
            <w:r>
              <w:rPr>
                <w:rFonts w:hint="eastAsia" w:ascii="宋体" w:hAnsi="宋体" w:eastAsia="宋体" w:cs="宋体"/>
                <w:sz w:val="17"/>
                <w:szCs w:val="17"/>
              </w:rPr>
              <w:t>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一般公共预算支出情况表</w:t>
      </w:r>
    </w:p>
    <w:p>
      <w:pPr>
        <w:jc w:val="center"/>
        <w:rPr>
          <w:rFonts w:hint="eastAsia"/>
          <w:lang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508"/>
        <w:gridCol w:w="1466"/>
        <w:gridCol w:w="1871"/>
        <w:gridCol w:w="2131"/>
        <w:gridCol w:w="1931"/>
        <w:gridCol w:w="1705"/>
        <w:gridCol w:w="69"/>
        <w:gridCol w:w="1673"/>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096" w:type="dxa"/>
            <w:gridSpan w:val="7"/>
            <w:tcBorders>
              <w:top w:val="nil"/>
              <w:left w:val="nil"/>
              <w:right w:val="nil"/>
            </w:tcBorders>
          </w:tcPr>
          <w:p>
            <w:pPr>
              <w:jc w:val="left"/>
              <w:rPr>
                <w:rFonts w:hint="eastAsia"/>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环江毛南族自治县第一初级中学</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hint="eastAsia" w:ascii="宋体" w:hAnsi="宋体" w:eastAsia="宋体" w:cs="宋体"/>
                <w:sz w:val="16"/>
                <w:szCs w:val="16"/>
                <w:vertAlign w:val="baseline"/>
                <w:lang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Merge w:val="restart"/>
          </w:tcPr>
          <w:p>
            <w:pPr>
              <w:jc w:val="center"/>
              <w:rPr>
                <w:rFonts w:hint="eastAsia"/>
                <w:vertAlign w:val="baseline"/>
                <w:lang w:eastAsia="zh-CN"/>
              </w:rPr>
            </w:pPr>
            <w:r>
              <w:rPr>
                <w:sz w:val="17"/>
                <w:szCs w:val="17"/>
              </w:rPr>
              <w:t>科目编码</w:t>
            </w:r>
          </w:p>
        </w:tc>
        <w:tc>
          <w:tcPr>
            <w:tcW w:w="1676" w:type="dxa"/>
            <w:vMerge w:val="restart"/>
          </w:tcPr>
          <w:p>
            <w:pPr>
              <w:jc w:val="center"/>
              <w:rPr>
                <w:rFonts w:hint="eastAsia"/>
                <w:vertAlign w:val="baseline"/>
                <w:lang w:eastAsia="zh-CN"/>
              </w:rPr>
            </w:pPr>
            <w:r>
              <w:rPr>
                <w:sz w:val="17"/>
                <w:szCs w:val="17"/>
              </w:rPr>
              <w:t>部门（单位）代码</w:t>
            </w:r>
          </w:p>
        </w:tc>
        <w:tc>
          <w:tcPr>
            <w:tcW w:w="1662" w:type="dxa"/>
            <w:vMerge w:val="restart"/>
          </w:tcPr>
          <w:p>
            <w:pPr>
              <w:pStyle w:val="24"/>
              <w:spacing w:after="120" w:line="240" w:lineRule="auto"/>
              <w:ind w:firstLine="0"/>
              <w:jc w:val="center"/>
              <w:rPr>
                <w:sz w:val="17"/>
                <w:szCs w:val="17"/>
              </w:rPr>
            </w:pPr>
            <w:r>
              <w:rPr>
                <w:sz w:val="17"/>
                <w:szCs w:val="17"/>
              </w:rPr>
              <w:t>部门（单位）名称</w:t>
            </w:r>
          </w:p>
          <w:p>
            <w:pPr>
              <w:jc w:val="center"/>
              <w:rPr>
                <w:rFonts w:hint="eastAsia"/>
                <w:vertAlign w:val="baseline"/>
                <w:lang w:eastAsia="zh-CN"/>
              </w:rPr>
            </w:pPr>
            <w:r>
              <w:rPr>
                <w:sz w:val="17"/>
                <w:szCs w:val="17"/>
              </w:rPr>
              <w:t>（功能分类科目名称）</w:t>
            </w:r>
          </w:p>
        </w:tc>
        <w:tc>
          <w:tcPr>
            <w:tcW w:w="1717" w:type="dxa"/>
            <w:vMerge w:val="restart"/>
          </w:tcPr>
          <w:p>
            <w:pPr>
              <w:jc w:val="center"/>
              <w:rPr>
                <w:rFonts w:hint="eastAsia"/>
                <w:vertAlign w:val="baseline"/>
                <w:lang w:eastAsia="zh-CN"/>
              </w:rPr>
            </w:pPr>
            <w:r>
              <w:rPr>
                <w:sz w:val="17"/>
                <w:szCs w:val="17"/>
              </w:rPr>
              <w:t>合计</w:t>
            </w:r>
          </w:p>
        </w:tc>
        <w:tc>
          <w:tcPr>
            <w:tcW w:w="5398" w:type="dxa"/>
            <w:gridSpan w:val="4"/>
          </w:tcPr>
          <w:p>
            <w:pPr>
              <w:jc w:val="center"/>
              <w:rPr>
                <w:rFonts w:hint="eastAsia"/>
                <w:vertAlign w:val="baseline"/>
                <w:lang w:eastAsia="zh-CN"/>
              </w:rPr>
            </w:pPr>
            <w:r>
              <w:rPr>
                <w:sz w:val="17"/>
                <w:szCs w:val="17"/>
              </w:rPr>
              <w:t>基本支出</w:t>
            </w:r>
          </w:p>
        </w:tc>
        <w:tc>
          <w:tcPr>
            <w:tcW w:w="1694" w:type="dxa"/>
            <w:vMerge w:val="restart"/>
          </w:tcPr>
          <w:p>
            <w:pPr>
              <w:jc w:val="center"/>
              <w:rPr>
                <w:rFonts w:hint="eastAsia"/>
                <w:vertAlign w:val="baseline"/>
                <w:lang w:eastAsia="zh-CN"/>
              </w:rPr>
            </w:pPr>
            <w:r>
              <w:rPr>
                <w:sz w:val="17"/>
                <w:szCs w:val="17"/>
              </w:rPr>
              <w:t>项目支出</w:t>
            </w:r>
          </w:p>
        </w:tc>
        <w:tc>
          <w:tcPr>
            <w:tcW w:w="1695" w:type="dxa"/>
            <w:vMerge w:val="restart"/>
          </w:tcPr>
          <w:p>
            <w:pPr>
              <w:jc w:val="center"/>
              <w:rPr>
                <w:rFonts w:hint="eastAsia"/>
                <w:vertAlign w:val="baseline"/>
                <w:lang w:eastAsia="zh-CN"/>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Merge w:val="continue"/>
          </w:tcPr>
          <w:p>
            <w:pPr>
              <w:jc w:val="center"/>
              <w:rPr>
                <w:rFonts w:hint="eastAsia"/>
                <w:vertAlign w:val="baseline"/>
                <w:lang w:eastAsia="zh-CN"/>
              </w:rPr>
            </w:pPr>
          </w:p>
        </w:tc>
        <w:tc>
          <w:tcPr>
            <w:tcW w:w="1676" w:type="dxa"/>
            <w:vMerge w:val="continue"/>
          </w:tcPr>
          <w:p>
            <w:pPr>
              <w:jc w:val="center"/>
              <w:rPr>
                <w:rFonts w:hint="eastAsia"/>
                <w:vertAlign w:val="baseline"/>
                <w:lang w:eastAsia="zh-CN"/>
              </w:rPr>
            </w:pPr>
          </w:p>
        </w:tc>
        <w:tc>
          <w:tcPr>
            <w:tcW w:w="1662" w:type="dxa"/>
            <w:vMerge w:val="continue"/>
          </w:tcPr>
          <w:p>
            <w:pPr>
              <w:jc w:val="center"/>
              <w:rPr>
                <w:rFonts w:hint="eastAsia"/>
                <w:vertAlign w:val="baseline"/>
                <w:lang w:eastAsia="zh-CN"/>
              </w:rPr>
            </w:pPr>
          </w:p>
        </w:tc>
        <w:tc>
          <w:tcPr>
            <w:tcW w:w="1717" w:type="dxa"/>
            <w:vMerge w:val="continue"/>
          </w:tcPr>
          <w:p>
            <w:pPr>
              <w:jc w:val="center"/>
              <w:rPr>
                <w:rFonts w:hint="eastAsia"/>
                <w:vertAlign w:val="baseline"/>
                <w:lang w:eastAsia="zh-CN"/>
              </w:rPr>
            </w:pPr>
          </w:p>
        </w:tc>
        <w:tc>
          <w:tcPr>
            <w:tcW w:w="1879" w:type="dxa"/>
            <w:vAlign w:val="center"/>
          </w:tcPr>
          <w:p>
            <w:pPr>
              <w:pStyle w:val="24"/>
              <w:spacing w:line="240" w:lineRule="auto"/>
              <w:ind w:firstLine="0" w:firstLineChars="0"/>
              <w:jc w:val="center"/>
              <w:rPr>
                <w:rFonts w:hint="eastAsia"/>
                <w:vertAlign w:val="baseline"/>
                <w:lang w:eastAsia="zh-CN"/>
              </w:rPr>
            </w:pPr>
            <w:r>
              <w:rPr>
                <w:sz w:val="17"/>
                <w:szCs w:val="17"/>
              </w:rPr>
              <w:t>小计</w:t>
            </w:r>
          </w:p>
        </w:tc>
        <w:tc>
          <w:tcPr>
            <w:tcW w:w="1729" w:type="dxa"/>
            <w:vAlign w:val="center"/>
          </w:tcPr>
          <w:p>
            <w:pPr>
              <w:pStyle w:val="24"/>
              <w:spacing w:line="240" w:lineRule="auto"/>
              <w:ind w:firstLine="0" w:firstLineChars="0"/>
              <w:jc w:val="center"/>
              <w:rPr>
                <w:rFonts w:hint="eastAsia"/>
                <w:vertAlign w:val="baseline"/>
                <w:lang w:eastAsia="zh-CN"/>
              </w:rPr>
            </w:pPr>
            <w:r>
              <w:rPr>
                <w:sz w:val="17"/>
                <w:szCs w:val="17"/>
              </w:rPr>
              <w:t>人员经费</w:t>
            </w:r>
          </w:p>
        </w:tc>
        <w:tc>
          <w:tcPr>
            <w:tcW w:w="1790" w:type="dxa"/>
            <w:gridSpan w:val="2"/>
            <w:vAlign w:val="center"/>
          </w:tcPr>
          <w:p>
            <w:pPr>
              <w:pStyle w:val="24"/>
              <w:spacing w:line="240" w:lineRule="auto"/>
              <w:ind w:firstLine="440" w:firstLineChars="0"/>
              <w:jc w:val="center"/>
              <w:rPr>
                <w:rFonts w:hint="eastAsia"/>
                <w:vertAlign w:val="baseline"/>
                <w:lang w:eastAsia="zh-CN"/>
              </w:rPr>
            </w:pPr>
            <w:r>
              <w:rPr>
                <w:sz w:val="17"/>
                <w:szCs w:val="17"/>
              </w:rPr>
              <w:t>公用经费</w:t>
            </w:r>
          </w:p>
        </w:tc>
        <w:tc>
          <w:tcPr>
            <w:tcW w:w="1694" w:type="dxa"/>
            <w:vMerge w:val="continue"/>
          </w:tcPr>
          <w:p>
            <w:pPr>
              <w:jc w:val="center"/>
              <w:rPr>
                <w:rFonts w:hint="eastAsia"/>
                <w:vertAlign w:val="baseline"/>
                <w:lang w:eastAsia="zh-CN"/>
              </w:rPr>
            </w:pPr>
          </w:p>
        </w:tc>
        <w:tc>
          <w:tcPr>
            <w:tcW w:w="1695" w:type="dxa"/>
            <w:vMerge w:val="continue"/>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1</w:t>
            </w:r>
          </w:p>
        </w:tc>
        <w:tc>
          <w:tcPr>
            <w:tcW w:w="1879" w:type="dxa"/>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2</w:t>
            </w:r>
          </w:p>
        </w:tc>
        <w:tc>
          <w:tcPr>
            <w:tcW w:w="1729" w:type="dxa"/>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3</w:t>
            </w:r>
          </w:p>
        </w:tc>
        <w:tc>
          <w:tcPr>
            <w:tcW w:w="1790" w:type="dxa"/>
            <w:gridSpan w:val="2"/>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4</w:t>
            </w:r>
          </w:p>
        </w:tc>
        <w:tc>
          <w:tcPr>
            <w:tcW w:w="1694" w:type="dxa"/>
            <w:vAlign w:val="center"/>
          </w:tcPr>
          <w:p>
            <w:pPr>
              <w:pStyle w:val="24"/>
              <w:spacing w:line="240" w:lineRule="auto"/>
              <w:ind w:firstLine="660" w:firstLineChars="0"/>
              <w:jc w:val="center"/>
              <w:rPr>
                <w:rFonts w:hint="eastAsia"/>
                <w:vertAlign w:val="baseline"/>
                <w:lang w:eastAsia="zh-CN"/>
              </w:rPr>
            </w:pPr>
            <w:r>
              <w:rPr>
                <w:rFonts w:ascii="Times New Roman" w:hAnsi="Times New Roman" w:eastAsia="Times New Roman" w:cs="Times New Roman"/>
                <w:b/>
                <w:bCs/>
                <w:sz w:val="17"/>
                <w:szCs w:val="17"/>
              </w:rPr>
              <w:t>5</w:t>
            </w:r>
          </w:p>
        </w:tc>
        <w:tc>
          <w:tcPr>
            <w:tcW w:w="1695" w:type="dxa"/>
            <w:vAlign w:val="center"/>
          </w:tcPr>
          <w:p>
            <w:pPr>
              <w:pStyle w:val="24"/>
              <w:spacing w:line="240" w:lineRule="auto"/>
              <w:ind w:right="700" w:rightChars="0" w:firstLine="0" w:firstLineChars="0"/>
              <w:jc w:val="center"/>
              <w:rPr>
                <w:rFonts w:hint="eastAsia"/>
                <w:vertAlign w:val="baseline"/>
                <w:lang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pPr>
              <w:pStyle w:val="24"/>
              <w:spacing w:line="240" w:lineRule="auto"/>
              <w:ind w:firstLine="0" w:firstLineChars="0"/>
              <w:jc w:val="center"/>
              <w:rPr>
                <w:rFonts w:hint="eastAsia" w:ascii="宋体" w:hAnsi="宋体" w:eastAsia="宋体" w:cs="宋体"/>
                <w:b w:val="0"/>
                <w:bCs w:val="0"/>
                <w:vertAlign w:val="baseline"/>
                <w:lang w:eastAsia="zh-CN"/>
              </w:rPr>
            </w:pPr>
          </w:p>
        </w:tc>
        <w:tc>
          <w:tcPr>
            <w:tcW w:w="1676" w:type="dxa"/>
            <w:vAlign w:val="center"/>
          </w:tcPr>
          <w:p>
            <w:pPr>
              <w:pStyle w:val="24"/>
              <w:spacing w:line="240" w:lineRule="auto"/>
              <w:ind w:firstLine="0" w:firstLineChars="0"/>
              <w:jc w:val="center"/>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201036</w:t>
            </w:r>
          </w:p>
        </w:tc>
        <w:tc>
          <w:tcPr>
            <w:tcW w:w="1662" w:type="dxa"/>
            <w:vAlign w:val="center"/>
          </w:tcPr>
          <w:p>
            <w:pPr>
              <w:pStyle w:val="24"/>
              <w:spacing w:line="240" w:lineRule="auto"/>
              <w:ind w:firstLine="0" w:firstLineChars="0"/>
              <w:jc w:val="center"/>
              <w:rPr>
                <w:rFonts w:hint="eastAsia" w:ascii="宋体" w:hAnsi="宋体" w:eastAsia="宋体" w:cs="宋体"/>
                <w:b w:val="0"/>
                <w:bCs w:val="0"/>
                <w:vertAlign w:val="baseline"/>
                <w:lang w:eastAsia="zh-CN"/>
              </w:rPr>
            </w:pPr>
          </w:p>
        </w:tc>
        <w:tc>
          <w:tcPr>
            <w:tcW w:w="1717" w:type="dxa"/>
            <w:vAlign w:val="center"/>
          </w:tcPr>
          <w:p>
            <w:pPr>
              <w:pStyle w:val="24"/>
              <w:spacing w:line="240" w:lineRule="auto"/>
              <w:ind w:left="1060" w:leftChars="0" w:firstLine="0" w:firstLineChars="0"/>
              <w:jc w:val="center"/>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2042.72</w:t>
            </w:r>
          </w:p>
        </w:tc>
        <w:tc>
          <w:tcPr>
            <w:tcW w:w="1879" w:type="dxa"/>
            <w:vAlign w:val="center"/>
          </w:tcPr>
          <w:p>
            <w:pPr>
              <w:pStyle w:val="24"/>
              <w:spacing w:line="240" w:lineRule="auto"/>
              <w:ind w:left="1320" w:leftChars="0" w:firstLine="0" w:firstLineChars="0"/>
              <w:jc w:val="center"/>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1864.16</w:t>
            </w:r>
          </w:p>
        </w:tc>
        <w:tc>
          <w:tcPr>
            <w:tcW w:w="1729" w:type="dxa"/>
            <w:vAlign w:val="center"/>
          </w:tcPr>
          <w:p>
            <w:pPr>
              <w:pStyle w:val="24"/>
              <w:spacing w:line="240" w:lineRule="auto"/>
              <w:ind w:left="1120" w:leftChars="0" w:firstLine="0" w:firstLineChars="0"/>
              <w:jc w:val="center"/>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1837.92</w:t>
            </w:r>
          </w:p>
        </w:tc>
        <w:tc>
          <w:tcPr>
            <w:tcW w:w="1790" w:type="dxa"/>
            <w:gridSpan w:val="2"/>
            <w:vAlign w:val="center"/>
          </w:tcPr>
          <w:p>
            <w:pPr>
              <w:pStyle w:val="24"/>
              <w:spacing w:line="240" w:lineRule="auto"/>
              <w:ind w:left="1060" w:leftChars="0" w:firstLine="0" w:firstLineChars="0"/>
              <w:jc w:val="center"/>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26.24</w:t>
            </w:r>
          </w:p>
        </w:tc>
        <w:tc>
          <w:tcPr>
            <w:tcW w:w="1694" w:type="dxa"/>
            <w:vAlign w:val="center"/>
          </w:tcPr>
          <w:p>
            <w:pPr>
              <w:pStyle w:val="24"/>
              <w:spacing w:line="240" w:lineRule="auto"/>
              <w:ind w:firstLine="400" w:firstLineChars="0"/>
              <w:jc w:val="center"/>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178.56</w:t>
            </w:r>
          </w:p>
        </w:tc>
        <w:tc>
          <w:tcPr>
            <w:tcW w:w="1695" w:type="dxa"/>
            <w:vAlign w:val="center"/>
          </w:tcPr>
          <w:p>
            <w:pPr>
              <w:pStyle w:val="24"/>
              <w:spacing w:line="240" w:lineRule="auto"/>
              <w:ind w:firstLine="400" w:firstLineChars="0"/>
              <w:jc w:val="center"/>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pPr>
              <w:pStyle w:val="24"/>
              <w:spacing w:line="240" w:lineRule="auto"/>
              <w:ind w:firstLine="0" w:firstLineChars="0"/>
              <w:jc w:val="center"/>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2012999</w:t>
            </w:r>
          </w:p>
        </w:tc>
        <w:tc>
          <w:tcPr>
            <w:tcW w:w="1676" w:type="dxa"/>
            <w:vAlign w:val="center"/>
          </w:tcPr>
          <w:p>
            <w:pPr>
              <w:pStyle w:val="24"/>
              <w:spacing w:line="240" w:lineRule="auto"/>
              <w:ind w:firstLine="0" w:firstLineChars="0"/>
              <w:jc w:val="center"/>
              <w:rPr>
                <w:rFonts w:hint="eastAsia" w:ascii="宋体" w:hAnsi="宋体" w:eastAsia="宋体" w:cs="宋体"/>
                <w:b w:val="0"/>
                <w:bCs w:val="0"/>
                <w:vertAlign w:val="baseline"/>
                <w:lang w:eastAsia="zh-CN"/>
              </w:rPr>
            </w:pPr>
          </w:p>
        </w:tc>
        <w:tc>
          <w:tcPr>
            <w:tcW w:w="1662" w:type="dxa"/>
            <w:vAlign w:val="center"/>
          </w:tcPr>
          <w:p>
            <w:pPr>
              <w:pStyle w:val="24"/>
              <w:spacing w:line="240" w:lineRule="auto"/>
              <w:ind w:firstLine="0" w:firstLineChars="0"/>
              <w:jc w:val="center"/>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其他群众团体事务支出</w:t>
            </w:r>
          </w:p>
        </w:tc>
        <w:tc>
          <w:tcPr>
            <w:tcW w:w="1717" w:type="dxa"/>
            <w:vAlign w:val="center"/>
          </w:tcPr>
          <w:p>
            <w:pPr>
              <w:pStyle w:val="24"/>
              <w:spacing w:line="240" w:lineRule="auto"/>
              <w:ind w:left="1060" w:leftChars="0" w:firstLine="0" w:firstLineChars="0"/>
              <w:jc w:val="center"/>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26.24</w:t>
            </w:r>
          </w:p>
        </w:tc>
        <w:tc>
          <w:tcPr>
            <w:tcW w:w="1879" w:type="dxa"/>
            <w:vAlign w:val="center"/>
          </w:tcPr>
          <w:p>
            <w:pPr>
              <w:pStyle w:val="24"/>
              <w:spacing w:line="240" w:lineRule="auto"/>
              <w:ind w:left="1320" w:leftChars="0" w:firstLine="0" w:firstLineChars="0"/>
              <w:jc w:val="center"/>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26.24</w:t>
            </w:r>
          </w:p>
        </w:tc>
        <w:tc>
          <w:tcPr>
            <w:tcW w:w="1729" w:type="dxa"/>
            <w:vAlign w:val="center"/>
          </w:tcPr>
          <w:p>
            <w:pPr>
              <w:pStyle w:val="24"/>
              <w:spacing w:line="240" w:lineRule="auto"/>
              <w:ind w:left="1120" w:leftChars="0" w:firstLine="0" w:firstLineChars="0"/>
              <w:jc w:val="center"/>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26.24</w:t>
            </w:r>
          </w:p>
        </w:tc>
        <w:tc>
          <w:tcPr>
            <w:tcW w:w="1694" w:type="dxa"/>
            <w:vAlign w:val="center"/>
          </w:tcPr>
          <w:p>
            <w:pPr>
              <w:pStyle w:val="24"/>
              <w:spacing w:line="240" w:lineRule="auto"/>
              <w:ind w:firstLine="400" w:firstLineChars="0"/>
              <w:jc w:val="center"/>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695" w:type="dxa"/>
            <w:vAlign w:val="center"/>
          </w:tcPr>
          <w:p>
            <w:pPr>
              <w:pStyle w:val="24"/>
              <w:spacing w:line="240" w:lineRule="auto"/>
              <w:ind w:firstLine="400" w:firstLineChars="0"/>
              <w:jc w:val="center"/>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pPr>
              <w:pStyle w:val="24"/>
              <w:spacing w:line="240" w:lineRule="auto"/>
              <w:ind w:firstLine="0" w:firstLineChars="0"/>
              <w:jc w:val="center"/>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2050203</w:t>
            </w:r>
          </w:p>
        </w:tc>
        <w:tc>
          <w:tcPr>
            <w:tcW w:w="1676" w:type="dxa"/>
            <w:vAlign w:val="center"/>
          </w:tcPr>
          <w:p>
            <w:pPr>
              <w:pStyle w:val="24"/>
              <w:spacing w:line="240" w:lineRule="auto"/>
              <w:ind w:firstLine="0" w:firstLineChars="0"/>
              <w:jc w:val="center"/>
              <w:rPr>
                <w:rFonts w:hint="eastAsia" w:ascii="宋体" w:hAnsi="宋体" w:eastAsia="宋体" w:cs="宋体"/>
                <w:b w:val="0"/>
                <w:bCs w:val="0"/>
                <w:vertAlign w:val="baseline"/>
                <w:lang w:eastAsia="zh-CN"/>
              </w:rPr>
            </w:pPr>
          </w:p>
        </w:tc>
        <w:tc>
          <w:tcPr>
            <w:tcW w:w="1662" w:type="dxa"/>
            <w:vAlign w:val="center"/>
          </w:tcPr>
          <w:p>
            <w:pPr>
              <w:pStyle w:val="24"/>
              <w:spacing w:line="240" w:lineRule="auto"/>
              <w:ind w:firstLine="0" w:firstLineChars="0"/>
              <w:jc w:val="center"/>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初中教育</w:t>
            </w:r>
          </w:p>
        </w:tc>
        <w:tc>
          <w:tcPr>
            <w:tcW w:w="1717" w:type="dxa"/>
            <w:vAlign w:val="center"/>
          </w:tcPr>
          <w:p>
            <w:pPr>
              <w:pStyle w:val="24"/>
              <w:spacing w:line="240" w:lineRule="auto"/>
              <w:ind w:left="1060" w:leftChars="0" w:firstLine="0" w:firstLineChars="0"/>
              <w:jc w:val="center"/>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1630.25</w:t>
            </w:r>
          </w:p>
        </w:tc>
        <w:tc>
          <w:tcPr>
            <w:tcW w:w="1879" w:type="dxa"/>
            <w:vAlign w:val="center"/>
          </w:tcPr>
          <w:p>
            <w:pPr>
              <w:pStyle w:val="24"/>
              <w:spacing w:line="240" w:lineRule="auto"/>
              <w:ind w:left="1320" w:leftChars="0" w:firstLine="0" w:firstLineChars="0"/>
              <w:jc w:val="center"/>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1452.83</w:t>
            </w:r>
          </w:p>
        </w:tc>
        <w:tc>
          <w:tcPr>
            <w:tcW w:w="1729" w:type="dxa"/>
            <w:vAlign w:val="center"/>
          </w:tcPr>
          <w:p>
            <w:pPr>
              <w:pStyle w:val="24"/>
              <w:spacing w:line="240" w:lineRule="auto"/>
              <w:ind w:left="1120" w:leftChars="0" w:firstLine="0" w:firstLineChars="0"/>
              <w:jc w:val="center"/>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1452.83</w:t>
            </w:r>
          </w:p>
        </w:tc>
        <w:tc>
          <w:tcPr>
            <w:tcW w:w="1790" w:type="dxa"/>
            <w:gridSpan w:val="2"/>
            <w:vAlign w:val="center"/>
          </w:tcPr>
          <w:p>
            <w:pPr>
              <w:pStyle w:val="24"/>
              <w:spacing w:line="240" w:lineRule="auto"/>
              <w:ind w:left="1060" w:leftChars="0" w:firstLine="0" w:firstLineChars="0"/>
              <w:jc w:val="center"/>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1694" w:type="dxa"/>
            <w:vAlign w:val="center"/>
          </w:tcPr>
          <w:p>
            <w:pPr>
              <w:pStyle w:val="24"/>
              <w:spacing w:line="240" w:lineRule="auto"/>
              <w:ind w:firstLine="400" w:firstLineChars="0"/>
              <w:jc w:val="center"/>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177.42</w:t>
            </w:r>
          </w:p>
        </w:tc>
        <w:tc>
          <w:tcPr>
            <w:tcW w:w="1695" w:type="dxa"/>
            <w:vAlign w:val="center"/>
          </w:tcPr>
          <w:p>
            <w:pPr>
              <w:pStyle w:val="24"/>
              <w:spacing w:line="240" w:lineRule="auto"/>
              <w:ind w:firstLine="400" w:firstLineChars="0"/>
              <w:jc w:val="center"/>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pPr>
              <w:pStyle w:val="24"/>
              <w:spacing w:line="240" w:lineRule="auto"/>
              <w:ind w:firstLine="0" w:firstLineChars="0"/>
              <w:jc w:val="center"/>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2050701</w:t>
            </w:r>
          </w:p>
        </w:tc>
        <w:tc>
          <w:tcPr>
            <w:tcW w:w="1676" w:type="dxa"/>
            <w:vAlign w:val="center"/>
          </w:tcPr>
          <w:p>
            <w:pPr>
              <w:pStyle w:val="24"/>
              <w:spacing w:line="240" w:lineRule="auto"/>
              <w:ind w:firstLine="0" w:firstLineChars="0"/>
              <w:jc w:val="center"/>
              <w:rPr>
                <w:rFonts w:hint="eastAsia" w:ascii="宋体" w:hAnsi="宋体" w:eastAsia="宋体" w:cs="宋体"/>
                <w:b w:val="0"/>
                <w:bCs w:val="0"/>
                <w:vertAlign w:val="baseline"/>
                <w:lang w:eastAsia="zh-CN"/>
              </w:rPr>
            </w:pPr>
          </w:p>
        </w:tc>
        <w:tc>
          <w:tcPr>
            <w:tcW w:w="1662" w:type="dxa"/>
            <w:vAlign w:val="center"/>
          </w:tcPr>
          <w:p>
            <w:pPr>
              <w:pStyle w:val="24"/>
              <w:spacing w:line="240" w:lineRule="auto"/>
              <w:ind w:firstLine="0" w:firstLineChars="0"/>
              <w:jc w:val="center"/>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特殊学校教育</w:t>
            </w:r>
          </w:p>
        </w:tc>
        <w:tc>
          <w:tcPr>
            <w:tcW w:w="1717" w:type="dxa"/>
            <w:vAlign w:val="center"/>
          </w:tcPr>
          <w:p>
            <w:pPr>
              <w:pStyle w:val="24"/>
              <w:spacing w:line="240" w:lineRule="auto"/>
              <w:ind w:left="1060" w:leftChars="0" w:firstLine="0" w:firstLineChars="0"/>
              <w:jc w:val="center"/>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1.14</w:t>
            </w:r>
          </w:p>
        </w:tc>
        <w:tc>
          <w:tcPr>
            <w:tcW w:w="1879" w:type="dxa"/>
            <w:vAlign w:val="center"/>
          </w:tcPr>
          <w:p>
            <w:pPr>
              <w:pStyle w:val="24"/>
              <w:spacing w:line="240" w:lineRule="auto"/>
              <w:ind w:left="1320" w:leftChars="0" w:firstLine="0" w:firstLineChars="0"/>
              <w:jc w:val="center"/>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1729" w:type="dxa"/>
            <w:vAlign w:val="center"/>
          </w:tcPr>
          <w:p>
            <w:pPr>
              <w:pStyle w:val="24"/>
              <w:spacing w:line="240" w:lineRule="auto"/>
              <w:ind w:left="1120" w:leftChars="0" w:firstLine="0" w:firstLineChars="0"/>
              <w:jc w:val="center"/>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1694" w:type="dxa"/>
            <w:vAlign w:val="center"/>
          </w:tcPr>
          <w:p>
            <w:pPr>
              <w:pStyle w:val="24"/>
              <w:spacing w:line="240" w:lineRule="auto"/>
              <w:ind w:firstLine="400" w:firstLineChars="0"/>
              <w:jc w:val="center"/>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1.14</w:t>
            </w:r>
          </w:p>
        </w:tc>
        <w:tc>
          <w:tcPr>
            <w:tcW w:w="1695" w:type="dxa"/>
            <w:vAlign w:val="center"/>
          </w:tcPr>
          <w:p>
            <w:pPr>
              <w:pStyle w:val="24"/>
              <w:spacing w:line="240" w:lineRule="auto"/>
              <w:ind w:firstLine="400" w:firstLineChars="0"/>
              <w:jc w:val="center"/>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pPr>
              <w:pStyle w:val="24"/>
              <w:spacing w:line="240" w:lineRule="auto"/>
              <w:ind w:firstLine="0" w:firstLineChars="0"/>
              <w:jc w:val="center"/>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2080505</w:t>
            </w:r>
          </w:p>
        </w:tc>
        <w:tc>
          <w:tcPr>
            <w:tcW w:w="1676" w:type="dxa"/>
            <w:vAlign w:val="center"/>
          </w:tcPr>
          <w:p>
            <w:pPr>
              <w:pStyle w:val="24"/>
              <w:spacing w:line="240" w:lineRule="auto"/>
              <w:ind w:firstLine="0" w:firstLineChars="0"/>
              <w:jc w:val="center"/>
              <w:rPr>
                <w:rFonts w:hint="eastAsia" w:ascii="宋体" w:hAnsi="宋体" w:eastAsia="宋体" w:cs="宋体"/>
                <w:b w:val="0"/>
                <w:bCs w:val="0"/>
                <w:vertAlign w:val="baseline"/>
                <w:lang w:eastAsia="zh-CN"/>
              </w:rPr>
            </w:pPr>
          </w:p>
        </w:tc>
        <w:tc>
          <w:tcPr>
            <w:tcW w:w="1662" w:type="dxa"/>
            <w:vAlign w:val="center"/>
          </w:tcPr>
          <w:p>
            <w:pPr>
              <w:pStyle w:val="24"/>
              <w:spacing w:line="240" w:lineRule="auto"/>
              <w:ind w:firstLine="0" w:firstLineChars="0"/>
              <w:jc w:val="center"/>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机关事业单位基本养老保险缴费支出</w:t>
            </w:r>
          </w:p>
        </w:tc>
        <w:tc>
          <w:tcPr>
            <w:tcW w:w="1717" w:type="dxa"/>
            <w:vAlign w:val="center"/>
          </w:tcPr>
          <w:p>
            <w:pPr>
              <w:pStyle w:val="24"/>
              <w:spacing w:line="240" w:lineRule="auto"/>
              <w:ind w:left="1060" w:leftChars="0" w:firstLine="0" w:firstLineChars="0"/>
              <w:jc w:val="center"/>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209.92</w:t>
            </w:r>
          </w:p>
        </w:tc>
        <w:tc>
          <w:tcPr>
            <w:tcW w:w="1879" w:type="dxa"/>
            <w:vAlign w:val="center"/>
          </w:tcPr>
          <w:p>
            <w:pPr>
              <w:pStyle w:val="24"/>
              <w:spacing w:line="240" w:lineRule="auto"/>
              <w:ind w:left="1320" w:leftChars="0" w:firstLine="0" w:firstLineChars="0"/>
              <w:jc w:val="center"/>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209.92</w:t>
            </w:r>
          </w:p>
        </w:tc>
        <w:tc>
          <w:tcPr>
            <w:tcW w:w="1729" w:type="dxa"/>
            <w:vAlign w:val="center"/>
          </w:tcPr>
          <w:p>
            <w:pPr>
              <w:pStyle w:val="24"/>
              <w:spacing w:line="240" w:lineRule="auto"/>
              <w:ind w:left="1120" w:leftChars="0" w:firstLine="0" w:firstLineChars="0"/>
              <w:jc w:val="center"/>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209.92</w:t>
            </w:r>
          </w:p>
        </w:tc>
        <w:tc>
          <w:tcPr>
            <w:tcW w:w="1790" w:type="dxa"/>
            <w:gridSpan w:val="2"/>
            <w:vAlign w:val="center"/>
          </w:tcPr>
          <w:p>
            <w:pPr>
              <w:pStyle w:val="24"/>
              <w:spacing w:line="240" w:lineRule="auto"/>
              <w:ind w:left="1060" w:leftChars="0" w:firstLine="0" w:firstLineChars="0"/>
              <w:jc w:val="center"/>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1694" w:type="dxa"/>
            <w:vAlign w:val="center"/>
          </w:tcPr>
          <w:p>
            <w:pPr>
              <w:pStyle w:val="24"/>
              <w:spacing w:line="240" w:lineRule="auto"/>
              <w:ind w:firstLine="400" w:firstLineChars="0"/>
              <w:jc w:val="center"/>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695" w:type="dxa"/>
            <w:vAlign w:val="center"/>
          </w:tcPr>
          <w:p>
            <w:pPr>
              <w:pStyle w:val="24"/>
              <w:spacing w:line="240" w:lineRule="auto"/>
              <w:ind w:firstLine="400" w:firstLineChars="0"/>
              <w:jc w:val="center"/>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pPr>
              <w:pStyle w:val="24"/>
              <w:spacing w:line="240" w:lineRule="auto"/>
              <w:ind w:firstLine="0" w:firstLineChars="0"/>
              <w:jc w:val="center"/>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2210201</w:t>
            </w:r>
          </w:p>
        </w:tc>
        <w:tc>
          <w:tcPr>
            <w:tcW w:w="1676" w:type="dxa"/>
            <w:vAlign w:val="center"/>
          </w:tcPr>
          <w:p>
            <w:pPr>
              <w:pStyle w:val="24"/>
              <w:spacing w:line="240" w:lineRule="auto"/>
              <w:ind w:firstLine="0" w:firstLineChars="0"/>
              <w:jc w:val="center"/>
              <w:rPr>
                <w:rFonts w:hint="eastAsia" w:ascii="宋体" w:hAnsi="宋体" w:eastAsia="宋体" w:cs="宋体"/>
                <w:b w:val="0"/>
                <w:bCs w:val="0"/>
                <w:vertAlign w:val="baseline"/>
                <w:lang w:eastAsia="zh-CN"/>
              </w:rPr>
            </w:pPr>
          </w:p>
        </w:tc>
        <w:tc>
          <w:tcPr>
            <w:tcW w:w="1662" w:type="dxa"/>
            <w:vAlign w:val="center"/>
          </w:tcPr>
          <w:p>
            <w:pPr>
              <w:pStyle w:val="24"/>
              <w:spacing w:line="240" w:lineRule="auto"/>
              <w:ind w:firstLine="0" w:firstLineChars="0"/>
              <w:jc w:val="center"/>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住房公积金</w:t>
            </w:r>
          </w:p>
        </w:tc>
        <w:tc>
          <w:tcPr>
            <w:tcW w:w="1717" w:type="dxa"/>
            <w:vAlign w:val="center"/>
          </w:tcPr>
          <w:p>
            <w:pPr>
              <w:pStyle w:val="24"/>
              <w:spacing w:line="240" w:lineRule="auto"/>
              <w:ind w:left="1060" w:leftChars="0" w:firstLine="0" w:firstLineChars="0"/>
              <w:jc w:val="center"/>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175.17</w:t>
            </w:r>
          </w:p>
        </w:tc>
        <w:tc>
          <w:tcPr>
            <w:tcW w:w="1879" w:type="dxa"/>
            <w:vAlign w:val="center"/>
          </w:tcPr>
          <w:p>
            <w:pPr>
              <w:pStyle w:val="24"/>
              <w:spacing w:line="240" w:lineRule="auto"/>
              <w:ind w:left="1320" w:leftChars="0" w:firstLine="0" w:firstLineChars="0"/>
              <w:jc w:val="center"/>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175.17</w:t>
            </w:r>
          </w:p>
        </w:tc>
        <w:tc>
          <w:tcPr>
            <w:tcW w:w="1729" w:type="dxa"/>
            <w:vAlign w:val="center"/>
          </w:tcPr>
          <w:p>
            <w:pPr>
              <w:pStyle w:val="24"/>
              <w:spacing w:line="240" w:lineRule="auto"/>
              <w:ind w:left="1120" w:leftChars="0" w:firstLine="0" w:firstLineChars="0"/>
              <w:jc w:val="center"/>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175.17</w:t>
            </w:r>
          </w:p>
        </w:tc>
        <w:tc>
          <w:tcPr>
            <w:tcW w:w="1790" w:type="dxa"/>
            <w:gridSpan w:val="2"/>
            <w:vAlign w:val="center"/>
          </w:tcPr>
          <w:p>
            <w:pPr>
              <w:pStyle w:val="24"/>
              <w:spacing w:line="240" w:lineRule="auto"/>
              <w:ind w:left="1060" w:leftChars="0" w:firstLine="0" w:firstLineChars="0"/>
              <w:jc w:val="center"/>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1694" w:type="dxa"/>
            <w:vAlign w:val="center"/>
          </w:tcPr>
          <w:p>
            <w:pPr>
              <w:pStyle w:val="24"/>
              <w:spacing w:line="240" w:lineRule="auto"/>
              <w:ind w:firstLine="400" w:firstLineChars="0"/>
              <w:jc w:val="center"/>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695" w:type="dxa"/>
            <w:vAlign w:val="center"/>
          </w:tcPr>
          <w:p>
            <w:pPr>
              <w:pStyle w:val="24"/>
              <w:spacing w:line="240" w:lineRule="auto"/>
              <w:ind w:firstLine="400" w:firstLineChars="0"/>
              <w:jc w:val="center"/>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7" w:type="dxa"/>
            <w:gridSpan w:val="10"/>
            <w:tcBorders>
              <w:left w:val="nil"/>
              <w:bottom w:val="nil"/>
              <w:right w:val="nil"/>
            </w:tcBorders>
          </w:tcPr>
          <w:p>
            <w:pPr>
              <w:jc w:val="left"/>
              <w:rPr>
                <w:rFonts w:hint="eastAsia"/>
                <w:sz w:val="17"/>
                <w:szCs w:val="17"/>
                <w:vertAlign w:val="baseline"/>
                <w:lang w:eastAsia="zh-CN"/>
              </w:rPr>
            </w:pPr>
            <w:r>
              <w:rPr>
                <w:rFonts w:hint="eastAsia" w:ascii="宋体" w:hAnsi="宋体" w:eastAsia="宋体" w:cs="宋体"/>
                <w:sz w:val="17"/>
                <w:szCs w:val="17"/>
              </w:rPr>
              <w:t>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22"/>
        <w:keepNext/>
        <w:keepLines/>
        <w:spacing w:after="240"/>
        <w:jc w:val="center"/>
      </w:pPr>
      <w:bookmarkStart w:id="25" w:name="bookmark56"/>
      <w:bookmarkStart w:id="26" w:name="bookmark57"/>
      <w:bookmarkStart w:id="27" w:name="bookmark58"/>
      <w:r>
        <w:t>一般公共预算基本支出情况表</w:t>
      </w:r>
      <w:bookmarkEnd w:id="25"/>
      <w:bookmarkEnd w:id="26"/>
      <w:bookmarkEnd w:id="27"/>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0"/>
        <w:gridCol w:w="3111"/>
        <w:gridCol w:w="3111"/>
        <w:gridCol w:w="3112"/>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444" w:type="dxa"/>
            <w:gridSpan w:val="4"/>
            <w:tcBorders>
              <w:top w:val="nil"/>
              <w:left w:val="nil"/>
              <w:right w:val="nil"/>
            </w:tcBorders>
          </w:tcPr>
          <w:p>
            <w:pPr>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环江毛南族自治县第一初级中学</w:t>
            </w:r>
          </w:p>
        </w:tc>
        <w:tc>
          <w:tcPr>
            <w:tcW w:w="3113" w:type="dxa"/>
            <w:tcBorders>
              <w:top w:val="nil"/>
              <w:left w:val="nil"/>
              <w:right w:val="nil"/>
            </w:tcBorders>
          </w:tcPr>
          <w:p>
            <w:pPr>
              <w:ind w:firstLine="1760" w:firstLineChars="1100"/>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trPr>
        <w:tc>
          <w:tcPr>
            <w:tcW w:w="6221" w:type="dxa"/>
            <w:gridSpan w:val="2"/>
          </w:tcPr>
          <w:p>
            <w:pPr>
              <w:jc w:val="left"/>
              <w:rPr>
                <w:vertAlign w:val="baseline"/>
                <w:lang w:eastAsia="zh-CN"/>
              </w:rPr>
            </w:pPr>
            <w:r>
              <w:rPr>
                <w:sz w:val="17"/>
                <w:szCs w:val="17"/>
              </w:rPr>
              <w:t>部门预算支出经济分类科目</w:t>
            </w:r>
          </w:p>
        </w:tc>
        <w:tc>
          <w:tcPr>
            <w:tcW w:w="9336" w:type="dxa"/>
            <w:gridSpan w:val="3"/>
          </w:tcPr>
          <w:p>
            <w:pPr>
              <w:jc w:val="left"/>
              <w:rPr>
                <w:vertAlign w:val="baseline"/>
                <w:lang w:eastAsia="zh-CN"/>
              </w:rPr>
            </w:pPr>
            <w:r>
              <w:rPr>
                <w:sz w:val="17"/>
                <w:szCs w:val="17"/>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trPr>
        <w:tc>
          <w:tcPr>
            <w:tcW w:w="3110" w:type="dxa"/>
            <w:vAlign w:val="center"/>
          </w:tcPr>
          <w:p>
            <w:pPr>
              <w:pStyle w:val="24"/>
              <w:spacing w:line="240" w:lineRule="auto"/>
              <w:ind w:firstLine="0" w:firstLineChars="0"/>
              <w:jc w:val="center"/>
              <w:rPr>
                <w:vertAlign w:val="baseline"/>
                <w:lang w:eastAsia="zh-CN"/>
              </w:rPr>
            </w:pPr>
            <w:r>
              <w:rPr>
                <w:sz w:val="17"/>
                <w:szCs w:val="17"/>
              </w:rPr>
              <w:t>科目编码</w:t>
            </w:r>
          </w:p>
        </w:tc>
        <w:tc>
          <w:tcPr>
            <w:tcW w:w="3111" w:type="dxa"/>
            <w:vAlign w:val="center"/>
          </w:tcPr>
          <w:p>
            <w:pPr>
              <w:pStyle w:val="24"/>
              <w:spacing w:line="240" w:lineRule="auto"/>
              <w:ind w:firstLine="0" w:firstLineChars="0"/>
              <w:jc w:val="center"/>
              <w:rPr>
                <w:vertAlign w:val="baseline"/>
                <w:lang w:eastAsia="zh-CN"/>
              </w:rPr>
            </w:pPr>
            <w:r>
              <w:rPr>
                <w:sz w:val="17"/>
                <w:szCs w:val="17"/>
              </w:rPr>
              <w:t>科目名称</w:t>
            </w:r>
          </w:p>
        </w:tc>
        <w:tc>
          <w:tcPr>
            <w:tcW w:w="3111" w:type="dxa"/>
            <w:vAlign w:val="center"/>
          </w:tcPr>
          <w:p>
            <w:pPr>
              <w:pStyle w:val="24"/>
              <w:spacing w:line="240" w:lineRule="auto"/>
              <w:ind w:firstLine="0" w:firstLineChars="0"/>
              <w:jc w:val="center"/>
              <w:rPr>
                <w:vertAlign w:val="baseline"/>
                <w:lang w:eastAsia="zh-CN"/>
              </w:rPr>
            </w:pPr>
            <w:r>
              <w:rPr>
                <w:sz w:val="17"/>
                <w:szCs w:val="17"/>
              </w:rPr>
              <w:t>合计</w:t>
            </w:r>
          </w:p>
        </w:tc>
        <w:tc>
          <w:tcPr>
            <w:tcW w:w="3112" w:type="dxa"/>
            <w:vAlign w:val="center"/>
          </w:tcPr>
          <w:p>
            <w:pPr>
              <w:pStyle w:val="24"/>
              <w:spacing w:line="240" w:lineRule="auto"/>
              <w:ind w:firstLine="0" w:firstLineChars="0"/>
              <w:jc w:val="center"/>
              <w:rPr>
                <w:vertAlign w:val="baseline"/>
                <w:lang w:eastAsia="zh-CN"/>
              </w:rPr>
            </w:pPr>
            <w:r>
              <w:rPr>
                <w:sz w:val="17"/>
                <w:szCs w:val="17"/>
              </w:rPr>
              <w:t>人员经费</w:t>
            </w:r>
          </w:p>
        </w:tc>
        <w:tc>
          <w:tcPr>
            <w:tcW w:w="3113" w:type="dxa"/>
            <w:vAlign w:val="center"/>
          </w:tcPr>
          <w:p>
            <w:pPr>
              <w:pStyle w:val="24"/>
              <w:spacing w:line="240" w:lineRule="auto"/>
              <w:ind w:firstLine="0" w:firstLineChars="0"/>
              <w:jc w:val="center"/>
              <w:rPr>
                <w:vertAlign w:val="baseline"/>
                <w:lang w:eastAsia="zh-CN"/>
              </w:rPr>
            </w:pPr>
            <w:r>
              <w:rPr>
                <w:sz w:val="17"/>
                <w:szCs w:val="17"/>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pPr>
              <w:pStyle w:val="24"/>
              <w:spacing w:line="240" w:lineRule="auto"/>
              <w:ind w:firstLine="0" w:firstLineChars="0"/>
              <w:jc w:val="left"/>
              <w:rPr>
                <w:rFonts w:hint="eastAsia" w:ascii="宋体" w:hAnsi="宋体" w:eastAsia="宋体" w:cs="宋体"/>
                <w:b w:val="0"/>
                <w:bCs w:val="0"/>
                <w:vertAlign w:val="baseline"/>
                <w:lang w:eastAsia="zh-CN"/>
              </w:rPr>
            </w:pPr>
          </w:p>
        </w:tc>
        <w:tc>
          <w:tcPr>
            <w:tcW w:w="3111" w:type="dxa"/>
            <w:vAlign w:val="center"/>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合计</w:t>
            </w:r>
          </w:p>
        </w:tc>
        <w:tc>
          <w:tcPr>
            <w:tcW w:w="3111"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1864.16</w:t>
            </w:r>
          </w:p>
        </w:tc>
        <w:tc>
          <w:tcPr>
            <w:tcW w:w="3112"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1837.92</w:t>
            </w:r>
          </w:p>
        </w:tc>
        <w:tc>
          <w:tcPr>
            <w:tcW w:w="3113"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w:t>
            </w:r>
          </w:p>
        </w:tc>
        <w:tc>
          <w:tcPr>
            <w:tcW w:w="3111" w:type="dxa"/>
            <w:vAlign w:val="center"/>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工资福利支出</w:t>
            </w:r>
          </w:p>
        </w:tc>
        <w:tc>
          <w:tcPr>
            <w:tcW w:w="3111"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1778.48</w:t>
            </w:r>
          </w:p>
        </w:tc>
        <w:tc>
          <w:tcPr>
            <w:tcW w:w="3112"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1778.48</w:t>
            </w:r>
          </w:p>
        </w:tc>
        <w:tc>
          <w:tcPr>
            <w:tcW w:w="3113"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30101</w:t>
            </w:r>
          </w:p>
        </w:tc>
        <w:tc>
          <w:tcPr>
            <w:tcW w:w="3111" w:type="dxa"/>
            <w:vAlign w:val="center"/>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基本工资</w:t>
            </w:r>
          </w:p>
        </w:tc>
        <w:tc>
          <w:tcPr>
            <w:tcW w:w="3111"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675.43</w:t>
            </w:r>
          </w:p>
        </w:tc>
        <w:tc>
          <w:tcPr>
            <w:tcW w:w="3112"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675.43</w:t>
            </w:r>
          </w:p>
        </w:tc>
        <w:tc>
          <w:tcPr>
            <w:tcW w:w="3113"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30102</w:t>
            </w:r>
          </w:p>
        </w:tc>
        <w:tc>
          <w:tcPr>
            <w:tcW w:w="3111" w:type="dxa"/>
            <w:vAlign w:val="center"/>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津贴补贴</w:t>
            </w:r>
          </w:p>
        </w:tc>
        <w:tc>
          <w:tcPr>
            <w:tcW w:w="3111"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42.45</w:t>
            </w:r>
          </w:p>
        </w:tc>
        <w:tc>
          <w:tcPr>
            <w:tcW w:w="3112"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42.45</w:t>
            </w:r>
          </w:p>
        </w:tc>
        <w:tc>
          <w:tcPr>
            <w:tcW w:w="3113"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30103</w:t>
            </w:r>
          </w:p>
        </w:tc>
        <w:tc>
          <w:tcPr>
            <w:tcW w:w="3111" w:type="dxa"/>
            <w:vAlign w:val="center"/>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奖金</w:t>
            </w:r>
          </w:p>
        </w:tc>
        <w:tc>
          <w:tcPr>
            <w:tcW w:w="3111"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301.48</w:t>
            </w:r>
          </w:p>
        </w:tc>
        <w:tc>
          <w:tcPr>
            <w:tcW w:w="3112"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301.48</w:t>
            </w:r>
          </w:p>
        </w:tc>
        <w:tc>
          <w:tcPr>
            <w:tcW w:w="3113"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30107</w:t>
            </w:r>
          </w:p>
        </w:tc>
        <w:tc>
          <w:tcPr>
            <w:tcW w:w="3111" w:type="dxa"/>
            <w:vAlign w:val="center"/>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绩效工资</w:t>
            </w:r>
          </w:p>
        </w:tc>
        <w:tc>
          <w:tcPr>
            <w:tcW w:w="3111"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280.78</w:t>
            </w:r>
          </w:p>
        </w:tc>
        <w:tc>
          <w:tcPr>
            <w:tcW w:w="3112"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280.78</w:t>
            </w:r>
          </w:p>
        </w:tc>
        <w:tc>
          <w:tcPr>
            <w:tcW w:w="3113"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30108</w:t>
            </w:r>
          </w:p>
        </w:tc>
        <w:tc>
          <w:tcPr>
            <w:tcW w:w="3111" w:type="dxa"/>
            <w:vAlign w:val="center"/>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机关事业单位基本养老保险缴费</w:t>
            </w:r>
          </w:p>
        </w:tc>
        <w:tc>
          <w:tcPr>
            <w:tcW w:w="3111"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209.92</w:t>
            </w:r>
          </w:p>
        </w:tc>
        <w:tc>
          <w:tcPr>
            <w:tcW w:w="3112"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209.92</w:t>
            </w:r>
          </w:p>
        </w:tc>
        <w:tc>
          <w:tcPr>
            <w:tcW w:w="3113"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30110</w:t>
            </w:r>
          </w:p>
        </w:tc>
        <w:tc>
          <w:tcPr>
            <w:tcW w:w="3111" w:type="dxa"/>
            <w:vAlign w:val="center"/>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职工基本医疗保险缴费</w:t>
            </w:r>
          </w:p>
        </w:tc>
        <w:tc>
          <w:tcPr>
            <w:tcW w:w="3111"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83.97</w:t>
            </w:r>
          </w:p>
        </w:tc>
        <w:tc>
          <w:tcPr>
            <w:tcW w:w="3112"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83.97</w:t>
            </w:r>
          </w:p>
        </w:tc>
        <w:tc>
          <w:tcPr>
            <w:tcW w:w="3113"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30112</w:t>
            </w:r>
          </w:p>
        </w:tc>
        <w:tc>
          <w:tcPr>
            <w:tcW w:w="3111" w:type="dxa"/>
            <w:vAlign w:val="center"/>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其他社会保障缴费</w:t>
            </w:r>
          </w:p>
        </w:tc>
        <w:tc>
          <w:tcPr>
            <w:tcW w:w="3111"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9.30</w:t>
            </w:r>
          </w:p>
        </w:tc>
        <w:tc>
          <w:tcPr>
            <w:tcW w:w="3112"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9.30</w:t>
            </w:r>
          </w:p>
        </w:tc>
        <w:tc>
          <w:tcPr>
            <w:tcW w:w="3113"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30113</w:t>
            </w:r>
          </w:p>
        </w:tc>
        <w:tc>
          <w:tcPr>
            <w:tcW w:w="3111" w:type="dxa"/>
            <w:vAlign w:val="center"/>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住房公积金</w:t>
            </w:r>
          </w:p>
        </w:tc>
        <w:tc>
          <w:tcPr>
            <w:tcW w:w="3111"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175.17</w:t>
            </w:r>
          </w:p>
        </w:tc>
        <w:tc>
          <w:tcPr>
            <w:tcW w:w="3112"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175.17</w:t>
            </w:r>
          </w:p>
        </w:tc>
        <w:tc>
          <w:tcPr>
            <w:tcW w:w="3113"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w:t>
            </w:r>
          </w:p>
        </w:tc>
        <w:tc>
          <w:tcPr>
            <w:tcW w:w="3111" w:type="dxa"/>
            <w:vAlign w:val="center"/>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商品和服务支出</w:t>
            </w:r>
          </w:p>
        </w:tc>
        <w:tc>
          <w:tcPr>
            <w:tcW w:w="3111"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26.24</w:t>
            </w:r>
          </w:p>
        </w:tc>
        <w:tc>
          <w:tcPr>
            <w:tcW w:w="3112"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30201</w:t>
            </w:r>
          </w:p>
        </w:tc>
        <w:tc>
          <w:tcPr>
            <w:tcW w:w="3111" w:type="dxa"/>
            <w:vAlign w:val="center"/>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办公费</w:t>
            </w:r>
          </w:p>
        </w:tc>
        <w:tc>
          <w:tcPr>
            <w:tcW w:w="3111"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2"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30205</w:t>
            </w:r>
          </w:p>
        </w:tc>
        <w:tc>
          <w:tcPr>
            <w:tcW w:w="3111" w:type="dxa"/>
            <w:vAlign w:val="center"/>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水费</w:t>
            </w:r>
          </w:p>
        </w:tc>
        <w:tc>
          <w:tcPr>
            <w:tcW w:w="3111"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2"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30206</w:t>
            </w:r>
          </w:p>
        </w:tc>
        <w:tc>
          <w:tcPr>
            <w:tcW w:w="3111" w:type="dxa"/>
            <w:vAlign w:val="center"/>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电费</w:t>
            </w:r>
          </w:p>
        </w:tc>
        <w:tc>
          <w:tcPr>
            <w:tcW w:w="3111"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2"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30207</w:t>
            </w:r>
          </w:p>
        </w:tc>
        <w:tc>
          <w:tcPr>
            <w:tcW w:w="3111" w:type="dxa"/>
            <w:vAlign w:val="center"/>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邮电费</w:t>
            </w:r>
          </w:p>
        </w:tc>
        <w:tc>
          <w:tcPr>
            <w:tcW w:w="3111"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2"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30209</w:t>
            </w:r>
          </w:p>
        </w:tc>
        <w:tc>
          <w:tcPr>
            <w:tcW w:w="3111" w:type="dxa"/>
            <w:vAlign w:val="center"/>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物业管理费</w:t>
            </w:r>
          </w:p>
        </w:tc>
        <w:tc>
          <w:tcPr>
            <w:tcW w:w="3111"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2"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30211</w:t>
            </w:r>
          </w:p>
        </w:tc>
        <w:tc>
          <w:tcPr>
            <w:tcW w:w="3111" w:type="dxa"/>
            <w:vAlign w:val="center"/>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差旅费</w:t>
            </w:r>
          </w:p>
        </w:tc>
        <w:tc>
          <w:tcPr>
            <w:tcW w:w="3111"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2"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30213</w:t>
            </w:r>
          </w:p>
        </w:tc>
        <w:tc>
          <w:tcPr>
            <w:tcW w:w="3111" w:type="dxa"/>
            <w:vAlign w:val="center"/>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维修（护）费</w:t>
            </w:r>
          </w:p>
        </w:tc>
        <w:tc>
          <w:tcPr>
            <w:tcW w:w="3111"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2"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30218</w:t>
            </w:r>
          </w:p>
        </w:tc>
        <w:tc>
          <w:tcPr>
            <w:tcW w:w="3111" w:type="dxa"/>
            <w:vAlign w:val="center"/>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专用材料费</w:t>
            </w:r>
          </w:p>
        </w:tc>
        <w:tc>
          <w:tcPr>
            <w:tcW w:w="3111"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2"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30226</w:t>
            </w:r>
          </w:p>
        </w:tc>
        <w:tc>
          <w:tcPr>
            <w:tcW w:w="3111" w:type="dxa"/>
            <w:vAlign w:val="center"/>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劳务费</w:t>
            </w:r>
          </w:p>
        </w:tc>
        <w:tc>
          <w:tcPr>
            <w:tcW w:w="3111"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2"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30228</w:t>
            </w:r>
          </w:p>
        </w:tc>
        <w:tc>
          <w:tcPr>
            <w:tcW w:w="3111" w:type="dxa"/>
            <w:vAlign w:val="center"/>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工会经费</w:t>
            </w:r>
          </w:p>
        </w:tc>
        <w:tc>
          <w:tcPr>
            <w:tcW w:w="3111"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26.24</w:t>
            </w:r>
          </w:p>
        </w:tc>
        <w:tc>
          <w:tcPr>
            <w:tcW w:w="3112"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303</w:t>
            </w:r>
          </w:p>
        </w:tc>
        <w:tc>
          <w:tcPr>
            <w:tcW w:w="3111" w:type="dxa"/>
            <w:vAlign w:val="center"/>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对个人和家庭的补助</w:t>
            </w:r>
          </w:p>
        </w:tc>
        <w:tc>
          <w:tcPr>
            <w:tcW w:w="3111"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59.44</w:t>
            </w:r>
          </w:p>
        </w:tc>
        <w:tc>
          <w:tcPr>
            <w:tcW w:w="3112"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59.44</w:t>
            </w:r>
          </w:p>
        </w:tc>
        <w:tc>
          <w:tcPr>
            <w:tcW w:w="3113"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30302</w:t>
            </w:r>
          </w:p>
        </w:tc>
        <w:tc>
          <w:tcPr>
            <w:tcW w:w="3111" w:type="dxa"/>
            <w:vAlign w:val="center"/>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退休费</w:t>
            </w:r>
          </w:p>
        </w:tc>
        <w:tc>
          <w:tcPr>
            <w:tcW w:w="3111"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57.71</w:t>
            </w:r>
          </w:p>
        </w:tc>
        <w:tc>
          <w:tcPr>
            <w:tcW w:w="3112"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57.71</w:t>
            </w:r>
          </w:p>
        </w:tc>
        <w:tc>
          <w:tcPr>
            <w:tcW w:w="3113"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30305</w:t>
            </w:r>
          </w:p>
        </w:tc>
        <w:tc>
          <w:tcPr>
            <w:tcW w:w="3111" w:type="dxa"/>
            <w:vAlign w:val="center"/>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生活补助</w:t>
            </w:r>
          </w:p>
        </w:tc>
        <w:tc>
          <w:tcPr>
            <w:tcW w:w="3111"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1.70</w:t>
            </w:r>
          </w:p>
        </w:tc>
        <w:tc>
          <w:tcPr>
            <w:tcW w:w="3112"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1.70</w:t>
            </w:r>
          </w:p>
        </w:tc>
        <w:tc>
          <w:tcPr>
            <w:tcW w:w="3113"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30399</w:t>
            </w:r>
          </w:p>
        </w:tc>
        <w:tc>
          <w:tcPr>
            <w:tcW w:w="3111" w:type="dxa"/>
            <w:vAlign w:val="center"/>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其他对个人和家庭的补助</w:t>
            </w:r>
          </w:p>
        </w:tc>
        <w:tc>
          <w:tcPr>
            <w:tcW w:w="3111"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0.03</w:t>
            </w:r>
          </w:p>
        </w:tc>
        <w:tc>
          <w:tcPr>
            <w:tcW w:w="3112"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0.03</w:t>
            </w:r>
          </w:p>
        </w:tc>
        <w:tc>
          <w:tcPr>
            <w:tcW w:w="3113"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310</w:t>
            </w:r>
          </w:p>
        </w:tc>
        <w:tc>
          <w:tcPr>
            <w:tcW w:w="3111" w:type="dxa"/>
            <w:vAlign w:val="center"/>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资本性支出</w:t>
            </w:r>
          </w:p>
        </w:tc>
        <w:tc>
          <w:tcPr>
            <w:tcW w:w="3111"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2"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31002</w:t>
            </w:r>
          </w:p>
        </w:tc>
        <w:tc>
          <w:tcPr>
            <w:tcW w:w="3111" w:type="dxa"/>
            <w:vAlign w:val="center"/>
          </w:tcPr>
          <w:p>
            <w:pPr>
              <w:pStyle w:val="24"/>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办公设备购置</w:t>
            </w:r>
          </w:p>
        </w:tc>
        <w:tc>
          <w:tcPr>
            <w:tcW w:w="3111"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2"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pPr>
              <w:pStyle w:val="24"/>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blHeader/>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rFonts w:hint="eastAsia" w:ascii="宋体" w:hAnsi="宋体" w:eastAsia="宋体" w:cs="宋体"/>
                <w:sz w:val="17"/>
                <w:szCs w:val="17"/>
              </w:rPr>
              <w:t>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22"/>
        <w:keepNext/>
        <w:keepLines/>
        <w:spacing w:after="240"/>
        <w:jc w:val="center"/>
        <w:rPr>
          <w:rFonts w:hint="default"/>
          <w:sz w:val="28"/>
          <w:szCs w:val="28"/>
          <w:lang w:val="en-US" w:eastAsia="zh-CN"/>
        </w:rPr>
      </w:pPr>
      <w:bookmarkStart w:id="28" w:name="bookmark66"/>
      <w:bookmarkStart w:id="29" w:name="bookmark67"/>
      <w:bookmarkStart w:id="30" w:name="bookmark65"/>
      <w:r>
        <w:rPr>
          <w:rFonts w:hint="default"/>
          <w:sz w:val="28"/>
          <w:szCs w:val="28"/>
          <w:lang w:val="en-US" w:eastAsia="zh-CN"/>
        </w:rPr>
        <w:t>一般公共预算“三公”经费预算表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6"/>
        <w:gridCol w:w="1918"/>
        <w:gridCol w:w="1884"/>
        <w:gridCol w:w="1895"/>
        <w:gridCol w:w="1888"/>
        <w:gridCol w:w="1890"/>
        <w:gridCol w:w="1895"/>
        <w:gridCol w:w="2"/>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6" w:type="dxa"/>
            <w:gridSpan w:val="7"/>
            <w:tcBorders>
              <w:top w:val="nil"/>
              <w:left w:val="nil"/>
              <w:right w:val="nil"/>
            </w:tcBorders>
          </w:tcPr>
          <w:p>
            <w:pPr>
              <w:pStyle w:val="26"/>
              <w:bidi w:val="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环江毛南族自治县第一初级中学</w:t>
            </w:r>
          </w:p>
        </w:tc>
        <w:tc>
          <w:tcPr>
            <w:tcW w:w="1891" w:type="dxa"/>
            <w:gridSpan w:val="2"/>
            <w:tcBorders>
              <w:top w:val="nil"/>
              <w:left w:val="nil"/>
              <w:right w:val="nil"/>
            </w:tcBorders>
          </w:tcPr>
          <w:p>
            <w:pPr>
              <w:pStyle w:val="26"/>
              <w:bidi w:val="0"/>
              <w:ind w:firstLine="480" w:firstLineChars="30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6" w:type="dxa"/>
            <w:vMerge w:val="restart"/>
          </w:tcPr>
          <w:p>
            <w:pPr>
              <w:pStyle w:val="26"/>
              <w:bidi w:val="0"/>
              <w:jc w:val="center"/>
              <w:rPr>
                <w:rFonts w:hint="eastAsia"/>
                <w:vertAlign w:val="baseline"/>
                <w:lang w:val="en-US" w:eastAsia="zh-CN"/>
              </w:rPr>
            </w:pPr>
            <w:r>
              <w:rPr>
                <w:sz w:val="17"/>
                <w:szCs w:val="17"/>
              </w:rPr>
              <w:t>门（单位）代码</w:t>
            </w:r>
          </w:p>
        </w:tc>
        <w:tc>
          <w:tcPr>
            <w:tcW w:w="1918" w:type="dxa"/>
            <w:vMerge w:val="restart"/>
          </w:tcPr>
          <w:p>
            <w:pPr>
              <w:pStyle w:val="26"/>
              <w:bidi w:val="0"/>
              <w:jc w:val="center"/>
              <w:rPr>
                <w:rFonts w:hint="eastAsia"/>
                <w:vertAlign w:val="baseline"/>
                <w:lang w:val="en-US" w:eastAsia="zh-CN"/>
              </w:rPr>
            </w:pPr>
            <w:r>
              <w:rPr>
                <w:sz w:val="17"/>
                <w:szCs w:val="17"/>
              </w:rPr>
              <w:t>部门（单位）名称</w:t>
            </w:r>
          </w:p>
        </w:tc>
        <w:tc>
          <w:tcPr>
            <w:tcW w:w="11343" w:type="dxa"/>
            <w:gridSpan w:val="7"/>
          </w:tcPr>
          <w:p>
            <w:pPr>
              <w:pStyle w:val="26"/>
              <w:bidi w:val="0"/>
              <w:jc w:val="center"/>
              <w:rPr>
                <w:rFonts w:hint="eastAsia"/>
                <w:vertAlign w:val="baseline"/>
                <w:lang w:val="en-US" w:eastAsia="zh-CN"/>
              </w:rPr>
            </w:pPr>
            <w:r>
              <w:rPr>
                <w:sz w:val="17"/>
                <w:szCs w:val="17"/>
                <w:lang w:val="zh-CN" w:eastAsia="zh-CN" w:bidi="zh-CN"/>
              </w:rPr>
              <w:t>“三</w:t>
            </w:r>
            <w:r>
              <w:rPr>
                <w:sz w:val="17"/>
                <w:szCs w:val="17"/>
              </w:rPr>
              <w:t>公”经费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6" w:type="dxa"/>
            <w:vMerge w:val="continue"/>
          </w:tcPr>
          <w:p>
            <w:pPr>
              <w:pStyle w:val="26"/>
              <w:bidi w:val="0"/>
              <w:jc w:val="center"/>
              <w:rPr>
                <w:rFonts w:hint="eastAsia"/>
                <w:vertAlign w:val="baseline"/>
                <w:lang w:val="en-US" w:eastAsia="zh-CN"/>
              </w:rPr>
            </w:pPr>
          </w:p>
        </w:tc>
        <w:tc>
          <w:tcPr>
            <w:tcW w:w="1918" w:type="dxa"/>
            <w:vMerge w:val="continue"/>
          </w:tcPr>
          <w:p>
            <w:pPr>
              <w:pStyle w:val="26"/>
              <w:bidi w:val="0"/>
              <w:jc w:val="center"/>
              <w:rPr>
                <w:rFonts w:hint="eastAsia"/>
                <w:vertAlign w:val="baseline"/>
                <w:lang w:val="en-US" w:eastAsia="zh-CN"/>
              </w:rPr>
            </w:pPr>
          </w:p>
        </w:tc>
        <w:tc>
          <w:tcPr>
            <w:tcW w:w="1884" w:type="dxa"/>
            <w:vMerge w:val="restart"/>
          </w:tcPr>
          <w:p>
            <w:pPr>
              <w:pStyle w:val="26"/>
              <w:bidi w:val="0"/>
              <w:jc w:val="center"/>
              <w:rPr>
                <w:rFonts w:hint="eastAsia"/>
                <w:vertAlign w:val="baseline"/>
                <w:lang w:val="en-US" w:eastAsia="zh-CN"/>
              </w:rPr>
            </w:pPr>
            <w:r>
              <w:rPr>
                <w:sz w:val="17"/>
                <w:szCs w:val="17"/>
              </w:rPr>
              <w:t>合计</w:t>
            </w:r>
          </w:p>
        </w:tc>
        <w:tc>
          <w:tcPr>
            <w:tcW w:w="1895" w:type="dxa"/>
            <w:vMerge w:val="restart"/>
          </w:tcPr>
          <w:p>
            <w:pPr>
              <w:pStyle w:val="26"/>
              <w:bidi w:val="0"/>
              <w:jc w:val="center"/>
              <w:rPr>
                <w:rFonts w:hint="eastAsia"/>
                <w:vertAlign w:val="baseline"/>
                <w:lang w:val="en-US" w:eastAsia="zh-CN"/>
              </w:rPr>
            </w:pPr>
            <w:r>
              <w:rPr>
                <w:sz w:val="17"/>
                <w:szCs w:val="17"/>
              </w:rPr>
              <w:t>因公出国（境）费</w:t>
            </w:r>
          </w:p>
        </w:tc>
        <w:tc>
          <w:tcPr>
            <w:tcW w:w="5675" w:type="dxa"/>
            <w:gridSpan w:val="4"/>
          </w:tcPr>
          <w:p>
            <w:pPr>
              <w:pStyle w:val="26"/>
              <w:bidi w:val="0"/>
              <w:jc w:val="center"/>
              <w:rPr>
                <w:rFonts w:hint="eastAsia"/>
                <w:vertAlign w:val="baseline"/>
                <w:lang w:val="en-US" w:eastAsia="zh-CN"/>
              </w:rPr>
            </w:pPr>
            <w:r>
              <w:rPr>
                <w:sz w:val="17"/>
                <w:szCs w:val="17"/>
              </w:rPr>
              <w:t>公务用车购置及运行维护费</w:t>
            </w:r>
          </w:p>
        </w:tc>
        <w:tc>
          <w:tcPr>
            <w:tcW w:w="1889" w:type="dxa"/>
            <w:vMerge w:val="restart"/>
          </w:tcPr>
          <w:p>
            <w:pPr>
              <w:pStyle w:val="26"/>
              <w:bidi w:val="0"/>
              <w:jc w:val="center"/>
              <w:rPr>
                <w:rFonts w:hint="eastAsia"/>
                <w:vertAlign w:val="baseline"/>
                <w:lang w:val="en-US" w:eastAsia="zh-CN"/>
              </w:rPr>
            </w:pPr>
            <w:r>
              <w:rPr>
                <w:sz w:val="17"/>
                <w:szCs w:val="17"/>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6" w:type="dxa"/>
            <w:vMerge w:val="continue"/>
          </w:tcPr>
          <w:p>
            <w:pPr>
              <w:pStyle w:val="26"/>
              <w:bidi w:val="0"/>
              <w:jc w:val="center"/>
              <w:rPr>
                <w:rFonts w:hint="eastAsia"/>
                <w:vertAlign w:val="baseline"/>
                <w:lang w:val="en-US" w:eastAsia="zh-CN"/>
              </w:rPr>
            </w:pPr>
          </w:p>
        </w:tc>
        <w:tc>
          <w:tcPr>
            <w:tcW w:w="1918" w:type="dxa"/>
            <w:vMerge w:val="continue"/>
          </w:tcPr>
          <w:p>
            <w:pPr>
              <w:pStyle w:val="26"/>
              <w:bidi w:val="0"/>
              <w:jc w:val="center"/>
              <w:rPr>
                <w:rFonts w:hint="eastAsia"/>
                <w:vertAlign w:val="baseline"/>
                <w:lang w:val="en-US" w:eastAsia="zh-CN"/>
              </w:rPr>
            </w:pPr>
          </w:p>
        </w:tc>
        <w:tc>
          <w:tcPr>
            <w:tcW w:w="1884" w:type="dxa"/>
            <w:vMerge w:val="continue"/>
          </w:tcPr>
          <w:p>
            <w:pPr>
              <w:pStyle w:val="26"/>
              <w:bidi w:val="0"/>
              <w:jc w:val="center"/>
              <w:rPr>
                <w:rFonts w:hint="eastAsia"/>
                <w:vertAlign w:val="baseline"/>
                <w:lang w:val="en-US" w:eastAsia="zh-CN"/>
              </w:rPr>
            </w:pPr>
          </w:p>
        </w:tc>
        <w:tc>
          <w:tcPr>
            <w:tcW w:w="1895" w:type="dxa"/>
            <w:vMerge w:val="continue"/>
          </w:tcPr>
          <w:p>
            <w:pPr>
              <w:pStyle w:val="26"/>
              <w:bidi w:val="0"/>
              <w:jc w:val="center"/>
              <w:rPr>
                <w:rFonts w:hint="eastAsia"/>
                <w:vertAlign w:val="baseline"/>
                <w:lang w:val="en-US" w:eastAsia="zh-CN"/>
              </w:rPr>
            </w:pPr>
          </w:p>
        </w:tc>
        <w:tc>
          <w:tcPr>
            <w:tcW w:w="1888" w:type="dxa"/>
            <w:vAlign w:val="center"/>
          </w:tcPr>
          <w:p>
            <w:pPr>
              <w:pStyle w:val="24"/>
              <w:spacing w:line="240" w:lineRule="auto"/>
              <w:ind w:firstLine="0" w:firstLineChars="0"/>
              <w:jc w:val="center"/>
              <w:rPr>
                <w:rFonts w:hint="eastAsia"/>
                <w:vertAlign w:val="baseline"/>
                <w:lang w:val="en-US" w:eastAsia="zh-CN"/>
              </w:rPr>
            </w:pPr>
            <w:r>
              <w:rPr>
                <w:sz w:val="17"/>
                <w:szCs w:val="17"/>
              </w:rPr>
              <w:t>小计</w:t>
            </w:r>
          </w:p>
        </w:tc>
        <w:tc>
          <w:tcPr>
            <w:tcW w:w="1890" w:type="dxa"/>
            <w:vAlign w:val="center"/>
          </w:tcPr>
          <w:p>
            <w:pPr>
              <w:pStyle w:val="24"/>
              <w:spacing w:line="240" w:lineRule="auto"/>
              <w:ind w:firstLine="220" w:firstLineChars="0"/>
              <w:jc w:val="center"/>
              <w:rPr>
                <w:rFonts w:hint="eastAsia"/>
                <w:vertAlign w:val="baseline"/>
                <w:lang w:val="en-US" w:eastAsia="zh-CN"/>
              </w:rPr>
            </w:pPr>
            <w:r>
              <w:rPr>
                <w:sz w:val="17"/>
                <w:szCs w:val="17"/>
              </w:rPr>
              <w:t>公务用车运行维护费</w:t>
            </w:r>
          </w:p>
        </w:tc>
        <w:tc>
          <w:tcPr>
            <w:tcW w:w="1897" w:type="dxa"/>
            <w:gridSpan w:val="2"/>
            <w:vAlign w:val="center"/>
          </w:tcPr>
          <w:p>
            <w:pPr>
              <w:pStyle w:val="24"/>
              <w:spacing w:line="240" w:lineRule="auto"/>
              <w:ind w:firstLine="400" w:firstLineChars="0"/>
              <w:jc w:val="center"/>
              <w:rPr>
                <w:rFonts w:hint="eastAsia"/>
                <w:vertAlign w:val="baseline"/>
                <w:lang w:val="en-US" w:eastAsia="zh-CN"/>
              </w:rPr>
            </w:pPr>
            <w:r>
              <w:rPr>
                <w:sz w:val="17"/>
                <w:szCs w:val="17"/>
              </w:rPr>
              <w:t>公务用车购置费</w:t>
            </w:r>
          </w:p>
        </w:tc>
        <w:tc>
          <w:tcPr>
            <w:tcW w:w="1889" w:type="dxa"/>
            <w:vMerge w:val="continue"/>
          </w:tcPr>
          <w:p>
            <w:pPr>
              <w:pStyle w:val="26"/>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1</w:t>
            </w:r>
          </w:p>
        </w:tc>
        <w:tc>
          <w:tcPr>
            <w:tcW w:w="1895"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2</w:t>
            </w:r>
          </w:p>
        </w:tc>
        <w:tc>
          <w:tcPr>
            <w:tcW w:w="1888"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3</w:t>
            </w:r>
          </w:p>
        </w:tc>
        <w:tc>
          <w:tcPr>
            <w:tcW w:w="1890"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4</w:t>
            </w:r>
          </w:p>
        </w:tc>
        <w:tc>
          <w:tcPr>
            <w:tcW w:w="1897" w:type="dxa"/>
            <w:gridSpan w:val="2"/>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5</w:t>
            </w:r>
          </w:p>
        </w:tc>
        <w:tc>
          <w:tcPr>
            <w:tcW w:w="1889"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6" w:type="dxa"/>
            <w:vAlign w:val="center"/>
          </w:tcPr>
          <w:p>
            <w:pPr>
              <w:pStyle w:val="24"/>
              <w:spacing w:line="240" w:lineRule="auto"/>
              <w:ind w:firstLine="0" w:firstLineChars="0"/>
              <w:jc w:val="lef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201036</w:t>
            </w:r>
          </w:p>
        </w:tc>
        <w:tc>
          <w:tcPr>
            <w:tcW w:w="1918" w:type="dxa"/>
            <w:vAlign w:val="center"/>
          </w:tcPr>
          <w:p>
            <w:pPr>
              <w:pStyle w:val="24"/>
              <w:spacing w:line="240" w:lineRule="auto"/>
              <w:ind w:firstLine="0" w:firstLineChars="0"/>
              <w:jc w:val="left"/>
              <w:rPr>
                <w:rFonts w:hint="eastAsia" w:ascii="宋体" w:hAnsi="宋体" w:eastAsia="宋体" w:cs="宋体"/>
                <w:b w:val="0"/>
                <w:bCs w:val="0"/>
                <w:vertAlign w:val="baseline"/>
                <w:lang w:val="en-US" w:eastAsia="zh-CN"/>
              </w:rPr>
            </w:pPr>
          </w:p>
        </w:tc>
        <w:tc>
          <w:tcPr>
            <w:tcW w:w="1884" w:type="dxa"/>
            <w:vAlign w:val="center"/>
          </w:tcPr>
          <w:p>
            <w:pPr>
              <w:pStyle w:val="24"/>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0.00</w:t>
            </w:r>
          </w:p>
        </w:tc>
        <w:tc>
          <w:tcPr>
            <w:tcW w:w="1895" w:type="dxa"/>
            <w:vAlign w:val="center"/>
          </w:tcPr>
          <w:p>
            <w:pPr>
              <w:pStyle w:val="24"/>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0.00</w:t>
            </w:r>
          </w:p>
        </w:tc>
        <w:tc>
          <w:tcPr>
            <w:tcW w:w="1888" w:type="dxa"/>
            <w:vAlign w:val="center"/>
          </w:tcPr>
          <w:p>
            <w:pPr>
              <w:pStyle w:val="24"/>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0.00</w:t>
            </w:r>
          </w:p>
        </w:tc>
        <w:tc>
          <w:tcPr>
            <w:tcW w:w="1890" w:type="dxa"/>
            <w:vAlign w:val="center"/>
          </w:tcPr>
          <w:p>
            <w:pPr>
              <w:pStyle w:val="24"/>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0.00</w:t>
            </w:r>
          </w:p>
        </w:tc>
        <w:tc>
          <w:tcPr>
            <w:tcW w:w="1897" w:type="dxa"/>
            <w:gridSpan w:val="2"/>
            <w:vAlign w:val="center"/>
          </w:tcPr>
          <w:p>
            <w:pPr>
              <w:pStyle w:val="24"/>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0.00</w:t>
            </w:r>
          </w:p>
        </w:tc>
        <w:tc>
          <w:tcPr>
            <w:tcW w:w="1889" w:type="dxa"/>
            <w:vAlign w:val="center"/>
          </w:tcPr>
          <w:p>
            <w:pPr>
              <w:pStyle w:val="24"/>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557" w:type="dxa"/>
            <w:gridSpan w:val="9"/>
            <w:tcBorders>
              <w:left w:val="nil"/>
              <w:bottom w:val="nil"/>
              <w:right w:val="nil"/>
            </w:tcBorders>
          </w:tcPr>
          <w:p>
            <w:pPr>
              <w:pStyle w:val="26"/>
              <w:bidi w:val="0"/>
              <w:jc w:val="both"/>
              <w:rPr>
                <w:rFonts w:hint="eastAsia"/>
                <w:vertAlign w:val="baseline"/>
                <w:lang w:val="en-US" w:eastAsia="zh-CN"/>
              </w:rPr>
            </w:pPr>
            <w:r>
              <w:rPr>
                <w:rFonts w:hint="eastAsia" w:ascii="宋体" w:hAnsi="宋体" w:eastAsia="宋体" w:cs="宋体"/>
                <w:sz w:val="17"/>
                <w:szCs w:val="17"/>
              </w:rPr>
              <w:t>注：本报表金额单位转换时可能存在四舍五入尾数误差</w:t>
            </w:r>
          </w:p>
        </w:tc>
      </w:tr>
    </w:tbl>
    <w:p>
      <w:pPr>
        <w:pStyle w:val="26"/>
        <w:bidi w:val="0"/>
        <w:rPr>
          <w:rFonts w:hint="eastAsia"/>
          <w:lang w:val="en-US" w:eastAsia="zh-CN"/>
        </w:rPr>
      </w:pPr>
    </w:p>
    <w:p>
      <w:pPr>
        <w:pStyle w:val="22"/>
        <w:keepNext/>
        <w:keepLines/>
        <w:spacing w:after="240"/>
        <w:jc w:val="center"/>
      </w:pPr>
    </w:p>
    <w:p>
      <w:pPr>
        <w:pStyle w:val="22"/>
        <w:keepNext/>
        <w:keepLines/>
        <w:spacing w:after="240"/>
        <w:jc w:val="center"/>
      </w:pPr>
    </w:p>
    <w:p>
      <w:pPr>
        <w:pStyle w:val="22"/>
        <w:keepNext/>
        <w:keepLines/>
        <w:spacing w:after="240"/>
        <w:jc w:val="center"/>
      </w:pPr>
    </w:p>
    <w:p>
      <w:pPr>
        <w:pStyle w:val="22"/>
        <w:keepNext/>
        <w:keepLines/>
        <w:spacing w:after="240"/>
        <w:jc w:val="center"/>
      </w:pPr>
    </w:p>
    <w:p>
      <w:pPr>
        <w:pStyle w:val="22"/>
        <w:keepNext/>
        <w:keepLines/>
        <w:spacing w:after="240"/>
        <w:jc w:val="center"/>
      </w:pPr>
    </w:p>
    <w:p>
      <w:pPr>
        <w:pStyle w:val="26"/>
        <w:bidi w:val="0"/>
      </w:pPr>
    </w:p>
    <w:p>
      <w:pPr>
        <w:pStyle w:val="22"/>
        <w:keepNext/>
        <w:keepLines/>
        <w:spacing w:after="240"/>
        <w:jc w:val="center"/>
      </w:pPr>
      <w:r>
        <w:t>政府性基金预算支出情况表</w:t>
      </w:r>
      <w:bookmarkEnd w:id="28"/>
      <w:bookmarkEnd w:id="29"/>
      <w:bookmarkEnd w:id="30"/>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161"/>
        <w:gridCol w:w="2162"/>
        <w:gridCol w:w="2222"/>
        <w:gridCol w:w="2161"/>
        <w:gridCol w:w="216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3394" w:type="dxa"/>
            <w:gridSpan w:val="6"/>
            <w:tcBorders>
              <w:top w:val="nil"/>
              <w:left w:val="nil"/>
              <w:right w:val="nil"/>
            </w:tcBorders>
          </w:tcPr>
          <w:p>
            <w:pPr>
              <w:pStyle w:val="26"/>
              <w:tabs>
                <w:tab w:val="left" w:pos="14213"/>
              </w:tabs>
              <w:ind w:left="101"/>
              <w:jc w:val="left"/>
            </w:pPr>
            <w:r>
              <w:t>单位名称：</w:t>
            </w:r>
            <w:r>
              <w:rPr>
                <w:rFonts w:hint="eastAsia"/>
                <w:lang w:eastAsia="zh-CN"/>
              </w:rPr>
              <w:t>环江毛南族自治县第一初级中学</w:t>
            </w:r>
            <w:r>
              <w:tab/>
            </w:r>
            <w:r>
              <w:t>单位：万元</w:t>
            </w:r>
          </w:p>
        </w:tc>
        <w:tc>
          <w:tcPr>
            <w:tcW w:w="2163" w:type="dxa"/>
            <w:tcBorders>
              <w:top w:val="nil"/>
              <w:left w:val="nil"/>
              <w:right w:val="nil"/>
            </w:tcBorders>
          </w:tcPr>
          <w:p>
            <w:pPr>
              <w:pStyle w:val="26"/>
              <w:tabs>
                <w:tab w:val="left" w:pos="14213"/>
              </w:tabs>
              <w:ind w:left="101" w:firstLine="680" w:firstLineChars="400"/>
              <w:jc w:val="left"/>
            </w:pPr>
            <w:r>
              <w:rPr>
                <w:rFonts w:hint="eastAsia"/>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27" w:type="dxa"/>
          </w:tcPr>
          <w:p>
            <w:pPr>
              <w:pStyle w:val="26"/>
              <w:bidi w:val="0"/>
              <w:jc w:val="center"/>
              <w:rPr>
                <w:vertAlign w:val="baseline"/>
              </w:rPr>
            </w:pPr>
            <w:r>
              <w:rPr>
                <w:sz w:val="17"/>
                <w:szCs w:val="17"/>
              </w:rPr>
              <w:t>科目编码</w:t>
            </w:r>
          </w:p>
        </w:tc>
        <w:tc>
          <w:tcPr>
            <w:tcW w:w="2161" w:type="dxa"/>
          </w:tcPr>
          <w:p>
            <w:pPr>
              <w:pStyle w:val="26"/>
              <w:bidi w:val="0"/>
              <w:jc w:val="center"/>
              <w:rPr>
                <w:vertAlign w:val="baseline"/>
              </w:rPr>
            </w:pPr>
            <w:r>
              <w:rPr>
                <w:sz w:val="17"/>
                <w:szCs w:val="17"/>
              </w:rPr>
              <w:t>部门（单位）代码</w:t>
            </w:r>
          </w:p>
        </w:tc>
        <w:tc>
          <w:tcPr>
            <w:tcW w:w="2162" w:type="dxa"/>
          </w:tcPr>
          <w:p>
            <w:pPr>
              <w:pStyle w:val="26"/>
              <w:bidi w:val="0"/>
              <w:jc w:val="center"/>
              <w:rPr>
                <w:vertAlign w:val="baseline"/>
              </w:rPr>
            </w:pPr>
            <w:r>
              <w:rPr>
                <w:sz w:val="17"/>
                <w:szCs w:val="17"/>
              </w:rPr>
              <w:t>部门（单位）名称（功能分类科目名称）</w:t>
            </w:r>
          </w:p>
        </w:tc>
        <w:tc>
          <w:tcPr>
            <w:tcW w:w="2222" w:type="dxa"/>
            <w:vAlign w:val="center"/>
          </w:tcPr>
          <w:p>
            <w:pPr>
              <w:pStyle w:val="24"/>
              <w:spacing w:line="240" w:lineRule="auto"/>
              <w:ind w:firstLine="0" w:firstLineChars="0"/>
              <w:jc w:val="center"/>
              <w:rPr>
                <w:vertAlign w:val="baseline"/>
              </w:rPr>
            </w:pPr>
            <w:r>
              <w:rPr>
                <w:sz w:val="17"/>
                <w:szCs w:val="17"/>
              </w:rPr>
              <w:t>合计</w:t>
            </w:r>
          </w:p>
        </w:tc>
        <w:tc>
          <w:tcPr>
            <w:tcW w:w="2161" w:type="dxa"/>
            <w:vAlign w:val="center"/>
          </w:tcPr>
          <w:p>
            <w:pPr>
              <w:pStyle w:val="24"/>
              <w:spacing w:line="240" w:lineRule="auto"/>
              <w:ind w:firstLine="0" w:firstLineChars="0"/>
              <w:jc w:val="center"/>
              <w:rPr>
                <w:vertAlign w:val="baseline"/>
              </w:rPr>
            </w:pPr>
            <w:r>
              <w:rPr>
                <w:sz w:val="17"/>
                <w:szCs w:val="17"/>
              </w:rPr>
              <w:t>基本支出</w:t>
            </w:r>
          </w:p>
        </w:tc>
        <w:tc>
          <w:tcPr>
            <w:tcW w:w="2161" w:type="dxa"/>
            <w:vAlign w:val="center"/>
          </w:tcPr>
          <w:p>
            <w:pPr>
              <w:pStyle w:val="24"/>
              <w:spacing w:line="240" w:lineRule="auto"/>
              <w:ind w:firstLine="0" w:firstLineChars="0"/>
              <w:jc w:val="center"/>
              <w:rPr>
                <w:vertAlign w:val="baseline"/>
              </w:rPr>
            </w:pPr>
            <w:r>
              <w:rPr>
                <w:sz w:val="17"/>
                <w:szCs w:val="17"/>
              </w:rPr>
              <w:t>项目支出</w:t>
            </w:r>
          </w:p>
        </w:tc>
        <w:tc>
          <w:tcPr>
            <w:tcW w:w="2163" w:type="dxa"/>
            <w:vAlign w:val="center"/>
          </w:tcPr>
          <w:p>
            <w:pPr>
              <w:pStyle w:val="24"/>
              <w:spacing w:line="240" w:lineRule="auto"/>
              <w:ind w:firstLine="0" w:firstLineChars="0"/>
              <w:jc w:val="center"/>
              <w:rPr>
                <w:vertAlign w:val="baseline"/>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26"/>
              <w:bidi w:val="0"/>
              <w:jc w:val="both"/>
              <w:rPr>
                <w:vertAlign w:val="baseline"/>
              </w:rPr>
            </w:pPr>
            <w:r>
              <w:rPr>
                <w:b w:val="0"/>
                <w:bCs w:val="0"/>
              </w:rPr>
              <w:t>注：本报表金额单位转换时可能存在四舍五入尾数误差</w:t>
            </w:r>
          </w:p>
        </w:tc>
      </w:tr>
    </w:tbl>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jc w:val="center"/>
        <w:rPr>
          <w:sz w:val="28"/>
          <w:szCs w:val="28"/>
        </w:rPr>
      </w:pPr>
      <w:r>
        <w:rPr>
          <w:sz w:val="28"/>
          <w:szCs w:val="28"/>
        </w:rPr>
        <w:t>国有资本经营预算支出情况表</w:t>
      </w:r>
    </w:p>
    <w:p>
      <w:pPr>
        <w:pStyle w:val="26"/>
        <w:bidi w:val="0"/>
        <w:jc w:val="center"/>
        <w:rPr>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161"/>
        <w:gridCol w:w="2162"/>
        <w:gridCol w:w="2222"/>
        <w:gridCol w:w="2161"/>
        <w:gridCol w:w="216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394" w:type="dxa"/>
            <w:gridSpan w:val="6"/>
            <w:tcBorders>
              <w:top w:val="nil"/>
              <w:left w:val="nil"/>
              <w:right w:val="nil"/>
            </w:tcBorders>
          </w:tcPr>
          <w:p>
            <w:pPr>
              <w:pStyle w:val="26"/>
              <w:tabs>
                <w:tab w:val="left" w:pos="14213"/>
              </w:tabs>
              <w:ind w:left="101"/>
              <w:jc w:val="left"/>
            </w:pPr>
            <w:r>
              <w:t>单位名称：</w:t>
            </w:r>
            <w:r>
              <w:rPr>
                <w:rFonts w:hint="eastAsia"/>
                <w:lang w:eastAsia="zh-CN"/>
              </w:rPr>
              <w:t>环江毛南族自治县第一初级中学</w:t>
            </w:r>
            <w:r>
              <w:tab/>
            </w:r>
            <w:r>
              <w:t>单位：万元</w:t>
            </w:r>
          </w:p>
        </w:tc>
        <w:tc>
          <w:tcPr>
            <w:tcW w:w="2163" w:type="dxa"/>
            <w:tcBorders>
              <w:top w:val="nil"/>
              <w:left w:val="nil"/>
              <w:right w:val="nil"/>
            </w:tcBorders>
          </w:tcPr>
          <w:p>
            <w:pPr>
              <w:pStyle w:val="26"/>
              <w:tabs>
                <w:tab w:val="left" w:pos="14213"/>
              </w:tabs>
              <w:ind w:left="101"/>
              <w:jc w:val="left"/>
            </w:pPr>
            <w:r>
              <w:rPr>
                <w:rFonts w:hint="eastAsia" w:ascii="宋体" w:hAnsi="宋体" w:eastAsia="宋体" w:cs="宋体"/>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27" w:type="dxa"/>
            <w:vMerge w:val="restart"/>
          </w:tcPr>
          <w:p>
            <w:pPr>
              <w:pStyle w:val="26"/>
              <w:bidi w:val="0"/>
              <w:jc w:val="center"/>
              <w:rPr>
                <w:vertAlign w:val="baseline"/>
              </w:rPr>
            </w:pPr>
            <w:r>
              <w:rPr>
                <w:sz w:val="17"/>
                <w:szCs w:val="17"/>
              </w:rPr>
              <w:t>科目编码</w:t>
            </w:r>
          </w:p>
        </w:tc>
        <w:tc>
          <w:tcPr>
            <w:tcW w:w="2161" w:type="dxa"/>
            <w:vMerge w:val="restart"/>
          </w:tcPr>
          <w:p>
            <w:pPr>
              <w:pStyle w:val="26"/>
              <w:bidi w:val="0"/>
              <w:jc w:val="center"/>
              <w:rPr>
                <w:vertAlign w:val="baseline"/>
              </w:rPr>
            </w:pPr>
            <w:r>
              <w:rPr>
                <w:sz w:val="17"/>
                <w:szCs w:val="17"/>
              </w:rPr>
              <w:t>部门（单位）代码</w:t>
            </w:r>
          </w:p>
        </w:tc>
        <w:tc>
          <w:tcPr>
            <w:tcW w:w="2162" w:type="dxa"/>
            <w:vMerge w:val="restart"/>
          </w:tcPr>
          <w:p>
            <w:pPr>
              <w:pStyle w:val="26"/>
              <w:bidi w:val="0"/>
              <w:jc w:val="center"/>
              <w:rPr>
                <w:vertAlign w:val="baseline"/>
              </w:rPr>
            </w:pPr>
            <w:r>
              <w:rPr>
                <w:sz w:val="17"/>
                <w:szCs w:val="17"/>
              </w:rPr>
              <w:t>部门（单位）名称（功能分类科目名称）</w:t>
            </w:r>
          </w:p>
        </w:tc>
        <w:tc>
          <w:tcPr>
            <w:tcW w:w="2222" w:type="dxa"/>
            <w:vAlign w:val="center"/>
          </w:tcPr>
          <w:p>
            <w:pPr>
              <w:pStyle w:val="24"/>
              <w:spacing w:line="240" w:lineRule="auto"/>
              <w:ind w:firstLine="0" w:firstLineChars="0"/>
              <w:jc w:val="center"/>
              <w:rPr>
                <w:vertAlign w:val="baseline"/>
              </w:rPr>
            </w:pPr>
            <w:r>
              <w:rPr>
                <w:sz w:val="17"/>
                <w:szCs w:val="17"/>
              </w:rPr>
              <w:t>合计</w:t>
            </w:r>
          </w:p>
        </w:tc>
        <w:tc>
          <w:tcPr>
            <w:tcW w:w="2161" w:type="dxa"/>
            <w:vAlign w:val="center"/>
          </w:tcPr>
          <w:p>
            <w:pPr>
              <w:pStyle w:val="24"/>
              <w:spacing w:line="240" w:lineRule="auto"/>
              <w:ind w:firstLine="0" w:firstLineChars="0"/>
              <w:jc w:val="center"/>
              <w:rPr>
                <w:vertAlign w:val="baseline"/>
              </w:rPr>
            </w:pPr>
            <w:r>
              <w:rPr>
                <w:sz w:val="17"/>
                <w:szCs w:val="17"/>
              </w:rPr>
              <w:t>基本支出</w:t>
            </w:r>
          </w:p>
        </w:tc>
        <w:tc>
          <w:tcPr>
            <w:tcW w:w="2161" w:type="dxa"/>
            <w:vAlign w:val="center"/>
          </w:tcPr>
          <w:p>
            <w:pPr>
              <w:pStyle w:val="24"/>
              <w:spacing w:line="240" w:lineRule="auto"/>
              <w:ind w:firstLine="0" w:firstLineChars="0"/>
              <w:jc w:val="center"/>
              <w:rPr>
                <w:vertAlign w:val="baseline"/>
              </w:rPr>
            </w:pPr>
            <w:r>
              <w:rPr>
                <w:sz w:val="17"/>
                <w:szCs w:val="17"/>
              </w:rPr>
              <w:t>项目支出</w:t>
            </w:r>
          </w:p>
        </w:tc>
        <w:tc>
          <w:tcPr>
            <w:tcW w:w="2163" w:type="dxa"/>
            <w:vAlign w:val="center"/>
          </w:tcPr>
          <w:p>
            <w:pPr>
              <w:pStyle w:val="24"/>
              <w:spacing w:line="240" w:lineRule="auto"/>
              <w:ind w:firstLine="0" w:firstLineChars="0"/>
              <w:jc w:val="center"/>
              <w:rPr>
                <w:vertAlign w:val="baseline"/>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27" w:type="dxa"/>
            <w:vMerge w:val="continue"/>
          </w:tcPr>
          <w:p>
            <w:pPr>
              <w:pStyle w:val="26"/>
              <w:bidi w:val="0"/>
              <w:jc w:val="both"/>
              <w:rPr>
                <w:vertAlign w:val="baseline"/>
              </w:rPr>
            </w:pPr>
          </w:p>
        </w:tc>
        <w:tc>
          <w:tcPr>
            <w:tcW w:w="2161" w:type="dxa"/>
            <w:vMerge w:val="continue"/>
          </w:tcPr>
          <w:p>
            <w:pPr>
              <w:pStyle w:val="26"/>
              <w:bidi w:val="0"/>
              <w:jc w:val="both"/>
              <w:rPr>
                <w:vertAlign w:val="baseline"/>
              </w:rPr>
            </w:pPr>
          </w:p>
        </w:tc>
        <w:tc>
          <w:tcPr>
            <w:tcW w:w="2162" w:type="dxa"/>
            <w:vMerge w:val="continue"/>
          </w:tcPr>
          <w:p>
            <w:pPr>
              <w:pStyle w:val="26"/>
              <w:bidi w:val="0"/>
              <w:jc w:val="both"/>
              <w:rPr>
                <w:vertAlign w:val="baseline"/>
              </w:rPr>
            </w:pPr>
          </w:p>
        </w:tc>
        <w:tc>
          <w:tcPr>
            <w:tcW w:w="2222"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1</w:t>
            </w:r>
          </w:p>
        </w:tc>
        <w:tc>
          <w:tcPr>
            <w:tcW w:w="2161"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2</w:t>
            </w:r>
          </w:p>
        </w:tc>
        <w:tc>
          <w:tcPr>
            <w:tcW w:w="2161"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3</w:t>
            </w:r>
          </w:p>
        </w:tc>
        <w:tc>
          <w:tcPr>
            <w:tcW w:w="2163"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24"/>
              <w:spacing w:line="240" w:lineRule="auto"/>
              <w:ind w:firstLine="0" w:firstLineChars="0"/>
              <w:jc w:val="left"/>
              <w:rPr>
                <w:vertAlign w:val="baseline"/>
              </w:rPr>
            </w:pPr>
            <w:r>
              <w:rPr>
                <w:sz w:val="17"/>
                <w:szCs w:val="17"/>
              </w:rPr>
              <w:t>合计</w:t>
            </w:r>
          </w:p>
        </w:tc>
        <w:tc>
          <w:tcPr>
            <w:tcW w:w="2222" w:type="dxa"/>
            <w:vAlign w:val="center"/>
          </w:tcPr>
          <w:p>
            <w:pPr>
              <w:pStyle w:val="24"/>
              <w:spacing w:line="240" w:lineRule="auto"/>
              <w:ind w:left="1700" w:leftChars="0"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1" w:type="dxa"/>
            <w:vAlign w:val="center"/>
          </w:tcPr>
          <w:p>
            <w:pPr>
              <w:pStyle w:val="24"/>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1" w:type="dxa"/>
            <w:vAlign w:val="center"/>
          </w:tcPr>
          <w:p>
            <w:pPr>
              <w:pStyle w:val="24"/>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3" w:type="dxa"/>
            <w:vAlign w:val="center"/>
          </w:tcPr>
          <w:p>
            <w:pPr>
              <w:pStyle w:val="24"/>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26"/>
              <w:spacing w:line="302" w:lineRule="exact"/>
              <w:ind w:left="672"/>
              <w:jc w:val="left"/>
              <w:rPr>
                <w:rFonts w:hint="eastAsia" w:ascii="宋体" w:hAnsi="宋体" w:eastAsia="宋体" w:cs="宋体"/>
                <w:b w:val="0"/>
                <w:bCs w:val="0"/>
              </w:rPr>
            </w:pPr>
            <w:r>
              <w:rPr>
                <w:rFonts w:hint="eastAsia" w:ascii="宋体" w:hAnsi="宋体" w:eastAsia="宋体" w:cs="宋体"/>
                <w:b w:val="0"/>
                <w:bCs w:val="0"/>
              </w:rPr>
              <w:t>注：本报表金额单位转换时可能存在四舍五入尾数误差。本部门</w:t>
            </w:r>
            <w:r>
              <w:rPr>
                <w:rFonts w:hint="eastAsia" w:ascii="宋体" w:hAnsi="宋体" w:eastAsia="宋体" w:cs="宋体"/>
                <w:b w:val="0"/>
                <w:bCs w:val="0"/>
                <w:lang w:eastAsia="zh-CN"/>
              </w:rPr>
              <w:t>2024</w:t>
            </w:r>
            <w:r>
              <w:rPr>
                <w:rFonts w:ascii="宋体" w:hAnsi="宋体" w:eastAsia="宋体" w:cs="宋体"/>
                <w:u w:color="auto"/>
              </w:rPr>
              <w:t>年</w:t>
            </w:r>
            <w:r>
              <w:rPr>
                <w:rFonts w:hint="eastAsia" w:ascii="宋体" w:hAnsi="宋体" w:eastAsia="宋体" w:cs="宋体"/>
                <w:b w:val="0"/>
                <w:bCs w:val="0"/>
              </w:rPr>
              <w:t>度没有国有资本经营预算支出，故本表无数据</w:t>
            </w:r>
          </w:p>
          <w:p>
            <w:pPr>
              <w:pStyle w:val="26"/>
              <w:bidi w:val="0"/>
              <w:jc w:val="both"/>
              <w:rPr>
                <w:vertAlign w:val="baseline"/>
              </w:rPr>
            </w:pPr>
          </w:p>
        </w:tc>
      </w:tr>
    </w:tbl>
    <w:p>
      <w:pPr>
        <w:pStyle w:val="26"/>
        <w:bidi w:val="0"/>
      </w:pPr>
    </w:p>
    <w:p>
      <w:r>
        <w:br w:type="page"/>
      </w:r>
    </w:p>
    <w:p>
      <w:pPr>
        <w:pStyle w:val="22"/>
        <w:keepNext/>
        <w:keepLines/>
        <w:spacing w:after="240"/>
        <w:jc w:val="center"/>
        <w:rPr>
          <w:rFonts w:hint="default" w:eastAsia="宋体"/>
          <w:lang w:val="en-US" w:eastAsia="zh-CN"/>
        </w:rPr>
      </w:pPr>
      <w:r>
        <w:rPr>
          <w:rFonts w:hint="eastAsia"/>
          <w:lang w:val="en-US" w:eastAsia="zh-CN"/>
        </w:rPr>
        <w:t>2024年度预算项目绩效目标公开表</w:t>
      </w:r>
    </w:p>
    <w:tbl>
      <w:tblPr>
        <w:tblStyle w:val="4"/>
        <w:tblW w:w="0" w:type="auto"/>
        <w:tblInd w:w="0" w:type="dxa"/>
        <w:tblLayout w:type="fixed"/>
        <w:tblCellMar>
          <w:top w:w="0" w:type="dxa"/>
          <w:left w:w="10" w:type="dxa"/>
          <w:bottom w:w="0" w:type="dxa"/>
          <w:right w:w="10" w:type="dxa"/>
        </w:tblCellMar>
      </w:tblPr>
      <w:tblGrid>
        <w:gridCol w:w="1843"/>
        <w:gridCol w:w="2559"/>
        <w:gridCol w:w="3350"/>
        <w:gridCol w:w="1511"/>
        <w:gridCol w:w="6076"/>
      </w:tblGrid>
      <w:tr>
        <w:tblPrEx>
          <w:tblCellMar>
            <w:top w:w="0" w:type="dxa"/>
            <w:left w:w="10" w:type="dxa"/>
            <w:bottom w:w="0" w:type="dxa"/>
            <w:right w:w="10" w:type="dxa"/>
          </w:tblCellMar>
        </w:tblPrEx>
        <w:trPr>
          <w:cantSplit/>
          <w:trHeight w:val="346" w:hRule="exact"/>
        </w:trPr>
        <w:tc>
          <w:tcPr>
            <w:tcW w:w="9263" w:type="dxa"/>
            <w:gridSpan w:val="4"/>
            <w:shd w:val="clear" w:color="auto" w:fill="FFFFFF"/>
          </w:tcPr>
          <w:p>
            <w:pPr>
              <w:pStyle w:val="24"/>
              <w:spacing w:line="240" w:lineRule="auto"/>
              <w:ind w:firstLine="0"/>
              <w:jc w:val="left"/>
              <w:rPr>
                <w:rFonts w:hint="default" w:ascii="宋体" w:hAnsi="宋体" w:eastAsia="宋体" w:cs="宋体"/>
                <w:sz w:val="17"/>
                <w:szCs w:val="17"/>
                <w:lang w:val="en-US"/>
              </w:rPr>
            </w:pPr>
            <w:r>
              <w:rPr>
                <w:rFonts w:hint="eastAsia" w:ascii="宋体" w:hAnsi="宋体" w:eastAsia="宋体" w:cs="宋体"/>
                <w:sz w:val="17"/>
                <w:szCs w:val="17"/>
              </w:rPr>
              <w:t>单位名称：</w:t>
            </w:r>
            <w:r>
              <w:rPr>
                <w:rFonts w:hint="eastAsia" w:ascii="宋体" w:hAnsi="宋体" w:eastAsia="宋体" w:cs="宋体"/>
                <w:sz w:val="17"/>
                <w:szCs w:val="17"/>
                <w:lang w:eastAsia="zh-CN"/>
              </w:rPr>
              <w:t>环江毛南族自治县第一初级中学</w:t>
            </w:r>
          </w:p>
        </w:tc>
        <w:tc>
          <w:tcPr>
            <w:tcW w:w="6076" w:type="dxa"/>
            <w:shd w:val="clear" w:color="auto" w:fill="FFFFFF"/>
          </w:tcPr>
          <w:p>
            <w:pPr>
              <w:pStyle w:val="24"/>
              <w:spacing w:line="240" w:lineRule="auto"/>
              <w:ind w:firstLine="4760" w:firstLineChars="2800"/>
              <w:jc w:val="left"/>
              <w:rPr>
                <w:rFonts w:hint="eastAsia" w:ascii="宋体" w:hAnsi="宋体" w:eastAsia="宋体" w:cs="宋体"/>
                <w:sz w:val="17"/>
                <w:szCs w:val="17"/>
              </w:rPr>
            </w:pPr>
            <w:r>
              <w:rPr>
                <w:rFonts w:hint="eastAsia" w:ascii="宋体" w:hAnsi="宋体" w:eastAsia="宋体" w:cs="宋体"/>
                <w:sz w:val="17"/>
                <w:szCs w:val="17"/>
              </w:rPr>
              <w:t>单位：万元</w:t>
            </w:r>
          </w:p>
        </w:tc>
      </w:tr>
      <w:tr>
        <w:tblPrEx>
          <w:tblCellMar>
            <w:top w:w="0" w:type="dxa"/>
            <w:left w:w="10" w:type="dxa"/>
            <w:bottom w:w="0" w:type="dxa"/>
            <w:right w:w="10" w:type="dxa"/>
          </w:tblCellMar>
        </w:tblPrEx>
        <w:trPr>
          <w:cantSplit/>
          <w:trHeight w:val="854" w:hRule="exact"/>
        </w:trPr>
        <w:tc>
          <w:tcPr>
            <w:tcW w:w="184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ascii="宋体" w:hAnsi="宋体" w:eastAsia="宋体" w:cs="宋体"/>
                <w:sz w:val="17"/>
                <w:u w:color="auto"/>
              </w:rPr>
              <w:t>单位代码</w:t>
            </w:r>
          </w:p>
        </w:tc>
        <w:tc>
          <w:tcPr>
            <w:tcW w:w="2559"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4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单位名称</w:t>
            </w:r>
          </w:p>
        </w:tc>
        <w:tc>
          <w:tcPr>
            <w:tcW w:w="335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项目名称</w:t>
            </w:r>
          </w:p>
        </w:tc>
        <w:tc>
          <w:tcPr>
            <w:tcW w:w="1511"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预算金额</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年度绩效目标</w:t>
            </w:r>
          </w:p>
        </w:tc>
      </w:tr>
      <w:tr>
        <w:tblPrEx>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201036</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环江毛南族自治县第一初级中学</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义务教育中央级公用经费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56.28</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项目立项依据：根据根据自治区财政厅、教育厅《关于提前下达2022年城乡义务教育中央补助经费预算的通知》（桂财教{2021}141号）及《关于提前下达2022年城乡义务教育自治区补助经费预算的通知》（桂财教{2021}152号）精神，2022年农村义务教育阶段公用经费补助标准为中学425元/生/学期，春季学期：我校学生人数为1910人。秋季学期：我校学生人数为1906人。可行性和必要性：保障学校正常运转，持续改善学校基本办学条件，促进教育健康发展。支持范围：学校日常办公运行保障学校正常运转，；实施内容：学校日常办公、水电费、网络费、日常维修、教师培训出差等</w:t>
            </w:r>
          </w:p>
        </w:tc>
      </w:tr>
      <w:tr>
        <w:tblPrEx>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201036</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环江毛南族自治县第一初级中学</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义务教育公用经费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4.77</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保障学校正常运转，持续改善学校基本办学条件，促进教育健康发展。支持范围：学校日常办公运行保障学校正常运转</w:t>
            </w:r>
          </w:p>
        </w:tc>
      </w:tr>
      <w:tr>
        <w:tblPrEx>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201036</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环江毛南族自治县第一初级中学</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自治区公用经费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32.66</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项目立项依据：根据自治区财政厅，教育厅《关于提前下达2022年城乡义务教育中央补助经费预算的通知》(桂财教{2021)141号)及《关于提前下达2022年城乡义务教育自治补助经费预营的通知》(桂财教(2021}152号)精神，2022年农村义务教育阶段公用经费补助标准为初中425元/生·学期。我校学生1852人，2个学期=1852*425*2=1574200元。</w:t>
            </w:r>
            <w:r>
              <w:rPr>
                <w:rFonts w:hint="eastAsia" w:ascii="宋体" w:hAnsi="宋体" w:eastAsia="宋体" w:cs="宋体"/>
                <w:b w:val="0"/>
                <w:bCs w:val="0"/>
                <w:sz w:val="17"/>
                <w:szCs w:val="17"/>
                <w:lang w:val="en-US" w:eastAsia="zh-CN"/>
              </w:rPr>
              <w:br w:type="textWrapping"/>
            </w:r>
            <w:r>
              <w:rPr>
                <w:rFonts w:hint="eastAsia" w:ascii="宋体" w:hAnsi="宋体" w:eastAsia="宋体" w:cs="宋体"/>
                <w:b w:val="0"/>
                <w:bCs w:val="0"/>
                <w:sz w:val="17"/>
                <w:szCs w:val="17"/>
                <w:lang w:val="en-US" w:eastAsia="zh-CN"/>
              </w:rPr>
              <w:t>可行性和必要性:保障学校正常运转，持续改善学校基本办学条件，促进教育健康发展。</w:t>
            </w:r>
            <w:r>
              <w:rPr>
                <w:rFonts w:hint="eastAsia" w:ascii="宋体" w:hAnsi="宋体" w:eastAsia="宋体" w:cs="宋体"/>
                <w:b w:val="0"/>
                <w:bCs w:val="0"/>
                <w:sz w:val="17"/>
                <w:szCs w:val="17"/>
                <w:lang w:val="en-US" w:eastAsia="zh-CN"/>
              </w:rPr>
              <w:br w:type="textWrapping"/>
            </w:r>
            <w:r>
              <w:rPr>
                <w:rFonts w:hint="eastAsia" w:ascii="宋体" w:hAnsi="宋体" w:eastAsia="宋体" w:cs="宋体"/>
                <w:b w:val="0"/>
                <w:bCs w:val="0"/>
                <w:sz w:val="17"/>
                <w:szCs w:val="17"/>
                <w:lang w:val="en-US" w:eastAsia="zh-CN"/>
              </w:rPr>
              <w:t>支持范围:学校日常办公运行保障学校正常运转，</w:t>
            </w:r>
            <w:r>
              <w:rPr>
                <w:rFonts w:hint="eastAsia" w:ascii="宋体" w:hAnsi="宋体" w:eastAsia="宋体" w:cs="宋体"/>
                <w:b w:val="0"/>
                <w:bCs w:val="0"/>
                <w:sz w:val="17"/>
                <w:szCs w:val="17"/>
                <w:lang w:val="en-US" w:eastAsia="zh-CN"/>
              </w:rPr>
              <w:br w:type="textWrapping"/>
            </w:r>
            <w:r>
              <w:rPr>
                <w:rFonts w:hint="eastAsia" w:ascii="宋体" w:hAnsi="宋体" w:eastAsia="宋体" w:cs="宋体"/>
                <w:b w:val="0"/>
                <w:bCs w:val="0"/>
                <w:sz w:val="17"/>
                <w:szCs w:val="17"/>
                <w:lang w:val="en-US" w:eastAsia="zh-CN"/>
              </w:rPr>
              <w:t>实施内容:学校日常办公、水电费、网络费、日常维修、教师培训出差等</w:t>
            </w:r>
          </w:p>
        </w:tc>
      </w:tr>
      <w:tr>
        <w:tblPrEx>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201036</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环江毛南族自治县第一初级中学</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公用经费（特教）自治区补助</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1.14</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项目立项依据：根据自治区财政厅，教育厅《关于义务教育阶段特殊教育学校随班就读残疾学生生均公用经费预算的通知》下达我校11400元。</w:t>
            </w:r>
            <w:r>
              <w:rPr>
                <w:rFonts w:hint="eastAsia" w:ascii="宋体" w:hAnsi="宋体" w:eastAsia="宋体" w:cs="宋体"/>
                <w:b w:val="0"/>
                <w:bCs w:val="0"/>
                <w:sz w:val="17"/>
                <w:szCs w:val="17"/>
                <w:lang w:val="en-US" w:eastAsia="zh-CN"/>
              </w:rPr>
              <w:br w:type="textWrapping"/>
            </w:r>
            <w:r>
              <w:rPr>
                <w:rFonts w:hint="eastAsia" w:ascii="宋体" w:hAnsi="宋体" w:eastAsia="宋体" w:cs="宋体"/>
                <w:b w:val="0"/>
                <w:bCs w:val="0"/>
                <w:sz w:val="17"/>
                <w:szCs w:val="17"/>
                <w:lang w:val="en-US" w:eastAsia="zh-CN"/>
              </w:rPr>
              <w:t>可行性和必要性:保障学校正常运转，持续改善学校基本办学条件，促进教育健康发展。</w:t>
            </w:r>
            <w:r>
              <w:rPr>
                <w:rFonts w:hint="eastAsia" w:ascii="宋体" w:hAnsi="宋体" w:eastAsia="宋体" w:cs="宋体"/>
                <w:b w:val="0"/>
                <w:bCs w:val="0"/>
                <w:sz w:val="17"/>
                <w:szCs w:val="17"/>
                <w:lang w:val="en-US" w:eastAsia="zh-CN"/>
              </w:rPr>
              <w:br w:type="textWrapping"/>
            </w:r>
            <w:r>
              <w:rPr>
                <w:rFonts w:hint="eastAsia" w:ascii="宋体" w:hAnsi="宋体" w:eastAsia="宋体" w:cs="宋体"/>
                <w:b w:val="0"/>
                <w:bCs w:val="0"/>
                <w:sz w:val="17"/>
                <w:szCs w:val="17"/>
                <w:lang w:val="en-US" w:eastAsia="zh-CN"/>
              </w:rPr>
              <w:t>支持范围:学校日常办公运行保障学校正常运转，</w:t>
            </w:r>
            <w:r>
              <w:rPr>
                <w:rFonts w:hint="eastAsia" w:ascii="宋体" w:hAnsi="宋体" w:eastAsia="宋体" w:cs="宋体"/>
                <w:b w:val="0"/>
                <w:bCs w:val="0"/>
                <w:sz w:val="17"/>
                <w:szCs w:val="17"/>
                <w:lang w:val="en-US" w:eastAsia="zh-CN"/>
              </w:rPr>
              <w:br w:type="textWrapping"/>
            </w:r>
            <w:r>
              <w:rPr>
                <w:rFonts w:hint="eastAsia" w:ascii="宋体" w:hAnsi="宋体" w:eastAsia="宋体" w:cs="宋体"/>
                <w:b w:val="0"/>
                <w:bCs w:val="0"/>
                <w:sz w:val="17"/>
                <w:szCs w:val="17"/>
                <w:lang w:val="en-US" w:eastAsia="zh-CN"/>
              </w:rPr>
              <w:t>实施内容:学校日常办公、水电费、网络费、日常维修、教师培训出差等。</w:t>
            </w:r>
          </w:p>
        </w:tc>
      </w:tr>
      <w:tr>
        <w:tblPrEx>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201036</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环江毛南族自治县第一初级中学</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环江县第一初级中学年初预算经费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83.70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完成2024年年初预算经费投入使用</w:t>
            </w:r>
          </w:p>
        </w:tc>
      </w:tr>
    </w:tbl>
    <w:p>
      <w:pPr>
        <w:jc w:val="left"/>
        <w:rPr>
          <w:rFonts w:hint="eastAsia"/>
        </w:rPr>
      </w:pPr>
      <w:r>
        <w:t>注：本报表金额单位转换时可能存在四舍五入尾数误差。</w:t>
      </w:r>
    </w:p>
    <w:p>
      <w:pPr>
        <w:jc w:val="left"/>
        <w:rPr>
          <w:rFonts w:hint="eastAsia"/>
          <w:lang w:eastAsia="zh-CN"/>
        </w:rPr>
        <w:sectPr>
          <w:headerReference r:id="rId12" w:type="default"/>
          <w:footerReference r:id="rId13" w:type="default"/>
          <w:pgSz w:w="16840" w:h="11900" w:orient="landscape"/>
          <w:pgMar w:top="2714" w:right="764" w:bottom="2714" w:left="735" w:header="2286" w:footer="1474" w:gutter="0"/>
          <w:pgBorders>
            <w:top w:val="none" w:sz="0" w:space="0"/>
            <w:left w:val="none" w:sz="0" w:space="0"/>
            <w:bottom w:val="none" w:sz="0" w:space="0"/>
            <w:right w:val="none" w:sz="0" w:space="0"/>
          </w:pgBorders>
          <w:pgNumType w:fmt="decimal"/>
          <w:cols w:space="720" w:num="1"/>
          <w:docGrid w:linePitch="360" w:charSpace="0"/>
        </w:sectPr>
      </w:pPr>
    </w:p>
    <w:p>
      <w:pPr>
        <w:pStyle w:val="12"/>
        <w:keepNext/>
        <w:keepLines/>
        <w:spacing w:before="200" w:after="0"/>
        <w:jc w:val="center"/>
        <w:rPr>
          <w:sz w:val="40"/>
          <w:szCs w:val="40"/>
        </w:rPr>
      </w:pPr>
      <w:bookmarkStart w:id="31" w:name="bookmark94"/>
      <w:bookmarkStart w:id="32" w:name="bookmark96"/>
      <w:bookmarkStart w:id="33" w:name="bookmark95"/>
      <w:r>
        <w:rPr>
          <w:sz w:val="40"/>
          <w:szCs w:val="40"/>
        </w:rPr>
        <w:t>第四部分名词解释</w:t>
      </w:r>
      <w:bookmarkEnd w:id="31"/>
      <w:bookmarkEnd w:id="32"/>
      <w:bookmarkEnd w:id="33"/>
    </w:p>
    <w:p>
      <w:pPr>
        <w:pStyle w:val="18"/>
        <w:tabs>
          <w:tab w:val="left" w:pos="1270"/>
        </w:tabs>
        <w:spacing w:line="626" w:lineRule="exact"/>
        <w:ind w:firstLine="640"/>
        <w:jc w:val="left"/>
      </w:pPr>
      <w:bookmarkStart w:id="34" w:name="bookmark97"/>
      <w:r>
        <w:t>一</w:t>
      </w:r>
      <w:bookmarkEnd w:id="34"/>
      <w:r>
        <w:t>、</w:t>
      </w:r>
      <w:r>
        <w:tab/>
      </w:r>
      <w:r>
        <w:t>财政拨款收入：指预算单位从本级财政部门取得的财政预算资金收入。</w:t>
      </w:r>
    </w:p>
    <w:p>
      <w:pPr>
        <w:pStyle w:val="18"/>
        <w:tabs>
          <w:tab w:val="left" w:pos="1280"/>
        </w:tabs>
        <w:spacing w:line="626" w:lineRule="exact"/>
        <w:ind w:firstLine="640"/>
        <w:jc w:val="left"/>
      </w:pPr>
      <w:bookmarkStart w:id="35" w:name="bookmark98"/>
      <w:r>
        <w:t>二</w:t>
      </w:r>
      <w:bookmarkEnd w:id="35"/>
      <w:r>
        <w:t>、</w:t>
      </w:r>
      <w:r>
        <w:tab/>
      </w:r>
      <w:r>
        <w:t>事业收入：指事业单位开展专业业务活动及辅助活动所取得的收入。</w:t>
      </w:r>
    </w:p>
    <w:p>
      <w:pPr>
        <w:pStyle w:val="18"/>
        <w:tabs>
          <w:tab w:val="left" w:pos="1275"/>
        </w:tabs>
        <w:spacing w:line="626" w:lineRule="exact"/>
        <w:ind w:firstLine="640"/>
        <w:jc w:val="left"/>
      </w:pPr>
      <w:bookmarkStart w:id="36" w:name="bookmark99"/>
      <w:r>
        <w:t>三</w:t>
      </w:r>
      <w:bookmarkEnd w:id="36"/>
      <w:r>
        <w:t>、</w:t>
      </w:r>
      <w:r>
        <w:tab/>
      </w:r>
      <w:r>
        <w:t>经营收入：指事业单位在专业业务活动及其辅助活动之外开展非独立核算经营活动取得的收入。</w:t>
      </w:r>
    </w:p>
    <w:p>
      <w:pPr>
        <w:pStyle w:val="18"/>
        <w:tabs>
          <w:tab w:val="left" w:pos="1309"/>
        </w:tabs>
        <w:spacing w:line="626" w:lineRule="exact"/>
        <w:ind w:firstLine="640"/>
        <w:jc w:val="left"/>
      </w:pPr>
      <w:bookmarkStart w:id="37" w:name="bookmark100"/>
      <w:r>
        <w:t>四</w:t>
      </w:r>
      <w:bookmarkEnd w:id="37"/>
      <w:r>
        <w:t>、</w:t>
      </w:r>
      <w:r>
        <w:tab/>
      </w:r>
      <w:r>
        <w:t>其他收入：指除上述</w:t>
      </w:r>
      <w:r>
        <w:rPr>
          <w:lang w:val="zh-CN" w:eastAsia="zh-CN" w:bidi="zh-CN"/>
        </w:rPr>
        <w:t>“财</w:t>
      </w:r>
      <w:r>
        <w:t>政拨款收入”、</w:t>
      </w:r>
      <w:r>
        <w:rPr>
          <w:lang w:val="zh-CN" w:eastAsia="zh-CN" w:bidi="zh-CN"/>
        </w:rPr>
        <w:t>“事</w:t>
      </w:r>
      <w:r>
        <w:t>业收入"、</w:t>
      </w:r>
      <w:r>
        <w:rPr>
          <w:lang w:val="zh-CN" w:eastAsia="zh-CN" w:bidi="zh-CN"/>
        </w:rPr>
        <w:t>“经营</w:t>
      </w:r>
      <w:r>
        <w:t>收入"等以外的收入。主要是非本级财政拨款、存款利息收入、事业单位固定资产出租收入等。</w:t>
      </w:r>
    </w:p>
    <w:p>
      <w:pPr>
        <w:pStyle w:val="18"/>
        <w:tabs>
          <w:tab w:val="left" w:pos="1275"/>
        </w:tabs>
        <w:spacing w:line="626" w:lineRule="exact"/>
        <w:ind w:firstLine="640"/>
        <w:jc w:val="left"/>
      </w:pPr>
      <w:bookmarkStart w:id="38" w:name="bookmark101"/>
      <w:r>
        <w:t>五</w:t>
      </w:r>
      <w:bookmarkEnd w:id="38"/>
      <w:r>
        <w:t>、</w:t>
      </w:r>
      <w:r>
        <w:tab/>
      </w:r>
      <w:r>
        <w:t>用事业基金弥补收支差额：指事业单位在用当年的</w:t>
      </w:r>
      <w:r>
        <w:rPr>
          <w:lang w:val="zh-CN" w:eastAsia="zh-CN" w:bidi="zh-CN"/>
        </w:rPr>
        <w:t>“财</w:t>
      </w:r>
      <w:r>
        <w:t>政拨款收入"、</w:t>
      </w:r>
      <w:r>
        <w:rPr>
          <w:lang w:val="zh-CN" w:eastAsia="zh-CN" w:bidi="zh-CN"/>
        </w:rPr>
        <w:t>“事业</w:t>
      </w:r>
      <w:r>
        <w:t>收入"、</w:t>
      </w:r>
      <w:r>
        <w:rPr>
          <w:lang w:val="zh-CN" w:eastAsia="zh-CN" w:bidi="zh-CN"/>
        </w:rPr>
        <w:t>“经营</w:t>
      </w:r>
      <w:r>
        <w:t>收入"、</w:t>
      </w:r>
      <w:r>
        <w:rPr>
          <w:lang w:val="zh-CN" w:eastAsia="zh-CN" w:bidi="zh-CN"/>
        </w:rPr>
        <w:t>“其他</w:t>
      </w:r>
      <w:r>
        <w:t>收入"不足以安排当年支出的情况下，使用以前年度积累的事业基金（事业单位当年收支相抵后按国家规定提取、用于弥补以后年度收支差额的基金）弥补本年度收支缺口的资金。</w:t>
      </w:r>
    </w:p>
    <w:p>
      <w:pPr>
        <w:pStyle w:val="18"/>
        <w:tabs>
          <w:tab w:val="left" w:pos="1270"/>
        </w:tabs>
        <w:spacing w:line="626" w:lineRule="exact"/>
        <w:ind w:firstLine="640"/>
        <w:jc w:val="left"/>
      </w:pPr>
      <w:bookmarkStart w:id="39" w:name="bookmark102"/>
      <w:r>
        <w:t>六</w:t>
      </w:r>
      <w:bookmarkEnd w:id="39"/>
      <w:r>
        <w:t>、</w:t>
      </w:r>
      <w:r>
        <w:tab/>
      </w:r>
      <w:r>
        <w:t>年初结转和结余：指以前年度尚未完成、结转到本年按有关规定继续使用的资金。</w:t>
      </w:r>
    </w:p>
    <w:p>
      <w:pPr>
        <w:pStyle w:val="18"/>
        <w:tabs>
          <w:tab w:val="left" w:pos="1275"/>
        </w:tabs>
        <w:spacing w:line="626" w:lineRule="exact"/>
        <w:ind w:firstLine="640"/>
        <w:jc w:val="left"/>
      </w:pPr>
      <w:bookmarkStart w:id="40" w:name="bookmark103"/>
      <w:r>
        <w:t>七</w:t>
      </w:r>
      <w:bookmarkEnd w:id="40"/>
      <w:r>
        <w:t>、</w:t>
      </w:r>
      <w:r>
        <w:tab/>
      </w:r>
      <w:r>
        <w:t>结余分配：指事业单位按规定提取的职工福利基金、事业基金和缴纳的所得税，以及建设单位按规定应交回的基本建设竣工项目结余资金。</w:t>
      </w:r>
    </w:p>
    <w:p>
      <w:pPr>
        <w:pStyle w:val="18"/>
        <w:tabs>
          <w:tab w:val="left" w:pos="632"/>
        </w:tabs>
        <w:spacing w:line="626" w:lineRule="exact"/>
        <w:ind w:firstLine="640"/>
        <w:jc w:val="left"/>
      </w:pPr>
      <w:bookmarkStart w:id="41" w:name="bookmark104"/>
      <w:r>
        <w:t>八</w:t>
      </w:r>
      <w:bookmarkEnd w:id="41"/>
      <w:r>
        <w:t>、</w:t>
      </w:r>
      <w:r>
        <w:tab/>
      </w:r>
      <w:r>
        <w:t>年末结转和结余：指本年度或以前年度预算安排、因客观条件发生变化无法按原计划实施，需要延迟到以后年度按有关规定继</w:t>
      </w:r>
      <w:bookmarkStart w:id="43" w:name="_GoBack"/>
      <w:bookmarkEnd w:id="43"/>
      <w:r>
        <w:t>续使用的资金。</w:t>
      </w:r>
    </w:p>
    <w:p>
      <w:pPr>
        <w:pStyle w:val="18"/>
        <w:spacing w:line="628" w:lineRule="exact"/>
        <w:ind w:firstLine="640"/>
        <w:jc w:val="left"/>
      </w:pPr>
      <w:bookmarkStart w:id="42" w:name="bookmark105"/>
      <w:r>
        <w:t>九</w:t>
      </w:r>
      <w:bookmarkEnd w:id="42"/>
      <w:r>
        <w:t>、基本支出：指为保障机构正常运转、完成日常工作任务而发生的人员支出和公用支出。</w:t>
      </w:r>
    </w:p>
    <w:p>
      <w:pPr>
        <w:pStyle w:val="18"/>
        <w:spacing w:line="628" w:lineRule="exact"/>
        <w:ind w:firstLine="640"/>
        <w:jc w:val="left"/>
      </w:pPr>
      <w:r>
        <w:t>十、项目支出：指在基本支出之外为完成特定行政任务和事业发展目标所发生的支出。</w:t>
      </w:r>
    </w:p>
    <w:p>
      <w:pPr>
        <w:pStyle w:val="18"/>
        <w:spacing w:line="628" w:lineRule="exact"/>
        <w:ind w:firstLine="640"/>
        <w:jc w:val="left"/>
      </w:pPr>
      <w:r>
        <w:t>十一、经营支出：指事业单位在专业业务活动及其辅助活动之外开展非独立核算经营活动所发生的支出。</w:t>
      </w:r>
    </w:p>
    <w:p>
      <w:pPr>
        <w:pStyle w:val="18"/>
        <w:spacing w:line="628" w:lineRule="exact"/>
        <w:ind w:firstLine="640"/>
        <w:jc w:val="left"/>
      </w:pPr>
      <w:r>
        <w:t>十二、</w:t>
      </w:r>
      <w:r>
        <w:rPr>
          <w:lang w:val="zh-CN" w:eastAsia="zh-CN" w:bidi="zh-CN"/>
        </w:rPr>
        <w:t>“三</w:t>
      </w:r>
      <w:r>
        <w:t>公”经费：纳入财政预决算管理的</w:t>
      </w:r>
      <w:r>
        <w:rPr>
          <w:lang w:val="zh-CN" w:eastAsia="zh-CN" w:bidi="zh-CN"/>
        </w:rPr>
        <w:t>“三公</w:t>
      </w:r>
      <w:r>
        <w:t>”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18"/>
        <w:spacing w:line="628" w:lineRule="exact"/>
        <w:ind w:firstLine="640"/>
        <w:jc w:val="left"/>
      </w:pPr>
      <w:r>
        <w:t>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r:id="rId14" w:type="default"/>
      <w:footerReference r:id="rId15" w:type="default"/>
      <w:type w:val="continuous"/>
      <w:pgSz w:w="11900" w:h="16840"/>
      <w:pgMar w:top="1302" w:right="1735" w:bottom="1568" w:left="1793" w:header="874" w:footer="1077" w:gutter="0"/>
      <w:pgBorders>
        <w:top w:val="none" w:sz="0" w:space="0"/>
        <w:left w:val="none" w:sz="0" w:space="0"/>
        <w:bottom w:val="none" w:sz="0" w:space="0"/>
        <w:right w:val="none" w:sz="0" w:space="0"/>
      </w:pgBorders>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8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D5SaYCAgAADAQAAA4AAABkcnMvZTJvRG9jLnhtbK1TwY7TMBC9I/EP&#10;lu80aQ+oipquEFUR0oqttPABruM0lmyPNXablA+AP+DEhTvftd/B2Em7sHDYAxfneTx5nvdmvLoZ&#10;rGEnhUGDq/l8VnKmnIRGu0PNP33cvlpyFqJwjTDgVM3PKvCb9csXq95XagEdmEYhIxIXqt7XvIvR&#10;V0URZKesCDPwytFhC2hFpC0eigZFT+zWFIuyfF30gI1HkCoEim7GQz4x4nMIoW21VBuQR6tcHFlR&#10;GRFJUui0D3ydq21bJeNd2wYVmak5KY15pUsI79NarFeiOqDwnZZTCeI5JTzRZIV2dOmVaiOiYEfU&#10;f1FZLRECtHEmwRajkOwIqZiXT7y574RXWQtZHfzV9PD/aOWH0w6Zbmq+KJdzzpyw1POHb18fvv98&#10;+PGFLZJDvQ8VJd77HU67QDDJHVq06UtC2JBdPV9dVUNkkoLz5WK5LMlwSWeXDfEUj797DPGdAssS&#10;qDlS27Kb4nQb4ph6SUm3OdhqYyguKuP+CBBnihSp4rHGhOKwH6bC99CcSTDCOAnBy62mO29FiDuB&#10;1Hqqkx5HvKOlNdDXHCbEWQf4+V/xlE8doVPOehqlmjt6OZyZ9446labuAvAC9hfgjvYt0GyS9RhN&#10;hvSDcJLoah45O3rUhy5Xm5QG/+YYSX52JWkbBU2SaUiyr9NApyn8fZ+zHh/x+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kPlJpgICAAAMBAAADgAAAAAAAAABACAAAAAfAQAAZHJzL2Uyb0Rv&#10;Yy54bWxQSwUGAAAAAAYABgBZAQAAkw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2089" name="文本框 4"/>
              <wp:cNvGraphicFramePr/>
              <a:graphic xmlns:a="http://schemas.openxmlformats.org/drawingml/2006/main">
                <a:graphicData uri="http://schemas.microsoft.com/office/word/2010/wordprocessingShape">
                  <wps:wsp>
                    <wps:cNvSpPr/>
                    <wps:spPr>
                      <a:xfrm>
                        <a:off x="0" y="0"/>
                        <a:ext cx="394970" cy="16891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rect id="文本框 4" o:spid="_x0000_s1026" o:spt="1" style="position:absolute;left:0pt;margin-left:202.75pt;margin-top:0pt;height:13.3pt;width:31.1pt;mso-position-horizontal-relative:margin;z-index:251662336;mso-width-relative:page;mso-height-relative:page;" filled="f" stroked="f" coordsize="21600,21600" o:gfxdata="UEsDBAoAAAAAAIdO4kAAAAAAAAAAAAAAAAAEAAAAZHJzL1BLAwQUAAAACACHTuJA7XXEI9kAAAAH&#10;AQAADwAAAGRycy9kb3ducmV2LnhtbE2PzU7DMBCE70i8g7VI3Kjdqk3bkE2F+FE5lhapcHPjJYmw&#10;11HsNoWnx5zgOJrRzDfF6uysOFEfWs8I45ECQVx503KN8Lp7ulmACFGz0dYzIXxRgFV5eVHo3PiB&#10;X+i0jbVIJRxyjdDE2OVShqohp8PId8TJ+/C90zHJvpam10Mqd1ZOlMqk0y2nhUZ3dN9Q9bk9OoT1&#10;ort7e/bfQ20f39f7zX75sFtGxOursboFEekc/8Lwi5/QoUxMB39kE4RFmKrZLEUR0qNkT7P5HMQB&#10;YZJlIMtC/ucvfwBQSwMEFAAAAAgAh07iQGaBj1YJAgAADAQAAA4AAABkcnMvZTJvRG9jLnhtbK1T&#10;zY7TMBC+I/EOlu80bVktbdV0haiKkFZspYUHcB27seQ/xk6T8gDwBpy4cOe5+hyMnbQLC4c9cHHG&#10;M5Nv5vtmvLzpjCYHAUE5W9LJaEyJsNxVyu5L+vHD5sWMkhCZrZh2VpT0KAK9WT1/tmz9Qkxd7XQl&#10;gCCIDYvWl7SO0S+KIvBaGBZGzguLQenAsIhX2BcVsBbRjS6m4/F10TqoPDguQkDvug/SARGeAuik&#10;VFysHW+MsLFHBaFZREqhVj7QVe5WSsHjnZRBRKJLikxjPrEI2rt0FqslW+yB+VrxoQX2lBYecTJM&#10;WSx6gVqzyEgD6i8oozi44GQccWeKnkhWBFlMxo+0ua+ZF5kLSh38RfTw/2D5+8MWiKpKOh3P5pRY&#10;ZnDmp29fT99/nn58IVdJodaHBSbe+y0Mt4BmottJMOmLREiXVT1eVBVdJBydL+dX81eoN8fQ5Ho2&#10;n2TVi4efPYT4VjhDklFSwKFlLdnhNkQsiKnnlFTLuo3SOg9O2z8cmJg8Req37zBZsdt1Q9s7Vx2R&#10;Lrh+D4LnG4U1b1mIWwY4eGwTn0a8w0Nq15bUDRYltYPP//KnfJwHRilpcZFKGj41DAQl+p3FSaWt&#10;OxtwNnZnwzbmjcPdnFACUWcTf2CWI2BJIyWNB7Wvc78919dNdFJlXRK7ntJAGpckyzUsdNrC3+85&#10;6+ERr3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XXEI9kAAAAHAQAADwAAAAAAAAABACAAAAAi&#10;AAAAZHJzL2Rvd25yZXYueG1sUEsBAhQAFAAAAAgAh07iQGaBj1YJAgAADAQAAA4AAAAAAAAAAQAg&#10;AAAAKAEAAGRycy9lMm9Eb2MueG1sUEsFBgAAAAAGAAYAWQEAAKMFAAAAAA==&#10;">
              <v:fill on="f" focussize="0,0"/>
              <v:stroke on="f"/>
              <v:imagedata o:title=""/>
              <o:lock v:ext="edit" aspectratio="f"/>
              <v:textbox inset="0mm,0mm,0mm,0mm">
                <w:txbxContent>
                  <w:p>
                    <w:pPr>
                      <w:pStyle w:val="2"/>
                    </w:pPr>
                    <w:r>
                      <w:fldChar w:fldCharType="begin"/>
                    </w:r>
                    <w:r>
                      <w:instrText xml:space="preserve"> PAGE  \* MERGEFORMAT </w:instrText>
                    </w:r>
                    <w:r>
                      <w:fldChar w:fldCharType="separate"/>
                    </w:r>
                    <w:r>
                      <w:t>4</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2091" name="文本框 7"/>
              <wp:cNvGraphicFramePr/>
              <a:graphic xmlns:a="http://schemas.openxmlformats.org/drawingml/2006/main">
                <a:graphicData uri="http://schemas.microsoft.com/office/word/2010/wordprocessingShape">
                  <wps:wsp>
                    <wps:cNvSpPr/>
                    <wps:spPr>
                      <a:xfrm>
                        <a:off x="0" y="0"/>
                        <a:ext cx="440055" cy="206375"/>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rect id="文本框 7" o:spid="_x0000_s1026" o:spt="1" style="position:absolute;left:0pt;margin-left:378.75pt;margin-top:0pt;height:16.25pt;width:34.65pt;mso-position-horizontal-relative:margin;z-index:251663360;mso-width-relative:page;mso-height-relative:page;" filled="f" stroked="f" coordsize="21600,21600" o:gfxdata="UEsDBAoAAAAAAIdO4kAAAAAAAAAAAAAAAAAEAAAAZHJzL1BLAwQUAAAACACHTuJA60y47dgAAAAH&#10;AQAADwAAAGRycy9kb3ducmV2LnhtbE2PzU7DMBCE70i8g7VI3KjToLRpyKZC/Kg9QotUuLmxSSLs&#10;dRS7TenTs5zgOJrRzDfl8uSsOJohdJ4QppMEhKHa644ahLft800OIkRFWllPBuHbBFhWlxelKrQf&#10;6dUcN7ERXEKhUAhtjH0hZahb41SY+N4Qe59+cCqyHBqpBzVyubMyTZKZdKojXmhVbx5aU39tDg5h&#10;lff372t/Hhv79LHavewWj9tFRLy+miZ3IKI5xb8w/OIzOlTMtPcH0kFYhHk2zziKwI/YztMZP9kj&#10;3KYZyKqU//mrH1BLAwQUAAAACACHTuJATg8pcwkCAAAMBAAADgAAAGRycy9lMm9Eb2MueG1srVPN&#10;jtMwEL4j8Q6W7zRp2e5C1HSFqIqQVmylhQdwHbux5D/GTpPyAPAGnLjsnefqczBO0i4sHPbAxfk8&#10;nnye75vx4rozmuwFBOVsSaeTnBJhuauU3ZX008f1i1eUhMhsxbSzoqQHEej18vmzResLMXO105UA&#10;giQ2FK0vaR2jL7Is8FoYFibOC4uH0oFhEbewyypgLbIbnc3y/DJrHVQeHBchYHQ1HNKREZ5C6KRU&#10;XKwcb4ywcWAFoVlESaFWPtBlX62UgsdbKYOIRJcUlcZ+xUsQb9OaLRes2AHzteJjCewpJTzSZJiy&#10;eOmZasUiIw2ov6iM4uCCk3HCnckGIb0jqGKaP/LmrmZe9FrQ6uDPpof/R8s/7DdAVFXSWf56Soll&#10;Bnt+/P7t+OPn8f4ruUoOtT4UmHjnNzDuAsIkt5Ng0heFkK539XB2VXSRcAxeXOT5fE4Jx6NZfvny&#10;ap44s4efPYT4TjhDEigpYNN6L9n+JsQh9ZSS7rJurbTGOCu0/SOAnCmSpXqHChOK3bYby9666oBy&#10;wQ1zEDxfK7zzhoW4YYCNx7HApxFvcZHatSV1I6KkdvDlX/GUj/3AU0paHKSShs8NA0GJfm+xU2nq&#10;TgBOYHsCtjFvHc4mWg9R9xB/YJYjYUkjJY0Htav7egetb5ropOp9SeoGSaNoHJLe2XGg0xT+vu+z&#10;Hh7x8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rTLjt2AAAAAcBAAAPAAAAAAAAAAEAIAAAACIA&#10;AABkcnMvZG93bnJldi54bWxQSwECFAAUAAAACACHTuJATg8pcwkCAAAMBAAADgAAAAAAAAABACAA&#10;AAAnAQAAZHJzL2Uyb0RvYy54bWxQSwUGAAAAAAYABgBZAQAAogUAAAAA&#10;">
              <v:fill on="f" focussize="0,0"/>
              <v:stroke on="f"/>
              <v:imagedata o:title=""/>
              <o:lock v:ext="edit" aspectratio="f"/>
              <v:textbox inset="0mm,0mm,0mm,0mm">
                <w:txbxContent>
                  <w:p>
                    <w:pPr>
                      <w:pStyle w:val="2"/>
                    </w:pPr>
                    <w:r>
                      <w:fldChar w:fldCharType="begin"/>
                    </w:r>
                    <w:r>
                      <w:instrText xml:space="preserve"> PAGE  \* MERGEFORMAT </w:instrText>
                    </w:r>
                    <w:r>
                      <w:fldChar w:fldCharType="separate"/>
                    </w:r>
                    <w:r>
                      <w:t>15</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4384" behindDoc="0" locked="0" layoutInCell="1" allowOverlap="1">
              <wp:simplePos x="0" y="0"/>
              <wp:positionH relativeFrom="margin">
                <wp:posOffset>4538345</wp:posOffset>
              </wp:positionH>
              <wp:positionV relativeFrom="paragraph">
                <wp:posOffset>-151765</wp:posOffset>
              </wp:positionV>
              <wp:extent cx="478790" cy="323215"/>
              <wp:effectExtent l="0" t="0" r="0" b="0"/>
              <wp:wrapNone/>
              <wp:docPr id="2092" name="文本框 9"/>
              <wp:cNvGraphicFramePr/>
              <a:graphic xmlns:a="http://schemas.openxmlformats.org/drawingml/2006/main">
                <a:graphicData uri="http://schemas.microsoft.com/office/word/2010/wordprocessingShape">
                  <wps:wsp>
                    <wps:cNvSpPr/>
                    <wps:spPr>
                      <a:xfrm>
                        <a:off x="0" y="0"/>
                        <a:ext cx="478790" cy="323215"/>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rect id="文本框 9" o:spid="_x0000_s1026" o:spt="1" style="position:absolute;left:0pt;margin-left:357.35pt;margin-top:-11.95pt;height:25.45pt;width:37.7pt;mso-position-horizontal-relative:margin;z-index:251664384;mso-width-relative:page;mso-height-relative:page;" filled="f" stroked="f" coordsize="21600,21600" o:gfxdata="UEsDBAoAAAAAAIdO4kAAAAAAAAAAAAAAAAAEAAAAZHJzL1BLAwQUAAAACACHTuJAlMS3JdsAAAAK&#10;AQAADwAAAGRycy9kb3ducmV2LnhtbE2Py07DMBBF90j8gzVI7Fo7AZEmZFIhHirL0iIVdm4yJBH2&#10;OIrdpvD1mBUsR/fo3jPl8mSNONLoe8cIyVyBIK5d03OL8Lp9mi1A+KC50cYxIXyRh2V1flbqonET&#10;v9BxE1oRS9gXGqELYSik9HVHVvu5G4hj9uFGq0M8x1Y2o55iuTUyVepGWt1zXOj0QPcd1Z+bg0VY&#10;LYa7t2f3PbXm8X21W+/yh20eEC8vEnULItAp/MHwqx/VoYpOe3fgxguDkCXXWUQRZulVDiISWa4S&#10;EHuENFMgq1L+f6H6AVBLAwQUAAAACACHTuJAB6JQ2AkCAAAMBAAADgAAAGRycy9lMm9Eb2MueG1s&#10;rVPNjtMwEL4j8Q6W7zRtFtht1HSFqIqQVmylhQdwHaex5D/GTpPyAPAGnLjsnefqczB20i4sHPbA&#10;xfk8nnye75vx4rrXiuwFeGlNSWeTKSXCcFtJsyvpp4/rF1eU+MBMxZQ1oqQH4en18vmzRecKkdvG&#10;qkoAQRLji86VtAnBFVnmeSM08xPrhMHD2oJmAbewyypgHbJrleXT6euss1A5sFx4j9HVcEhHRngK&#10;oa1rycXK8lYLEwZWEIoFlOQb6TxdpmrrWvBwW9deBKJKikpDWvESxNu4ZssFK3bAXCP5WAJ7SgmP&#10;NGkmDV56plqxwEgL8i8qLTlYb+sw4VZng5DkCKqYTR95c9cwJ5IWtNq7s+n+/9HyD/sNEFmVNJ/O&#10;c0oM09jz4/dvxx8/j/dfyTw61DlfYOKd28C48wij3L4GHb8ohPTJ1cPZVdEHwjH48vLqco5+czy6&#10;yC/y2avImT387MCHd8JqEkFJAZuWvGT7Gx+G1FNKvMvYtVQK46xQ5o8AcsZIFusdKowo9Nt+LHtr&#10;qwPKBTvMgXd8LfHOG+bDhgE2HsvEpxFucamV7UpqR0RJY+HLv+IxH/uBp5R0OEgl9Z9bBoIS9d5g&#10;p+LUnQCcwPYETKvfWpzNGSUQVIL4AzMcCUsaKGkdyF2T6h20vmmDrWXyJaobJI2icUiSs+NAxyn8&#10;fZ+yHh7x8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UxLcl2wAAAAoBAAAPAAAAAAAAAAEAIAAA&#10;ACIAAABkcnMvZG93bnJldi54bWxQSwECFAAUAAAACACHTuJAB6JQ2AkCAAAMBAAADgAAAAAAAAAB&#10;ACAAAAAqAQAAZHJzL2Uyb0RvYy54bWxQSwUGAAAAAAYABgBZAQAApQUAAAAA&#10;">
              <v:fill on="f" focussize="0,0"/>
              <v:stroke on="f"/>
              <v:imagedata o:title=""/>
              <o:lock v:ext="edit" aspectratio="f"/>
              <v:textbox inset="0mm,0mm,0mm,0mm">
                <w:txbxContent>
                  <w:p>
                    <w:pPr>
                      <w:pStyle w:val="2"/>
                    </w:pPr>
                    <w:r>
                      <w:fldChar w:fldCharType="begin"/>
                    </w:r>
                    <w:r>
                      <w:instrText xml:space="preserve"> PAGE  \* MERGEFORMAT </w:instrText>
                    </w:r>
                    <w:r>
                      <w:fldChar w:fldCharType="separate"/>
                    </w:r>
                    <w:r>
                      <w:t>16</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5408" behindDoc="0" locked="0" layoutInCell="1" allowOverlap="1">
              <wp:simplePos x="0" y="0"/>
              <wp:positionH relativeFrom="margin">
                <wp:posOffset>4473575</wp:posOffset>
              </wp:positionH>
              <wp:positionV relativeFrom="paragraph">
                <wp:posOffset>-86360</wp:posOffset>
              </wp:positionV>
              <wp:extent cx="447040" cy="267970"/>
              <wp:effectExtent l="0" t="0" r="0" b="0"/>
              <wp:wrapNone/>
              <wp:docPr id="2093" name="文本框 11"/>
              <wp:cNvGraphicFramePr/>
              <a:graphic xmlns:a="http://schemas.openxmlformats.org/drawingml/2006/main">
                <a:graphicData uri="http://schemas.microsoft.com/office/word/2010/wordprocessingShape">
                  <wps:wsp>
                    <wps:cNvSpPr/>
                    <wps:spPr>
                      <a:xfrm>
                        <a:off x="0" y="0"/>
                        <a:ext cx="447040" cy="26797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rect id="文本框 11" o:spid="_x0000_s1026" o:spt="1" style="position:absolute;left:0pt;margin-left:352.25pt;margin-top:-6.8pt;height:21.1pt;width:35.2pt;mso-position-horizontal-relative:margin;z-index:251665408;mso-width-relative:page;mso-height-relative:page;" filled="f" stroked="f" coordsize="21600,21600" o:gfxdata="UEsDBAoAAAAAAIdO4kAAAAAAAAAAAAAAAAAEAAAAZHJzL1BLAwQUAAAACACHTuJA/0fAq9sAAAAK&#10;AQAADwAAAGRycy9kb3ducmV2LnhtbE2Py07DMBBF90j8gzVI7Fo7peRFJhXiobKEFqmwc2OTRNjj&#10;KHabwtdjVrAc3aN7z1SrkzXsqEffO0JI5gKYpsapnlqE1+3jLAfmgyQljSON8KU9rOrzs0qWyk30&#10;oo+b0LJYQr6UCF0IQ8m5bzptpZ+7QVPMPtxoZYjn2HI1yimWW8MXQqTcyp7iQicHfdfp5nNzsAjr&#10;fLh9e3LfU2se3te7511xvy0C4uVFIm6ABX0KfzD86kd1qKPT3h1IeWYQMrG8jijCLLlKgUUiy5YF&#10;sD3CIk+B1xX//0L9A1BLAwQUAAAACACHTuJACYIC/QoCAAANBAAADgAAAGRycy9lMm9Eb2MueG1s&#10;rVPNjtMwEL4j8Q6W7zRpqbZs1HSFqIqQVmylhQdwHaex5D/GTpPyAPAGnLhw57n6HIydtAsLhz1w&#10;ccYzk2/m+2a8vOm1IgcBXlpT0ukkp0QYbitp9iX9+GHz4hUlPjBTMWWNKOlReHqzev5s2blCzGxj&#10;VSWAIIjxRedK2oTgiizzvBGa+Yl1wmCwtqBZwCvsswpYh+haZbM8v8o6C5UDy4X36F0PQToiwlMA&#10;bV1LLtaWt1qYMKCCUCwgJd9I5+kqdVvXgoe7uvYiEFVSZBrSiUXQ3sUzWy1ZsQfmGsnHFthTWnjE&#10;STNpsOgFas0CIy3Iv6C05GC9rcOEW50NRJIiyGKaP9LmvmFOJC4otXcX0f3/g+XvD1sgsirpLL9+&#10;SYlhGmd++vb19P3n6ccXMp1GiTrnC8y8d1sYbx7NyLevQccvMiF9kvV4kVX0gXB0zueLfI6CcwzN&#10;rhbXiyR79vCzAx/eCqtJNEoKOLUkJjvc+oAFMfWcEmsZu5FKpckp84cDE6Mni/0OHUYr9Lt+bHtn&#10;qyPyBTssgnd8I7HmLfNhywAnj23i2wh3eNTKdiW1o0VJY+Hzv/wxHweCUUo63KSS+k8tA0GJemdw&#10;VHHtzgacjd3ZMK1+Y3E5p5RAUMnEH5jhCFjSQEnrQO6b1O/A9XUbbC2TLpHdQGkkjVuS5Bo3Oq7h&#10;7/eU9fCKV7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0fAq9sAAAAKAQAADwAAAAAAAAABACAA&#10;AAAiAAAAZHJzL2Rvd25yZXYueG1sUEsBAhQAFAAAAAgAh07iQAmCAv0KAgAADQQAAA4AAAAAAAAA&#10;AQAgAAAAKgEAAGRycy9lMm9Eb2MueG1sUEsFBgAAAAAGAAYAWQEAAKYFAAAAAA==&#10;">
              <v:fill on="f" focussize="0,0"/>
              <v:stroke on="f"/>
              <v:imagedata o:title=""/>
              <o:lock v:ext="edit" aspectratio="f"/>
              <v:textbox inset="0mm,0mm,0mm,0mm">
                <w:txbxContent>
                  <w:p>
                    <w:pPr>
                      <w:pStyle w:val="2"/>
                    </w:pPr>
                    <w:r>
                      <w:fldChar w:fldCharType="begin"/>
                    </w:r>
                    <w:r>
                      <w:instrText xml:space="preserve"> PAGE  \* MERGEFORMAT </w:instrText>
                    </w:r>
                    <w:r>
                      <w:fldChar w:fldCharType="separate"/>
                    </w:r>
                    <w:r>
                      <w:t>17</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94"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MGYEEEAgAADQQAAA4AAABkcnMvZTJvRG9jLnhtbK1TwY7TMBC9I/EP&#10;lu80aYRQiZquEFUR0oqttPABruM0lmyPNXablA+AP+DEhTvf1e9gnKRdWDjsgYvzPJ48z3szXt70&#10;1rCjwqDBVXw+yzlTTkKt3b7inz5uXiw4C1G4WhhwquInFfjN6vmzZedLVUALplbIiMSFsvMVb2P0&#10;ZZYF2Sorwgy8cnTYAFoRaYv7rEbREbs1WZHnr7IOsPYIUoVA0fV4yCdGfAohNI2Wag3yYJWLIysq&#10;IyJJCq32ga+GaptGyXjXNEFFZipOSuOw0iWEd2nNVktR7lH4VsupBPGUEh5pskI7uvRKtRZRsAPq&#10;v6islggBmjiTYLNRyOAIqZjnj7y5b4VXgxayOvir6eH/0coPxy0yXVe8yF+/5MwJSz0/f/t6/v7z&#10;/OMLmxfJos6HkjLv/RanXSCY9PYN2vQlJawfbD1dbVV9ZJKC80WxWOTkuKSzy4Z4soffPYb4ToFl&#10;CVQcqW+DneJ4G+KYeklJtznYaGMoLkrj/ggQZ4pkqeKxxoRiv+unwndQn0gxwjgKwcuNpjtvRYhb&#10;gdR7qpNeR7yjpTHQVRwmxFkL+Plf8ZRPLaFTzjqapYo7ejqcmfeOWpXG7gLwAnYX4A72LdBwzjnD&#10;aAZIPwgnia7ikbODR71vh2qT0uDfHCLJH1xJ2kZBk2SaksHXaaLTGP6+H7IeXvH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CTBmBBBAIAAA0EAAAOAAAAAAAAAAEAIAAAAB8BAABkcnMvZTJv&#10;RG9jLnhtbFBLBQYAAAAABgAGAFkBAACV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25</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2088"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20"/>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7216;mso-width-relative:page;mso-height-relative:page;" filled="f" stroked="f" coordsize="21600,21600" o:gfxdata="UEsDBAoAAAAAAIdO4kAAAAAAAAAAAAAAAAAEAAAAZHJzL1BLAwQUAAAACACHTuJAmMCLEdsAAAAN&#10;AQAADwAAAGRycy9kb3ducmV2LnhtbE2PzU7DMBCE70i8g7VIXBC1k9KfhDg9IPWGhBo4lJubLHEg&#10;Xkex2xSenu0JbjOa0ey3xebsenHCMXSeNCQzBQKp9k1HrYa31+39GkSIhhrTe0IN3xhgU15fFSZv&#10;/EQ7PFWxFTxCITcabIxDLmWoLToTZn5A4uzDj85EtmMrm9FMPO56mSq1lM50xBesGfDJYv1VHZ2G&#10;7cu+Q/qRu7tsPfnPOn2v7POg9e1Noh5BRDzHvzJc8BkdSmY6+CM1QfTsH+YLZo+ssmQF4lJZpKs5&#10;iIOGVGUKZFnI/1+Uv1BLAwQUAAAACACHTuJAuZE/P+kBAADlAwAADgAAAGRycy9lMm9Eb2MueG1s&#10;rVPBbtswDL0P2D8Iui92AmTIgjjFsCDDgGIt0PUDFFmOBViiRsqxs68fpTjp0O3Qwy4KRTGPfO/R&#10;m7vRdeJkkCz4Ss5npRTGa6itP1by+cf+w0oKisrXqgNvKnk2JO+2799thrA2C2ihqw0KBvG0HkIl&#10;2xjDuihIt8YpmkEwnh8bQKciX/FY1KgGRnddsSjLj8UAWAcEbYg4u7s8ygkR3wIITWO12YHunfHx&#10;goqmU5EpUWsDyW2etmmMjg9NQyaKrpLMNOaTm3B8SGex3aj1EVVorZ5GUG8Z4RUnp6znpjeonYpK&#10;9Gj/gnJWIxA0cabBFRciWRFmMS9fafPUqmAyF5aawk10+n+w+vvpEYWtK7koV+y8V449z43FMqkz&#10;BFpz0VN4xOlGHCaqY4Mu/TIJMWZFzzdFzRiF5uRyNS8XSyk0P83LT6tlxixe/hyQ4lcDTqSgksiG&#10;ZR3V6Z4iN+TSa0nq5WFvuy7l01yXSVIUx8M4jXeA+syUEC5eU9B7y9j3iuKjQjaXref1jw98NB0M&#10;lYQpkqIF/PWvfKpnzflVioGXpZL0s1dopOi+eXYjbdY1wGtwuAa+d1+A928uhfKaUSoZpegD2mOb&#10;h0zMKHzuI7PLpBOlC4+JKbuftZg2Na3Xn/dc9fJ1bn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MCLEdsAAAANAQAADwAAAAAAAAABACAAAAAiAAAAZHJzL2Rvd25yZXYueG1sUEsBAhQAFAAAAAgA&#10;h07iQLmRPz/pAQAA5QMAAA4AAAAAAAAAAQAgAAAAKgEAAGRycy9lMm9Eb2MueG1sUEsFBgAAAAAG&#10;AAYAWQEAAIUFAAAAAA==&#10;">
              <v:fill on="f" focussize="0,0"/>
              <v:stroke on="f"/>
              <v:imagedata o:title=""/>
              <o:lock v:ext="edit" aspectratio="f"/>
              <v:textbox inset="0mm,0mm,0mm,0mm" style="mso-fit-shape-to-text:t;">
                <w:txbxContent>
                  <w:p>
                    <w:pPr>
                      <w:pStyle w:val="20"/>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2090"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20"/>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6192;mso-width-relative:page;mso-height-relative:page;" filled="f" stroked="f" coordsize="21600,21600" o:gfxdata="UEsDBAoAAAAAAIdO4kAAAAAAAAAAAAAAAAAEAAAAZHJzL1BLAwQUAAAACACHTuJAmMCLEdsAAAAN&#10;AQAADwAAAGRycy9kb3ducmV2LnhtbE2PzU7DMBCE70i8g7VIXBC1k9KfhDg9IPWGhBo4lJubLHEg&#10;Xkex2xSenu0JbjOa0ey3xebsenHCMXSeNCQzBQKp9k1HrYa31+39GkSIhhrTe0IN3xhgU15fFSZv&#10;/EQ7PFWxFTxCITcabIxDLmWoLToTZn5A4uzDj85EtmMrm9FMPO56mSq1lM50xBesGfDJYv1VHZ2G&#10;7cu+Q/qRu7tsPfnPOn2v7POg9e1Noh5BRDzHvzJc8BkdSmY6+CM1QfTsH+YLZo+ssmQF4lJZpKs5&#10;iIOGVGUKZFnI/1+Uv1BLAwQUAAAACACHTuJA5N4+PugBAADlAwAADgAAAGRycy9lMm9Eb2MueG1s&#10;rVPBbtswDL0P2D8Iui92AmRIgzjFsCDDgGIt0O0DFFmOBViiRsqxs68fpTjp0O3Qwy7KE8U88j3S&#10;m/vRdeJkkCz4Ss5npRTGa6itP1byx/f9h5UUFJWvVQfeVPJsSN5v37/bDGFtFtBCVxsUTOJpPYRK&#10;tjGGdVGQbo1TNINgPD82gE5FvuKxqFENzO66YlGWH4sBsA4I2hBxdHd5lBMjvoUQmsZqswPdO+Pj&#10;hRVNpyJLotYGktvcbdMYHR+bhkwUXSVZacwnF2F8SGex3aj1EVVorZ5aUG9p4ZUmp6znojeqnYpK&#10;9Gj/onJWIxA0cabBFRch2RFWMS9fefPcqmCyFraaws10+n+0+tvpCYWtK7ko79gUrxzPPBcWy+TO&#10;EGjNSc/hCacbMUxSxwZd+mURYsyOnm+OmjEKzcHlal4ullJofpqXd6tl5ixe/hyQ4hcDTiRQSeSB&#10;ZR/V6YEiF+TUa0qq5WFvuy7FU1+XThKK42Gc2jtAfWZJCJdZU9B7y9wPiuKTQh4uq+T1j498NB0M&#10;lYQJSdEC/vpXPOWz5/wqxcDLUkn62Ss0UnRfPU8jbdYV4BUcrsD37jPw/s2lUF4zSyWjFH1Ae2xz&#10;k0kZhU99ZHVZdJJ00TEp5elnL6ZNTev15z1nvXyd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Y&#10;wIsR2wAAAA0BAAAPAAAAAAAAAAEAIAAAACIAAABkcnMvZG93bnJldi54bWxQSwECFAAUAAAACACH&#10;TuJA5N4+PugBAADlAwAADgAAAAAAAAABACAAAAAqAQAAZHJzL2Uyb0RvYy54bWxQSwUGAAAAAAYA&#10;BgBZAQAAhAUAAAAA&#10;">
              <v:fill on="f" focussize="0,0"/>
              <v:stroke on="f"/>
              <v:imagedata o:title=""/>
              <o:lock v:ext="edit" aspectratio="f"/>
              <v:textbox inset="0mm,0mm,0mm,0mm" style="mso-fit-shape-to-text:t;">
                <w:txbxContent>
                  <w:p>
                    <w:pPr>
                      <w:pStyle w:val="20"/>
                    </w:pPr>
                  </w:p>
                </w:txbxContent>
              </v:textbox>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dit="readOnly" w:enforcement="1" w:cryptProviderType="rsaAES" w:cryptAlgorithmClass="hash" w:cryptAlgorithmType="typeAny" w:cryptAlgorithmSid="14" w:cryptSpinCount="100000" w:hash="2mzRjhLR2riWwQivnSCqnMoP7FXw22ei6D9FAfSS91RdFCpf9A5bMKFo+ONi4allBzwMtH/bfLxKg+acsDTM7w==" w:salt="OwBeHsm1BHtG0z5gelItNg=="/>
  <w:defaultTabStop w:val="420"/>
  <w:drawingGridHorizontalSpacing w:val="181"/>
  <w:drawingGridVerticalSpacing w:val="181"/>
  <w:noPunctuationKerning w:val="1"/>
  <w:characterSpacingControl w:val="compressPunctuation"/>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00000000"/>
    <w:rsid w:val="2E3039D9"/>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Comment Text"/>
    <w:basedOn w:val="1"/>
    <w:autoRedefine/>
    <w:qFormat/>
    <w:uiPriority w:val="0"/>
  </w:style>
  <w:style w:type="character" w:customStyle="1" w:styleId="8">
    <w:name w:val="Comment Reference"/>
    <w:basedOn w:val="6"/>
    <w:autoRedefine/>
    <w:qFormat/>
    <w:uiPriority w:val="0"/>
    <w:rPr>
      <w:sz w:val="21"/>
      <w:szCs w:val="21"/>
    </w:rPr>
  </w:style>
  <w:style w:type="character" w:customStyle="1" w:styleId="9">
    <w:name w:val="Body text|5_"/>
    <w:basedOn w:val="6"/>
    <w:link w:val="10"/>
    <w:autoRedefine/>
    <w:qFormat/>
    <w:uiPriority w:val="0"/>
    <w:rPr>
      <w:rFonts w:ascii="宋体" w:hAnsi="宋体" w:eastAsia="宋体" w:cs="宋体"/>
      <w:sz w:val="54"/>
      <w:szCs w:val="54"/>
      <w:u w:val="none"/>
      <w:shd w:val="clear" w:color="auto" w:fill="auto"/>
      <w:lang w:val="zh-TW" w:eastAsia="zh-TW" w:bidi="zh-TW"/>
    </w:rPr>
  </w:style>
  <w:style w:type="paragraph" w:customStyle="1" w:styleId="10">
    <w:name w:val="Body text|5"/>
    <w:basedOn w:val="1"/>
    <w:link w:val="9"/>
    <w:autoRedefine/>
    <w:qFormat/>
    <w:uiPriority w:val="0"/>
    <w:pPr>
      <w:jc w:val="center"/>
    </w:pPr>
    <w:rPr>
      <w:rFonts w:ascii="宋体" w:hAnsi="宋体" w:eastAsia="宋体" w:cs="宋体"/>
      <w:sz w:val="54"/>
      <w:szCs w:val="54"/>
      <w:lang w:val="zh-TW" w:eastAsia="zh-TW" w:bidi="zh-TW"/>
    </w:rPr>
  </w:style>
  <w:style w:type="character" w:customStyle="1" w:styleId="11">
    <w:name w:val="Heading #1|1_"/>
    <w:basedOn w:val="6"/>
    <w:link w:val="12"/>
    <w:autoRedefine/>
    <w:qFormat/>
    <w:uiPriority w:val="0"/>
    <w:rPr>
      <w:rFonts w:ascii="宋体" w:hAnsi="宋体" w:eastAsia="宋体" w:cs="宋体"/>
      <w:sz w:val="44"/>
      <w:szCs w:val="44"/>
      <w:u w:val="none"/>
      <w:shd w:val="clear" w:color="auto" w:fill="auto"/>
      <w:lang w:val="zh-TW" w:eastAsia="zh-TW" w:bidi="zh-TW"/>
    </w:rPr>
  </w:style>
  <w:style w:type="paragraph" w:customStyle="1" w:styleId="12">
    <w:name w:val="Heading #1|1"/>
    <w:basedOn w:val="1"/>
    <w:link w:val="11"/>
    <w:autoRedefine/>
    <w:qFormat/>
    <w:uiPriority w:val="0"/>
    <w:pPr>
      <w:spacing w:after="400"/>
      <w:jc w:val="center"/>
      <w:outlineLvl w:val="0"/>
    </w:pPr>
    <w:rPr>
      <w:rFonts w:ascii="宋体" w:hAnsi="宋体" w:eastAsia="宋体" w:cs="宋体"/>
      <w:sz w:val="44"/>
      <w:szCs w:val="44"/>
      <w:lang w:val="zh-TW" w:eastAsia="zh-TW" w:bidi="zh-TW"/>
    </w:rPr>
  </w:style>
  <w:style w:type="character" w:customStyle="1" w:styleId="13">
    <w:name w:val="Header or footer|2_"/>
    <w:basedOn w:val="6"/>
    <w:link w:val="14"/>
    <w:autoRedefine/>
    <w:qFormat/>
    <w:uiPriority w:val="0"/>
    <w:rPr>
      <w:sz w:val="20"/>
      <w:szCs w:val="20"/>
      <w:u w:val="none"/>
      <w:shd w:val="clear" w:color="auto" w:fill="auto"/>
      <w:lang w:val="zh-TW" w:eastAsia="zh-TW" w:bidi="zh-TW"/>
    </w:rPr>
  </w:style>
  <w:style w:type="paragraph" w:customStyle="1" w:styleId="14">
    <w:name w:val="Header or footer|2"/>
    <w:basedOn w:val="1"/>
    <w:link w:val="13"/>
    <w:autoRedefine/>
    <w:qFormat/>
    <w:uiPriority w:val="0"/>
    <w:rPr>
      <w:sz w:val="20"/>
      <w:szCs w:val="20"/>
      <w:lang w:val="zh-TW" w:eastAsia="zh-TW" w:bidi="zh-TW"/>
    </w:rPr>
  </w:style>
  <w:style w:type="character" w:customStyle="1" w:styleId="15">
    <w:name w:val="Body text|2_"/>
    <w:basedOn w:val="6"/>
    <w:link w:val="16"/>
    <w:autoRedefine/>
    <w:qFormat/>
    <w:uiPriority w:val="0"/>
    <w:rPr>
      <w:rFonts w:ascii="宋体" w:hAnsi="宋体" w:eastAsia="宋体" w:cs="宋体"/>
      <w:sz w:val="32"/>
      <w:szCs w:val="32"/>
      <w:u w:val="none"/>
      <w:shd w:val="clear" w:color="auto" w:fill="auto"/>
      <w:lang w:val="zh-TW" w:eastAsia="zh-TW" w:bidi="zh-TW"/>
    </w:rPr>
  </w:style>
  <w:style w:type="paragraph" w:customStyle="1" w:styleId="16">
    <w:name w:val="Body text|2"/>
    <w:basedOn w:val="1"/>
    <w:link w:val="15"/>
    <w:autoRedefine/>
    <w:qFormat/>
    <w:uiPriority w:val="0"/>
    <w:pPr>
      <w:spacing w:after="240"/>
      <w:ind w:firstLine="560"/>
    </w:pPr>
    <w:rPr>
      <w:rFonts w:ascii="宋体" w:hAnsi="宋体" w:eastAsia="宋体" w:cs="宋体"/>
      <w:sz w:val="32"/>
      <w:szCs w:val="32"/>
      <w:lang w:val="zh-TW" w:eastAsia="zh-TW" w:bidi="zh-TW"/>
    </w:rPr>
  </w:style>
  <w:style w:type="character" w:customStyle="1" w:styleId="17">
    <w:name w:val="Body text|1_"/>
    <w:basedOn w:val="6"/>
    <w:link w:val="18"/>
    <w:autoRedefine/>
    <w:qFormat/>
    <w:uiPriority w:val="0"/>
    <w:rPr>
      <w:rFonts w:ascii="宋体" w:hAnsi="宋体" w:eastAsia="宋体" w:cs="宋体"/>
      <w:sz w:val="28"/>
      <w:szCs w:val="28"/>
      <w:u w:val="none"/>
      <w:shd w:val="clear" w:color="auto" w:fill="auto"/>
      <w:lang w:val="zh-TW" w:eastAsia="zh-TW" w:bidi="zh-TW"/>
    </w:rPr>
  </w:style>
  <w:style w:type="paragraph" w:customStyle="1" w:styleId="18">
    <w:name w:val="Body text|1"/>
    <w:basedOn w:val="1"/>
    <w:link w:val="17"/>
    <w:autoRedefine/>
    <w:qFormat/>
    <w:uiPriority w:val="0"/>
    <w:pPr>
      <w:spacing w:line="468" w:lineRule="auto"/>
      <w:ind w:firstLine="400"/>
    </w:pPr>
    <w:rPr>
      <w:rFonts w:ascii="宋体" w:hAnsi="宋体" w:eastAsia="宋体" w:cs="宋体"/>
      <w:sz w:val="28"/>
      <w:szCs w:val="28"/>
      <w:lang w:val="zh-TW" w:eastAsia="zh-TW" w:bidi="zh-TW"/>
    </w:rPr>
  </w:style>
  <w:style w:type="character" w:customStyle="1" w:styleId="19">
    <w:name w:val="Header or footer|1_"/>
    <w:basedOn w:val="6"/>
    <w:link w:val="20"/>
    <w:autoRedefine/>
    <w:qFormat/>
    <w:uiPriority w:val="0"/>
    <w:rPr>
      <w:b/>
      <w:bCs/>
      <w:sz w:val="17"/>
      <w:szCs w:val="17"/>
      <w:u w:val="none"/>
      <w:shd w:val="clear" w:color="auto" w:fill="auto"/>
      <w:lang w:val="zh-TW" w:eastAsia="zh-TW" w:bidi="zh-TW"/>
    </w:rPr>
  </w:style>
  <w:style w:type="paragraph" w:customStyle="1" w:styleId="20">
    <w:name w:val="Header or footer|1"/>
    <w:basedOn w:val="1"/>
    <w:link w:val="19"/>
    <w:autoRedefine/>
    <w:qFormat/>
    <w:uiPriority w:val="0"/>
    <w:rPr>
      <w:b/>
      <w:bCs/>
      <w:sz w:val="17"/>
      <w:szCs w:val="17"/>
      <w:lang w:val="zh-TW" w:eastAsia="zh-TW" w:bidi="zh-TW"/>
    </w:rPr>
  </w:style>
  <w:style w:type="character" w:customStyle="1" w:styleId="21">
    <w:name w:val="Heading #2|1_"/>
    <w:basedOn w:val="6"/>
    <w:link w:val="22"/>
    <w:autoRedefine/>
    <w:qFormat/>
    <w:uiPriority w:val="0"/>
    <w:rPr>
      <w:rFonts w:ascii="宋体" w:hAnsi="宋体" w:eastAsia="宋体" w:cs="宋体"/>
      <w:sz w:val="26"/>
      <w:szCs w:val="26"/>
      <w:u w:val="none"/>
      <w:shd w:val="clear" w:color="auto" w:fill="auto"/>
      <w:lang w:val="zh-TW" w:eastAsia="zh-TW" w:bidi="zh-TW"/>
    </w:rPr>
  </w:style>
  <w:style w:type="paragraph" w:customStyle="1" w:styleId="22">
    <w:name w:val="Heading #2|1"/>
    <w:basedOn w:val="1"/>
    <w:link w:val="21"/>
    <w:autoRedefine/>
    <w:qFormat/>
    <w:uiPriority w:val="0"/>
    <w:pPr>
      <w:spacing w:after="230"/>
      <w:jc w:val="center"/>
      <w:outlineLvl w:val="1"/>
    </w:pPr>
    <w:rPr>
      <w:rFonts w:ascii="宋体" w:hAnsi="宋体" w:eastAsia="宋体" w:cs="宋体"/>
      <w:sz w:val="26"/>
      <w:szCs w:val="26"/>
      <w:lang w:val="zh-TW" w:eastAsia="zh-TW" w:bidi="zh-TW"/>
    </w:rPr>
  </w:style>
  <w:style w:type="character" w:customStyle="1" w:styleId="23">
    <w:name w:val="Other|1_"/>
    <w:basedOn w:val="6"/>
    <w:link w:val="24"/>
    <w:autoRedefine/>
    <w:qFormat/>
    <w:uiPriority w:val="0"/>
    <w:rPr>
      <w:rFonts w:ascii="宋体" w:hAnsi="宋体" w:eastAsia="宋体" w:cs="宋体"/>
      <w:sz w:val="28"/>
      <w:szCs w:val="28"/>
      <w:u w:val="none"/>
      <w:shd w:val="clear" w:color="auto" w:fill="auto"/>
      <w:lang w:val="zh-TW" w:eastAsia="zh-TW" w:bidi="zh-TW"/>
    </w:rPr>
  </w:style>
  <w:style w:type="paragraph" w:customStyle="1" w:styleId="24">
    <w:name w:val="Other|1"/>
    <w:basedOn w:val="1"/>
    <w:link w:val="23"/>
    <w:autoRedefine/>
    <w:qFormat/>
    <w:uiPriority w:val="0"/>
    <w:pPr>
      <w:spacing w:line="468" w:lineRule="auto"/>
      <w:ind w:firstLine="400"/>
    </w:pPr>
    <w:rPr>
      <w:rFonts w:ascii="宋体" w:hAnsi="宋体" w:eastAsia="宋体" w:cs="宋体"/>
      <w:sz w:val="28"/>
      <w:szCs w:val="28"/>
      <w:lang w:val="zh-TW" w:eastAsia="zh-TW" w:bidi="zh-TW"/>
    </w:rPr>
  </w:style>
  <w:style w:type="character" w:customStyle="1" w:styleId="25">
    <w:name w:val="Table caption|1_"/>
    <w:basedOn w:val="6"/>
    <w:link w:val="26"/>
    <w:autoRedefine/>
    <w:qFormat/>
    <w:uiPriority w:val="0"/>
    <w:rPr>
      <w:rFonts w:ascii="宋体" w:hAnsi="宋体" w:eastAsia="宋体" w:cs="宋体"/>
      <w:sz w:val="17"/>
      <w:szCs w:val="17"/>
      <w:u w:val="none"/>
      <w:shd w:val="clear" w:color="auto" w:fill="auto"/>
      <w:lang w:val="zh-TW" w:eastAsia="zh-TW" w:bidi="zh-TW"/>
    </w:rPr>
  </w:style>
  <w:style w:type="paragraph" w:customStyle="1" w:styleId="26">
    <w:name w:val="Table caption|1"/>
    <w:basedOn w:val="1"/>
    <w:link w:val="25"/>
    <w:autoRedefine/>
    <w:qFormat/>
    <w:uiPriority w:val="0"/>
    <w:rPr>
      <w:rFonts w:ascii="宋体" w:hAnsi="宋体" w:eastAsia="宋体" w:cs="宋体"/>
      <w:sz w:val="17"/>
      <w:szCs w:val="17"/>
      <w:lang w:val="zh-TW" w:eastAsia="zh-TW" w:bidi="zh-TW"/>
    </w:rPr>
  </w:style>
  <w:style w:type="character" w:customStyle="1" w:styleId="27">
    <w:name w:val="Body text|4_"/>
    <w:basedOn w:val="6"/>
    <w:link w:val="28"/>
    <w:autoRedefine/>
    <w:qFormat/>
    <w:uiPriority w:val="0"/>
    <w:rPr>
      <w:rFonts w:ascii="宋体" w:hAnsi="宋体" w:eastAsia="宋体" w:cs="宋体"/>
      <w:sz w:val="17"/>
      <w:szCs w:val="17"/>
      <w:u w:val="none"/>
      <w:shd w:val="clear" w:color="auto" w:fill="auto"/>
      <w:lang w:val="zh-TW" w:eastAsia="zh-TW" w:bidi="zh-TW"/>
    </w:rPr>
  </w:style>
  <w:style w:type="paragraph" w:customStyle="1" w:styleId="28">
    <w:name w:val="Body text|4"/>
    <w:basedOn w:val="1"/>
    <w:link w:val="27"/>
    <w:autoRedefine/>
    <w:qFormat/>
    <w:uiPriority w:val="0"/>
    <w:pPr>
      <w:ind w:firstLine="680"/>
    </w:pPr>
    <w:rPr>
      <w:rFonts w:ascii="宋体" w:hAnsi="宋体" w:eastAsia="宋体" w:cs="宋体"/>
      <w:sz w:val="17"/>
      <w:szCs w:val="17"/>
      <w:lang w:val="zh-TW" w:eastAsia="zh-TW" w:bidi="zh-TW"/>
    </w:rPr>
  </w:style>
  <w:style w:type="character" w:customStyle="1" w:styleId="29">
    <w:name w:val="Body text|3_"/>
    <w:basedOn w:val="6"/>
    <w:link w:val="30"/>
    <w:autoRedefine/>
    <w:qFormat/>
    <w:uiPriority w:val="0"/>
    <w:rPr>
      <w:sz w:val="30"/>
      <w:szCs w:val="30"/>
      <w:u w:val="none"/>
      <w:shd w:val="clear" w:color="auto" w:fill="auto"/>
      <w:lang w:val="zh-TW" w:eastAsia="zh-TW" w:bidi="zh-TW"/>
    </w:rPr>
  </w:style>
  <w:style w:type="paragraph" w:customStyle="1" w:styleId="30">
    <w:name w:val="Body text|3"/>
    <w:basedOn w:val="1"/>
    <w:link w:val="29"/>
    <w:autoRedefine/>
    <w:qFormat/>
    <w:uiPriority w:val="0"/>
    <w:pPr>
      <w:spacing w:after="140" w:line="336" w:lineRule="auto"/>
      <w:ind w:firstLine="370"/>
    </w:pPr>
    <w:rPr>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4.xml"/><Relationship Id="rId26" Type="http://schemas.openxmlformats.org/officeDocument/2006/relationships/customXml" Target="../customXml/item3.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chart" Target="charts/chart6.xml"/><Relationship Id="rId21" Type="http://schemas.openxmlformats.org/officeDocument/2006/relationships/chart" Target="charts/chart5.xml"/><Relationship Id="rId20" Type="http://schemas.openxmlformats.org/officeDocument/2006/relationships/chart" Target="charts/chart4.xml"/><Relationship Id="rId2" Type="http://schemas.openxmlformats.org/officeDocument/2006/relationships/settings" Target="settings.xml"/><Relationship Id="rId19" Type="http://schemas.openxmlformats.org/officeDocument/2006/relationships/chart" Target="charts/chart3.xml"/><Relationship Id="rId18" Type="http://schemas.openxmlformats.org/officeDocument/2006/relationships/chart" Target="charts/chart2.xml"/><Relationship Id="rId17" Type="http://schemas.openxmlformats.org/officeDocument/2006/relationships/chart" Target="charts/chart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formatCode>General</c:formatCode>
                <c:ptCount val="1"/>
                <c:pt idx="0">
                  <c:v>2042.72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Pt>
            <c:idx val="2"/>
            <c:bubble3D val="0"/>
          </c:dPt>
          <c:dPt>
            <c:idx val="3"/>
            <c:bubble3D val="0"/>
          </c:dPt>
          <c:dLbls>
            <c:delete val="1"/>
          </c:dLbls>
          <c:cat>
            <c:strRef>
              <c:f>Sheet1!$A$2:$A$5</c:f>
              <c:strCache>
                <c:ptCount val="4"/>
                <c:pt idx="0">
                  <c:v>一般公共服务支出</c:v>
                </c:pt>
                <c:pt idx="1">
                  <c:v>教育支出</c:v>
                </c:pt>
                <c:pt idx="2">
                  <c:v>社会保障和就业支出</c:v>
                </c:pt>
                <c:pt idx="3">
                  <c:v>住房保障支出</c:v>
                </c:pt>
              </c:strCache>
            </c:strRef>
          </c:cat>
          <c:val>
            <c:numRef>
              <c:f>Sheet1!$B$2:$B$5</c:f>
              <c:numCache>
                <c:formatCode>General</c:formatCode>
                <c:ptCount val="4"/>
                <c:pt idx="0">
                  <c:v>26.24</c:v>
                </c:pt>
                <c:pt idx="1">
                  <c:v>906.53</c:v>
                </c:pt>
                <c:pt idx="2">
                  <c:v>209.92</c:v>
                </c:pt>
                <c:pt idx="3">
                  <c:v>175.17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1771.53</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2042.72</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一般公共预算支出情况</a:t>
            </a:r>
            <a:endParaRPr lang="en-US" sz="1100"/>
          </a:p>
        </c:rich>
      </c:tx>
      <c:layout/>
      <c:overlay val="0"/>
      <c:spPr>
        <a:noFill/>
        <a:ln>
          <a:noFill/>
        </a:ln>
        <a:effectLst/>
      </c:sp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1864.16</c:v>
                </c:pt>
              </c:numCache>
            </c:numRef>
          </c:val>
        </c:ser>
        <c:ser>
          <c:idx val="1"/>
          <c:order val="1"/>
          <c:tx>
            <c:strRef>
              <c:f>Sheet1!$C$1</c:f>
              <c:strCache>
                <c:ptCount val="1"/>
                <c:pt idx="0">
                  <c:v>结转下年支出</c:v>
                </c:pt>
              </c:strCache>
            </c:strRef>
          </c:tx>
          <c:invertIfNegative val="0"/>
          <c:dLbls>
            <c:delete val="1"/>
          </c:dLbls>
          <c:cat>
            <c:strRef>
              <c:f>Sheet1!$A$2</c:f>
              <c:strCache>
                <c:ptCount val="1"/>
                <c:pt idx="0">
                  <c:v>当年</c:v>
                </c:pt>
              </c:strCache>
            </c:strRef>
          </c:cat>
          <c:val>
            <c:numRef>
              <c:f>Sheet1!$C$2</c:f>
              <c:numCache>
                <c:formatCode>General</c:formatCode>
                <c:ptCount val="1"/>
                <c:pt idx="0">
                  <c:v>0</c:v>
                </c:pt>
              </c:numCache>
            </c:numRef>
          </c:val>
        </c:ser>
        <c:ser>
          <c:idx val="2"/>
          <c:order val="2"/>
          <c:tx>
            <c:strRef>
              <c:f>Sheet1!$D$1</c:f>
              <c:strCache>
                <c:ptCount val="1"/>
                <c:pt idx="0">
                  <c:v>项目支出</c:v>
                </c:pt>
              </c:strCache>
            </c:strRef>
          </c:tx>
          <c:invertIfNegative val="0"/>
          <c:dLbls>
            <c:delete val="1"/>
          </c:dLbls>
          <c:cat>
            <c:strRef>
              <c:f>Sheet1!$A$2</c:f>
              <c:strCache>
                <c:ptCount val="1"/>
                <c:pt idx="0">
                  <c:v>当年</c:v>
                </c:pt>
              </c:strCache>
            </c:strRef>
          </c:cat>
          <c:val>
            <c:numRef>
              <c:f>Sheet1!$D$2</c:f>
              <c:numCache>
                <c:formatCode>General</c:formatCode>
                <c:ptCount val="1"/>
                <c:pt idx="0">
                  <c:v>83.7</c:v>
                </c:pt>
              </c:numCache>
            </c:numRef>
          </c:val>
        </c:ser>
        <c:ser>
          <c:idx val="3"/>
          <c:order val="3"/>
          <c:tx>
            <c:strRef>
              <c:f>Sheet1!$E$1</c:f>
              <c:strCache>
                <c:ptCount val="1"/>
                <c:pt idx="0">
                  <c:v>公用经费</c:v>
                </c:pt>
              </c:strCache>
            </c:strRef>
          </c:tx>
          <c:invertIfNegative val="0"/>
          <c:dLbls>
            <c:delete val="1"/>
          </c:dLbls>
          <c:cat>
            <c:strRef>
              <c:f>Sheet1!$A$2</c:f>
              <c:strCache>
                <c:ptCount val="1"/>
                <c:pt idx="0">
                  <c:v>当年</c:v>
                </c:pt>
              </c:strCache>
            </c:strRef>
          </c:cat>
          <c:val>
            <c:numRef>
              <c:f>Sheet1!$E$2</c:f>
              <c:numCache>
                <c:formatCode>General</c:formatCode>
                <c:ptCount val="1"/>
                <c:pt idx="0">
                  <c:v>26.24</c:v>
                </c:pt>
              </c:numCache>
            </c:numRef>
          </c:val>
        </c:ser>
        <c:ser>
          <c:idx val="4"/>
          <c:order val="4"/>
          <c:tx>
            <c:strRef>
              <c:f>Sheet1!$F$1</c:f>
              <c:strCache>
                <c:ptCount val="1"/>
                <c:pt idx="0">
                  <c:v>人员经费</c:v>
                </c:pt>
              </c:strCache>
            </c:strRef>
          </c:tx>
          <c:invertIfNegative val="0"/>
          <c:dLbls>
            <c:delete val="1"/>
          </c:dLbls>
          <c:cat>
            <c:strRef>
              <c:f>Sheet1!$A$2</c:f>
              <c:strCache>
                <c:ptCount val="1"/>
                <c:pt idx="0">
                  <c:v>当年</c:v>
                </c:pt>
              </c:strCache>
            </c:strRef>
          </c:cat>
          <c:val>
            <c:numRef>
              <c:f>Sheet1!$F$2</c:f>
              <c:numCache>
                <c:formatCode>General</c:formatCode>
                <c:ptCount val="1"/>
                <c:pt idx="0">
                  <c:v>1837.92</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一般公共预算基本支出情况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Lbls>
            <c:delete val="1"/>
          </c:dLbls>
          <c:cat>
            <c:strRef>
              <c:f>Sheet1!$A$2:$A$3</c:f>
              <c:strCache>
                <c:ptCount val="2"/>
                <c:pt idx="0">
                  <c:v>人员经费</c:v>
                </c:pt>
                <c:pt idx="1">
                  <c:v>公用经费</c:v>
                </c:pt>
              </c:strCache>
            </c:strRef>
          </c:cat>
          <c:val>
            <c:numRef>
              <c:f>Sheet1!$B$2:$B$3</c:f>
              <c:numCache>
                <c:formatCode>General</c:formatCode>
                <c:ptCount val="2"/>
                <c:pt idx="0">
                  <c:v>1837.92</c:v>
                </c:pt>
                <c:pt idx="1">
                  <c:v>26.24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c:v>
                </c:pt>
                <c:pt idx="1">
                  <c:v>0</c:v>
                </c:pt>
                <c:pt idx="2">
                  <c:v>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c:v>
                </c:pt>
                <c:pt idx="1">
                  <c:v>0</c:v>
                </c:pt>
                <c:pt idx="2">
                  <c:v>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4E3C581BBF724D7C94F9FADCFB18DEB4_13</vt:lpwstr>
  </property>
</Properties>
</file>

<file path=customXml/item3.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17</TotalTime>
  <ScaleCrop>false</ScaleCrop>
  <LinksUpToDate>false</LinksUpToDate>
  <CharactersWithSpaces>11333</CharactersWithSpaces>
  <Application>WPS Office_12.1.0.16388_F1E327BC-269C-435d-A152-05C5408002CA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2024-03-01T08:17:38Z</dcterms:modified>
  <cp:revision>3</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8379bf-e879-4ef9-a99d-d9595f8d221e}">
  <ds:schemaRefs/>
</ds:datastoreItem>
</file>

<file path=customXml/itemProps3.xml><?xml version="1.0" encoding="utf-8"?>
<ds:datastoreItem xmlns:ds="http://schemas.openxmlformats.org/officeDocument/2006/customXml" ds:itemID="{f6fc0bef-40a5-47a6-87f3-e3455a66252c}">
  <ds:schemaRefs/>
</ds:datastoreItem>
</file>

<file path=customXml/itemProps4.xml><?xml version="1.0" encoding="utf-8"?>
<ds:datastoreItem xmlns:ds="http://schemas.openxmlformats.org/officeDocument/2006/customXml" ds:itemID="{0315aa3f-ea46-426a-9c37-101299ec38e7}">
  <ds:schemaRefs/>
</ds:datastoreItem>
</file>

<file path=docProps/app.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19</TotalTime>
  <ScaleCrop>false</ScaleCrop>
  <LinksUpToDate>false</LinksUpToDate>
  <CharactersWithSpaces>11333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2023-02-07T06:11:00Z</dcterms:created>
  <dc:creator>蔡冬冬</dc:creator>
  <cp:lastModifiedBy>凤凰传奇</cp:lastModifiedBy>
  <cp:lastPrinted>2024-03-02T06:48:28Z</cp:lastPrinted>
  <dcterms:modified xsi:type="dcterms:W3CDTF">2024-03-02T06:49:26Z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9A596C34232D459FAB6C2EBC6BC9254C_13</vt:lpwstr>
  </property>
</Properties>
</file>