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bookmarkStart w:id="43" w:name="_GoBack"/>
      <w:bookmarkEnd w:id="43"/>
      <w:r>
        <w:rPr>
          <w:rFonts w:hint="eastAsia"/>
          <w:sz w:val="56"/>
          <w:szCs w:val="56"/>
          <w:lang w:eastAsia="zh-CN"/>
        </w:rPr>
        <w:t>环江毛南族自治县公务接待服务中心</w:t>
      </w:r>
    </w:p>
    <w:p>
      <w:pPr>
        <w:pStyle w:val="10"/>
        <w:jc w:val="center"/>
        <w:rPr>
          <w:rFonts w:hint="eastAsia" w:eastAsiaTheme="majorEastAsia"/>
          <w:sz w:val="56"/>
          <w:szCs w:val="56"/>
          <w:lang w:val="en-US" w:eastAsia="zh-CN"/>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val="en-US"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r>
        <w:rPr>
          <w:rFonts w:hint="eastAsia" w:asciiTheme="majorEastAsia" w:hAnsiTheme="majorEastAsia" w:eastAsiaTheme="majorEastAsia" w:cstheme="majorEastAsia"/>
          <w:sz w:val="56"/>
          <w:szCs w:val="56"/>
          <w:lang w:val="en-US" w:eastAsia="zh-CN"/>
        </w:rPr>
        <w:t>公开</w:t>
      </w:r>
    </w:p>
    <w:p>
      <w:pPr>
        <w:pStyle w:val="12"/>
        <w:keepNext/>
        <w:keepLines/>
        <w:spacing w:after="240"/>
        <w:jc w:val="center"/>
      </w:pPr>
      <w:bookmarkStart w:id="0" w:name="bookmark0"/>
      <w:bookmarkStart w:id="1" w:name="bookmark1"/>
      <w:bookmarkStart w:id="2" w:name="bookmark2"/>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环江毛南族自治县公务接待服务中心单位</w:t>
      </w:r>
      <w:r>
        <w:t>概况</w:t>
      </w:r>
    </w:p>
    <w:p>
      <w:pPr>
        <w:pStyle w:val="16"/>
        <w:jc w:val="left"/>
        <w:rPr>
          <w:rFonts w:hint="eastAsia"/>
          <w:b w:val="0"/>
          <w:bCs w:val="0"/>
          <w:lang w:val="en-US" w:eastAsia="zh-CN"/>
        </w:rPr>
      </w:pPr>
      <w:r>
        <w:rPr>
          <w:rFonts w:hint="eastAsia"/>
          <w:b w:val="0"/>
          <w:bCs w:val="0"/>
          <w:lang w:val="en-US" w:eastAsia="zh-CN"/>
        </w:rPr>
        <w:t>一、主要职责</w:t>
      </w:r>
    </w:p>
    <w:p>
      <w:pPr>
        <w:pStyle w:val="16"/>
        <w:jc w:val="left"/>
        <w:rPr>
          <w:rFonts w:hint="eastAsia"/>
          <w:b w:val="0"/>
          <w:bCs w:val="0"/>
        </w:rPr>
      </w:pPr>
      <w:r>
        <w:rPr>
          <w:rFonts w:hint="eastAsia"/>
          <w:b w:val="0"/>
          <w:bCs w:val="0"/>
          <w:lang w:val="en-US" w:eastAsia="zh-CN"/>
        </w:rPr>
        <w:t>二、</w:t>
      </w:r>
      <w:r>
        <w:rPr>
          <w:rFonts w:hint="eastAsia"/>
          <w:b w:val="0"/>
          <w:bCs w:val="0"/>
        </w:rPr>
        <w:t>机构设置情况</w:t>
      </w:r>
    </w:p>
    <w:p>
      <w:pPr>
        <w:pStyle w:val="16"/>
        <w:ind w:left="0" w:leftChars="0" w:firstLine="320" w:firstLineChars="100"/>
        <w:jc w:val="left"/>
      </w:pPr>
      <w:r>
        <w:t>第二部分</w:t>
      </w:r>
      <w:r>
        <w:rPr>
          <w:rFonts w:hint="eastAsia"/>
          <w:lang w:eastAsia="zh-CN"/>
        </w:rPr>
        <w:t>：</w:t>
      </w:r>
      <w:r>
        <w:rPr>
          <w:u w:color="auto"/>
        </w:rPr>
        <w:t>环江毛南族自治县公务接待服务中心2024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环江毛南族自治县公务接待服务中心2024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七、一般公共预算“三公”经费支出情况表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3" w:name="bookmark14"/>
      <w:bookmarkStart w:id="4" w:name="bookmark12"/>
      <w:bookmarkStart w:id="5" w:name="bookmark13"/>
      <w:r>
        <w:rPr>
          <w:b/>
          <w:bCs/>
          <w:sz w:val="40"/>
          <w:szCs w:val="40"/>
        </w:rPr>
        <w:t>第一部分</w:t>
      </w:r>
      <w:r>
        <w:rPr>
          <w:rFonts w:hint="eastAsia"/>
          <w:b/>
          <w:bCs/>
          <w:sz w:val="40"/>
          <w:szCs w:val="40"/>
          <w:lang w:eastAsia="zh-CN"/>
        </w:rPr>
        <w:t>：</w:t>
      </w:r>
      <w:r>
        <w:rPr>
          <w:b/>
          <w:sz w:val="40"/>
          <w:u w:color="auto"/>
        </w:rPr>
        <w:t>环江毛南族自治县公务接待服务中心</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为县级四家班子负责对外事务及接待事宜。</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eastAsia"/>
          <w:highlight w:val="none"/>
          <w:lang w:val="en-US" w:eastAsia="zh-CN"/>
        </w:rPr>
      </w:pPr>
      <w:r>
        <w:rPr>
          <w:rFonts w:hint="eastAsia"/>
          <w:highlight w:val="none"/>
          <w:lang w:val="en-US" w:eastAsia="zh-CN"/>
        </w:rPr>
        <w:t>县级预算单位（外事服务中心、公务接待服务中心）。具体情况如下：外事服务中心人员编制总数为2人，其中行政编制1人，参公事业编制2人，机关后勤服务中心聘用人员控制数0人。实有财政供养人数2人，其中行政在职0人，参公事业在职2人，离退休人员1人（其中离休0人）。编外在职实有人数1人。公务接待服务中心人员编制总数为3人，其中行政编制1人，参公事业编制2人，机关后勤服务中心聘用人员控制数0人。实有财政供养人数3人，其中行政在职0人，参公事业在职2人，离退休人员1人（其中离休0人）。编外在职实有人数0人。</w:t>
      </w: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8"/>
      <w:bookmarkStart w:id="12" w:name="bookmark27"/>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环江毛南族自治县公务接待服务中心</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243.30</w:t>
      </w:r>
      <w:r>
        <w:rPr>
          <w:rFonts w:hint="eastAsia"/>
          <w:b w:val="0"/>
          <w:bCs w:val="0"/>
          <w:sz w:val="28"/>
          <w:szCs w:val="28"/>
        </w:rPr>
        <w:t>万元，总支出</w:t>
      </w:r>
      <w:r>
        <w:rPr>
          <w:rFonts w:hint="eastAsia"/>
          <w:sz w:val="28"/>
          <w:szCs w:val="28"/>
          <w:lang w:val="en-US" w:eastAsia="zh-CN"/>
        </w:rPr>
        <w:t>243.30</w:t>
      </w:r>
      <w:r>
        <w:rPr>
          <w:rFonts w:hint="eastAsia"/>
          <w:b w:val="0"/>
          <w:bCs w:val="0"/>
          <w:sz w:val="28"/>
          <w:szCs w:val="28"/>
        </w:rPr>
        <w:t>万元。总收入较2023年度预算数</w:t>
      </w:r>
      <w:r>
        <w:rPr>
          <w:rFonts w:hint="eastAsia"/>
          <w:sz w:val="28"/>
          <w:szCs w:val="28"/>
          <w:lang w:val="en-US" w:eastAsia="zh-CN"/>
        </w:rPr>
        <w:t>223.50</w:t>
      </w:r>
      <w:r>
        <w:rPr>
          <w:rFonts w:hint="eastAsia"/>
          <w:b w:val="0"/>
          <w:bCs w:val="0"/>
          <w:sz w:val="28"/>
          <w:szCs w:val="28"/>
        </w:rPr>
        <w:t>万元，</w:t>
      </w:r>
      <w:r>
        <w:rPr>
          <w:rFonts w:hint="eastAsia"/>
          <w:sz w:val="28"/>
          <w:szCs w:val="28"/>
        </w:rPr>
        <w:t>增加19.80</w:t>
      </w:r>
      <w:r>
        <w:rPr>
          <w:rFonts w:hint="eastAsia"/>
          <w:b w:val="0"/>
          <w:bCs w:val="0"/>
          <w:sz w:val="28"/>
          <w:szCs w:val="28"/>
        </w:rPr>
        <w:t>万元，</w:t>
      </w:r>
      <w:r>
        <w:rPr>
          <w:rFonts w:hint="eastAsia"/>
          <w:sz w:val="28"/>
          <w:szCs w:val="28"/>
        </w:rPr>
        <w:t>增长8.86%</w:t>
      </w:r>
      <w:r>
        <w:rPr>
          <w:rFonts w:hint="eastAsia"/>
          <w:b w:val="0"/>
          <w:bCs w:val="0"/>
          <w:sz w:val="28"/>
          <w:szCs w:val="28"/>
        </w:rPr>
        <w:t>，主要原因是</w:t>
      </w:r>
      <w:r>
        <w:rPr>
          <w:rFonts w:hint="eastAsia"/>
          <w:highlight w:val="none"/>
          <w:lang w:val="en-US" w:eastAsia="zh-CN"/>
        </w:rPr>
        <w:t>主要原因是人员变动，各项经费预算增加。</w:t>
      </w:r>
      <w:r>
        <w:rPr>
          <w:rFonts w:hint="eastAsia"/>
          <w:b w:val="0"/>
          <w:bCs w:val="0"/>
          <w:sz w:val="28"/>
          <w:szCs w:val="28"/>
        </w:rPr>
        <w:t>。总支出较2023年度预算数</w:t>
      </w:r>
      <w:r>
        <w:rPr>
          <w:rFonts w:hint="eastAsia"/>
          <w:sz w:val="28"/>
          <w:szCs w:val="28"/>
          <w:lang w:val="en-US" w:eastAsia="zh-CN"/>
        </w:rPr>
        <w:t>223.50</w:t>
      </w:r>
      <w:r>
        <w:rPr>
          <w:rFonts w:hint="eastAsia"/>
          <w:b w:val="0"/>
          <w:bCs w:val="0"/>
          <w:sz w:val="28"/>
          <w:szCs w:val="28"/>
        </w:rPr>
        <w:t>万元，</w:t>
      </w:r>
      <w:r>
        <w:rPr>
          <w:rFonts w:hint="eastAsia"/>
          <w:sz w:val="28"/>
          <w:szCs w:val="28"/>
        </w:rPr>
        <w:t>增加19.80</w:t>
      </w:r>
      <w:r>
        <w:rPr>
          <w:rFonts w:hint="eastAsia"/>
          <w:b w:val="0"/>
          <w:bCs w:val="0"/>
          <w:sz w:val="28"/>
          <w:szCs w:val="28"/>
        </w:rPr>
        <w:t>万元，</w:t>
      </w:r>
      <w:r>
        <w:rPr>
          <w:rFonts w:hint="eastAsia"/>
          <w:sz w:val="28"/>
          <w:szCs w:val="28"/>
        </w:rPr>
        <w:t>增长8.86%</w:t>
      </w:r>
      <w:r>
        <w:rPr>
          <w:rFonts w:hint="eastAsia"/>
          <w:b w:val="0"/>
          <w:bCs w:val="0"/>
          <w:sz w:val="28"/>
          <w:szCs w:val="28"/>
        </w:rPr>
        <w:t>，主要原因是</w:t>
      </w:r>
      <w:r>
        <w:rPr>
          <w:rFonts w:hint="eastAsia"/>
          <w:highlight w:val="none"/>
          <w:lang w:val="en-US" w:eastAsia="zh-CN"/>
        </w:rPr>
        <w:t>主要原因是人员变动，各项经费预算增加。</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65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243.30</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223.50</w:t>
      </w:r>
      <w:r>
        <w:rPr>
          <w:rFonts w:hint="eastAsia" w:ascii="宋体" w:hAnsi="宋体" w:eastAsia="宋体" w:cs="宋体"/>
          <w:sz w:val="28"/>
          <w:szCs w:val="28"/>
          <w:u w:color="auto"/>
        </w:rPr>
        <w:t>万元，</w:t>
      </w:r>
      <w:r>
        <w:rPr>
          <w:rFonts w:hint="eastAsia" w:ascii="宋体" w:hAnsi="宋体" w:eastAsia="宋体" w:cs="宋体"/>
          <w:sz w:val="28"/>
          <w:szCs w:val="28"/>
        </w:rPr>
        <w:t>增加19.80</w:t>
      </w:r>
      <w:r>
        <w:rPr>
          <w:rFonts w:hint="eastAsia" w:ascii="宋体" w:hAnsi="宋体" w:eastAsia="宋体" w:cs="宋体"/>
          <w:sz w:val="28"/>
          <w:szCs w:val="28"/>
          <w:u w:color="auto"/>
        </w:rPr>
        <w:t>万元，</w:t>
      </w:r>
      <w:r>
        <w:rPr>
          <w:rFonts w:hint="eastAsia" w:ascii="宋体" w:hAnsi="宋体" w:eastAsia="宋体" w:cs="宋体"/>
          <w:sz w:val="28"/>
          <w:szCs w:val="28"/>
        </w:rPr>
        <w:t>增长8.86%</w:t>
      </w:r>
      <w:r>
        <w:rPr>
          <w:rFonts w:hint="eastAsia" w:ascii="宋体" w:hAnsi="宋体" w:eastAsia="宋体" w:cs="宋体"/>
          <w:sz w:val="28"/>
          <w:szCs w:val="28"/>
          <w:u w:color="auto"/>
        </w:rPr>
        <w:t>，主要原因是</w:t>
      </w:r>
      <w:r>
        <w:rPr>
          <w:rFonts w:hint="eastAsia"/>
          <w:highlight w:val="none"/>
          <w:lang w:val="en-US" w:eastAsia="zh-CN"/>
        </w:rPr>
        <w:t>主要原因是人员变动，各项经费预算增加。</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265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243.30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223.50</w:t>
      </w:r>
      <w:r>
        <w:rPr>
          <w:rFonts w:hint="eastAsia" w:ascii="宋体" w:hAnsi="宋体" w:eastAsia="宋体" w:cs="宋体"/>
          <w:sz w:val="28"/>
          <w:szCs w:val="28"/>
          <w:lang w:eastAsia="zh-CN"/>
        </w:rPr>
        <w:t>万元，</w:t>
      </w:r>
      <w:r>
        <w:rPr>
          <w:rFonts w:hint="eastAsia" w:ascii="宋体" w:hAnsi="宋体" w:eastAsia="宋体" w:cs="宋体"/>
          <w:sz w:val="28"/>
          <w:szCs w:val="28"/>
        </w:rPr>
        <w:t>增加19.80</w:t>
      </w:r>
      <w:r>
        <w:rPr>
          <w:rFonts w:hint="eastAsia" w:ascii="宋体" w:hAnsi="宋体" w:eastAsia="宋体" w:cs="宋体"/>
          <w:sz w:val="28"/>
          <w:szCs w:val="28"/>
          <w:lang w:eastAsia="zh-CN"/>
        </w:rPr>
        <w:t>万元，</w:t>
      </w:r>
      <w:r>
        <w:rPr>
          <w:rFonts w:hint="eastAsia" w:ascii="宋体" w:hAnsi="宋体" w:eastAsia="宋体" w:cs="宋体"/>
          <w:sz w:val="28"/>
          <w:szCs w:val="28"/>
        </w:rPr>
        <w:t>增长8.86%</w:t>
      </w:r>
      <w:r>
        <w:rPr>
          <w:rFonts w:hint="eastAsia" w:ascii="宋体" w:hAnsi="宋体" w:eastAsia="宋体" w:cs="宋体"/>
          <w:sz w:val="28"/>
          <w:szCs w:val="28"/>
          <w:lang w:eastAsia="zh-CN"/>
        </w:rPr>
        <w:t>，主要原因是</w:t>
      </w:r>
      <w:r>
        <w:rPr>
          <w:rFonts w:hint="eastAsia" w:ascii="宋体" w:hAnsi="宋体" w:eastAsia="宋体" w:cs="宋体"/>
          <w:sz w:val="28"/>
          <w:szCs w:val="28"/>
          <w:highlight w:val="none"/>
          <w:lang w:val="en-US" w:eastAsia="zh-CN"/>
        </w:rPr>
        <w:t>主要原因是人员变动，各项经费预算增加。</w:t>
      </w:r>
      <w:r>
        <w:rPr>
          <w:rFonts w:hint="eastAsia" w:ascii="宋体" w:hAnsi="宋体" w:eastAsia="宋体" w:cs="宋体"/>
          <w:sz w:val="28"/>
          <w:szCs w:val="28"/>
          <w:lang w:eastAsia="zh-CN"/>
        </w:rPr>
        <w:t>。主要包括：</w:t>
      </w:r>
      <w:r>
        <w:rPr>
          <w:rFonts w:hint="eastAsia" w:ascii="宋体" w:hAnsi="宋体" w:eastAsia="宋体" w:cs="宋体"/>
          <w:sz w:val="28"/>
          <w:szCs w:val="28"/>
          <w:highlight w:val="none"/>
          <w:lang w:val="en-US" w:eastAsia="zh-CN"/>
        </w:rPr>
        <w:t>具体部门支出预算如下（按具体科目分类）：1.行政运行72.46万元，其中：基本支出65.44万元，项目支出7.03万元。主要用于机关为保证日常运转发生的基本支出和按规定预留的绩效工资。如根据国家规定的基本工资和津补贴标准等安排的人员经费支出，确保机关正常运转的办公费、印刷费、水电费、培训费、差旅费、会议费等日常公用经费支出。2.其他群众团体事务支出0.63万元，主要用于主要用于工会公用经费支出。3.其他一般公共服务支出160万元，主要用于四家班子领导公务接待事务等方面支出。4．机关事业单位基本养老保险缴费支出7.44万元，主要用于职工养老保险。5．住房公积金支出46.44万元，主要用于职工住房公积金。</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（一）按支出功能分类科目划分，共分为</w:t>
      </w:r>
      <w:r>
        <w:rPr>
          <w:rFonts w:hint="eastAsia" w:ascii="宋体" w:hAnsi="宋体" w:eastAsia="宋体" w:cs="宋体"/>
          <w:sz w:val="28"/>
          <w:szCs w:val="28"/>
          <w:lang w:val="en-US" w:eastAsia="zh-CN"/>
        </w:rPr>
        <w:t>3</w:t>
      </w:r>
      <w:r>
        <w:rPr>
          <w:rFonts w:hint="eastAsia" w:ascii="宋体" w:hAnsi="宋体" w:eastAsia="宋体" w:cs="宋体"/>
          <w:sz w:val="28"/>
          <w:szCs w:val="28"/>
        </w:rP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1)住房保障支出</w:t>
      </w:r>
      <w:r>
        <w:rPr>
          <w:rFonts w:hint="eastAsia" w:ascii="宋体" w:hAnsi="宋体" w:eastAsia="宋体" w:cs="宋体"/>
          <w:sz w:val="28"/>
          <w:szCs w:val="28"/>
          <w:lang w:val="en-US" w:eastAsia="zh-CN"/>
        </w:rPr>
        <w:t>6.44</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2.65%</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增长1.81</w:t>
      </w:r>
      <w:r>
        <w:rPr>
          <w:rFonts w:hint="eastAsia" w:ascii="宋体" w:hAnsi="宋体" w:eastAsia="宋体" w:cs="宋体"/>
          <w:sz w:val="28"/>
          <w:szCs w:val="28"/>
        </w:rPr>
        <w:t>万元，</w:t>
      </w:r>
      <w:r>
        <w:rPr>
          <w:rFonts w:hint="eastAsia" w:ascii="宋体" w:hAnsi="宋体" w:eastAsia="宋体" w:cs="宋体"/>
          <w:sz w:val="28"/>
          <w:szCs w:val="28"/>
          <w:lang w:val="en-US" w:eastAsia="zh-CN"/>
        </w:rPr>
        <w:t>增长39.09%</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主要原因是人员变动，各项经费预算增加。</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2)一般公共服务支出</w:t>
      </w:r>
      <w:r>
        <w:rPr>
          <w:rFonts w:hint="eastAsia" w:ascii="宋体" w:hAnsi="宋体" w:eastAsia="宋体" w:cs="宋体"/>
          <w:sz w:val="28"/>
          <w:szCs w:val="28"/>
          <w:lang w:val="en-US" w:eastAsia="zh-CN"/>
        </w:rPr>
        <w:t>229.42</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94.30%</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增长16.71</w:t>
      </w:r>
      <w:r>
        <w:rPr>
          <w:rFonts w:hint="eastAsia" w:ascii="宋体" w:hAnsi="宋体" w:eastAsia="宋体" w:cs="宋体"/>
          <w:sz w:val="28"/>
          <w:szCs w:val="28"/>
        </w:rPr>
        <w:t>万元，</w:t>
      </w:r>
      <w:r>
        <w:rPr>
          <w:rFonts w:hint="eastAsia" w:ascii="宋体" w:hAnsi="宋体" w:eastAsia="宋体" w:cs="宋体"/>
          <w:sz w:val="28"/>
          <w:szCs w:val="28"/>
          <w:lang w:val="en-US" w:eastAsia="zh-CN"/>
        </w:rPr>
        <w:t>增长7.86%</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主要原因是人员变动，各项经费预算增加。</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3)社会保障和就业支出</w:t>
      </w:r>
      <w:r>
        <w:rPr>
          <w:rFonts w:hint="eastAsia" w:ascii="宋体" w:hAnsi="宋体" w:eastAsia="宋体" w:cs="宋体"/>
          <w:sz w:val="28"/>
          <w:szCs w:val="28"/>
          <w:lang w:val="en-US" w:eastAsia="zh-CN"/>
        </w:rPr>
        <w:t>7.44</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3.06%</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增长1.27</w:t>
      </w:r>
      <w:r>
        <w:rPr>
          <w:rFonts w:hint="eastAsia" w:ascii="宋体" w:hAnsi="宋体" w:eastAsia="宋体" w:cs="宋体"/>
          <w:sz w:val="28"/>
          <w:szCs w:val="28"/>
        </w:rPr>
        <w:t>万元，</w:t>
      </w:r>
      <w:r>
        <w:rPr>
          <w:rFonts w:hint="eastAsia" w:ascii="宋体" w:hAnsi="宋体" w:eastAsia="宋体" w:cs="宋体"/>
          <w:sz w:val="28"/>
          <w:szCs w:val="28"/>
          <w:lang w:val="en-US" w:eastAsia="zh-CN"/>
        </w:rPr>
        <w:t>增长20.58%</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主要原因是人员变动，各项经费预算增加。</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hint="eastAsia" w:ascii="宋体" w:hAnsi="宋体" w:eastAsia="宋体" w:cs="宋体"/>
          <w:sz w:val="28"/>
          <w:szCs w:val="28"/>
        </w:rPr>
      </w:pPr>
      <w:r>
        <w:rPr>
          <w:rFonts w:hint="eastAsia" w:ascii="宋体" w:hAnsi="宋体" w:eastAsia="宋体" w:cs="宋体"/>
          <w:sz w:val="28"/>
          <w:szCs w:val="28"/>
        </w:rP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基本支出预算</w:t>
      </w:r>
      <w:r>
        <w:rPr>
          <w:rFonts w:hint="eastAsia" w:ascii="宋体" w:hAnsi="宋体" w:eastAsia="宋体" w:cs="宋体"/>
          <w:sz w:val="28"/>
          <w:szCs w:val="28"/>
          <w:lang w:val="en-US" w:eastAsia="zh-CN"/>
        </w:rPr>
        <w:t>72.46</w:t>
      </w:r>
      <w:r>
        <w:rPr>
          <w:rFonts w:hint="eastAsia" w:ascii="宋体" w:hAnsi="宋体" w:eastAsia="宋体" w:cs="宋体"/>
          <w:sz w:val="28"/>
          <w:szCs w:val="28"/>
        </w:rPr>
        <w:t>万元，占支出预算</w:t>
      </w:r>
      <w:r>
        <w:rPr>
          <w:rFonts w:ascii="宋体" w:hAnsi="宋体" w:eastAsia="宋体" w:cs="宋体"/>
          <w:sz w:val="28"/>
          <w:u w:color="auto"/>
        </w:rPr>
        <w:t>29.78%,比上年增长17.80万元，增长32.56%</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63.44</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87.55%</w:t>
      </w:r>
      <w:r>
        <w:rPr>
          <w:rFonts w:hint="eastAsia" w:ascii="宋体" w:hAnsi="宋体" w:eastAsia="宋体" w:cs="宋体"/>
          <w:sz w:val="28"/>
          <w:szCs w:val="28"/>
        </w:rPr>
        <w:t>,比上年</w:t>
      </w:r>
      <w:r>
        <w:rPr>
          <w:rFonts w:ascii="宋体" w:hAnsi="宋体" w:eastAsia="宋体" w:cs="宋体"/>
          <w:sz w:val="28"/>
          <w:u w:color="auto"/>
        </w:rPr>
        <w:t>增长15.77万元，增长33.08%,主要原因是：主要原因是人员变动，各项经费预算增加。</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7.03</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9.70%</w:t>
      </w:r>
      <w:r>
        <w:rPr>
          <w:rFonts w:hint="eastAsia" w:ascii="宋体" w:hAnsi="宋体" w:eastAsia="宋体" w:cs="宋体"/>
          <w:sz w:val="28"/>
          <w:szCs w:val="28"/>
        </w:rPr>
        <w:t>,比上年</w:t>
      </w:r>
      <w:r>
        <w:rPr>
          <w:rFonts w:ascii="宋体" w:hAnsi="宋体" w:eastAsia="宋体" w:cs="宋体"/>
          <w:sz w:val="28"/>
          <w:u w:color="auto"/>
        </w:rPr>
        <w:t>增长1.23万元，增长21.21%,主要原因是：主要原因是人员变动，各项经费预算增加。</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2.00</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2.76%</w:t>
      </w:r>
      <w:r>
        <w:rPr>
          <w:rFonts w:hint="eastAsia" w:ascii="宋体" w:hAnsi="宋体" w:eastAsia="宋体" w:cs="宋体"/>
          <w:sz w:val="28"/>
          <w:szCs w:val="28"/>
        </w:rPr>
        <w:t>,比上年</w:t>
      </w:r>
      <w:r>
        <w:rPr>
          <w:rFonts w:ascii="宋体" w:hAnsi="宋体" w:eastAsia="宋体" w:cs="宋体"/>
          <w:sz w:val="28"/>
          <w:u w:color="auto"/>
        </w:rPr>
        <w:t>增长0.80万元，增长66.67%,主要原因是：主要原因是补助标准提高，经费预算增加。</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项目支出预算</w:t>
      </w:r>
      <w:r>
        <w:rPr>
          <w:rFonts w:hint="eastAsia" w:ascii="宋体" w:hAnsi="宋体" w:eastAsia="宋体" w:cs="宋体"/>
          <w:sz w:val="28"/>
          <w:szCs w:val="28"/>
          <w:lang w:val="en-US" w:eastAsia="zh-CN"/>
        </w:rPr>
        <w:t>170.84</w:t>
      </w:r>
      <w:r>
        <w:rPr>
          <w:rFonts w:hint="eastAsia" w:ascii="宋体" w:hAnsi="宋体" w:eastAsia="宋体" w:cs="宋体"/>
          <w:sz w:val="28"/>
          <w:szCs w:val="28"/>
        </w:rPr>
        <w:t>万元，占支出预算</w:t>
      </w:r>
      <w:r>
        <w:rPr>
          <w:rFonts w:ascii="宋体" w:hAnsi="宋体" w:eastAsia="宋体" w:cs="宋体"/>
          <w:sz w:val="28"/>
          <w:u w:color="auto"/>
        </w:rPr>
        <w:t>70.22%</w:t>
      </w:r>
      <w:r>
        <w:rPr>
          <w:rFonts w:hint="eastAsia" w:ascii="宋体" w:hAnsi="宋体" w:eastAsia="宋体" w:cs="宋体"/>
          <w:sz w:val="28"/>
          <w:szCs w:val="28"/>
        </w:rPr>
        <w:t>,比上年</w:t>
      </w:r>
      <w:r>
        <w:rPr>
          <w:rFonts w:ascii="宋体" w:hAnsi="宋体" w:eastAsia="宋体" w:cs="宋体"/>
          <w:sz w:val="28"/>
          <w:u w:color="auto"/>
        </w:rPr>
        <w:t>增长2.00</w:t>
      </w:r>
      <w:r>
        <w:rPr>
          <w:rFonts w:hint="eastAsia" w:ascii="宋体" w:hAnsi="宋体" w:eastAsia="宋体" w:cs="宋体"/>
          <w:sz w:val="28"/>
          <w:szCs w:val="28"/>
        </w:rPr>
        <w:t>万元，</w:t>
      </w:r>
      <w:r>
        <w:rPr>
          <w:rFonts w:ascii="宋体" w:hAnsi="宋体" w:eastAsia="宋体" w:cs="宋体"/>
          <w:sz w:val="28"/>
          <w:u w:color="auto"/>
        </w:rPr>
        <w:t>增长1.18%</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170.84</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100.00%</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增长2.00万元，增长1.18%,主要原因是</w:t>
      </w:r>
      <w:r>
        <w:rPr>
          <w:rFonts w:hint="eastAsia" w:ascii="宋体" w:hAnsi="宋体" w:eastAsia="宋体" w:cs="宋体"/>
          <w:color w:val="000000"/>
          <w:sz w:val="28"/>
          <w:szCs w:val="28"/>
          <w:lang w:val="zh-TW" w:eastAsia="zh-CN" w:bidi="zh-TW"/>
        </w:rPr>
        <w:t>：</w:t>
      </w:r>
      <w:r>
        <w:rPr>
          <w:rFonts w:hint="eastAsia" w:ascii="宋体" w:hAnsi="宋体" w:eastAsia="宋体" w:cs="宋体"/>
          <w:color w:val="000000"/>
          <w:sz w:val="28"/>
          <w:szCs w:val="28"/>
          <w:lang w:val="zh-TW" w:eastAsia="zh-TW" w:bidi="zh-TW"/>
        </w:rPr>
        <w:t>主要原因是人员变动，各项经费预算增加。</w:t>
      </w:r>
      <w:r>
        <w:rPr>
          <w:rFonts w:hint="eastAsia" w:ascii="宋体" w:hAnsi="宋体" w:eastAsia="宋体" w:cs="宋体"/>
          <w:color w:val="000000"/>
          <w:sz w:val="28"/>
          <w:szCs w:val="28"/>
          <w:lang w:val="en-US" w:eastAsia="zh-CN" w:bidi="zh-TW"/>
        </w:rP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65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243.30</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243.30</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223.50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增加19.80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增长8.86%</w:t>
      </w:r>
      <w:r>
        <w:rPr>
          <w:rFonts w:hint="eastAsia" w:ascii="宋体" w:hAnsi="宋体" w:eastAsia="宋体" w:cs="宋体"/>
          <w:sz w:val="28"/>
          <w:szCs w:val="28"/>
        </w:rPr>
        <w:t>，主要原因是</w:t>
      </w:r>
      <w:r>
        <w:rPr>
          <w:rFonts w:hint="eastAsia"/>
          <w:highlight w:val="none"/>
          <w:lang w:val="en-US" w:eastAsia="zh-CN"/>
        </w:rPr>
        <w:t>主要原因是人员变动，各项经费预算增加。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223.50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增加19.80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增长8.86%</w:t>
      </w:r>
      <w:r>
        <w:rPr>
          <w:rFonts w:hint="eastAsia" w:ascii="宋体" w:hAnsi="宋体" w:eastAsia="宋体" w:cs="宋体"/>
          <w:sz w:val="28"/>
          <w:szCs w:val="28"/>
        </w:rPr>
        <w:t>，主要原因是</w:t>
      </w:r>
      <w:r>
        <w:rPr>
          <w:rFonts w:hint="eastAsia"/>
          <w:highlight w:val="none"/>
          <w:lang w:val="en-US" w:eastAsia="zh-CN"/>
        </w:rPr>
        <w:t>主要原因是人员变动，各项经费预算增加。</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265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243.30</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223.50</w:t>
      </w:r>
      <w:r>
        <w:rPr>
          <w:rFonts w:hint="eastAsia" w:ascii="宋体" w:hAnsi="宋体" w:eastAsia="宋体" w:cs="宋体"/>
          <w:sz w:val="28"/>
          <w:szCs w:val="28"/>
        </w:rPr>
        <w:t>万元，</w:t>
      </w:r>
      <w:r>
        <w:rPr>
          <w:rFonts w:hint="eastAsia" w:ascii="宋体" w:hAnsi="宋体" w:eastAsia="宋体" w:cs="宋体"/>
          <w:sz w:val="28"/>
          <w:szCs w:val="28"/>
          <w:lang w:val="en-US" w:eastAsia="zh-CN"/>
        </w:rPr>
        <w:t>增加19.80</w:t>
      </w:r>
      <w:r>
        <w:rPr>
          <w:rFonts w:hint="eastAsia" w:ascii="宋体" w:hAnsi="宋体" w:eastAsia="宋体" w:cs="宋体"/>
          <w:sz w:val="28"/>
          <w:szCs w:val="28"/>
        </w:rPr>
        <w:t>万元，</w:t>
      </w:r>
      <w:r>
        <w:rPr>
          <w:rFonts w:hint="eastAsia" w:ascii="宋体" w:hAnsi="宋体" w:eastAsia="宋体" w:cs="宋体"/>
          <w:sz w:val="28"/>
          <w:szCs w:val="28"/>
          <w:lang w:val="en-US" w:eastAsia="zh-CN"/>
        </w:rPr>
        <w:t>增长8.86%</w:t>
      </w:r>
      <w:r>
        <w:rPr>
          <w:rFonts w:hint="eastAsia" w:ascii="宋体" w:hAnsi="宋体" w:eastAsia="宋体" w:cs="宋体"/>
          <w:sz w:val="28"/>
          <w:szCs w:val="28"/>
        </w:rPr>
        <w:t>，主要原因是</w:t>
      </w:r>
      <w:r>
        <w:rPr>
          <w:rFonts w:hint="eastAsia"/>
          <w:highlight w:val="none"/>
          <w:lang w:val="en-US" w:eastAsia="zh-CN"/>
        </w:rPr>
        <w:t>主要原因是人员变动，各项经费预算增加。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229.42</w:t>
      </w:r>
      <w:r>
        <w:rPr>
          <w:rFonts w:hint="eastAsia" w:ascii="宋体" w:hAnsi="宋体" w:eastAsia="宋体" w:cs="宋体"/>
          <w:sz w:val="28"/>
          <w:szCs w:val="28"/>
        </w:rPr>
        <w:t>万元，占支出总预算的</w:t>
      </w:r>
      <w:r>
        <w:rPr>
          <w:rFonts w:ascii="宋体" w:hAnsi="宋体" w:eastAsia="宋体" w:cs="宋体"/>
          <w:sz w:val="28"/>
          <w:u w:color="auto"/>
        </w:rPr>
        <w:t>94.30%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212.71</w:t>
      </w:r>
      <w:r>
        <w:rPr>
          <w:rFonts w:hint="eastAsia" w:ascii="宋体" w:hAnsi="宋体" w:eastAsia="宋体" w:cs="宋体"/>
          <w:sz w:val="28"/>
          <w:szCs w:val="28"/>
        </w:rPr>
        <w:t>万元，</w:t>
      </w:r>
      <w:r>
        <w:rPr>
          <w:rFonts w:ascii="宋体" w:hAnsi="宋体" w:eastAsia="宋体" w:cs="宋体"/>
          <w:sz w:val="28"/>
          <w:u w:color="auto"/>
        </w:rPr>
        <w:t>增长16.71</w:t>
      </w:r>
      <w:r>
        <w:rPr>
          <w:rFonts w:hint="eastAsia" w:ascii="宋体" w:hAnsi="宋体" w:eastAsia="宋体" w:cs="宋体"/>
          <w:sz w:val="28"/>
          <w:szCs w:val="28"/>
        </w:rPr>
        <w:t>万元，</w:t>
      </w:r>
      <w:r>
        <w:rPr>
          <w:rFonts w:ascii="宋体" w:hAnsi="宋体" w:eastAsia="宋体" w:cs="宋体"/>
          <w:sz w:val="28"/>
          <w:u w:color="auto"/>
        </w:rPr>
        <w:t>增长7.86%</w:t>
      </w:r>
      <w:r>
        <w:rPr>
          <w:rFonts w:hint="eastAsia" w:ascii="宋体" w:hAnsi="宋体" w:eastAsia="宋体" w:cs="宋体"/>
          <w:sz w:val="28"/>
          <w:szCs w:val="28"/>
        </w:rPr>
        <w:t>，主要原因是：</w:t>
      </w:r>
      <w:r>
        <w:rPr>
          <w:rFonts w:hint="eastAsia"/>
          <w:highlight w:val="none"/>
        </w:rPr>
        <w:t>主要原因是人员变动，各项经费预算增加。</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6.44</w:t>
      </w:r>
      <w:r>
        <w:rPr>
          <w:rFonts w:hint="eastAsia" w:ascii="宋体" w:hAnsi="宋体" w:eastAsia="宋体" w:cs="宋体"/>
          <w:sz w:val="28"/>
          <w:szCs w:val="28"/>
        </w:rPr>
        <w:t>万元，占支出总预算的</w:t>
      </w:r>
      <w:r>
        <w:rPr>
          <w:rFonts w:ascii="宋体" w:hAnsi="宋体" w:eastAsia="宋体" w:cs="宋体"/>
          <w:sz w:val="28"/>
          <w:u w:color="auto"/>
        </w:rPr>
        <w:t>2.65%</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4.63</w:t>
      </w:r>
      <w:r>
        <w:rPr>
          <w:rFonts w:hint="eastAsia" w:ascii="宋体" w:hAnsi="宋体" w:eastAsia="宋体" w:cs="宋体"/>
          <w:sz w:val="28"/>
          <w:szCs w:val="28"/>
        </w:rPr>
        <w:t>万元，</w:t>
      </w:r>
      <w:r>
        <w:rPr>
          <w:rFonts w:ascii="宋体" w:hAnsi="宋体" w:eastAsia="宋体" w:cs="宋体"/>
          <w:sz w:val="28"/>
          <w:u w:color="auto"/>
        </w:rPr>
        <w:t>增长1.81</w:t>
      </w:r>
      <w:r>
        <w:rPr>
          <w:rFonts w:hint="eastAsia" w:ascii="宋体" w:hAnsi="宋体" w:eastAsia="宋体" w:cs="宋体"/>
          <w:sz w:val="28"/>
          <w:szCs w:val="28"/>
        </w:rPr>
        <w:t>万元，</w:t>
      </w:r>
      <w:r>
        <w:rPr>
          <w:rFonts w:ascii="宋体" w:hAnsi="宋体" w:eastAsia="宋体" w:cs="宋体"/>
          <w:sz w:val="28"/>
          <w:u w:color="auto"/>
        </w:rPr>
        <w:t>增长39.09%</w:t>
      </w:r>
      <w:r>
        <w:rPr>
          <w:rFonts w:hint="eastAsia" w:ascii="宋体" w:hAnsi="宋体" w:eastAsia="宋体" w:cs="宋体"/>
          <w:sz w:val="28"/>
          <w:szCs w:val="28"/>
        </w:rPr>
        <w:t>，主要原因是：</w:t>
      </w:r>
      <w:r>
        <w:rPr>
          <w:rFonts w:hint="eastAsia"/>
          <w:highlight w:val="none"/>
        </w:rPr>
        <w:t>主要原因是人员变动，各项经费预算增加。</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7.44</w:t>
      </w:r>
      <w:r>
        <w:rPr>
          <w:rFonts w:hint="eastAsia" w:ascii="宋体" w:hAnsi="宋体" w:eastAsia="宋体" w:cs="宋体"/>
          <w:sz w:val="28"/>
          <w:szCs w:val="28"/>
        </w:rPr>
        <w:t>万元，占支出总预算的</w:t>
      </w:r>
      <w:r>
        <w:rPr>
          <w:rFonts w:ascii="宋体" w:hAnsi="宋体" w:eastAsia="宋体" w:cs="宋体"/>
          <w:sz w:val="28"/>
          <w:u w:color="auto"/>
        </w:rPr>
        <w:t>3.06%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6.17</w:t>
      </w:r>
      <w:r>
        <w:rPr>
          <w:rFonts w:hint="eastAsia" w:ascii="宋体" w:hAnsi="宋体" w:eastAsia="宋体" w:cs="宋体"/>
          <w:sz w:val="28"/>
          <w:szCs w:val="28"/>
        </w:rPr>
        <w:t>万元，</w:t>
      </w:r>
      <w:r>
        <w:rPr>
          <w:rFonts w:ascii="宋体" w:hAnsi="宋体" w:eastAsia="宋体" w:cs="宋体"/>
          <w:sz w:val="28"/>
          <w:u w:color="auto"/>
        </w:rPr>
        <w:t>增长1.27</w:t>
      </w:r>
      <w:r>
        <w:rPr>
          <w:rFonts w:hint="eastAsia" w:ascii="宋体" w:hAnsi="宋体" w:eastAsia="宋体" w:cs="宋体"/>
          <w:sz w:val="28"/>
          <w:szCs w:val="28"/>
        </w:rPr>
        <w:t>万元，</w:t>
      </w:r>
      <w:r>
        <w:rPr>
          <w:rFonts w:ascii="宋体" w:hAnsi="宋体" w:eastAsia="宋体" w:cs="宋体"/>
          <w:sz w:val="28"/>
          <w:u w:color="auto"/>
        </w:rPr>
        <w:t>增长20.58%</w:t>
      </w:r>
      <w:r>
        <w:rPr>
          <w:rFonts w:hint="eastAsia" w:ascii="宋体" w:hAnsi="宋体" w:eastAsia="宋体" w:cs="宋体"/>
          <w:sz w:val="28"/>
          <w:szCs w:val="28"/>
        </w:rPr>
        <w:t>，主要原因是：</w:t>
      </w:r>
      <w:r>
        <w:rPr>
          <w:rFonts w:hint="eastAsia"/>
          <w:highlight w:val="none"/>
        </w:rPr>
        <w:t>主要原因是人员变动，各项经费预算增加。</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65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72.46</w:t>
      </w:r>
      <w:r>
        <w:rPr>
          <w:rFonts w:hint="eastAsia"/>
        </w:rPr>
        <w:t>万元，较2023年度预算数</w:t>
      </w:r>
      <w:r>
        <w:rPr>
          <w:rFonts w:hint="eastAsia"/>
          <w:lang w:val="en-US" w:eastAsia="zh-CN"/>
        </w:rPr>
        <w:t>54.66</w:t>
      </w:r>
      <w:r>
        <w:rPr>
          <w:rFonts w:hint="eastAsia"/>
        </w:rPr>
        <w:t>万元</w:t>
      </w:r>
      <w:r>
        <w:rPr>
          <w:rFonts w:hint="eastAsia"/>
          <w:lang w:val="en-US" w:eastAsia="zh-CN"/>
        </w:rPr>
        <w:t>,</w:t>
      </w:r>
      <w:r>
        <w:rPr>
          <w:u w:color="auto"/>
        </w:rPr>
        <w:t>增加17.80</w:t>
      </w:r>
      <w:r>
        <w:rPr>
          <w:rFonts w:hint="eastAsia"/>
        </w:rPr>
        <w:t>万元，</w:t>
      </w:r>
      <w:r>
        <w:rPr>
          <w:rFonts w:hint="eastAsia"/>
          <w:lang w:val="en-US" w:eastAsia="zh-CN"/>
        </w:rPr>
        <w:t>增长32.56%</w:t>
      </w:r>
      <w:r>
        <w:rPr>
          <w:rFonts w:hint="eastAsia"/>
        </w:rPr>
        <w:t>，主要原因是</w:t>
      </w:r>
      <w:r>
        <w:rPr>
          <w:rFonts w:hint="eastAsia"/>
          <w:highlight w:val="none"/>
          <w:lang w:val="en-US" w:eastAsia="zh-CN"/>
        </w:rPr>
        <w:t>主要原因是人员变动，各项经费预算增加。</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63.44</w:t>
      </w:r>
      <w:r>
        <w:t>万元</w:t>
      </w:r>
      <w:r>
        <w:rPr>
          <w:rFonts w:hint="eastAsia"/>
          <w:lang w:eastAsia="zh-CN"/>
        </w:rPr>
        <w:t>，</w:t>
      </w:r>
      <w:r>
        <w:rPr>
          <w:rFonts w:hint="eastAsia"/>
        </w:rPr>
        <w:t>占基本支出预算的</w:t>
      </w:r>
      <w:r>
        <w:rPr>
          <w:rFonts w:hint="eastAsia"/>
          <w:lang w:val="en-US" w:eastAsia="zh-CN"/>
        </w:rPr>
        <w:t>87.55%</w:t>
      </w:r>
      <w:r>
        <w:rPr>
          <w:rFonts w:hint="eastAsia"/>
        </w:rPr>
        <w:t>，较2023年度预算数</w:t>
      </w:r>
      <w:r>
        <w:rPr>
          <w:rFonts w:hint="eastAsia"/>
          <w:lang w:val="en-US" w:eastAsia="zh-CN"/>
        </w:rPr>
        <w:t>47.67</w:t>
      </w:r>
      <w:r>
        <w:rPr>
          <w:rFonts w:hint="eastAsia"/>
        </w:rPr>
        <w:t>万元，</w:t>
      </w:r>
      <w:r>
        <w:rPr>
          <w:rFonts w:hint="eastAsia"/>
          <w:lang w:val="en-US" w:eastAsia="zh-CN"/>
        </w:rPr>
        <w:t>增长15.77</w:t>
      </w:r>
      <w:r>
        <w:rPr>
          <w:rFonts w:hint="eastAsia"/>
        </w:rPr>
        <w:t>万元，</w:t>
      </w:r>
      <w:r>
        <w:rPr>
          <w:rFonts w:hint="eastAsia"/>
          <w:lang w:val="en-US" w:eastAsia="zh-CN"/>
        </w:rPr>
        <w:t>增长33.08%</w:t>
      </w:r>
      <w:r>
        <w:rPr>
          <w:rFonts w:hint="eastAsia"/>
        </w:rPr>
        <w:t>，主要原因是：</w:t>
      </w:r>
      <w:r>
        <w:rPr>
          <w:rFonts w:hint="eastAsia"/>
          <w:highlight w:val="none"/>
        </w:rPr>
        <w:t>主要原因是人员变动，各项经费预算增加。</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7.03</w:t>
      </w:r>
      <w:r>
        <w:t>万元</w:t>
      </w:r>
      <w:r>
        <w:rPr>
          <w:rFonts w:hint="eastAsia"/>
          <w:lang w:eastAsia="zh-CN"/>
        </w:rPr>
        <w:t>，</w:t>
      </w:r>
      <w:r>
        <w:rPr>
          <w:rFonts w:hint="eastAsia"/>
        </w:rPr>
        <w:t>占基本支出预算的</w:t>
      </w:r>
      <w:r>
        <w:rPr>
          <w:rFonts w:hint="eastAsia"/>
          <w:lang w:val="en-US" w:eastAsia="zh-CN"/>
        </w:rPr>
        <w:t>9.70%</w:t>
      </w:r>
      <w:r>
        <w:rPr>
          <w:rFonts w:hint="eastAsia"/>
        </w:rPr>
        <w:t>，较2023年度预算数</w:t>
      </w:r>
      <w:r>
        <w:rPr>
          <w:rFonts w:hint="eastAsia"/>
          <w:lang w:val="en-US" w:eastAsia="zh-CN"/>
        </w:rPr>
        <w:t>5.80</w:t>
      </w:r>
      <w:r>
        <w:rPr>
          <w:rFonts w:hint="eastAsia"/>
        </w:rPr>
        <w:t>万元，</w:t>
      </w:r>
      <w:r>
        <w:rPr>
          <w:rFonts w:hint="eastAsia"/>
          <w:lang w:val="en-US" w:eastAsia="zh-CN"/>
        </w:rPr>
        <w:t>增长1.23</w:t>
      </w:r>
      <w:r>
        <w:rPr>
          <w:rFonts w:hint="eastAsia"/>
        </w:rPr>
        <w:t>万元，</w:t>
      </w:r>
      <w:r>
        <w:rPr>
          <w:rFonts w:hint="eastAsia"/>
          <w:lang w:val="en-US" w:eastAsia="zh-CN"/>
        </w:rPr>
        <w:t>增长21.21%</w:t>
      </w:r>
      <w:r>
        <w:rPr>
          <w:rFonts w:hint="eastAsia"/>
        </w:rPr>
        <w:t>，主要原因是：</w:t>
      </w:r>
      <w:r>
        <w:rPr>
          <w:rFonts w:hint="eastAsia"/>
          <w:highlight w:val="none"/>
        </w:rPr>
        <w:t>主要原因是人员变动，各项经费预算增加。</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2.00</w:t>
      </w:r>
      <w:r>
        <w:t>万元</w:t>
      </w:r>
      <w:r>
        <w:rPr>
          <w:rFonts w:hint="eastAsia"/>
          <w:lang w:eastAsia="zh-CN"/>
        </w:rPr>
        <w:t>，</w:t>
      </w:r>
      <w:r>
        <w:rPr>
          <w:rFonts w:hint="eastAsia"/>
        </w:rPr>
        <w:t>占基本支出预算的</w:t>
      </w:r>
      <w:r>
        <w:rPr>
          <w:rFonts w:hint="eastAsia"/>
          <w:lang w:val="en-US" w:eastAsia="zh-CN"/>
        </w:rPr>
        <w:t>2.76%</w:t>
      </w:r>
      <w:r>
        <w:rPr>
          <w:rFonts w:hint="eastAsia"/>
        </w:rPr>
        <w:t>，较2023年度预算数</w:t>
      </w:r>
      <w:r>
        <w:rPr>
          <w:rFonts w:hint="eastAsia"/>
          <w:lang w:val="en-US" w:eastAsia="zh-CN"/>
        </w:rPr>
        <w:t>1.20</w:t>
      </w:r>
      <w:r>
        <w:rPr>
          <w:rFonts w:hint="eastAsia"/>
        </w:rPr>
        <w:t>万元，</w:t>
      </w:r>
      <w:r>
        <w:rPr>
          <w:rFonts w:hint="eastAsia"/>
          <w:lang w:val="en-US" w:eastAsia="zh-CN"/>
        </w:rPr>
        <w:t>增长0.80</w:t>
      </w:r>
      <w:r>
        <w:rPr>
          <w:rFonts w:hint="eastAsia"/>
        </w:rPr>
        <w:t>万元，</w:t>
      </w:r>
      <w:r>
        <w:rPr>
          <w:rFonts w:hint="eastAsia"/>
          <w:lang w:val="en-US" w:eastAsia="zh-CN"/>
        </w:rPr>
        <w:t>增长66.67%</w:t>
      </w:r>
      <w:r>
        <w:rPr>
          <w:rFonts w:hint="eastAsia"/>
        </w:rPr>
        <w:t>，主要原因是：</w:t>
      </w:r>
      <w:r>
        <w:rPr>
          <w:rFonts w:hint="eastAsia"/>
          <w:highlight w:val="none"/>
        </w:rPr>
        <w:t>主要原因是人员变动，各项经费预算增加。</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66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160.00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160.00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160.00</w:t>
      </w:r>
      <w:r>
        <w:rPr>
          <w:rFonts w:hint="eastAsia"/>
          <w:b w:val="0"/>
          <w:bCs w:val="0"/>
          <w:sz w:val="28"/>
          <w:szCs w:val="28"/>
        </w:rPr>
        <w:t>万元，同口径较2023年度预算数</w:t>
      </w:r>
      <w:r>
        <w:rPr>
          <w:rFonts w:hint="eastAsia"/>
          <w:b w:val="0"/>
          <w:bCs w:val="0"/>
          <w:sz w:val="28"/>
          <w:szCs w:val="28"/>
          <w:lang w:val="en-US" w:eastAsia="zh-CN"/>
        </w:rPr>
        <w:t>150.00</w:t>
      </w:r>
      <w:r>
        <w:rPr>
          <w:rFonts w:hint="eastAsia"/>
          <w:b w:val="0"/>
          <w:bCs w:val="0"/>
          <w:sz w:val="28"/>
          <w:szCs w:val="28"/>
        </w:rPr>
        <w:t>万元，</w:t>
      </w:r>
      <w:r>
        <w:rPr>
          <w:rFonts w:hint="eastAsia"/>
          <w:b w:val="0"/>
          <w:bCs w:val="0"/>
          <w:sz w:val="28"/>
          <w:szCs w:val="28"/>
          <w:lang w:val="en-US" w:eastAsia="zh-CN"/>
        </w:rPr>
        <w:t>增长10.00</w:t>
      </w:r>
      <w:r>
        <w:rPr>
          <w:rFonts w:hint="eastAsia"/>
          <w:b w:val="0"/>
          <w:bCs w:val="0"/>
          <w:sz w:val="28"/>
          <w:szCs w:val="28"/>
        </w:rPr>
        <w:t>万元，</w:t>
      </w:r>
      <w:r>
        <w:rPr>
          <w:rFonts w:hint="eastAsia"/>
          <w:b w:val="0"/>
          <w:bCs w:val="0"/>
          <w:sz w:val="28"/>
          <w:szCs w:val="28"/>
          <w:lang w:val="en-US" w:eastAsia="zh-CN"/>
        </w:rPr>
        <w:t>增长6.67%</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该年度无因公出国（境）事项，故无此项经费预算。</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160.00</w:t>
      </w:r>
      <w:r>
        <w:rPr>
          <w:rFonts w:hint="eastAsia"/>
          <w:b w:val="0"/>
          <w:bCs w:val="0"/>
          <w:sz w:val="28"/>
          <w:szCs w:val="28"/>
        </w:rPr>
        <w:t>万元，较2023年度预算数</w:t>
      </w:r>
      <w:r>
        <w:rPr>
          <w:sz w:val="28"/>
          <w:u w:color="auto"/>
        </w:rPr>
        <w:t>150.00</w:t>
      </w:r>
      <w:r>
        <w:rPr>
          <w:rFonts w:hint="eastAsia"/>
          <w:b w:val="0"/>
          <w:bCs w:val="0"/>
          <w:sz w:val="28"/>
          <w:szCs w:val="28"/>
        </w:rPr>
        <w:t>万元，</w:t>
      </w:r>
      <w:r>
        <w:rPr>
          <w:sz w:val="28"/>
          <w:u w:color="auto"/>
        </w:rPr>
        <w:t>增长10.00</w:t>
      </w:r>
      <w:r>
        <w:rPr>
          <w:rFonts w:hint="eastAsia"/>
          <w:b w:val="0"/>
          <w:bCs w:val="0"/>
          <w:sz w:val="28"/>
          <w:szCs w:val="28"/>
        </w:rPr>
        <w:t>万元，</w:t>
      </w:r>
      <w:r>
        <w:rPr>
          <w:sz w:val="28"/>
          <w:u w:color="auto"/>
        </w:rPr>
        <w:t>增长6.67%</w:t>
      </w:r>
      <w:r>
        <w:rPr>
          <w:rFonts w:hint="eastAsia"/>
          <w:b w:val="0"/>
          <w:bCs w:val="0"/>
          <w:sz w:val="28"/>
          <w:szCs w:val="28"/>
        </w:rPr>
        <w:t>，主要原因是</w:t>
      </w:r>
      <w:r>
        <w:rPr>
          <w:rFonts w:hint="eastAsia"/>
          <w:sz w:val="28"/>
          <w:szCs w:val="28"/>
          <w:highlight w:val="none"/>
          <w:lang w:val="en-US" w:eastAsia="zh-CN"/>
        </w:rPr>
        <w:t>接待事项多元化，故预算增加。</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我部门因公车改革，无公务用车，故无此项经费预算。</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单位因公车改革，无公务用车，故无此项经费预算。</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我部门2024年部门预算无政府性基金预算。</w:t>
      </w:r>
      <w:r>
        <w:rPr>
          <w:rFonts w:hint="eastAsia"/>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我部门2024年部门预算无国有资产经营预算。</w:t>
      </w:r>
      <w:r>
        <w:rPr>
          <w:rFonts w:hint="eastAsia"/>
          <w:sz w:val="28"/>
          <w:szCs w:val="28"/>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7.03</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5.80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增加1.23</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增长21.21%</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机关运行经费安排7.03万元，全部是基本支出预算。主要用于单位为保证日常运转发生的基本支出。按自治区统一规定的开支标准安排的办公费、印刷费、水电费、培训费、差旅费、会议费等日常公用经费支出。</w:t>
      </w:r>
      <w:r>
        <w:rPr>
          <w:rFonts w:hint="eastAsia" w:cs="宋体"/>
          <w:sz w:val="28"/>
          <w:szCs w:val="28"/>
          <w:lang w:val="en-US"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主要用于：我部门2024年部门预算无此项预算。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3个</w:t>
      </w:r>
      <w:r>
        <w:rPr>
          <w:rFonts w:hint="eastAsia" w:ascii="宋体" w:hAnsi="宋体" w:eastAsia="宋体" w:cs="宋体"/>
          <w:sz w:val="28"/>
          <w:szCs w:val="28"/>
          <w:lang w:eastAsia="zh-CN"/>
        </w:rPr>
        <w:t>个，预算资金</w:t>
      </w:r>
      <w:r>
        <w:rPr>
          <w:rFonts w:hint="eastAsia"/>
          <w:sz w:val="28"/>
          <w:szCs w:val="28"/>
          <w:highlight w:val="none"/>
          <w:lang w:val="en-US" w:eastAsia="zh-CN"/>
        </w:rPr>
        <w:t>170.84万元</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本部门2023年部门预算项目支出170.84万元，全部编制了项目绩效目标。项目名称四家班子公务接待费，预算资金170.84万元，2024年度绩效目标为：圆满完成四家班子各项公务接待服务工作，进一步优化提升公务接待服务质量。设1条数量指标：接待人次批次≥100人；设1条质量指标：经费支出合规性，定性合理合规；设1条时效指标：资金发放效率，定性按资金需求进度发放；设1条成本指标：项目金额≤160万元；设1条满意度指标：接待服务对象满意度≥95%。</w:t>
      </w:r>
    </w:p>
    <w:p>
      <w:pPr>
        <w:pStyle w:val="18"/>
        <w:spacing w:line="624" w:lineRule="exact"/>
        <w:ind w:left="0" w:leftChars="0" w:firstLine="0" w:firstLineChars="0"/>
        <w:jc w:val="left"/>
        <w:rPr>
          <w:rFonts w:hint="default"/>
          <w:sz w:val="28"/>
          <w:szCs w:val="28"/>
          <w:highlight w:val="none"/>
          <w:lang w:val="en-US" w:eastAsia="zh-CN"/>
        </w:rPr>
        <w:sectPr>
          <w:headerReference r:id="rId6" w:type="default"/>
          <w:footerReference r:id="rId7"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环江毛南族自治县公务接待服务中心</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29"/>
      <w:bookmarkStart w:id="17" w:name="bookmark30"/>
      <w:bookmarkStart w:id="18" w:name="bookmark31"/>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cantSplit/>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环江毛南族自治县公务接待服务中心</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243.30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229.42</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243.30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7.44</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6.44</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243.30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243.30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243.30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243.30</w:t>
            </w:r>
          </w:p>
        </w:tc>
      </w:tr>
    </w:tbl>
    <w:p>
      <w:pPr>
        <w:pStyle w:val="26"/>
        <w:ind w:left="101"/>
        <w:jc w:val="left"/>
        <w:rPr>
          <w:rFonts w:eastAsia="宋体"/>
          <w:lang w:eastAsia="zh-CN"/>
        </w:rPr>
        <w:sectPr>
          <w:headerReference r:id="rId8" w:type="default"/>
          <w:footerReference r:id="rId9"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r>
        <w:t>注：报表金额单位转换时可能存在四舍五入尾数误差。</w:t>
      </w: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环江毛南族自治县公务接待服务中心</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24"/>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center"/>
              <w:rPr>
                <w:rFonts w:hint="eastAsia" w:eastAsia="宋体"/>
                <w:vertAlign w:val="baseline"/>
                <w:lang w:val="en-US" w:eastAsia="zh-CN"/>
              </w:rPr>
            </w:pPr>
          </w:p>
        </w:tc>
        <w:tc>
          <w:tcPr>
            <w:tcW w:w="926"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24"/>
              <w:spacing w:line="312" w:lineRule="exact"/>
              <w:ind w:firstLine="0"/>
              <w:jc w:val="center"/>
              <w:rPr>
                <w:sz w:val="17"/>
                <w:szCs w:val="17"/>
              </w:rPr>
            </w:pPr>
            <w:r>
              <w:rPr>
                <w:sz w:val="17"/>
                <w:szCs w:val="17"/>
              </w:rPr>
              <w:t>财政专户管理资金</w:t>
            </w:r>
          </w:p>
          <w:p>
            <w:pPr>
              <w:pStyle w:val="24"/>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24"/>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24"/>
              <w:spacing w:line="312" w:lineRule="exact"/>
              <w:ind w:firstLine="0"/>
              <w:jc w:val="center"/>
              <w:rPr>
                <w:sz w:val="17"/>
                <w:szCs w:val="17"/>
              </w:rPr>
            </w:pPr>
            <w:r>
              <w:rPr>
                <w:sz w:val="17"/>
                <w:szCs w:val="17"/>
              </w:rPr>
              <w:t>财政专户管理资金</w:t>
            </w:r>
          </w:p>
          <w:p>
            <w:pPr>
              <w:pStyle w:val="24"/>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24"/>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24"/>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24"/>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36" w:type="dxa"/>
            <w:vAlign w:val="center"/>
          </w:tcPr>
          <w:p>
            <w:pPr>
              <w:pStyle w:val="24"/>
              <w:spacing w:line="240" w:lineRule="auto"/>
              <w:ind w:firstLine="0" w:firstLineChars="0"/>
              <w:jc w:val="lef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141001</w:t>
            </w:r>
          </w:p>
        </w:tc>
        <w:tc>
          <w:tcPr>
            <w:tcW w:w="1279" w:type="dxa"/>
          </w:tcPr>
          <w:p>
            <w:pPr>
              <w:pStyle w:val="24"/>
              <w:spacing w:line="326" w:lineRule="exact"/>
              <w:ind w:firstLine="0" w:firstLineChars="0"/>
              <w:jc w:val="lef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环江毛南族自治县公务接待服务中心</w:t>
            </w:r>
          </w:p>
        </w:tc>
        <w:tc>
          <w:tcPr>
            <w:tcW w:w="990"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243.30</w:t>
            </w:r>
          </w:p>
        </w:tc>
        <w:tc>
          <w:tcPr>
            <w:tcW w:w="926"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243.30</w:t>
            </w:r>
          </w:p>
        </w:tc>
        <w:tc>
          <w:tcPr>
            <w:tcW w:w="909"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243.30</w:t>
            </w:r>
          </w:p>
        </w:tc>
        <w:tc>
          <w:tcPr>
            <w:tcW w:w="968"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90"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78" w:type="dxa"/>
            <w:vAlign w:val="center"/>
          </w:tcPr>
          <w:p>
            <w:pPr>
              <w:pStyle w:val="24"/>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72" w:type="dxa"/>
            <w:vAlign w:val="center"/>
          </w:tcPr>
          <w:p>
            <w:pPr>
              <w:pStyle w:val="24"/>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9" w:type="dxa"/>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11" w:type="dxa"/>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59" w:type="dxa"/>
            <w:vAlign w:val="center"/>
          </w:tcPr>
          <w:p>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94" w:type="dxa"/>
            <w:gridSpan w:val="2"/>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7" w:type="dxa"/>
            <w:vAlign w:val="center"/>
          </w:tcPr>
          <w:p>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89" w:type="dxa"/>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26"/>
              <w:jc w:val="left"/>
              <w:rPr>
                <w:rFonts w:hint="eastAsia" w:eastAsia="宋体"/>
                <w:sz w:val="17"/>
                <w:szCs w:val="17"/>
                <w:vertAlign w:val="baseline"/>
                <w:lang w:val="en-US" w:eastAsia="zh-CN"/>
              </w:rPr>
            </w:pPr>
            <w:r>
              <w:rPr>
                <w:sz w:val="17"/>
                <w:szCs w:val="17"/>
              </w:rPr>
              <w:t>注：本报表金额单位转换时可能存在四舍五入尾数误差。</w:t>
            </w:r>
          </w:p>
        </w:tc>
      </w:tr>
    </w:tbl>
    <w:p>
      <w:pPr>
        <w:tabs>
          <w:tab w:val="left" w:pos="859"/>
        </w:tabs>
        <w:jc w:val="both"/>
        <w:rPr>
          <w:rFonts w:hint="eastAsia" w:eastAsia="宋体"/>
          <w:lang w:val="en-US" w:eastAsia="zh-CN"/>
        </w:rPr>
      </w:pPr>
    </w:p>
    <w:p>
      <w:pPr>
        <w:spacing w:line="1" w:lineRule="exact"/>
        <w:jc w:val="left"/>
        <w:rPr>
          <w:lang w:eastAsia="zh-CN"/>
        </w:rPr>
        <w:sectPr>
          <w:headerReference r:id="rId10" w:type="default"/>
          <w:footerReference r:id="rId11"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cantSplit/>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环江毛南族自治县公务接待服务中心</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cantSplit/>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243.30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72.46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170.84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141001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243.30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72.46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170.84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0.63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0.63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2013501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228.79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57.95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170.84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7.44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7.44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6.44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6.44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bl>
    <w:p>
      <w:pPr>
        <w:pStyle w:val="26"/>
        <w:ind w:left="672"/>
        <w:jc w:val="left"/>
      </w:pPr>
      <w:r>
        <w:rPr>
          <w:b w:val="0"/>
          <w:bCs w:val="0"/>
        </w:rPr>
        <w:t>注：本报表金额单位转换时可能存在四舍五入尾数误差。</w:t>
      </w:r>
      <w:r>
        <w:br w:type="page"/>
      </w:r>
    </w:p>
    <w:p>
      <w:pPr>
        <w:pStyle w:val="22"/>
        <w:keepNext/>
        <w:keepLines/>
        <w:spacing w:after="240"/>
        <w:jc w:val="center"/>
      </w:pPr>
      <w:bookmarkStart w:id="22" w:name="bookmark44"/>
      <w:bookmarkStart w:id="23" w:name="bookmark45"/>
      <w:bookmarkStart w:id="24" w:name="bookmark46"/>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cantSplit/>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环江毛南族自治县公务接待服务中心</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cantSplit/>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cantSplit/>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243.30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229.42</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243.30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7.44</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6.44</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243.30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243.30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243.30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243.30</w:t>
            </w:r>
          </w:p>
        </w:tc>
      </w:tr>
      <w:tr>
        <w:tblPrEx>
          <w:tblCellMar>
            <w:top w:w="0" w:type="dxa"/>
            <w:left w:w="10" w:type="dxa"/>
            <w:bottom w:w="0" w:type="dxa"/>
            <w:right w:w="10" w:type="dxa"/>
          </w:tblCellMar>
        </w:tblPrEx>
        <w:trPr>
          <w:cantSplit/>
          <w:trHeight w:val="352" w:hRule="exact"/>
        </w:trPr>
        <w:tc>
          <w:tcPr>
            <w:tcW w:w="15342" w:type="dxa"/>
            <w:gridSpan w:val="6"/>
            <w:tcBorders>
              <w:top w:val="single" w:color="auto" w:sz="4" w:space="0"/>
            </w:tcBorders>
            <w:shd w:val="clear" w:color="auto" w:fill="FFFFFF"/>
          </w:tcPr>
          <w:p>
            <w:pPr>
              <w:jc w:val="left"/>
              <w:rPr>
                <w:rFonts w:hint="eastAsia" w:ascii="宋体" w:hAnsi="宋体" w:eastAsia="宋体" w:cs="宋体"/>
                <w:sz w:val="17"/>
                <w:szCs w:val="17"/>
                <w:lang w:eastAsia="zh-CN"/>
              </w:rPr>
            </w:pPr>
            <w:r>
              <w:rPr>
                <w:rFonts w:hint="eastAsia" w:ascii="宋体" w:hAnsi="宋体" w:eastAsia="宋体" w:cs="宋体"/>
                <w:sz w:val="17"/>
                <w:szCs w:val="17"/>
              </w:rPr>
              <w:t>注：表中功能分类科目，根据各部门实际预算编制情况编列。</w:t>
            </w:r>
          </w:p>
        </w:tc>
      </w:tr>
      <w:tr>
        <w:tblPrEx>
          <w:tblCellMar>
            <w:top w:w="0" w:type="dxa"/>
            <w:left w:w="10" w:type="dxa"/>
            <w:bottom w:w="0" w:type="dxa"/>
            <w:right w:w="10" w:type="dxa"/>
          </w:tblCellMar>
        </w:tblPrEx>
        <w:trPr>
          <w:cantSplit/>
          <w:trHeight w:val="274" w:hRule="exact"/>
        </w:trPr>
        <w:tc>
          <w:tcPr>
            <w:tcW w:w="15342" w:type="dxa"/>
            <w:gridSpan w:val="6"/>
            <w:shd w:val="clear" w:color="auto" w:fill="FFFFFF"/>
            <w:vAlign w:val="bottom"/>
          </w:tcPr>
          <w:p>
            <w:pPr>
              <w:jc w:val="left"/>
              <w:rPr>
                <w:rFonts w:hint="eastAsia" w:ascii="宋体" w:hAnsi="宋体" w:eastAsia="宋体" w:cs="宋体"/>
                <w:sz w:val="17"/>
                <w:szCs w:val="17"/>
                <w:lang w:eastAsia="zh-CN"/>
              </w:rPr>
            </w:pPr>
            <w:r>
              <w:rPr>
                <w:rFonts w:hint="eastAsia" w:ascii="宋体" w:hAnsi="宋体" w:eastAsia="宋体" w:cs="宋体"/>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76"/>
        <w:gridCol w:w="1662"/>
        <w:gridCol w:w="1717"/>
        <w:gridCol w:w="1879"/>
        <w:gridCol w:w="1729"/>
        <w:gridCol w:w="1718"/>
        <w:gridCol w:w="72"/>
        <w:gridCol w:w="169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环江毛南族自治县公务接待服务中心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141001</w:t>
            </w: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717"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243.30</w:t>
            </w:r>
          </w:p>
        </w:tc>
        <w:tc>
          <w:tcPr>
            <w:tcW w:w="187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72.47</w:t>
            </w:r>
          </w:p>
        </w:tc>
        <w:tc>
          <w:tcPr>
            <w:tcW w:w="172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65.44</w:t>
            </w:r>
          </w:p>
        </w:tc>
        <w:tc>
          <w:tcPr>
            <w:tcW w:w="1790" w:type="dxa"/>
            <w:gridSpan w:val="2"/>
            <w:vAlign w:val="center"/>
          </w:tcPr>
          <w:p>
            <w:pPr>
              <w:pStyle w:val="24"/>
              <w:spacing w:line="240" w:lineRule="auto"/>
              <w:ind w:left="0" w:leftChars="0" w:firstLine="340" w:firstLineChars="2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7.03</w:t>
            </w:r>
          </w:p>
        </w:tc>
        <w:tc>
          <w:tcPr>
            <w:tcW w:w="1694"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170.84</w:t>
            </w:r>
          </w:p>
        </w:tc>
        <w:tc>
          <w:tcPr>
            <w:tcW w:w="1695"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2012999</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其他群众团体事务支出</w:t>
            </w:r>
          </w:p>
        </w:tc>
        <w:tc>
          <w:tcPr>
            <w:tcW w:w="1717"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0.63</w:t>
            </w:r>
          </w:p>
        </w:tc>
        <w:tc>
          <w:tcPr>
            <w:tcW w:w="187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0.63</w:t>
            </w:r>
          </w:p>
        </w:tc>
        <w:tc>
          <w:tcPr>
            <w:tcW w:w="172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pPr>
              <w:pStyle w:val="24"/>
              <w:spacing w:line="240" w:lineRule="auto"/>
              <w:ind w:left="0" w:leftChars="0" w:firstLine="340" w:firstLineChars="2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0.63</w:t>
            </w:r>
          </w:p>
        </w:tc>
        <w:tc>
          <w:tcPr>
            <w:tcW w:w="1694"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2013501</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行政运行</w:t>
            </w:r>
          </w:p>
        </w:tc>
        <w:tc>
          <w:tcPr>
            <w:tcW w:w="1717"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228.79</w:t>
            </w:r>
          </w:p>
        </w:tc>
        <w:tc>
          <w:tcPr>
            <w:tcW w:w="187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57.95</w:t>
            </w:r>
          </w:p>
        </w:tc>
        <w:tc>
          <w:tcPr>
            <w:tcW w:w="172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51.55</w:t>
            </w:r>
          </w:p>
        </w:tc>
        <w:tc>
          <w:tcPr>
            <w:tcW w:w="1790" w:type="dxa"/>
            <w:gridSpan w:val="2"/>
            <w:vAlign w:val="center"/>
          </w:tcPr>
          <w:p>
            <w:pPr>
              <w:pStyle w:val="24"/>
              <w:spacing w:line="240" w:lineRule="auto"/>
              <w:ind w:left="0" w:leftChars="0" w:firstLine="340" w:firstLineChars="2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6.40</w:t>
            </w:r>
          </w:p>
        </w:tc>
        <w:tc>
          <w:tcPr>
            <w:tcW w:w="1694"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170.84</w:t>
            </w:r>
          </w:p>
        </w:tc>
        <w:tc>
          <w:tcPr>
            <w:tcW w:w="1695"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2080505</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机关事业单位基本养老保险缴费支出</w:t>
            </w:r>
          </w:p>
        </w:tc>
        <w:tc>
          <w:tcPr>
            <w:tcW w:w="1717"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7.44</w:t>
            </w:r>
          </w:p>
        </w:tc>
        <w:tc>
          <w:tcPr>
            <w:tcW w:w="187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7.44</w:t>
            </w:r>
          </w:p>
        </w:tc>
        <w:tc>
          <w:tcPr>
            <w:tcW w:w="172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7.44</w:t>
            </w:r>
          </w:p>
        </w:tc>
        <w:tc>
          <w:tcPr>
            <w:tcW w:w="1790" w:type="dxa"/>
            <w:gridSpan w:val="2"/>
            <w:vAlign w:val="center"/>
          </w:tcPr>
          <w:p>
            <w:pPr>
              <w:pStyle w:val="24"/>
              <w:spacing w:line="240" w:lineRule="auto"/>
              <w:ind w:left="0" w:leftChars="0" w:firstLine="340" w:firstLineChars="2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2210201</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1717"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6.44</w:t>
            </w:r>
          </w:p>
        </w:tc>
        <w:tc>
          <w:tcPr>
            <w:tcW w:w="187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6.44</w:t>
            </w:r>
          </w:p>
        </w:tc>
        <w:tc>
          <w:tcPr>
            <w:tcW w:w="1729" w:type="dxa"/>
            <w:vAlign w:val="center"/>
          </w:tcPr>
          <w:p>
            <w:pPr>
              <w:pStyle w:val="24"/>
              <w:spacing w:line="240" w:lineRule="auto"/>
              <w:ind w:left="0" w:leftChars="0" w:firstLine="510" w:firstLineChars="3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6.44</w:t>
            </w:r>
          </w:p>
        </w:tc>
        <w:tc>
          <w:tcPr>
            <w:tcW w:w="1790" w:type="dxa"/>
            <w:gridSpan w:val="2"/>
            <w:vAlign w:val="center"/>
          </w:tcPr>
          <w:p>
            <w:pPr>
              <w:pStyle w:val="24"/>
              <w:spacing w:line="240" w:lineRule="auto"/>
              <w:ind w:left="0" w:leftChars="0" w:firstLine="340" w:firstLineChars="20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pPr>
              <w:pStyle w:val="24"/>
              <w:spacing w:line="240" w:lineRule="auto"/>
              <w:ind w:firstLine="400" w:firstLineChars="0"/>
              <w:jc w:val="both"/>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hint="eastAsia" w:ascii="宋体" w:hAnsi="宋体" w:eastAsia="宋体" w:cs="宋体"/>
                <w:sz w:val="17"/>
                <w:szCs w:val="17"/>
              </w:rPr>
              <w:t>注：本报表金额单位转换时可能存在四舍五入尾数误差。</w:t>
            </w:r>
          </w:p>
        </w:tc>
      </w:tr>
    </w:tbl>
    <w:p>
      <w:pPr>
        <w:rPr>
          <w:lang w:eastAsia="zh-CN"/>
        </w:rPr>
      </w:pPr>
      <w:r>
        <w:br w:type="page"/>
      </w:r>
    </w:p>
    <w:p>
      <w:pPr>
        <w:jc w:val="left"/>
        <w:rPr>
          <w:lang w:eastAsia="zh-CN"/>
        </w:rPr>
      </w:pPr>
    </w:p>
    <w:p>
      <w:pPr>
        <w:pStyle w:val="22"/>
        <w:keepNext/>
        <w:keepLines/>
        <w:spacing w:after="240"/>
        <w:jc w:val="center"/>
      </w:pPr>
      <w:bookmarkStart w:id="25" w:name="bookmark58"/>
      <w:bookmarkStart w:id="26" w:name="bookmark57"/>
      <w:bookmarkStart w:id="27" w:name="bookmark56"/>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环江毛南族自治县公务接待服务中心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 xml:space="preserve"> </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合计</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72.47</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65.44</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工资福利支出</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63.44</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63.44</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基本工资</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18.26</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18.26</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津贴补贴</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11.51</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11.51</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30103</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奖金</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16.60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16.60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30108</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7.44</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7.44</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30110</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职工基本医疗保险缴费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2.98</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2.98</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0.20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0.20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30113</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6.44</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6.44</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商品和服务支出</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7.03</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0.30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印刷费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30205</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30206</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电费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30207</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邮电费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0.72</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差旅费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30217</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公务接待费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30228</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工会经费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0.63</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30239</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其他交通费用</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4.38</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30299</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其他商品和服务支出</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对个人和家庭的补助</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退休费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bl>
    <w:p>
      <w:pPr>
        <w:jc w:val="left"/>
        <w:rPr>
          <w:lang w:eastAsia="zh-CN"/>
        </w:rPr>
      </w:pPr>
      <w:r>
        <w:rPr>
          <w:rFonts w:hint="eastAsia" w:ascii="宋体" w:hAnsi="宋体" w:eastAsia="宋体" w:cs="宋体"/>
          <w:sz w:val="17"/>
          <w:szCs w:val="17"/>
        </w:rPr>
        <w:t>注：本报表金额单位转换时可能存在四舍五入尾数误差。</w:t>
      </w:r>
      <w:r>
        <w:br w:type="page"/>
      </w:r>
    </w:p>
    <w:p>
      <w:pPr>
        <w:pStyle w:val="22"/>
        <w:keepNext/>
        <w:keepLines/>
        <w:spacing w:after="240"/>
        <w:jc w:val="center"/>
        <w:rPr>
          <w:rFonts w:hint="default"/>
          <w:sz w:val="28"/>
          <w:szCs w:val="28"/>
          <w:lang w:val="en-US" w:eastAsia="zh-CN"/>
        </w:rPr>
      </w:pPr>
      <w:bookmarkStart w:id="28" w:name="bookmark66"/>
      <w:bookmarkStart w:id="29" w:name="bookmark65"/>
      <w:bookmarkStart w:id="30" w:name="bookmark67"/>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环江毛南族自治县公务接待服务中心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restart"/>
          </w:tcPr>
          <w:p>
            <w:pPr>
              <w:pStyle w:val="26"/>
              <w:bidi w:val="0"/>
              <w:jc w:val="center"/>
              <w:rPr>
                <w:rFonts w:hint="eastAsia"/>
                <w:vertAlign w:val="baseline"/>
                <w:lang w:val="en-US" w:eastAsia="zh-CN"/>
              </w:rPr>
            </w:pPr>
            <w:r>
              <w:rPr>
                <w:rFonts w:hint="eastAsia"/>
                <w:sz w:val="17"/>
                <w:szCs w:val="17"/>
                <w:lang w:val="en-US" w:eastAsia="zh-CN"/>
              </w:rPr>
              <w:t>部</w:t>
            </w: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Align w:val="center"/>
          </w:tcPr>
          <w:p>
            <w:pPr>
              <w:pStyle w:val="24"/>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141001</w:t>
            </w:r>
          </w:p>
        </w:tc>
        <w:tc>
          <w:tcPr>
            <w:tcW w:w="1918" w:type="dxa"/>
            <w:vAlign w:val="center"/>
          </w:tcPr>
          <w:p>
            <w:pPr>
              <w:pStyle w:val="24"/>
              <w:spacing w:line="240" w:lineRule="auto"/>
              <w:ind w:firstLine="0" w:firstLineChars="0"/>
              <w:jc w:val="left"/>
              <w:rPr>
                <w:rFonts w:hint="eastAsia" w:ascii="宋体" w:hAnsi="宋体" w:eastAsia="宋体" w:cs="宋体"/>
                <w:b w:val="0"/>
                <w:bCs w:val="0"/>
                <w:vertAlign w:val="baseline"/>
                <w:lang w:val="en-US" w:eastAsia="zh-CN"/>
              </w:rPr>
            </w:pPr>
          </w:p>
        </w:tc>
        <w:tc>
          <w:tcPr>
            <w:tcW w:w="1884"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160.00</w:t>
            </w:r>
          </w:p>
        </w:tc>
        <w:tc>
          <w:tcPr>
            <w:tcW w:w="1895"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88"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90"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89"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7"/>
                <w:szCs w:val="17"/>
              </w:rPr>
              <w:t>注：本报表金额单位转换时可能存在四舍五入尾数误差</w:t>
            </w:r>
          </w:p>
        </w:tc>
      </w:tr>
    </w:tbl>
    <w:p>
      <w:r>
        <w:br w:type="page"/>
      </w: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149"/>
        <w:gridCol w:w="2150"/>
        <w:gridCol w:w="2210"/>
        <w:gridCol w:w="2149"/>
        <w:gridCol w:w="2158"/>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328"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环江毛南族自治县公务接待服务中心</w:t>
            </w:r>
            <w:r>
              <w:tab/>
            </w:r>
            <w:r>
              <w:t>单位：万元</w:t>
            </w:r>
          </w:p>
        </w:tc>
        <w:tc>
          <w:tcPr>
            <w:tcW w:w="2151"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tcPr>
          <w:p>
            <w:pPr>
              <w:pStyle w:val="26"/>
              <w:bidi w:val="0"/>
              <w:jc w:val="center"/>
              <w:rPr>
                <w:vertAlign w:val="baseline"/>
              </w:rPr>
            </w:pPr>
            <w:r>
              <w:rPr>
                <w:sz w:val="17"/>
                <w:szCs w:val="17"/>
              </w:rPr>
              <w:t>科目编码</w:t>
            </w:r>
          </w:p>
        </w:tc>
        <w:tc>
          <w:tcPr>
            <w:tcW w:w="2149" w:type="dxa"/>
          </w:tcPr>
          <w:p>
            <w:pPr>
              <w:pStyle w:val="26"/>
              <w:bidi w:val="0"/>
              <w:jc w:val="center"/>
              <w:rPr>
                <w:vertAlign w:val="baseline"/>
              </w:rPr>
            </w:pPr>
            <w:r>
              <w:rPr>
                <w:sz w:val="17"/>
                <w:szCs w:val="17"/>
              </w:rPr>
              <w:t>部门（单位）代码</w:t>
            </w:r>
          </w:p>
        </w:tc>
        <w:tc>
          <w:tcPr>
            <w:tcW w:w="2150" w:type="dxa"/>
          </w:tcPr>
          <w:p>
            <w:pPr>
              <w:pStyle w:val="26"/>
              <w:bidi w:val="0"/>
              <w:jc w:val="center"/>
              <w:rPr>
                <w:vertAlign w:val="baseline"/>
              </w:rPr>
            </w:pPr>
            <w:r>
              <w:rPr>
                <w:sz w:val="17"/>
                <w:szCs w:val="17"/>
              </w:rPr>
              <w:t>部门（单位）名称（功能分类科目名称）</w:t>
            </w:r>
          </w:p>
        </w:tc>
        <w:tc>
          <w:tcPr>
            <w:tcW w:w="2210" w:type="dxa"/>
            <w:vAlign w:val="center"/>
          </w:tcPr>
          <w:p>
            <w:pPr>
              <w:pStyle w:val="24"/>
              <w:spacing w:line="240" w:lineRule="auto"/>
              <w:ind w:firstLine="0" w:firstLineChars="0"/>
              <w:jc w:val="center"/>
              <w:rPr>
                <w:vertAlign w:val="baseline"/>
              </w:rPr>
            </w:pPr>
            <w:r>
              <w:rPr>
                <w:sz w:val="17"/>
                <w:szCs w:val="17"/>
              </w:rPr>
              <w:t>合计</w:t>
            </w:r>
          </w:p>
        </w:tc>
        <w:tc>
          <w:tcPr>
            <w:tcW w:w="2149" w:type="dxa"/>
            <w:vAlign w:val="center"/>
          </w:tcPr>
          <w:p>
            <w:pPr>
              <w:pStyle w:val="24"/>
              <w:spacing w:line="240" w:lineRule="auto"/>
              <w:ind w:firstLine="0" w:firstLineChars="0"/>
              <w:jc w:val="center"/>
              <w:rPr>
                <w:vertAlign w:val="baseline"/>
              </w:rPr>
            </w:pPr>
            <w:r>
              <w:rPr>
                <w:sz w:val="17"/>
                <w:szCs w:val="17"/>
              </w:rPr>
              <w:t>基本支出</w:t>
            </w:r>
          </w:p>
        </w:tc>
        <w:tc>
          <w:tcPr>
            <w:tcW w:w="2158" w:type="dxa"/>
            <w:vAlign w:val="center"/>
          </w:tcPr>
          <w:p>
            <w:pPr>
              <w:pStyle w:val="24"/>
              <w:spacing w:line="240" w:lineRule="auto"/>
              <w:ind w:firstLine="0" w:firstLineChars="0"/>
              <w:jc w:val="center"/>
              <w:rPr>
                <w:vertAlign w:val="baseline"/>
              </w:rPr>
            </w:pPr>
            <w:r>
              <w:rPr>
                <w:sz w:val="17"/>
                <w:szCs w:val="17"/>
              </w:rPr>
              <w:t>项目支出</w:t>
            </w:r>
          </w:p>
        </w:tc>
        <w:tc>
          <w:tcPr>
            <w:tcW w:w="2151"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vAlign w:val="center"/>
          </w:tcPr>
          <w:p>
            <w:pPr>
              <w:pStyle w:val="24"/>
              <w:spacing w:line="240" w:lineRule="auto"/>
              <w:ind w:firstLine="0" w:firstLineChars="0"/>
              <w:jc w:val="left"/>
              <w:rPr>
                <w:rFonts w:hint="eastAsia" w:ascii="宋体" w:hAnsi="宋体" w:eastAsia="宋体" w:cs="宋体"/>
                <w:b w:val="0"/>
                <w:bCs w:val="0"/>
                <w:sz w:val="17"/>
                <w:szCs w:val="17"/>
                <w:vertAlign w:val="baseline"/>
              </w:rPr>
            </w:pPr>
          </w:p>
        </w:tc>
        <w:tc>
          <w:tcPr>
            <w:tcW w:w="2149" w:type="dxa"/>
            <w:vAlign w:val="center"/>
          </w:tcPr>
          <w:p>
            <w:pPr>
              <w:pStyle w:val="24"/>
              <w:spacing w:line="240" w:lineRule="auto"/>
              <w:ind w:firstLine="0" w:firstLineChars="0"/>
              <w:jc w:val="left"/>
              <w:rPr>
                <w:rFonts w:hint="eastAsia" w:ascii="宋体" w:hAnsi="宋体" w:eastAsia="宋体" w:cs="宋体"/>
                <w:b w:val="0"/>
                <w:bCs w:val="0"/>
                <w:sz w:val="17"/>
                <w:szCs w:val="17"/>
                <w:vertAlign w:val="baseline"/>
              </w:rPr>
            </w:pPr>
          </w:p>
        </w:tc>
        <w:tc>
          <w:tcPr>
            <w:tcW w:w="2150" w:type="dxa"/>
            <w:vAlign w:val="center"/>
          </w:tcPr>
          <w:p>
            <w:pPr>
              <w:pStyle w:val="24"/>
              <w:spacing w:line="240" w:lineRule="auto"/>
              <w:ind w:firstLine="0" w:firstLineChars="0"/>
              <w:jc w:val="left"/>
              <w:rPr>
                <w:rFonts w:hint="eastAsia" w:ascii="宋体" w:hAnsi="宋体" w:eastAsia="宋体" w:cs="宋体"/>
                <w:b w:val="0"/>
                <w:bCs w:val="0"/>
                <w:sz w:val="17"/>
                <w:szCs w:val="17"/>
                <w:vertAlign w:val="baseline"/>
              </w:rPr>
            </w:pPr>
          </w:p>
        </w:tc>
        <w:tc>
          <w:tcPr>
            <w:tcW w:w="2210" w:type="dxa"/>
            <w:vAlign w:val="center"/>
          </w:tcPr>
          <w:p>
            <w:pPr>
              <w:pStyle w:val="24"/>
              <w:spacing w:line="240" w:lineRule="auto"/>
              <w:ind w:left="1060" w:leftChars="0"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49" w:type="dxa"/>
            <w:vAlign w:val="center"/>
          </w:tcPr>
          <w:p>
            <w:pPr>
              <w:pStyle w:val="24"/>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rPr>
              <w:t>0.00</w:t>
            </w:r>
          </w:p>
        </w:tc>
        <w:tc>
          <w:tcPr>
            <w:tcW w:w="2158" w:type="dxa"/>
            <w:vAlign w:val="center"/>
          </w:tcPr>
          <w:p>
            <w:pPr>
              <w:pStyle w:val="24"/>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51" w:type="dxa"/>
            <w:vAlign w:val="center"/>
          </w:tcPr>
          <w:p>
            <w:pPr>
              <w:pStyle w:val="24"/>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479" w:type="dxa"/>
            <w:gridSpan w:val="7"/>
            <w:tcBorders>
              <w:left w:val="nil"/>
              <w:bottom w:val="nil"/>
              <w:right w:val="nil"/>
            </w:tcBorders>
          </w:tcPr>
          <w:p>
            <w:pPr>
              <w:pStyle w:val="26"/>
              <w:bidi w:val="0"/>
              <w:jc w:val="both"/>
              <w:rPr>
                <w:vertAlign w:val="baseline"/>
              </w:rPr>
            </w:pPr>
            <w:r>
              <w:rPr>
                <w:b w:val="0"/>
                <w:bCs w:val="0"/>
              </w:rPr>
              <w:t>注：本报表金额单位转换时可能存在四舍五入尾数误差</w:t>
            </w:r>
          </w:p>
        </w:tc>
      </w:tr>
    </w:tbl>
    <w:p>
      <w:r>
        <w:br w:type="page"/>
      </w:r>
    </w:p>
    <w:p>
      <w:pPr>
        <w:pStyle w:val="26"/>
        <w:bidi w:val="0"/>
        <w:jc w:val="center"/>
        <w:rPr>
          <w:sz w:val="28"/>
          <w:szCs w:val="28"/>
        </w:rPr>
      </w:pPr>
      <w:r>
        <w:rPr>
          <w:sz w:val="28"/>
          <w:szCs w:val="28"/>
        </w:rPr>
        <w:t>国有资本经营预算支出情况表</w:t>
      </w:r>
    </w:p>
    <w:tbl>
      <w:tblPr>
        <w:tblStyle w:val="5"/>
        <w:tblpPr w:leftFromText="180" w:rightFromText="180" w:vertAnchor="text" w:horzAnchor="page" w:tblpX="707" w:tblpY="3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2155"/>
        <w:gridCol w:w="2156"/>
        <w:gridCol w:w="2259"/>
        <w:gridCol w:w="2155"/>
        <w:gridCol w:w="2155"/>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26"/>
              <w:tabs>
                <w:tab w:val="left" w:pos="14213"/>
              </w:tabs>
              <w:ind w:left="101"/>
              <w:jc w:val="left"/>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lang w:eastAsia="zh-CN"/>
              </w:rPr>
              <w:t>环江毛南族自治县公务接待服务中心</w:t>
            </w:r>
            <w:r>
              <w:rPr>
                <w:rFonts w:hint="eastAsia" w:ascii="宋体" w:hAnsi="宋体" w:eastAsia="宋体" w:cs="宋体"/>
              </w:rPr>
              <w:tab/>
            </w:r>
            <w:r>
              <w:rPr>
                <w:rFonts w:hint="eastAsia" w:ascii="宋体" w:hAnsi="宋体" w:eastAsia="宋体" w:cs="宋体"/>
              </w:rPr>
              <w:t>单位：万元</w:t>
            </w:r>
          </w:p>
        </w:tc>
        <w:tc>
          <w:tcPr>
            <w:tcW w:w="2163" w:type="dxa"/>
            <w:tcBorders>
              <w:top w:val="nil"/>
              <w:left w:val="nil"/>
              <w:right w:val="nil"/>
            </w:tcBorders>
          </w:tcPr>
          <w:p>
            <w:pPr>
              <w:pStyle w:val="26"/>
              <w:tabs>
                <w:tab w:val="left" w:pos="14213"/>
              </w:tabs>
              <w:ind w:left="101"/>
              <w:jc w:val="left"/>
              <w:rPr>
                <w:rFonts w:hint="eastAsia" w:ascii="宋体" w:hAnsi="宋体" w:eastAsia="宋体" w:cs="宋体"/>
              </w:rPr>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vMerge w:val="restart"/>
          </w:tcPr>
          <w:p>
            <w:pPr>
              <w:pStyle w:val="26"/>
              <w:bidi w:val="0"/>
              <w:jc w:val="center"/>
              <w:rPr>
                <w:rFonts w:hint="eastAsia" w:ascii="宋体" w:hAnsi="宋体" w:eastAsia="宋体" w:cs="宋体"/>
                <w:vertAlign w:val="baseline"/>
              </w:rPr>
            </w:pPr>
            <w:r>
              <w:rPr>
                <w:rFonts w:hint="eastAsia" w:ascii="宋体" w:hAnsi="宋体" w:eastAsia="宋体" w:cs="宋体"/>
                <w:sz w:val="17"/>
                <w:szCs w:val="17"/>
              </w:rPr>
              <w:t>科目编码</w:t>
            </w:r>
          </w:p>
        </w:tc>
        <w:tc>
          <w:tcPr>
            <w:tcW w:w="2161" w:type="dxa"/>
            <w:vMerge w:val="restart"/>
          </w:tcPr>
          <w:p>
            <w:pPr>
              <w:pStyle w:val="26"/>
              <w:bidi w:val="0"/>
              <w:jc w:val="center"/>
              <w:rPr>
                <w:rFonts w:hint="eastAsia" w:ascii="宋体" w:hAnsi="宋体" w:eastAsia="宋体" w:cs="宋体"/>
                <w:vertAlign w:val="baseline"/>
              </w:rPr>
            </w:pPr>
            <w:r>
              <w:rPr>
                <w:rFonts w:hint="eastAsia" w:ascii="宋体" w:hAnsi="宋体" w:eastAsia="宋体" w:cs="宋体"/>
                <w:sz w:val="17"/>
                <w:szCs w:val="17"/>
              </w:rPr>
              <w:t>部门（单位）代码</w:t>
            </w:r>
          </w:p>
        </w:tc>
        <w:tc>
          <w:tcPr>
            <w:tcW w:w="2162" w:type="dxa"/>
            <w:vMerge w:val="restart"/>
          </w:tcPr>
          <w:p>
            <w:pPr>
              <w:pStyle w:val="26"/>
              <w:bidi w:val="0"/>
              <w:jc w:val="center"/>
              <w:rPr>
                <w:rFonts w:hint="eastAsia" w:ascii="宋体" w:hAnsi="宋体" w:eastAsia="宋体" w:cs="宋体"/>
                <w:vertAlign w:val="baseline"/>
              </w:rPr>
            </w:pPr>
            <w:r>
              <w:rPr>
                <w:rFonts w:hint="eastAsia" w:ascii="宋体" w:hAnsi="宋体" w:eastAsia="宋体" w:cs="宋体"/>
                <w:sz w:val="17"/>
                <w:szCs w:val="17"/>
              </w:rPr>
              <w:t>部门（单位）名称（功能分类科目名称）</w:t>
            </w:r>
          </w:p>
        </w:tc>
        <w:tc>
          <w:tcPr>
            <w:tcW w:w="2222"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合计</w:t>
            </w:r>
          </w:p>
        </w:tc>
        <w:tc>
          <w:tcPr>
            <w:tcW w:w="2161"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基本支出</w:t>
            </w:r>
          </w:p>
        </w:tc>
        <w:tc>
          <w:tcPr>
            <w:tcW w:w="2161"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项目支出</w:t>
            </w:r>
          </w:p>
        </w:tc>
        <w:tc>
          <w:tcPr>
            <w:tcW w:w="2163"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vMerge w:val="continue"/>
          </w:tcPr>
          <w:p>
            <w:pPr>
              <w:pStyle w:val="26"/>
              <w:bidi w:val="0"/>
              <w:jc w:val="both"/>
              <w:rPr>
                <w:rFonts w:hint="eastAsia" w:ascii="宋体" w:hAnsi="宋体" w:eastAsia="宋体" w:cs="宋体"/>
                <w:vertAlign w:val="baseline"/>
              </w:rPr>
            </w:pPr>
          </w:p>
        </w:tc>
        <w:tc>
          <w:tcPr>
            <w:tcW w:w="2161" w:type="dxa"/>
            <w:vMerge w:val="continue"/>
          </w:tcPr>
          <w:p>
            <w:pPr>
              <w:pStyle w:val="26"/>
              <w:bidi w:val="0"/>
              <w:jc w:val="both"/>
              <w:rPr>
                <w:rFonts w:hint="eastAsia" w:ascii="宋体" w:hAnsi="宋体" w:eastAsia="宋体" w:cs="宋体"/>
                <w:vertAlign w:val="baseline"/>
              </w:rPr>
            </w:pPr>
          </w:p>
        </w:tc>
        <w:tc>
          <w:tcPr>
            <w:tcW w:w="2162" w:type="dxa"/>
            <w:vMerge w:val="continue"/>
          </w:tcPr>
          <w:p>
            <w:pPr>
              <w:pStyle w:val="26"/>
              <w:bidi w:val="0"/>
              <w:jc w:val="both"/>
              <w:rPr>
                <w:rFonts w:hint="eastAsia" w:ascii="宋体" w:hAnsi="宋体" w:eastAsia="宋体" w:cs="宋体"/>
                <w:vertAlign w:val="baseline"/>
              </w:rPr>
            </w:pPr>
          </w:p>
        </w:tc>
        <w:tc>
          <w:tcPr>
            <w:tcW w:w="2222"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1</w:t>
            </w:r>
          </w:p>
        </w:tc>
        <w:tc>
          <w:tcPr>
            <w:tcW w:w="2161"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2</w:t>
            </w:r>
          </w:p>
        </w:tc>
        <w:tc>
          <w:tcPr>
            <w:tcW w:w="2161"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3</w:t>
            </w:r>
          </w:p>
        </w:tc>
        <w:tc>
          <w:tcPr>
            <w:tcW w:w="2163" w:type="dxa"/>
            <w:vAlign w:val="center"/>
          </w:tcPr>
          <w:p>
            <w:pPr>
              <w:pStyle w:val="24"/>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tcPr>
          <w:p>
            <w:pPr>
              <w:jc w:val="left"/>
              <w:rPr>
                <w:rFonts w:hint="eastAsia" w:ascii="宋体" w:hAnsi="宋体" w:eastAsia="宋体" w:cs="宋体"/>
                <w:vertAlign w:val="baseline"/>
              </w:rPr>
            </w:pPr>
          </w:p>
        </w:tc>
        <w:tc>
          <w:tcPr>
            <w:tcW w:w="2161" w:type="dxa"/>
          </w:tcPr>
          <w:p>
            <w:pPr>
              <w:jc w:val="left"/>
              <w:rPr>
                <w:rFonts w:hint="eastAsia" w:ascii="宋体" w:hAnsi="宋体" w:eastAsia="宋体" w:cs="宋体"/>
                <w:vertAlign w:val="baseline"/>
              </w:rPr>
            </w:pPr>
          </w:p>
        </w:tc>
        <w:tc>
          <w:tcPr>
            <w:tcW w:w="2162" w:type="dxa"/>
            <w:vAlign w:val="center"/>
          </w:tcPr>
          <w:p>
            <w:pPr>
              <w:pStyle w:val="24"/>
              <w:spacing w:line="240" w:lineRule="auto"/>
              <w:ind w:firstLine="0" w:firstLineChars="0"/>
              <w:jc w:val="left"/>
              <w:rPr>
                <w:rFonts w:hint="eastAsia" w:ascii="宋体" w:hAnsi="宋体" w:eastAsia="宋体" w:cs="宋体"/>
                <w:vertAlign w:val="baseline"/>
              </w:rPr>
            </w:pPr>
            <w:r>
              <w:rPr>
                <w:rFonts w:hint="eastAsia" w:ascii="宋体" w:hAnsi="宋体" w:eastAsia="宋体" w:cs="宋体"/>
                <w:sz w:val="17"/>
                <w:szCs w:val="17"/>
              </w:rPr>
              <w:t>合计</w:t>
            </w:r>
          </w:p>
        </w:tc>
        <w:tc>
          <w:tcPr>
            <w:tcW w:w="2222" w:type="dxa"/>
            <w:vAlign w:val="center"/>
          </w:tcPr>
          <w:p>
            <w:pPr>
              <w:pStyle w:val="24"/>
              <w:spacing w:line="240" w:lineRule="auto"/>
              <w:ind w:left="1700" w:leftChars="0"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61" w:type="dxa"/>
            <w:vAlign w:val="center"/>
          </w:tcPr>
          <w:p>
            <w:pPr>
              <w:pStyle w:val="24"/>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61" w:type="dxa"/>
            <w:vAlign w:val="center"/>
          </w:tcPr>
          <w:p>
            <w:pPr>
              <w:pStyle w:val="24"/>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63" w:type="dxa"/>
            <w:vAlign w:val="center"/>
          </w:tcPr>
          <w:p>
            <w:pPr>
              <w:pStyle w:val="24"/>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26"/>
              <w:spacing w:line="302" w:lineRule="exact"/>
              <w:ind w:left="672"/>
              <w:jc w:val="left"/>
              <w:rPr>
                <w:rFonts w:hint="eastAsia" w:ascii="宋体" w:hAnsi="宋体" w:eastAsia="宋体" w:cs="宋体"/>
                <w:b w:val="0"/>
                <w:bCs w:val="0"/>
              </w:rPr>
            </w:pPr>
            <w:r>
              <w:rPr>
                <w:rFonts w:hint="eastAsia" w:ascii="宋体" w:hAnsi="宋体" w:eastAsia="宋体" w:cs="宋体"/>
                <w:b w:val="0"/>
                <w:bCs w:val="0"/>
              </w:rPr>
              <w:t>注：本报表金额单位转换时可能存在四舍五入尾数误差。本部门</w:t>
            </w:r>
            <w:r>
              <w:rPr>
                <w:rFonts w:hint="eastAsia" w:ascii="宋体" w:hAnsi="宋体" w:eastAsia="宋体" w:cs="宋体"/>
                <w:b w:val="0"/>
                <w:bCs w:val="0"/>
                <w:lang w:eastAsia="zh-CN"/>
              </w:rPr>
              <w:t>2024</w:t>
            </w:r>
            <w:r>
              <w:rPr>
                <w:rFonts w:ascii="宋体" w:hAnsi="宋体" w:eastAsia="宋体" w:cs="宋体"/>
                <w:u w:color="auto"/>
              </w:rPr>
              <w:t>年</w:t>
            </w:r>
            <w:r>
              <w:rPr>
                <w:rFonts w:hint="eastAsia" w:ascii="宋体" w:hAnsi="宋体" w:eastAsia="宋体" w:cs="宋体"/>
                <w:b w:val="0"/>
                <w:bCs w:val="0"/>
              </w:rPr>
              <w:t>度没有国有资本经营预算支出，故本表无数据</w:t>
            </w:r>
          </w:p>
          <w:p>
            <w:pPr>
              <w:pStyle w:val="26"/>
              <w:bidi w:val="0"/>
              <w:jc w:val="both"/>
              <w:rPr>
                <w:rFonts w:hint="eastAsia" w:ascii="宋体" w:hAnsi="宋体" w:eastAsia="宋体" w:cs="宋体"/>
                <w:vertAlign w:val="baseline"/>
              </w:rPr>
            </w:pPr>
          </w:p>
        </w:tc>
      </w:tr>
    </w:tbl>
    <w:p>
      <w:pPr>
        <w:pStyle w:val="26"/>
        <w:bidi w:val="0"/>
        <w:jc w:val="center"/>
        <w:rPr>
          <w:sz w:val="28"/>
          <w:szCs w:val="28"/>
        </w:rPr>
      </w:pPr>
    </w:p>
    <w:p>
      <w:r>
        <w:br w:type="page"/>
      </w:r>
    </w:p>
    <w:p>
      <w:pPr>
        <w:pStyle w:val="26"/>
        <w:bidi w:val="0"/>
        <w:jc w:val="center"/>
        <w:rPr>
          <w:rFonts w:hint="default"/>
          <w:sz w:val="28"/>
          <w:szCs w:val="28"/>
          <w:lang w:val="en-US" w:eastAsia="zh-CN"/>
        </w:rPr>
      </w:pPr>
      <w:r>
        <w:rPr>
          <w:rFonts w:hint="eastAsia"/>
          <w:sz w:val="28"/>
          <w:szCs w:val="28"/>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cantSplit/>
          <w:trHeight w:val="0" w:hRule="atLeas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环江毛南族自治县公务接待服务中心</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cantSplit/>
          <w:trHeight w:val="0" w:hRule="atLeas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cantSplit/>
          <w:trHeight w:val="0" w:hRule="atLeas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141001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环江毛南族自治县公务接待服务中心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接待工作经费1</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2024年度内订制毛南服装、礼仪服装，制作桌卡、菜卡及接待服务指南，协同各接待基地开展酒店服务员技能、礼仪培训。</w:t>
            </w:r>
          </w:p>
        </w:tc>
      </w:tr>
      <w:tr>
        <w:tblPrEx>
          <w:tblCellMar>
            <w:top w:w="0" w:type="dxa"/>
            <w:left w:w="10" w:type="dxa"/>
            <w:bottom w:w="0" w:type="dxa"/>
            <w:right w:w="10" w:type="dxa"/>
          </w:tblCellMar>
        </w:tblPrEx>
        <w:trPr>
          <w:cantSplit/>
          <w:trHeight w:val="0" w:hRule="atLeas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141001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环江毛南族自治县公务接待服务中心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外事办工作经费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5.84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指导、协调、管理我县社会组织对外交往事宜，会同有关部门协调处理重要涉外事件和案件，协调我县境外机构、公民安全与合法权益保护工作等。</w:t>
            </w:r>
          </w:p>
        </w:tc>
      </w:tr>
      <w:tr>
        <w:tblPrEx>
          <w:tblCellMar>
            <w:top w:w="0" w:type="dxa"/>
            <w:left w:w="10" w:type="dxa"/>
            <w:bottom w:w="0" w:type="dxa"/>
            <w:right w:w="10" w:type="dxa"/>
          </w:tblCellMar>
        </w:tblPrEx>
        <w:trPr>
          <w:cantSplit/>
          <w:trHeight w:val="0" w:hRule="atLeas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141001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环江毛南族自治县公务接待服务中心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四家班子公务接待费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2024年度内在县委、县政府的正确领导下，严格按照中央八项规定要求，结合本县实际开源节流，高质量高标准的完成权限外事接待工作。</w:t>
            </w:r>
          </w:p>
        </w:tc>
      </w:tr>
    </w:tbl>
    <w:p>
      <w:pPr>
        <w:jc w:val="left"/>
        <w:rPr>
          <w:rFonts w:hint="eastAsia"/>
        </w:rPr>
      </w:pPr>
      <w:r>
        <w:t>注：本报表金额单位转换时可能存在四舍五入尾数误差。</w:t>
      </w:r>
    </w:p>
    <w:p>
      <w:pPr>
        <w:jc w:val="left"/>
        <w:rPr>
          <w:rFonts w:hint="eastAsia"/>
          <w:lang w:eastAsia="zh-CN"/>
        </w:rPr>
        <w:sectPr>
          <w:headerReference r:id="rId12" w:type="default"/>
          <w:footerReference r:id="rId13"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6"/>
      <w:bookmarkStart w:id="32" w:name="bookmark95"/>
      <w:bookmarkStart w:id="33" w:name="bookmark94"/>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4" w:type="default"/>
      <w:footerReference r:id="rId15"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H41NcEAgAADAQAAA4AAABkcnMvZTJvRG9jLnhtbK1TwY7TMBC9I/EP&#10;lu80bQW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z6/evObMCUs9f/j29eH7&#10;z4cfX9g8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B+NTX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662"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Gs+qFE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664"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TLjt2AAAAAcBAAAPAAAAAAAAAAEAIAAAACIA&#10;AABkcnMvZG93bnJldi54bWxQSwECFAAUAAAACACHTuJAoTSgpQkCAAAMBAAADgAAAAAAAAABACAA&#10;AAAn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665" name="文本框 9"/>
              <wp:cNvGraphicFramePr/>
              <a:graphic xmlns:a="http://schemas.openxmlformats.org/drawingml/2006/main">
                <a:graphicData uri="http://schemas.microsoft.com/office/word/2010/wordprocessingShape">
                  <wps:wsp>
                    <wps:cNvSpPr/>
                    <wps:spPr>
                      <a:xfrm>
                        <a:off x="0" y="0"/>
                        <a:ext cx="478790" cy="32321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9" o:spid="_x0000_s1026" o:spt="1" style="position:absolute;left:0pt;margin-left:357.35pt;margin-top:-11.95pt;height:25.45pt;width:37.7pt;mso-position-horizontal-relative:margin;z-index:251664384;mso-width-relative:page;mso-height-relative:page;" filled="f" stroked="f" coordsize="21600,21600" o:gfxdata="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MS3JdsAAAAKAQAADwAAAAAAAAABACAA&#10;AAAiAAAAZHJzL2Rvd25yZXYueG1sUEsBAhQAFAAAAAgAh07iQAzGxX0KAgAADAQAAA4AAAAAAAAA&#10;AQAgAAAAKgEAAGRycy9lMm9Eb2MueG1sUEsFBgAAAAAGAAYAWQEAAKY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666"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65408;mso-width-relative:page;mso-height-relative:page;" filled="f" stroked="f" coordsize="21600,21600" o:gfxdata="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8Cr2wAAAAoBAAAPAAAAAAAAAAEAIAAA&#10;ACIAAABkcnMvZG93bnJldi54bWxQSwECFAAUAAAACACHTuJA2/RhzQkCAAANBAAADgAAAAAAAAAB&#10;ACAAAAAqAQAAZHJzL2Uyb0RvYy54bWxQSwUGAAAAAAYABgBZAQAApQ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COE5D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661"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F52xCD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663"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CInXMt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HczCpw3ulTnYzoT7gKrOWBXDKuGhRSAxL7xdVuV2GaWFC3gUXeCApZtALTM6SC5LqPjIyjzwpvILJYqCBmZ58g==" w:salt="9uGHJIBOciGEEZbLBZHUvA=="/>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jVmMGIyNmVkYzNjNTFhYjFhZmM1YzFmN2U3YmYifQ=="/>
  </w:docVars>
  <w:rsids>
    <w:rsidRoot w:val="00000000"/>
    <w:rsid w:val="581B32B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243.3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229.42</c:v>
                </c:pt>
                <c:pt idx="1">
                  <c:v>7.44</c:v>
                </c:pt>
                <c:pt idx="2">
                  <c:v>6.44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223.5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243.3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72.46</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170.84</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7.03</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65.44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65.44</c:v>
                </c:pt>
                <c:pt idx="1">
                  <c:v>7.03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150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160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12DC9CEE36A04FED99CEAB3C4FE7F44F_13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6</TotalTime>
  <ScaleCrop>false</ScaleCrop>
  <LinksUpToDate>false</LinksUpToDate>
  <CharactersWithSpaces>11333</CharactersWithSpaces>
  <Application>WPS Office_12.1.0.16364_F1E327BC-269C-435d-A152-05C5408002CA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2024-03-07T01:17:36Z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b57a4-e636-40a5-a2c4-b738b79750fb}">
  <ds:schemaRefs/>
</ds:datastoreItem>
</file>

<file path=customXml/itemProps3.xml><?xml version="1.0" encoding="utf-8"?>
<ds:datastoreItem xmlns:ds="http://schemas.openxmlformats.org/officeDocument/2006/customXml" ds:itemID="{dd1370dc-b457-48f7-a0e8-42142c9f9ac9}">
  <ds:schemaRefs/>
</ds:datastoreItem>
</file>

<file path=customXml/itemProps4.xml><?xml version="1.0" encoding="utf-8"?>
<ds:datastoreItem xmlns:ds="http://schemas.openxmlformats.org/officeDocument/2006/customXml" ds:itemID="{5a5509e1-e521-4cf9-adab-ee9fd1405c3e}">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6</TotalTime>
  <ScaleCrop>false</ScaleCrop>
  <LinksUpToDate>false</LinksUpToDate>
  <CharactersWithSpaces>11333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罗洛洛。</cp:lastModifiedBy>
  <dcterms:modified xsi:type="dcterms:W3CDTF">2024-03-08T03:03:27Z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ADB7B9458F3345C78E3D163A55A42875_13</vt:lpwstr>
  </property>
</Properties>
</file>