
<file path=[Content_Types].xml><?xml version="1.0" encoding="utf-8"?>
<Types xmlns="http://schemas.openxmlformats.org/package/2006/content-types">
  <Default ContentType="application/vnd.openxmlformats-package.relationships+xml" Extension="rels"/>
  <Default ContentType="application/vnd.openxmlformats-officedocument.spreadsheetml.sheet" Extension="xlsx"/>
  <Default ContentType="application/xml" Extension="xml"/>
  <Override ContentType="application/xml" PartName="/customXml/item1.xml"/>
  <Override ContentType="application/xml" PartName="/customXml/item2.xml"/>
  <Override ContentType="application/xml" PartName="/customXml/item3.xml"/>
  <Override ContentType="application/xml" PartName="/customXml/item4.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drawingml.chart+xml" PartName="/word/charts/chart3.xml"/>
  <Override ContentType="application/vnd.openxmlformats-officedocument.drawingml.chart+xml" PartName="/word/charts/chart4.xml"/>
  <Override ContentType="application/vnd.openxmlformats-officedocument.drawingml.chart+xml" PartName="/word/charts/chart5.xml"/>
  <Override ContentType="application/vnd.openxmlformats-officedocument.drawingml.chart+xml" PartName="/word/charts/chart6.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 Id="rId4" Target="docProps/custom.xml" Type="http://schemas.openxmlformats.org/officeDocument/2006/relationships/custom-properties"/></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 Generated by Spire.Doc -->
  <w:body>
    <w:p>
      <w:pPr>
        <w:pStyle w:val="Bodytext|5"/>
        <w:jc w:val="center"/>
        <w:rPr>
          <w:rFonts w:hint="eastAsia"/>
          <w:lang w:eastAsia="zh-CN"/>
        </w:rPr>
      </w:pPr>
      <w:r>
        <w:rPr>
          <w:rFonts w:hint="eastAsia"/>
          <w:lang w:eastAsia="zh-CN"/>
        </w:rPr>
        <w:t xml:space="preserve">环江毛南族自治县社会科学界联合会</w:t>
      </w:r>
    </w:p>
    <w:p>
      <w:pPr>
        <w:pStyle w:val="Bodytext|5"/>
        <w:jc w:val="center"/>
        <w:sectPr>
          <w:pgSz w:w="11900" w:h="16840" w:orient="portrait"/>
          <w:pgMar w:top="4713" w:right="1913" w:bottom="4713" w:left="2020" w:header="4285" w:footer="4285" w:gutter="0"/>
          <w:pgBorders>
            <w:top w:val="none" w:sz="0" w:space="0" w:color="auto"/>
            <w:left w:val="none" w:sz="0" w:space="0" w:color="auto"/>
            <w:bottom w:val="none" w:sz="0" w:space="0" w:color="auto"/>
            <w:right w:val="none" w:sz="0" w:space="0" w:color="auto"/>
          </w:pgBorders>
          <w:pgNumType w:start="1"/>
          <w:cols w:num="1" w:space="720">
            <w:col w:w="7967" w:space="720"/>
          </w:cols>
          <w:docGrid w:linePitch="360" w:charSpace="0"/>
        </w:sectPr>
      </w:pPr>
      <w:r>
        <w:rPr>
          <w:rFonts w:hint="eastAsia"/>
          <w:lang w:eastAsia="zh-CN"/>
        </w:rPr>
        <w:t xml:space="preserve">2024</w:t>
      </w:r>
      <w:r>
        <w:rPr>
          <w:rFonts w:ascii="Times New Roman" w:eastAsia="Times New Roman" w:hAnsi="Times New Roman" w:cs="Times New Roman"/>
          <w:sz w:val="56"/>
          <w:u w:color="auto"/>
        </w:rPr>
        <w:t xml:space="preserve">年</w:t>
      </w:r>
      <w:r>
        <w:t xml:space="preserve">度部门预算</w:t>
      </w:r>
    </w:p>
    <w:p>
      <w:pPr>
        <w:pStyle w:val="Heading#1|1"/>
        <w:keepNext/>
        <w:keepLines/>
        <w:spacing w:after="240"/>
        <w:jc w:val="center"/>
      </w:pPr>
      <w:bookmarkStart w:id="0" w:name="bookmark0"/>
      <w:bookmarkStart w:id="1" w:name="bookmark1"/>
      <w:bookmarkStart w:id="2" w:name="bookmark2"/>
      <w:r>
        <w:t xml:space="preserve">目录</w:t>
      </w:r>
      <w:bookmarkEnd w:id="0"/>
      <w:bookmarkEnd w:id="1"/>
      <w:bookmarkEnd w:id="2"/>
    </w:p>
    <w:p>
      <w:pPr>
        <w:pStyle w:val="Bodytext|2"/>
        <w:ind w:left="0" w:firstLine="320" w:leftChars="0" w:firstLineChars="100"/>
        <w:jc w:val="left"/>
      </w:pPr>
      <w:r>
        <w:t xml:space="preserve">第一部分</w:t>
      </w:r>
      <w:r>
        <w:rPr>
          <w:rFonts w:hint="eastAsia"/>
          <w:lang w:eastAsia="zh-CN"/>
        </w:rPr>
        <w:t xml:space="preserve">：</w:t>
      </w:r>
      <w:r>
        <w:rPr>
          <w:u w:color="auto"/>
        </w:rPr>
        <w:t xml:space="preserve">环江毛南族自治县社会科学界联合会</w:t>
      </w:r>
      <w:r>
        <w:rPr>
          <w:u w:color="auto"/>
        </w:rPr>
        <w:t xml:space="preserve">单位</w:t>
      </w:r>
      <w:r>
        <w:t xml:space="preserve">概况</w:t>
      </w:r>
    </w:p>
    <w:p>
      <w:pPr>
        <w:pStyle w:val="Bodytext|2"/>
        <w:jc w:val="left"/>
      </w:pPr>
      <w:r>
        <w:rPr>
          <w:lang w:val="en-US" w:eastAsia="zh-CN" w:bidi="en-US"/>
        </w:rPr>
        <w:t xml:space="preserve">—</w:t>
      </w:r>
      <w:r>
        <w:t xml:space="preserve">、主要职责</w:t>
      </w:r>
    </w:p>
    <w:p>
      <w:pPr>
        <w:pStyle w:val="Bodytext|2"/>
        <w:jc w:val="left"/>
        <w:rPr>
          <w:rFonts w:hint="eastAsia"/>
        </w:rPr>
      </w:pPr>
      <w:r>
        <w:rPr>
          <w:rFonts w:hint="eastAsia"/>
          <w:lang w:val="en-US" w:eastAsia="zh-CN"/>
        </w:rPr>
        <w:t xml:space="preserve">二、</w:t>
      </w:r>
      <w:r>
        <w:rPr>
          <w:rFonts w:hint="eastAsia"/>
        </w:rPr>
        <w:t xml:space="preserve">机构设置情况</w:t>
      </w:r>
    </w:p>
    <w:p>
      <w:pPr>
        <w:pStyle w:val="Bodytext|2"/>
        <w:ind w:left="0" w:firstLine="320" w:leftChars="0" w:firstLineChars="100"/>
        <w:jc w:val="left"/>
      </w:pPr>
      <w:r>
        <w:t xml:space="preserve">第二部分</w:t>
      </w:r>
      <w:r>
        <w:rPr>
          <w:rFonts w:hint="eastAsia"/>
          <w:lang w:eastAsia="zh-CN"/>
        </w:rPr>
        <w:t xml:space="preserve">：</w:t>
      </w:r>
      <w:r>
        <w:rPr>
          <w:u w:color="auto"/>
        </w:rPr>
        <w:t xml:space="preserve">环江毛南族自治县社会科学界联合会</w:t>
      </w:r>
      <w:r>
        <w:rPr>
          <w:u w:color="auto"/>
        </w:rPr>
        <w:t xml:space="preserve">2024</w:t>
      </w:r>
      <w:r>
        <w:t xml:space="preserve">部门预算情况说明</w:t>
      </w:r>
    </w:p>
    <w:p>
      <w:pPr>
        <w:pStyle w:val="Bodytext|2"/>
        <w:numPr>
          <w:ilvl w:val="0"/>
          <w:numId w:val="0"/>
        </w:numPr>
        <w:ind w:firstLine="640" w:firstLineChars="200"/>
        <w:jc w:val="left"/>
        <w:rPr>
          <w:rFonts w:hint="eastAsia"/>
        </w:rPr>
      </w:pPr>
      <w:r>
        <w:rPr>
          <w:rFonts w:hint="eastAsia"/>
        </w:rPr>
        <w:t xml:space="preserve">一、部门收支总体情况说明</w:t>
      </w:r>
    </w:p>
    <w:p>
      <w:pPr>
        <w:pStyle w:val="Bodytext|2"/>
        <w:numPr>
          <w:ilvl w:val="0"/>
          <w:numId w:val="0"/>
        </w:numPr>
        <w:ind w:firstLine="640" w:firstLineChars="200"/>
        <w:jc w:val="left"/>
        <w:rPr>
          <w:rFonts w:hint="eastAsia"/>
        </w:rPr>
      </w:pPr>
      <w:r>
        <w:rPr>
          <w:rFonts w:hint="eastAsia"/>
        </w:rPr>
        <w:t xml:space="preserve">二、部门收入总体情况说明</w:t>
      </w:r>
    </w:p>
    <w:p>
      <w:pPr>
        <w:pStyle w:val="Bodytext|2"/>
        <w:numPr>
          <w:ilvl w:val="0"/>
          <w:numId w:val="0"/>
        </w:numPr>
        <w:ind w:firstLine="640" w:firstLineChars="200"/>
        <w:jc w:val="left"/>
        <w:rPr>
          <w:rFonts w:hint="eastAsia"/>
        </w:rPr>
      </w:pPr>
      <w:r>
        <w:rPr>
          <w:rFonts w:hint="eastAsia"/>
        </w:rPr>
        <w:t xml:space="preserve">三、部门支出总体情况说明</w:t>
      </w:r>
    </w:p>
    <w:p>
      <w:pPr>
        <w:pStyle w:val="Bodytext|2"/>
        <w:numPr>
          <w:ilvl w:val="0"/>
          <w:numId w:val="0"/>
        </w:numPr>
        <w:ind w:firstLine="640" w:firstLineChars="200"/>
        <w:jc w:val="left"/>
        <w:rPr>
          <w:rFonts w:hint="eastAsia"/>
        </w:rPr>
      </w:pPr>
      <w:r>
        <w:rPr>
          <w:rFonts w:hint="eastAsia"/>
        </w:rPr>
        <w:t xml:space="preserve">四、财政拨款收支总体情况说明</w:t>
      </w:r>
    </w:p>
    <w:p>
      <w:pPr>
        <w:pStyle w:val="Bodytext|2"/>
        <w:numPr>
          <w:ilvl w:val="0"/>
          <w:numId w:val="0"/>
        </w:numPr>
        <w:ind w:firstLine="640" w:firstLineChars="200"/>
        <w:jc w:val="left"/>
        <w:rPr>
          <w:rFonts w:hint="eastAsia"/>
        </w:rPr>
      </w:pPr>
      <w:r>
        <w:rPr>
          <w:rFonts w:hint="eastAsia"/>
        </w:rPr>
        <w:t xml:space="preserve">五、一般公共预算支出情况说明</w:t>
      </w:r>
    </w:p>
    <w:p>
      <w:pPr>
        <w:pStyle w:val="Bodytext|2"/>
        <w:numPr>
          <w:ilvl w:val="0"/>
          <w:numId w:val="0"/>
        </w:numPr>
        <w:ind w:firstLine="640" w:firstLineChars="200"/>
        <w:jc w:val="left"/>
        <w:rPr>
          <w:rFonts w:hint="eastAsia"/>
        </w:rPr>
      </w:pPr>
      <w:r>
        <w:rPr>
          <w:rFonts w:hint="eastAsia"/>
        </w:rPr>
        <w:t xml:space="preserve">六、一般公共预算基本支出情况说明</w:t>
      </w:r>
    </w:p>
    <w:p>
      <w:pPr>
        <w:pStyle w:val="Bodytext|2"/>
        <w:numPr>
          <w:ilvl w:val="0"/>
          <w:numId w:val="0"/>
        </w:numPr>
        <w:ind w:firstLine="640" w:firstLineChars="200"/>
        <w:jc w:val="left"/>
        <w:rPr>
          <w:rFonts w:hint="eastAsia"/>
        </w:rPr>
      </w:pPr>
      <w:r>
        <w:rPr>
          <w:rFonts w:hint="eastAsia"/>
        </w:rPr>
        <w:t xml:space="preserve">七、一般公共预算“三公”经费支出情况说明</w:t>
      </w:r>
    </w:p>
    <w:p>
      <w:pPr>
        <w:pStyle w:val="Bodytext|2"/>
        <w:numPr>
          <w:ilvl w:val="0"/>
          <w:numId w:val="0"/>
        </w:numPr>
        <w:ind w:firstLine="640" w:firstLineChars="200"/>
        <w:jc w:val="left"/>
        <w:rPr>
          <w:rFonts w:hint="eastAsia"/>
        </w:rPr>
      </w:pPr>
      <w:r>
        <w:rPr>
          <w:rFonts w:hint="eastAsia"/>
        </w:rPr>
        <w:t xml:space="preserve">八、政府性基金预算支出情况说明</w:t>
      </w:r>
    </w:p>
    <w:p>
      <w:pPr>
        <w:pStyle w:val="Bodytext|2"/>
        <w:numPr>
          <w:ilvl w:val="0"/>
          <w:numId w:val="0"/>
        </w:numPr>
        <w:ind w:firstLine="640" w:firstLineChars="200"/>
        <w:jc w:val="left"/>
        <w:rPr>
          <w:rFonts w:hint="eastAsia"/>
        </w:rPr>
      </w:pPr>
      <w:r>
        <w:rPr>
          <w:rFonts w:hint="eastAsia"/>
        </w:rPr>
        <w:t xml:space="preserve">九、国有资本经营预算支出情况说明</w:t>
      </w:r>
    </w:p>
    <w:p>
      <w:pPr>
        <w:pStyle w:val="Bodytext|2"/>
        <w:numPr>
          <w:ilvl w:val="0"/>
          <w:numId w:val="0"/>
        </w:numPr>
        <w:ind w:firstLine="640" w:firstLineChars="200"/>
        <w:jc w:val="left"/>
      </w:pPr>
      <w:r>
        <w:rPr>
          <w:rFonts w:hint="eastAsia"/>
        </w:rPr>
        <w:t xml:space="preserve">十、其他重要事项情况说明</w:t>
      </w:r>
    </w:p>
    <w:p>
      <w:pPr>
        <w:pStyle w:val="Bodytext|2"/>
        <w:ind w:left="0" w:firstLine="320" w:leftChars="0" w:firstLineChars="100"/>
        <w:jc w:val="left"/>
      </w:pPr>
      <w:r>
        <w:t xml:space="preserve">第三部分</w:t>
      </w:r>
      <w:r>
        <w:rPr>
          <w:rFonts w:hint="eastAsia"/>
          <w:lang w:eastAsia="zh-CN"/>
        </w:rPr>
        <w:t xml:space="preserve">：</w:t>
      </w:r>
      <w:r>
        <w:rPr>
          <w:u w:color="auto"/>
        </w:rPr>
        <w:t xml:space="preserve">环江毛南族自治县社会科学界联合会</w:t>
      </w:r>
      <w:r>
        <w:rPr>
          <w:u w:color="auto"/>
        </w:rPr>
        <w:t xml:space="preserve">2024</w:t>
      </w:r>
      <w:r>
        <w:rPr>
          <w:rFonts w:ascii="Times New Roman" w:hAnsi="Times New Roman" w:cs="Times New Roman"/>
          <w:u w:color="auto"/>
        </w:rPr>
        <w:t xml:space="preserve">年</w:t>
      </w:r>
      <w:r>
        <w:t xml:space="preserve">部门预算</w:t>
      </w:r>
      <w:r>
        <w:rPr>
          <w:rFonts w:hint="eastAsia"/>
          <w:lang w:val="en-US" w:eastAsia="zh-CN"/>
        </w:rPr>
        <w:t xml:space="preserve">相关报</w:t>
      </w:r>
      <w:r>
        <w:t xml:space="preserve">表</w:t>
      </w:r>
    </w:p>
    <w:p>
      <w:pPr>
        <w:pStyle w:val="Bodytext|2"/>
        <w:jc w:val="left"/>
        <w:rPr>
          <w:rFonts w:hint="eastAsia"/>
        </w:rPr>
      </w:pPr>
      <w:r>
        <w:rPr>
          <w:rFonts w:hint="eastAsia"/>
        </w:rPr>
        <w:t xml:space="preserve">一、部门收支总体情况表</w:t>
      </w:r>
    </w:p>
    <w:p>
      <w:pPr>
        <w:pStyle w:val="Bodytext|2"/>
        <w:jc w:val="left"/>
        <w:rPr>
          <w:rFonts w:hint="eastAsia"/>
        </w:rPr>
      </w:pPr>
      <w:r>
        <w:rPr>
          <w:rFonts w:hint="eastAsia"/>
        </w:rPr>
        <w:t xml:space="preserve">二、部门收入总体情况表</w:t>
      </w:r>
    </w:p>
    <w:p>
      <w:pPr>
        <w:pStyle w:val="Bodytext|2"/>
        <w:jc w:val="left"/>
        <w:rPr>
          <w:rFonts w:hint="eastAsia"/>
        </w:rPr>
      </w:pPr>
      <w:r>
        <w:rPr>
          <w:rFonts w:hint="eastAsia"/>
        </w:rPr>
        <w:t xml:space="preserve">三、部门支出总体情况表</w:t>
      </w:r>
    </w:p>
    <w:p>
      <w:pPr>
        <w:pStyle w:val="Bodytext|2"/>
        <w:jc w:val="left"/>
        <w:rPr>
          <w:rFonts w:hint="eastAsia"/>
        </w:rPr>
      </w:pPr>
      <w:r>
        <w:rPr>
          <w:rFonts w:hint="eastAsia"/>
        </w:rPr>
        <w:t xml:space="preserve">四、财政拨款收支总体情况表</w:t>
      </w:r>
    </w:p>
    <w:p>
      <w:pPr>
        <w:pStyle w:val="Bodytext|2"/>
        <w:jc w:val="left"/>
        <w:rPr>
          <w:rFonts w:hint="eastAsia"/>
        </w:rPr>
      </w:pPr>
      <w:r>
        <w:rPr>
          <w:rFonts w:hint="eastAsia"/>
        </w:rPr>
        <w:t xml:space="preserve">五、一般公共预算支出情况表</w:t>
      </w:r>
    </w:p>
    <w:p>
      <w:pPr>
        <w:pStyle w:val="Bodytext|2"/>
        <w:jc w:val="left"/>
        <w:rPr>
          <w:rFonts w:hint="eastAsia"/>
        </w:rPr>
      </w:pPr>
      <w:r>
        <w:rPr>
          <w:rFonts w:hint="eastAsia"/>
        </w:rPr>
        <w:t xml:space="preserve">六、一般公共预算基本支出情况表</w:t>
      </w:r>
    </w:p>
    <w:p>
      <w:pPr>
        <w:pStyle w:val="Bodytext|2"/>
        <w:jc w:val="left"/>
        <w:rPr>
          <w:rFonts w:hint="eastAsia"/>
        </w:rPr>
      </w:pPr>
      <w:r>
        <w:rPr>
          <w:rFonts w:hint="eastAsia"/>
        </w:rPr>
        <w:t xml:space="preserve">七、一般公开预算“三公”经费支出情况表</w:t>
      </w:r>
    </w:p>
    <w:p>
      <w:pPr>
        <w:pStyle w:val="Bodytext|2"/>
        <w:jc w:val="left"/>
        <w:rPr>
          <w:rFonts w:hint="eastAsia"/>
        </w:rPr>
      </w:pPr>
      <w:r>
        <w:rPr>
          <w:rFonts w:hint="eastAsia"/>
        </w:rPr>
        <w:t xml:space="preserve">八、政府性基金预算支出情况表</w:t>
      </w:r>
    </w:p>
    <w:p>
      <w:pPr>
        <w:pStyle w:val="Bodytext|2"/>
        <w:jc w:val="left"/>
        <w:rPr>
          <w:rFonts w:hint="eastAsia"/>
        </w:rPr>
      </w:pPr>
      <w:r>
        <w:rPr>
          <w:rFonts w:hint="eastAsia"/>
        </w:rPr>
        <w:t xml:space="preserve">九、国有资本经营预算支出情况表</w:t>
      </w:r>
    </w:p>
    <w:p>
      <w:pPr>
        <w:pStyle w:val="Bodytext|2"/>
        <w:jc w:val="left"/>
        <w:rPr>
          <w:rFonts w:eastAsia="宋体" w:hint="eastAsia"/>
          <w:lang w:eastAsia="zh-CN"/>
        </w:rPr>
      </w:pPr>
      <w:r>
        <w:rPr>
          <w:rFonts w:hint="eastAsia"/>
        </w:rPr>
        <w:t xml:space="preserve">十、2024年度预算项目绩效目标公开表</w:t>
      </w:r>
    </w:p>
    <w:p>
      <w:pPr>
        <w:pStyle w:val="Bodytext|2"/>
        <w:ind w:left="0" w:firstLine="320" w:leftChars="0" w:firstLineChars="100"/>
        <w:jc w:val="left"/>
        <w:rPr>
          <w:rFonts w:eastAsia="宋体" w:hint="eastAsia"/>
          <w:lang w:eastAsia="zh-CN"/>
        </w:rPr>
        <w:sectPr>
          <w:footerReference w:type="default" r:id="rId5"/>
          <w:pgSz w:w="11900" w:h="16840" w:orient="portrait"/>
          <w:pgMar w:top="1508" w:right="1674" w:bottom="1508" w:left="1851" w:header="1080" w:footer="3" w:gutter="0"/>
          <w:pgBorders>
            <w:top w:val="none" w:sz="0" w:space="0" w:color="auto"/>
            <w:left w:val="none" w:sz="0" w:space="0" w:color="auto"/>
            <w:bottom w:val="none" w:sz="0" w:space="0" w:color="auto"/>
            <w:right w:val="none" w:sz="0" w:space="0" w:color="auto"/>
          </w:pgBorders>
          <w:cols w:num="1" w:space="720">
            <w:col w:w="8375" w:space="720"/>
          </w:cols>
          <w:docGrid w:linePitch="360" w:charSpace="0"/>
        </w:sectPr>
      </w:pPr>
      <w:r>
        <w:t xml:space="preserve">第四部分</w:t>
      </w:r>
      <w:r>
        <w:rPr>
          <w:rFonts w:hint="eastAsia"/>
          <w:lang w:eastAsia="zh-CN"/>
        </w:rPr>
        <w:t xml:space="preserve">：</w:t>
      </w:r>
      <w:r>
        <w:t xml:space="preserve">名词</w:t>
      </w:r>
      <w:r>
        <w:rPr>
          <w:rFonts w:hint="eastAsia"/>
          <w:lang w:val="en-US" w:eastAsia="zh-CN"/>
        </w:rPr>
        <w:t xml:space="preserve">解释</w:t>
      </w:r>
    </w:p>
    <w:p>
      <w:pPr>
        <w:pStyle w:val="Heading#1|1"/>
        <w:keepNext/>
        <w:keepLines/>
        <w:spacing w:after="560"/>
        <w:jc w:val="both"/>
      </w:pPr>
      <w:bookmarkStart w:id="3" w:name="bookmark13"/>
      <w:bookmarkStart w:id="4" w:name="bookmark14"/>
      <w:bookmarkStart w:id="5" w:name="bookmark12"/>
    </w:p>
    <w:p>
      <w:pPr>
        <w:pStyle w:val="Heading#1|1"/>
        <w:keepNext/>
        <w:keepLines/>
        <w:spacing w:after="560"/>
        <w:jc w:val="center"/>
        <w:rPr>
          <w:b/>
          <w:bCs/>
        </w:rPr>
      </w:pPr>
      <w:r>
        <w:rPr>
          <w:b/>
          <w:bCs/>
        </w:rPr>
        <w:t xml:space="preserve">第一部分</w:t>
      </w:r>
      <w:r>
        <w:rPr>
          <w:rFonts w:hint="eastAsia"/>
          <w:b/>
          <w:bCs/>
          <w:lang w:eastAsia="zh-CN"/>
        </w:rPr>
        <w:t xml:space="preserve">：</w:t>
      </w:r>
      <w:r>
        <w:rPr>
          <w:b/>
          <w:u w:color="auto"/>
        </w:rPr>
        <w:t xml:space="preserve">环江毛南族自治县社会科学界联合会</w:t>
      </w:r>
      <w:r>
        <w:rPr>
          <w:b/>
          <w:bCs/>
        </w:rPr>
        <w:t xml:space="preserve">概况</w:t>
      </w:r>
      <w:bookmarkEnd w:id="3"/>
      <w:bookmarkEnd w:id="4"/>
      <w:bookmarkEnd w:id="5"/>
    </w:p>
    <w:p>
      <w:pPr>
        <w:pStyle w:val="Bodytext|2"/>
        <w:spacing w:after="0" w:line="619" w:lineRule="exact"/>
        <w:ind w:firstLine="620"/>
        <w:jc w:val="left"/>
        <w:rPr>
          <w:b/>
          <w:bCs/>
        </w:rPr>
      </w:pPr>
      <w:r>
        <w:rPr>
          <w:rFonts w:hint="eastAsia"/>
          <w:b/>
          <w:bCs/>
          <w:lang w:val="en-US" w:eastAsia="zh-CN"/>
        </w:rPr>
        <w:t xml:space="preserve">一、</w:t>
      </w:r>
      <w:r>
        <w:rPr>
          <w:b/>
          <w:bCs/>
        </w:rPr>
        <w:t xml:space="preserve">主要职责</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1、领导、协调和指导县属社会科学各个学会、协会、研究会的工作，对有关的社会科学社团进行监督管理，维护团体会员和广大社会科学工作者的合法权益，听取并反映社会科学界的情况和意见；2、制订自治县社科联学术活动规划，有计划地开展学术研究和交流活动，帮助和支持社会科学工作者进行科研和探索，并促进社会科学工作者和自然科学工作者的联合；3、组织开展学术活动与交流，加强与外地学者、学术团体学术交流和友好往来；4、组织开展全县社会科学优秀成果的评奖、评优活动；5、组织开展社会科学知识宣传普及活动；6、办好社会科学学术刊物；7、承办县委、县人民政府交办的其他工作。</w:t>
      </w:r>
    </w:p>
    <w:p>
      <w:pPr>
        <w:pStyle w:val="Bodytext|2"/>
        <w:tabs>
          <w:tab w:val="left" w:pos="1369"/>
        </w:tabs>
        <w:spacing w:after="0" w:line="623" w:lineRule="exact"/>
        <w:ind w:firstLine="620"/>
        <w:jc w:val="left"/>
        <w:rPr>
          <w:b/>
          <w:bCs/>
        </w:rPr>
      </w:pPr>
      <w:bookmarkStart w:id="6" w:name="bookmark24"/>
      <w:r>
        <w:rPr>
          <w:b/>
          <w:bCs/>
        </w:rPr>
        <w:t xml:space="preserve">二</w:t>
      </w:r>
      <w:bookmarkEnd w:id="6"/>
      <w:r>
        <w:rPr>
          <w:b/>
          <w:bCs/>
        </w:rPr>
        <w:t xml:space="preserve">、</w:t>
      </w:r>
      <w:r>
        <w:rPr>
          <w:b/>
          <w:bCs/>
        </w:rPr>
        <w:tab/>
      </w:r>
      <w:r>
        <w:rPr>
          <w:rFonts w:hint="eastAsia"/>
          <w:b/>
          <w:bCs/>
        </w:rPr>
        <w:t xml:space="preserve">机构设置情况</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本单位由1个独立机构编制数组成。</w:t>
      </w:r>
    </w:p>
    <w:p>
      <w:pPr>
        <w:pStyle w:val="Bodytext|1"/>
        <w:spacing w:line="623" w:lineRule="exact"/>
        <w:ind w:firstLine="1018" w:firstLineChars="0"/>
        <w:jc w:val="left"/>
        <w:rPr>
          <w:rFonts w:hint="eastAsia"/>
          <w:highlight w:val="none"/>
          <w:lang w:val="en-US" w:eastAsia="zh-CN"/>
        </w:rPr>
      </w:pPr>
    </w:p>
    <w:p>
      <w:pPr>
        <w:pStyle w:val="Bodytext|1"/>
        <w:spacing w:line="623" w:lineRule="exact"/>
        <w:ind w:firstLine="1018" w:firstLineChars="0"/>
        <w:jc w:val="left"/>
        <w:rPr>
          <w:rFonts w:hint="eastAsia"/>
          <w:highlight w:val="none"/>
          <w:lang w:val="en-US" w:eastAsia="zh-CN"/>
        </w:rPr>
      </w:pPr>
    </w:p>
    <w:p>
      <w:pPr/>
      <w:r>
        <w:br w:type="page"/>
      </w:r>
    </w:p>
    <w:p>
      <w:pPr>
        <w:pStyle w:val="Heading#1|1"/>
        <w:keepNext/>
        <w:keepLines/>
        <w:spacing w:before="120" w:after="0" w:line="629" w:lineRule="exact"/>
        <w:jc w:val="center"/>
        <w:rPr>
          <w:b/>
          <w:bCs/>
        </w:rPr>
      </w:pPr>
      <w:bookmarkStart w:id="7" w:name="bookmark70"/>
      <w:bookmarkStart w:id="8" w:name="bookmark68"/>
      <w:bookmarkStart w:id="9" w:name="bookmark69"/>
      <w:bookmarkStart w:id="10" w:name="bookmark28"/>
      <w:bookmarkStart w:id="11" w:name="bookmark27"/>
      <w:bookmarkStart w:id="12" w:name="bookmark26"/>
      <w:r>
        <w:rPr>
          <w:b/>
          <w:bCs/>
        </w:rPr>
        <w:t xml:space="preserve">第</w:t>
      </w:r>
      <w:r>
        <w:rPr>
          <w:rFonts w:hint="eastAsia"/>
          <w:b/>
          <w:bCs/>
          <w:lang w:val="en-US" w:eastAsia="zh-CN"/>
        </w:rPr>
        <w:t xml:space="preserve">二</w:t>
      </w:r>
      <w:r>
        <w:rPr>
          <w:b/>
          <w:bCs/>
        </w:rPr>
        <w:t xml:space="preserve">部分</w:t>
      </w:r>
      <w:r>
        <w:rPr>
          <w:rFonts w:hint="eastAsia"/>
          <w:b/>
          <w:bCs/>
          <w:lang w:eastAsia="zh-CN"/>
        </w:rPr>
        <w:t xml:space="preserve">：</w:t>
      </w:r>
      <w:bookmarkEnd w:id="7"/>
      <w:bookmarkEnd w:id="8"/>
      <w:bookmarkEnd w:id="9"/>
      <w:r>
        <w:rPr>
          <w:rFonts w:hint="eastAsia"/>
          <w:b/>
          <w:bCs/>
          <w:lang w:eastAsia="zh-CN"/>
        </w:rPr>
        <w:t xml:space="preserve">环江毛南族自治县社会科学界联合会</w:t>
      </w:r>
      <w:r>
        <w:rPr>
          <w:b/>
          <w:u w:color="auto"/>
        </w:rPr>
        <w:t xml:space="preserve">2024</w:t>
      </w:r>
      <w:r>
        <w:rPr>
          <w:b/>
          <w:u w:color="auto"/>
        </w:rPr>
        <w:t xml:space="preserve">年部门预算情况说明</w:t>
      </w:r>
    </w:p>
    <w:p>
      <w:pPr>
        <w:pStyle w:val="Bodytext|2"/>
        <w:tabs>
          <w:tab w:val="left" w:pos="1235"/>
        </w:tabs>
        <w:spacing w:after="0" w:line="624" w:lineRule="exact"/>
        <w:ind w:firstLine="580"/>
        <w:jc w:val="left"/>
        <w:rPr>
          <w:b/>
          <w:bCs/>
        </w:rPr>
      </w:pPr>
      <w:bookmarkStart w:id="13" w:name="bookmark71"/>
      <w:r>
        <w:rPr>
          <w:b/>
          <w:bCs/>
        </w:rPr>
        <w:t xml:space="preserve">一</w:t>
      </w:r>
      <w:bookmarkEnd w:id="13"/>
      <w:r>
        <w:rPr>
          <w:b/>
          <w:bCs/>
        </w:rPr>
        <w:t xml:space="preserve">、</w:t>
      </w:r>
      <w:r>
        <w:rPr>
          <w:b/>
          <w:bCs/>
        </w:rPr>
        <w:tab/>
      </w:r>
      <w:r>
        <w:rPr>
          <w:b/>
          <w:bCs/>
        </w:rPr>
        <w:t xml:space="preserve">部门预算收支总体情况说明</w:t>
      </w:r>
    </w:p>
    <w:p>
      <w:pPr>
        <w:pStyle w:val="Bodytext|1"/>
        <w:spacing w:line="623" w:lineRule="exact"/>
        <w:ind w:left="0" w:firstLine="560" w:leftChars="0" w:firstLineChars="200"/>
        <w:jc w:val="left"/>
        <w:rPr>
          <w:rFonts w:ascii="Times New Roman" w:hAnsi="Times New Roman" w:cs="Times New Roman"/>
          <w:b/>
          <w:bCs/>
          <w:sz w:val="28"/>
          <w:szCs w:val="28"/>
          <w:lang w:val="en-US" w:eastAsia="zh-CN"/>
        </w:rPr>
      </w:pPr>
      <w:r>
        <w:rPr>
          <w:rFonts w:hint="eastAsia"/>
          <w:b w:val="0"/>
          <w:bCs w:val="0"/>
          <w:sz w:val="28"/>
          <w:szCs w:val="28"/>
        </w:rPr>
        <w:t xml:space="preserve">我部门总收入</w:t>
      </w:r>
      <w:r>
        <w:rPr>
          <w:rFonts w:hint="eastAsia"/>
          <w:sz w:val="28"/>
          <w:szCs w:val="28"/>
          <w:lang w:val="en-US" w:eastAsia="zh-CN"/>
        </w:rPr>
        <w:t xml:space="preserve">77.91</w:t>
      </w:r>
      <w:r>
        <w:rPr>
          <w:rFonts w:hint="eastAsia"/>
          <w:b w:val="0"/>
          <w:bCs w:val="0"/>
          <w:sz w:val="28"/>
          <w:szCs w:val="28"/>
        </w:rPr>
        <w:t xml:space="preserve">万元，总支出</w:t>
      </w:r>
      <w:r>
        <w:rPr>
          <w:rFonts w:hint="eastAsia"/>
          <w:sz w:val="28"/>
          <w:szCs w:val="28"/>
          <w:lang w:val="en-US" w:eastAsia="zh-CN"/>
        </w:rPr>
        <w:t xml:space="preserve">77.91</w:t>
      </w:r>
      <w:r>
        <w:rPr>
          <w:rFonts w:hint="eastAsia"/>
          <w:b w:val="0"/>
          <w:bCs w:val="0"/>
          <w:sz w:val="28"/>
          <w:szCs w:val="28"/>
        </w:rPr>
        <w:t xml:space="preserve">万元。总收入较2023年度预算数</w:t>
      </w:r>
      <w:r>
        <w:rPr>
          <w:rFonts w:hint="eastAsia"/>
          <w:sz w:val="28"/>
          <w:szCs w:val="28"/>
          <w:lang w:val="en-US" w:eastAsia="zh-CN"/>
        </w:rPr>
        <w:t xml:space="preserve">55.41</w:t>
      </w:r>
      <w:r>
        <w:rPr>
          <w:rFonts w:hint="eastAsia"/>
          <w:b w:val="0"/>
          <w:bCs w:val="0"/>
          <w:sz w:val="28"/>
          <w:szCs w:val="28"/>
        </w:rPr>
        <w:t xml:space="preserve">万元，</w:t>
      </w:r>
      <w:r>
        <w:rPr>
          <w:rFonts w:hint="eastAsia"/>
          <w:sz w:val="28"/>
          <w:szCs w:val="28"/>
        </w:rPr>
        <w:t xml:space="preserve">增加22.50</w:t>
      </w:r>
      <w:r>
        <w:rPr>
          <w:rFonts w:hint="eastAsia"/>
          <w:b w:val="0"/>
          <w:bCs w:val="0"/>
          <w:sz w:val="28"/>
          <w:szCs w:val="28"/>
        </w:rPr>
        <w:t xml:space="preserve">万元，</w:t>
      </w:r>
      <w:r>
        <w:rPr>
          <w:rFonts w:hint="eastAsia"/>
          <w:sz w:val="28"/>
          <w:szCs w:val="28"/>
        </w:rPr>
        <w:t xml:space="preserve">增长40.61%</w:t>
      </w:r>
      <w:r>
        <w:rPr>
          <w:rFonts w:hint="eastAsia"/>
          <w:b w:val="0"/>
          <w:bCs w:val="0"/>
          <w:sz w:val="28"/>
          <w:szCs w:val="28"/>
        </w:rPr>
        <w:t xml:space="preserve">，主要原因是</w:t>
      </w:r>
      <w:r>
        <w:rPr>
          <w:rFonts w:hint="eastAsia"/>
          <w:highlight w:val="none"/>
          <w:lang w:val="en-US" w:eastAsia="zh-CN"/>
        </w:rPr>
        <w:t xml:space="preserve">有人员调入，2023年3月份调入一名一级主任科员，2023年4月份又调入一名一级主任科员（乡科级正职领导），2023年共调入2名职工，且每年调整的薪资收入增加，社保申报基数增加，费用跟着增长，导致预算收入增加</w:t>
      </w:r>
      <w:r>
        <w:rPr>
          <w:rFonts w:hint="eastAsia"/>
          <w:b w:val="0"/>
          <w:bCs w:val="0"/>
          <w:sz w:val="28"/>
          <w:szCs w:val="28"/>
        </w:rPr>
        <w:t xml:space="preserve">。总支出较2023年度预算数</w:t>
      </w:r>
      <w:r>
        <w:rPr>
          <w:rFonts w:hint="eastAsia"/>
          <w:sz w:val="28"/>
          <w:szCs w:val="28"/>
          <w:lang w:val="en-US" w:eastAsia="zh-CN"/>
        </w:rPr>
        <w:t xml:space="preserve">55.41</w:t>
      </w:r>
      <w:r>
        <w:rPr>
          <w:rFonts w:hint="eastAsia"/>
          <w:b w:val="0"/>
          <w:bCs w:val="0"/>
          <w:sz w:val="28"/>
          <w:szCs w:val="28"/>
        </w:rPr>
        <w:t xml:space="preserve">万元，</w:t>
      </w:r>
      <w:r>
        <w:rPr>
          <w:rFonts w:hint="eastAsia"/>
          <w:sz w:val="28"/>
          <w:szCs w:val="28"/>
        </w:rPr>
        <w:t xml:space="preserve">增加22.50</w:t>
      </w:r>
      <w:r>
        <w:rPr>
          <w:rFonts w:hint="eastAsia"/>
          <w:b w:val="0"/>
          <w:bCs w:val="0"/>
          <w:sz w:val="28"/>
          <w:szCs w:val="28"/>
        </w:rPr>
        <w:t xml:space="preserve">万元，</w:t>
      </w:r>
      <w:r>
        <w:rPr>
          <w:rFonts w:hint="eastAsia"/>
          <w:sz w:val="28"/>
          <w:szCs w:val="28"/>
        </w:rPr>
        <w:t xml:space="preserve">增长40.61%</w:t>
      </w:r>
      <w:r>
        <w:rPr>
          <w:rFonts w:hint="eastAsia"/>
          <w:b w:val="0"/>
          <w:bCs w:val="0"/>
          <w:sz w:val="28"/>
          <w:szCs w:val="28"/>
        </w:rPr>
        <w:t xml:space="preserve">，主要原因是</w:t>
      </w:r>
      <w:r>
        <w:rPr>
          <w:rFonts w:hint="eastAsia"/>
          <w:highlight w:val="none"/>
          <w:lang w:val="en-US" w:eastAsia="zh-CN"/>
        </w:rPr>
        <w:t xml:space="preserve">有人员调入，2023年3月份调入一名一级主任科员，2023年4月份又调入一名一级主任科员（乡科级正职领导），2023年共调入2名职工，且每年调整的薪资收入增加，社保申报基数增加，费用跟着增长，导致预算收入增加</w:t>
      </w:r>
      <w:r>
        <w:rPr>
          <w:rFonts w:hint="eastAsia"/>
          <w:b w:val="0"/>
          <w:bCs w:val="0"/>
          <w:sz w:val="28"/>
          <w:szCs w:val="28"/>
        </w:rPr>
        <w:t xml:space="preserve">。</w:t>
      </w:r>
    </w:p>
    <w:p>
      <w:pPr>
        <w:pStyle w:val="Bodytext|2"/>
        <w:tabs>
          <w:tab w:val="left" w:pos="1235"/>
        </w:tabs>
        <w:spacing w:after="0" w:line="624" w:lineRule="exact"/>
        <w:ind w:firstLine="580"/>
        <w:jc w:val="left"/>
        <w:rPr>
          <w:b/>
          <w:bCs/>
          <w:lang w:val="en-US" w:eastAsia="zh-CN"/>
        </w:rPr>
      </w:pPr>
      <w:r>
        <w:rPr>
          <w:rFonts w:hint="eastAsia"/>
          <w:b/>
          <w:bCs/>
          <w:lang w:val="en-US" w:eastAsia="zh-CN"/>
        </w:rPr>
        <w:t xml:space="preserve">二、</w:t>
      </w:r>
      <w:r>
        <w:rPr>
          <w:b/>
          <w:bCs/>
        </w:rPr>
        <w:t xml:space="preserve">部门收入总体情况说明</w:t>
      </w:r>
    </w:p>
    <w:p>
      <w:pPr>
        <w:pStyle w:val="Bodytext|1"/>
        <w:spacing w:line="240" w:lineRule="auto"/>
        <w:ind w:firstLine="0"/>
        <w:jc w:val="left"/>
        <w:rPr>
          <w:rFonts w:ascii="Times New Roman" w:hAnsi="Times New Roman" w:cs="Times New Roman"/>
          <w:sz w:val="30"/>
          <w:szCs w:val="30"/>
          <w:lang w:val="en-US" w:eastAsia="zh-CN"/>
        </w:rPr>
      </w:pPr>
      <w:r>
        <w:rPr>
          <w:rFonts w:ascii="Times New Roman" w:hAnsi="Times New Roman" w:cs="Times New Roman"/>
          <w:sz w:val="30"/>
          <w:szCs w:val="30"/>
          <w:lang w:val="en-US" w:eastAsia="zh-CN"/>
        </w:rPr>
        <w:drawing>
          <wp:inline distT="0" distB="0" distL="114300" distR="114300">
            <wp:extent cx="4257040" cy="3139440"/>
            <wp:effectExtent l="4445" t="4445" r="5715" b="18415"/>
            <wp:docPr id="2197" name="图表 6" title="{{img_rs_table}}"/>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6"/>
              </a:graphicData>
            </a:graphic>
          </wp:inline>
        </w:drawing>
      </w:r>
    </w:p>
    <w:p>
      <w:pPr>
        <w:pStyle w:val="Bodytext|1"/>
        <w:spacing w:line="623" w:lineRule="exact"/>
        <w:ind w:left="0" w:firstLine="560" w:leftChars="0" w:firstLineChars="200"/>
        <w:jc w:val="left"/>
        <w:rPr>
          <w:rFonts w:ascii="宋体" w:eastAsia="宋体" w:hAnsi="宋体" w:cs="宋体" w:hint="eastAsia"/>
          <w:sz w:val="28"/>
          <w:szCs w:val="28"/>
        </w:rPr>
      </w:pPr>
      <w:r>
        <w:rPr>
          <w:rFonts w:ascii="宋体" w:eastAsia="宋体" w:hAnsi="宋体" w:cs="宋体" w:hint="eastAsia"/>
          <w:sz w:val="28"/>
          <w:szCs w:val="28"/>
          <w:u w:color="auto"/>
          <w:lang w:eastAsia="zh-CN"/>
        </w:rPr>
        <w:t xml:space="preserve">2024</w:t>
      </w:r>
      <w:r>
        <w:rPr>
          <w:rFonts w:ascii="宋体" w:eastAsia="宋体" w:hAnsi="宋体" w:cs="宋体" w:hint="eastAsia"/>
          <w:sz w:val="28"/>
          <w:szCs w:val="28"/>
          <w:u w:color="auto"/>
        </w:rPr>
        <w:t xml:space="preserve">年我部门总收入</w:t>
      </w:r>
      <w:r>
        <w:rPr>
          <w:rFonts w:ascii="宋体" w:eastAsia="宋体" w:hAnsi="宋体" w:cs="宋体" w:hint="eastAsia"/>
          <w:sz w:val="28"/>
          <w:szCs w:val="28"/>
          <w:lang w:val="en-US" w:eastAsia="zh-CN"/>
        </w:rPr>
        <w:t xml:space="preserve">77.91</w:t>
      </w:r>
      <w:r>
        <w:rPr>
          <w:rFonts w:ascii="宋体" w:eastAsia="宋体" w:hAnsi="宋体" w:cs="宋体" w:hint="eastAsia"/>
          <w:sz w:val="28"/>
          <w:szCs w:val="28"/>
          <w:u w:color="auto"/>
        </w:rPr>
        <w:t xml:space="preserve">万元，较2023年度预算数</w:t>
      </w:r>
      <w:r>
        <w:rPr>
          <w:rFonts w:ascii="宋体" w:eastAsia="宋体" w:hAnsi="宋体" w:cs="宋体" w:hint="eastAsia"/>
          <w:sz w:val="28"/>
          <w:szCs w:val="28"/>
          <w:lang w:val="en-US" w:eastAsia="zh-CN"/>
        </w:rPr>
        <w:t xml:space="preserve">55.41</w:t>
      </w:r>
      <w:r>
        <w:rPr>
          <w:rFonts w:ascii="宋体" w:eastAsia="宋体" w:hAnsi="宋体" w:cs="宋体" w:hint="eastAsia"/>
          <w:sz w:val="28"/>
          <w:szCs w:val="28"/>
          <w:u w:color="auto"/>
        </w:rPr>
        <w:t xml:space="preserve">万元，</w:t>
      </w:r>
      <w:r>
        <w:rPr>
          <w:rFonts w:ascii="宋体" w:eastAsia="宋体" w:hAnsi="宋体" w:cs="宋体" w:hint="eastAsia"/>
          <w:sz w:val="28"/>
          <w:szCs w:val="28"/>
        </w:rPr>
        <w:t xml:space="preserve">增加22.50</w:t>
      </w:r>
      <w:r>
        <w:rPr>
          <w:rFonts w:ascii="宋体" w:eastAsia="宋体" w:hAnsi="宋体" w:cs="宋体" w:hint="eastAsia"/>
          <w:sz w:val="28"/>
          <w:szCs w:val="28"/>
          <w:u w:color="auto"/>
        </w:rPr>
        <w:t xml:space="preserve">万元，</w:t>
      </w:r>
      <w:r>
        <w:rPr>
          <w:rFonts w:ascii="宋体" w:eastAsia="宋体" w:hAnsi="宋体" w:cs="宋体" w:hint="eastAsia"/>
          <w:sz w:val="28"/>
          <w:szCs w:val="28"/>
        </w:rPr>
        <w:t xml:space="preserve">增长40.61%</w:t>
      </w:r>
      <w:r>
        <w:rPr>
          <w:rFonts w:ascii="宋体" w:eastAsia="宋体" w:hAnsi="宋体" w:cs="宋体" w:hint="eastAsia"/>
          <w:sz w:val="28"/>
          <w:szCs w:val="28"/>
          <w:u w:color="auto"/>
        </w:rPr>
        <w:t xml:space="preserve">，主要原因是</w:t>
      </w:r>
      <w:r>
        <w:rPr>
          <w:rFonts w:hint="eastAsia"/>
          <w:highlight w:val="none"/>
          <w:lang w:val="en-US" w:eastAsia="zh-CN"/>
        </w:rPr>
        <w:t xml:space="preserve">有人员调入，2023年3月份调入一名一级主任科员，2023年4月份又调入一名一级主任科员（乡科级正职领导），2023年共调入2名职工，且每年调整的薪资收入增加，社保申报基数增加，费用跟着增长，导致预算收入增加</w:t>
      </w:r>
      <w:r>
        <w:rPr>
          <w:rFonts w:ascii="宋体" w:eastAsia="宋体" w:hAnsi="宋体" w:cs="宋体" w:hint="eastAsia"/>
          <w:sz w:val="28"/>
          <w:szCs w:val="28"/>
          <w:u w:color="auto"/>
        </w:rPr>
        <w:t xml:space="preserve">。</w:t>
      </w:r>
    </w:p>
    <w:p>
      <w:pPr>
        <w:pStyle w:val="Bodytext|2"/>
        <w:tabs>
          <w:tab w:val="left" w:pos="1235"/>
        </w:tabs>
        <w:spacing w:after="0" w:line="624" w:lineRule="exact"/>
        <w:ind w:firstLine="580"/>
        <w:jc w:val="left"/>
        <w:rPr>
          <w:b/>
          <w:bCs/>
        </w:rPr>
      </w:pPr>
      <w:r>
        <w:rPr>
          <w:rFonts w:hint="eastAsia"/>
          <w:b/>
          <w:bCs/>
          <w:lang w:val="en-US" w:eastAsia="zh-CN"/>
        </w:rPr>
        <w:t xml:space="preserve">三、</w:t>
      </w:r>
      <w:r>
        <w:rPr>
          <w:b/>
          <w:bCs/>
        </w:rPr>
        <w:t xml:space="preserve">部门支出总体情况说明</w:t>
      </w:r>
    </w:p>
    <w:p>
      <w:pPr>
        <w:pStyle w:val="Bodytext|1"/>
        <w:spacing w:line="240" w:lineRule="auto"/>
        <w:ind w:firstLine="0"/>
        <w:jc w:val="left"/>
        <w:rPr>
          <w:rFonts w:ascii="Times New Roman" w:eastAsia="Times New Roman" w:hAnsi="Times New Roman" w:cs="Times New Roman"/>
          <w:sz w:val="30"/>
          <w:szCs w:val="30"/>
        </w:rPr>
      </w:pPr>
      <w:r>
        <w:rPr>
          <w:rFonts w:ascii="Times New Roman" w:eastAsia="Times New Roman" w:hAnsi="Times New Roman" w:cs="Times New Roman"/>
          <w:sz w:val="30"/>
          <w:szCs w:val="30"/>
        </w:rPr>
        <w:drawing>
          <wp:inline distT="0" distB="0" distL="114300" distR="114300">
            <wp:extent cx="5080000" cy="3810000"/>
            <wp:effectExtent l="4445" t="4445" r="20955" b="14605"/>
            <wp:docPr id="2198" name="图表 14" title="{{img_gnkm_zc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7"/>
              </a:graphicData>
            </a:graphic>
          </wp:inline>
        </w:drawing>
      </w:r>
    </w:p>
    <w:p>
      <w:pPr>
        <w:pStyle w:val="Bodytext|1"/>
        <w:spacing w:line="623" w:lineRule="exact"/>
        <w:ind w:left="0" w:firstLine="560" w:leftChars="0" w:firstLineChars="200"/>
        <w:jc w:val="left"/>
        <w:rPr>
          <w:rFonts w:ascii="Times New Roman" w:hAnsi="Times New Roman" w:cs="Times New Roman" w:hint="eastAsia"/>
          <w:sz w:val="30"/>
          <w:szCs w:val="30"/>
          <w:lang w:eastAsia="zh-CN"/>
        </w:rPr>
      </w:pPr>
      <w:r>
        <w:rPr>
          <w:rFonts w:ascii="宋体" w:eastAsia="宋体" w:hAnsi="宋体" w:cs="宋体" w:hint="eastAsia"/>
          <w:sz w:val="28"/>
          <w:szCs w:val="28"/>
          <w:lang w:eastAsia="zh-CN"/>
        </w:rPr>
        <w:t xml:space="preserve">2024</w:t>
      </w:r>
      <w:r>
        <w:rPr>
          <w:rFonts w:ascii="宋体" w:eastAsia="宋体" w:hAnsi="宋体" w:cs="宋体"/>
          <w:sz w:val="28"/>
          <w:u w:color="auto"/>
        </w:rPr>
        <w:t xml:space="preserve">年我部门总支出</w:t>
      </w:r>
      <w:r>
        <w:rPr>
          <w:rFonts w:ascii="宋体" w:eastAsia="宋体" w:hAnsi="宋体" w:cs="宋体" w:hint="eastAsia"/>
          <w:sz w:val="28"/>
          <w:szCs w:val="28"/>
          <w:lang w:val="en-US" w:eastAsia="zh-CN"/>
        </w:rPr>
        <w:t xml:space="preserve">77.91</w:t>
      </w:r>
      <w:r>
        <w:rPr>
          <w:rFonts w:ascii="宋体" w:eastAsia="宋体" w:hAnsi="宋体" w:cs="宋体" w:hint="eastAsia"/>
          <w:sz w:val="28"/>
          <w:szCs w:val="28"/>
          <w:lang w:eastAsia="zh-CN"/>
        </w:rPr>
        <w:t xml:space="preserve">万元，较2023年度预算数</w:t>
      </w:r>
      <w:r>
        <w:rPr>
          <w:rFonts w:ascii="宋体" w:eastAsia="宋体" w:hAnsi="宋体" w:cs="宋体" w:hint="eastAsia"/>
          <w:sz w:val="28"/>
          <w:szCs w:val="28"/>
          <w:lang w:val="en-US" w:eastAsia="zh-CN"/>
        </w:rPr>
        <w:t xml:space="preserve">55.41</w:t>
      </w:r>
      <w:r>
        <w:rPr>
          <w:rFonts w:ascii="宋体" w:eastAsia="宋体" w:hAnsi="宋体" w:cs="宋体" w:hint="eastAsia"/>
          <w:sz w:val="28"/>
          <w:szCs w:val="28"/>
          <w:lang w:eastAsia="zh-CN"/>
        </w:rPr>
        <w:t xml:space="preserve">万元，</w:t>
      </w:r>
      <w:r>
        <w:rPr>
          <w:rFonts w:ascii="宋体" w:eastAsia="宋体" w:hAnsi="宋体" w:cs="宋体" w:hint="eastAsia"/>
          <w:sz w:val="28"/>
          <w:szCs w:val="28"/>
        </w:rPr>
        <w:t xml:space="preserve">增加22.50</w:t>
      </w:r>
      <w:r>
        <w:rPr>
          <w:rFonts w:ascii="宋体" w:eastAsia="宋体" w:hAnsi="宋体" w:cs="宋体" w:hint="eastAsia"/>
          <w:sz w:val="28"/>
          <w:szCs w:val="28"/>
          <w:lang w:eastAsia="zh-CN"/>
        </w:rPr>
        <w:t xml:space="preserve">万元，</w:t>
      </w:r>
      <w:r>
        <w:rPr>
          <w:rFonts w:ascii="宋体" w:eastAsia="宋体" w:hAnsi="宋体" w:cs="宋体" w:hint="eastAsia"/>
          <w:sz w:val="28"/>
          <w:szCs w:val="28"/>
        </w:rPr>
        <w:t xml:space="preserve">增长40.61%</w:t>
      </w:r>
      <w:r>
        <w:rPr>
          <w:rFonts w:ascii="宋体" w:eastAsia="宋体" w:hAnsi="宋体" w:cs="宋体" w:hint="eastAsia"/>
          <w:sz w:val="28"/>
          <w:szCs w:val="28"/>
          <w:lang w:eastAsia="zh-CN"/>
        </w:rPr>
        <w:t xml:space="preserve">，主要原因是</w:t>
      </w:r>
      <w:r>
        <w:rPr>
          <w:rFonts w:hint="eastAsia"/>
          <w:highlight w:val="none"/>
          <w:lang w:val="en-US" w:eastAsia="zh-CN"/>
        </w:rPr>
        <w:t xml:space="preserve">有人员调入，2023年3月份调入一名一级主任科员，2023年4月份又调入一名一级主任科员（乡科级正职领导），2023年共调入2名职工，且每年调整的薪资收入增加，社保申报基数增加，费用跟着增长，导致预算收入增加</w:t>
      </w:r>
      <w:r>
        <w:rPr>
          <w:rFonts w:ascii="Times New Roman" w:hAnsi="Times New Roman" w:cs="Times New Roman" w:hint="eastAsia"/>
          <w:sz w:val="30"/>
          <w:szCs w:val="30"/>
          <w:lang w:eastAsia="zh-CN"/>
        </w:rPr>
        <w:t xml:space="preserve">。主要包括：</w:t>
      </w:r>
      <w:r>
        <w:rPr>
          <w:rFonts w:hint="eastAsia"/>
          <w:highlight w:val="none"/>
          <w:lang w:val="en-US" w:eastAsia="zh-CN"/>
        </w:rPr>
        <w:t xml:space="preserve">一般公共服务支出64.51万元，社会保障和就业支出7.26万元，住房保障支出6.13万元</w:t>
      </w:r>
    </w:p>
    <w:p>
      <w:pPr>
        <w:pStyle w:val="Bodytext|1"/>
        <w:spacing w:line="623" w:lineRule="exact"/>
        <w:ind w:left="0" w:firstLine="560" w:leftChars="0" w:firstLineChars="200"/>
        <w:jc w:val="left"/>
        <w:rPr>
          <w:rFonts w:ascii="Times New Roman" w:hAnsi="Times New Roman" w:cs="Times New Roman" w:hint="eastAsia"/>
          <w:sz w:val="30"/>
          <w:szCs w:val="30"/>
          <w:lang w:eastAsia="zh-CN"/>
        </w:rPr>
      </w:pPr>
      <w:r>
        <w:rPr>
          <w:rFonts w:hint="eastAsia"/>
          <w:highlight w:val="none"/>
          <w:lang w:val="en-US" w:eastAsia="zh-CN"/>
        </w:rPr>
      </w:r>
    </w:p>
    <w:p>
      <w:pPr>
        <w:pStyle w:val="Bodytext|1"/>
        <w:spacing w:line="623" w:lineRule="exact"/>
        <w:ind w:left="0" w:firstLine="560" w:leftChars="0" w:firstLineChars="200"/>
        <w:jc w:val="left"/>
        <w:rPr>
          <w:rFonts w:ascii="Times New Roman" w:hAnsi="Times New Roman" w:cs="Times New Roman" w:hint="eastAsia"/>
          <w:sz w:val="30"/>
          <w:szCs w:val="30"/>
          <w:lang w:eastAsia="zh-CN"/>
        </w:rPr>
      </w:pPr>
      <w:r>
        <w:rPr>
          <w:rFonts w:hint="eastAsia"/>
          <w:highlight w:val="none"/>
          <w:lang w:val="en-US" w:eastAsia="zh-CN"/>
        </w:rPr>
      </w:r>
    </w:p>
    <w:p>
      <w:pPr>
        <w:pStyle w:val="Bodytext|1"/>
        <w:spacing w:line="623" w:lineRule="exact"/>
        <w:ind w:left="0" w:firstLine="560" w:leftChars="0" w:firstLineChars="200"/>
        <w:jc w:val="left"/>
        <w:rPr>
          <w:rFonts w:ascii="Times New Roman" w:hAnsi="Times New Roman" w:cs="Times New Roman" w:hint="eastAsia"/>
          <w:sz w:val="30"/>
          <w:szCs w:val="30"/>
          <w:lang w:eastAsia="zh-CN"/>
        </w:rPr>
      </w:pPr>
      <w:r>
        <w:rPr>
          <w:rFonts w:ascii="Times New Roman" w:hAnsi="Times New Roman" w:cs="Times New Roman" w:hint="eastAsia"/>
          <w:sz w:val="30"/>
          <w:szCs w:val="30"/>
          <w:lang w:eastAsia="zh-CN"/>
        </w:rPr>
        <w:t xml:space="preserve">。</w:t>
      </w:r>
    </w:p>
    <w:p>
      <w:pPr>
        <w:pStyle w:val="Bodytext|1"/>
        <w:spacing w:after="140" w:line="240" w:lineRule="auto"/>
        <w:ind w:firstLine="0"/>
        <w:jc w:val="left"/>
      </w:pPr>
      <w:r>
        <w:t xml:space="preserve">（一）按支出功能分类科目划分，共分为</w:t>
      </w:r>
      <w:r>
        <w:rPr>
          <w:rFonts w:hint="eastAsia"/>
          <w:lang w:val="en-US" w:eastAsia="zh-CN"/>
        </w:rPr>
        <w:t xml:space="preserve">3</w:t>
      </w:r>
      <w:r>
        <w:t xml:space="preserve">类，其中:</w:t>
      </w:r>
    </w:p>
    <w:p>
      <w:pPr>
        <w:pStyle w:val="Bodytext|1"/>
        <w:spacing w:line="623" w:lineRule="exact"/>
        <w:ind w:left="0" w:firstLine="560" w:leftChars="0" w:firstLineChars="200"/>
        <w:jc w:val="left"/>
        <w:rPr>
          <w:rFonts w:hint="eastAsia"/>
        </w:rPr>
      </w:pPr>
      <w:r>
        <w:rPr>
          <w:rFonts w:hint="eastAsia"/>
        </w:rPr>
        <w:t xml:space="preserve">(</w:t>
      </w:r>
      <w:r>
        <w:rPr>
          <w:u w:color="auto"/>
        </w:rPr>
        <w:t xml:space="preserve">1</w:t>
      </w:r>
      <w:r>
        <w:rPr>
          <w:u w:color="auto"/>
        </w:rPr>
        <w:t xml:space="preserve">)</w:t>
      </w:r>
      <w:r>
        <w:rPr>
          <w:u w:color="auto"/>
        </w:rPr>
        <w:t xml:space="preserve">一般公共服务支出</w:t>
      </w:r>
      <w:r>
        <w:rPr>
          <w:rFonts w:hint="eastAsia"/>
          <w:lang w:val="en-US" w:eastAsia="zh-CN"/>
        </w:rPr>
        <w:t xml:space="preserve">64.51</w:t>
      </w:r>
      <w:r>
        <w:rPr>
          <w:rFonts w:hint="eastAsia"/>
        </w:rPr>
        <w:t xml:space="preserve">万元，占支出总预算</w:t>
      </w:r>
      <w:r>
        <w:rPr>
          <w:rFonts w:hint="eastAsia"/>
          <w:lang w:val="en-US" w:eastAsia="zh-CN"/>
        </w:rPr>
        <w:t xml:space="preserve">82.80%</w:t>
      </w:r>
      <w:r>
        <w:rPr>
          <w:rFonts w:hint="eastAsia"/>
        </w:rPr>
        <w:t xml:space="preserve">,比上年</w:t>
      </w:r>
      <w:r>
        <w:rPr>
          <w:rFonts w:hint="eastAsia"/>
          <w:lang w:val="en-US" w:eastAsia="zh-CN"/>
        </w:rPr>
        <w:t xml:space="preserve">增长18.96</w:t>
      </w:r>
      <w:r>
        <w:rPr>
          <w:rFonts w:hint="eastAsia"/>
        </w:rPr>
        <w:t xml:space="preserve">万元，</w:t>
      </w:r>
      <w:r>
        <w:rPr>
          <w:rFonts w:hint="eastAsia"/>
          <w:lang w:val="en-US" w:eastAsia="zh-CN"/>
        </w:rPr>
        <w:t xml:space="preserve">增长41.62%</w:t>
      </w:r>
      <w:r>
        <w:rPr>
          <w:rFonts w:hint="eastAsia"/>
        </w:rPr>
        <w:t xml:space="preserve">,</w:t>
      </w:r>
      <w:r>
        <w:rPr>
          <w:rFonts w:hint="eastAsia"/>
          <w:highlight w:val="none"/>
        </w:rPr>
        <w:t xml:space="preserve">主要原因是：</w:t>
      </w:r>
      <w:r>
        <w:rPr>
          <w:rFonts w:hint="eastAsia"/>
          <w:highlight w:val="none"/>
          <w:lang w:val="en-US" w:eastAsia="zh-CN"/>
        </w:rPr>
        <w:t xml:space="preserve">有人员调入，2023年3月份调入一名一级主任科员，2023年4月份又调入一名一级主任科员（乡科级正职领导），2023年共调入2名职工，且每年调整的薪资收入增加，社保申报基数增加，费用跟着增长，导致预算收入增加</w:t>
      </w:r>
      <w:r>
        <w:rPr>
          <w:rFonts w:hint="eastAsia"/>
          <w:highlight w:val="none"/>
        </w:rPr>
        <w:t xml:space="preserve">。</w:t>
      </w:r>
    </w:p>
    <w:p>
      <w:pPr>
        <w:pStyle w:val="Bodytext|1"/>
        <w:spacing w:line="623" w:lineRule="exact"/>
        <w:ind w:left="0" w:firstLine="560" w:leftChars="0" w:firstLineChars="200"/>
        <w:jc w:val="left"/>
        <w:rPr>
          <w:rFonts w:hint="eastAsia"/>
        </w:rPr>
      </w:pPr>
      <w:r>
        <w:rPr>
          <w:rFonts w:hint="eastAsia"/>
        </w:rPr>
        <w:t xml:space="preserve">(</w:t>
      </w:r>
      <w:r>
        <w:rPr>
          <w:u w:color="auto"/>
        </w:rPr>
        <w:t xml:space="preserve">2</w:t>
      </w:r>
      <w:r>
        <w:rPr>
          <w:u w:color="auto"/>
        </w:rPr>
        <w:t xml:space="preserve">)</w:t>
      </w:r>
      <w:r>
        <w:rPr>
          <w:u w:color="auto"/>
        </w:rPr>
        <w:t xml:space="preserve">社会保障和就业支出</w:t>
      </w:r>
      <w:r>
        <w:rPr>
          <w:rFonts w:hint="eastAsia"/>
          <w:lang w:val="en-US" w:eastAsia="zh-CN"/>
        </w:rPr>
        <w:t xml:space="preserve">7.26</w:t>
      </w:r>
      <w:r>
        <w:rPr>
          <w:rFonts w:hint="eastAsia"/>
        </w:rPr>
        <w:t xml:space="preserve">万元，占支出总预算</w:t>
      </w:r>
      <w:r>
        <w:rPr>
          <w:rFonts w:hint="eastAsia"/>
          <w:lang w:val="en-US" w:eastAsia="zh-CN"/>
        </w:rPr>
        <w:t xml:space="preserve">9.32%</w:t>
      </w:r>
      <w:r>
        <w:rPr>
          <w:rFonts w:hint="eastAsia"/>
        </w:rPr>
        <w:t xml:space="preserve">,比上年</w:t>
      </w:r>
      <w:r>
        <w:rPr>
          <w:rFonts w:hint="eastAsia"/>
          <w:lang w:val="en-US" w:eastAsia="zh-CN"/>
        </w:rPr>
        <w:t xml:space="preserve">增长1.63</w:t>
      </w:r>
      <w:r>
        <w:rPr>
          <w:rFonts w:hint="eastAsia"/>
        </w:rPr>
        <w:t xml:space="preserve">万元，</w:t>
      </w:r>
      <w:r>
        <w:rPr>
          <w:rFonts w:hint="eastAsia"/>
          <w:lang w:val="en-US" w:eastAsia="zh-CN"/>
        </w:rPr>
        <w:t xml:space="preserve">增长28.95%</w:t>
      </w:r>
      <w:r>
        <w:rPr>
          <w:rFonts w:hint="eastAsia"/>
        </w:rPr>
        <w:t xml:space="preserve">,</w:t>
      </w:r>
      <w:r>
        <w:rPr>
          <w:rFonts w:hint="eastAsia"/>
          <w:highlight w:val="none"/>
        </w:rPr>
        <w:t xml:space="preserve">主要原因是：</w:t>
      </w:r>
      <w:r>
        <w:rPr>
          <w:rFonts w:hint="eastAsia"/>
          <w:highlight w:val="none"/>
          <w:lang w:val="en-US" w:eastAsia="zh-CN"/>
        </w:rPr>
        <w:t xml:space="preserve">2023年3月及4月份分别各调入一名职工，2023年共调入2名职工，且每年调整的薪资收入增加，故申报基数增加，费用跟着增长，致社会保障和就业支出较2023年度预算数增加</w:t>
      </w:r>
      <w:r>
        <w:rPr>
          <w:rFonts w:hint="eastAsia"/>
          <w:highlight w:val="none"/>
        </w:rPr>
        <w:t xml:space="preserve">。</w:t>
      </w:r>
    </w:p>
    <w:p>
      <w:pPr>
        <w:pStyle w:val="Bodytext|1"/>
        <w:spacing w:line="623" w:lineRule="exact"/>
        <w:ind w:left="0" w:firstLine="560" w:leftChars="0" w:firstLineChars="200"/>
        <w:jc w:val="left"/>
        <w:rPr>
          <w:rFonts w:hint="eastAsia"/>
        </w:rPr>
      </w:pPr>
      <w:r>
        <w:rPr>
          <w:rFonts w:hint="eastAsia"/>
        </w:rPr>
        <w:t xml:space="preserve">(</w:t>
      </w:r>
      <w:r>
        <w:rPr>
          <w:u w:color="auto"/>
        </w:rPr>
        <w:t xml:space="preserve">3</w:t>
      </w:r>
      <w:r>
        <w:rPr>
          <w:u w:color="auto"/>
        </w:rPr>
        <w:t xml:space="preserve">)</w:t>
      </w:r>
      <w:r>
        <w:rPr>
          <w:u w:color="auto"/>
        </w:rPr>
        <w:t xml:space="preserve">住房保障支出</w:t>
      </w:r>
      <w:r>
        <w:rPr>
          <w:rFonts w:hint="eastAsia"/>
          <w:lang w:val="en-US" w:eastAsia="zh-CN"/>
        </w:rPr>
        <w:t xml:space="preserve">6.13</w:t>
      </w:r>
      <w:r>
        <w:rPr>
          <w:rFonts w:hint="eastAsia"/>
        </w:rPr>
        <w:t xml:space="preserve">万元，占支出总预算</w:t>
      </w:r>
      <w:r>
        <w:rPr>
          <w:rFonts w:hint="eastAsia"/>
          <w:lang w:val="en-US" w:eastAsia="zh-CN"/>
        </w:rPr>
        <w:t xml:space="preserve">7.87%</w:t>
      </w:r>
      <w:r>
        <w:rPr>
          <w:rFonts w:hint="eastAsia"/>
        </w:rPr>
        <w:t xml:space="preserve">,比上年</w:t>
      </w:r>
      <w:r>
        <w:rPr>
          <w:rFonts w:hint="eastAsia"/>
          <w:lang w:val="en-US" w:eastAsia="zh-CN"/>
        </w:rPr>
        <w:t xml:space="preserve">增长1.91</w:t>
      </w:r>
      <w:r>
        <w:rPr>
          <w:rFonts w:hint="eastAsia"/>
        </w:rPr>
        <w:t xml:space="preserve">万元，</w:t>
      </w:r>
      <w:r>
        <w:rPr>
          <w:rFonts w:hint="eastAsia"/>
          <w:lang w:val="en-US" w:eastAsia="zh-CN"/>
        </w:rPr>
        <w:t xml:space="preserve">增长45.26%</w:t>
      </w:r>
      <w:r>
        <w:rPr>
          <w:rFonts w:hint="eastAsia"/>
        </w:rPr>
        <w:t xml:space="preserve">,</w:t>
      </w:r>
      <w:r>
        <w:rPr>
          <w:rFonts w:hint="eastAsia"/>
          <w:highlight w:val="none"/>
        </w:rPr>
        <w:t xml:space="preserve">主要原因是：</w:t>
      </w:r>
      <w:r>
        <w:rPr>
          <w:rFonts w:hint="eastAsia"/>
          <w:highlight w:val="none"/>
          <w:lang w:val="en-US" w:eastAsia="zh-CN"/>
        </w:rPr>
        <w:t xml:space="preserve">2023年3月及4月份分别各调入一名职工，2023年共调入2名职工，且每年调整的薪资收入增加，故申报基数增加，费用跟着增长，致住房保障支出较2023年度预算数增加</w:t>
      </w:r>
      <w:r>
        <w:rPr>
          <w:rFonts w:hint="eastAsia"/>
          <w:highlight w:val="none"/>
        </w:rPr>
        <w:t xml:space="preserve">。</w:t>
      </w:r>
    </w:p>
    <w:p>
      <w:pPr>
        <w:pStyle w:val="Bodytext|1"/>
        <w:spacing w:line="635" w:lineRule="exact"/>
        <w:ind w:firstLine="740"/>
        <w:jc w:val="left"/>
      </w:pPr>
      <w:r>
        <w:t xml:space="preserve">(二)按支出结构分类划分，分为基本支出预算和项目支出预算。</w:t>
      </w:r>
    </w:p>
    <w:p>
      <w:pPr>
        <w:pStyle w:val="Bodytext|1"/>
        <w:spacing w:line="635" w:lineRule="exact"/>
        <w:ind w:firstLine="600"/>
        <w:jc w:val="left"/>
      </w:pPr>
      <w:r>
        <w:rPr>
          <w:rFonts w:ascii="Times New Roman" w:eastAsia="Times New Roman" w:hAnsi="Times New Roman" w:cs="Times New Roman"/>
          <w:sz w:val="30"/>
          <w:szCs w:val="30"/>
        </w:rPr>
        <w:t xml:space="preserve">1</w:t>
      </w:r>
      <w:r>
        <w:t xml:space="preserve">.基本支出预算。</w:t>
      </w:r>
    </w:p>
    <w:p>
      <w:pPr>
        <w:pStyle w:val="Bodytext|1"/>
        <w:spacing w:line="619" w:lineRule="exact"/>
        <w:ind w:firstLine="600"/>
        <w:jc w:val="left"/>
        <w:rPr>
          <w:rFonts w:hint="eastAsia"/>
          <w:lang w:val="en-US" w:eastAsia="zh-CN"/>
        </w:rPr>
      </w:pPr>
      <w:r>
        <w:rPr>
          <w:rFonts w:hint="eastAsia"/>
        </w:rPr>
        <w:t xml:space="preserve">基本支出预算</w:t>
      </w:r>
      <w:r>
        <w:rPr>
          <w:rFonts w:hint="eastAsia"/>
          <w:lang w:val="en-US" w:eastAsia="zh-CN"/>
        </w:rPr>
        <w:t xml:space="preserve">69.71</w:t>
      </w:r>
      <w:r>
        <w:rPr>
          <w:rFonts w:hint="eastAsia"/>
        </w:rPr>
        <w:t xml:space="preserve">万元，占支出预算</w:t>
      </w:r>
      <w:r>
        <w:rPr>
          <w:u w:color="auto"/>
        </w:rPr>
        <w:t xml:space="preserve">89.48%</w:t>
      </w:r>
      <w:r>
        <w:rPr>
          <w:u w:color="auto"/>
        </w:rPr>
        <w:t xml:space="preserve">,比上年</w:t>
      </w:r>
      <w:r>
        <w:rPr>
          <w:u w:color="auto"/>
        </w:rPr>
        <w:t xml:space="preserve">增长23.30</w:t>
      </w:r>
      <w:r>
        <w:rPr>
          <w:u w:color="auto"/>
        </w:rPr>
        <w:t xml:space="preserve">万元，</w:t>
      </w:r>
      <w:r>
        <w:rPr>
          <w:u w:color="auto"/>
        </w:rPr>
        <w:t xml:space="preserve">增长50.20%</w:t>
      </w:r>
      <w:r>
        <w:t xml:space="preserve">。</w:t>
      </w:r>
      <w:r>
        <w:rPr>
          <w:rFonts w:hint="eastAsia"/>
          <w:lang w:val="en-US" w:eastAsia="zh-CN"/>
        </w:rPr>
        <w:t xml:space="preserve">其中：</w:t>
      </w:r>
    </w:p>
    <w:p>
      <w:pPr>
        <w:pStyle w:val="Bodytext|3"/>
        <w:spacing w:after="0" w:line="619" w:lineRule="exact"/>
        <w:ind w:firstLine="740"/>
        <w:jc w:val="left"/>
        <w:rPr>
          <w:rFonts w:hint="eastAsia"/>
          <w:highlight w:val="none"/>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1</w:t>
      </w:r>
      <w:r>
        <w:rPr>
          <w:rFonts w:ascii="宋体" w:eastAsia="宋体" w:hAnsi="宋体" w:cs="宋体"/>
          <w:sz w:val="28"/>
          <w:u w:color="auto"/>
        </w:rPr>
        <w:t xml:space="preserve">)</w:t>
      </w:r>
      <w:r>
        <w:rPr>
          <w:rFonts w:ascii="宋体" w:eastAsia="宋体" w:hAnsi="宋体" w:cs="宋体"/>
          <w:sz w:val="28"/>
          <w:u w:color="auto"/>
        </w:rPr>
        <w:t xml:space="preserve">工资福利支出</w:t>
      </w:r>
      <w:r>
        <w:rPr>
          <w:rFonts w:ascii="宋体" w:eastAsia="宋体" w:hAnsi="宋体" w:cs="宋体" w:hint="eastAsia"/>
          <w:sz w:val="28"/>
          <w:szCs w:val="28"/>
          <w:lang w:val="en-US" w:eastAsia="zh-CN"/>
        </w:rPr>
        <w:t xml:space="preserve">62.48</w:t>
      </w:r>
      <w:r>
        <w:rPr>
          <w:rFonts w:ascii="宋体" w:eastAsia="宋体" w:hAnsi="宋体" w:cs="宋体" w:hint="eastAsia"/>
          <w:sz w:val="28"/>
          <w:szCs w:val="28"/>
        </w:rPr>
        <w:t xml:space="preserve">万</w:t>
      </w:r>
      <w:r>
        <w:rPr>
          <w:rFonts w:ascii="宋体" w:eastAsia="宋体" w:hAnsi="宋体" w:cs="宋体"/>
          <w:sz w:val="28"/>
          <w:szCs w:val="28"/>
        </w:rPr>
        <w:t xml:space="preserve">元，占基本支出总预算</w:t>
      </w:r>
      <w:r>
        <w:rPr>
          <w:rFonts w:ascii="宋体" w:eastAsia="宋体" w:hAnsi="宋体" w:cs="宋体" w:hint="eastAsia"/>
          <w:sz w:val="28"/>
          <w:szCs w:val="28"/>
          <w:lang w:val="en-US" w:eastAsia="zh-CN"/>
        </w:rPr>
        <w:t xml:space="preserve">89.63%</w:t>
      </w:r>
      <w:r>
        <w:rPr>
          <w:rFonts w:hint="eastAsia"/>
        </w:rPr>
        <w:t xml:space="preserve">,</w:t>
      </w:r>
      <w:r>
        <w:t xml:space="preserve">比上年</w:t>
      </w:r>
      <w:r>
        <w:rPr>
          <w:rFonts w:hint="eastAsia"/>
        </w:rPr>
        <w:t xml:space="preserve">增长21.29</w:t>
      </w:r>
      <w:r>
        <w:t xml:space="preserve">万元，</w:t>
      </w:r>
      <w:r>
        <w:rPr>
          <w:rFonts w:hint="eastAsia"/>
        </w:rPr>
        <w:t xml:space="preserve">增长51.69%</w:t>
      </w:r>
      <w:r>
        <w:rPr>
          <w:rFonts w:ascii="Times New Roman" w:eastAsia="Times New Roman" w:hAnsi="Times New Roman" w:cs="Times New Roman"/>
          <w:sz w:val="30"/>
          <w:szCs w:val="30"/>
          <w:highlight w:val="none"/>
        </w:rPr>
        <w:t xml:space="preserve">,</w:t>
      </w:r>
      <w:r>
        <w:rPr>
          <w:highlight w:val="none"/>
        </w:rPr>
        <w:t xml:space="preserve">主要原因是：</w:t>
      </w:r>
      <w:r>
        <w:rPr>
          <w:rFonts w:hint="eastAsia"/>
          <w:highlight w:val="none"/>
        </w:rPr>
        <w:t xml:space="preserve">2023年3月份和4月份分别各调入一名领导人员，2023年共调入2名职工，把行政参公人员的基础绩效奖纳入到2024年预算中，故基本支出预算增长</w:t>
      </w:r>
    </w:p>
    <w:p>
      <w:pPr>
        <w:pStyle w:val="Bodytext|3"/>
        <w:spacing w:after="0" w:line="619" w:lineRule="exact"/>
        <w:ind w:firstLine="740"/>
        <w:jc w:val="left"/>
        <w:rPr>
          <w:rFonts w:hint="eastAsia"/>
          <w:highlight w:val="none"/>
          <w:lang w:val="en-US" w:eastAsia="zh-CN"/>
        </w:rPr>
      </w:pPr>
      <w:r>
        <w:rPr>
          <w:rFonts w:hint="eastAsia"/>
          <w:highlight w:val="none"/>
          <w:lang w:val="en-US" w:eastAsia="zh-CN"/>
        </w:rPr>
        <w:t xml:space="preserve">。</w:t>
      </w:r>
    </w:p>
    <w:p>
      <w:pPr>
        <w:pStyle w:val="Bodytext|3"/>
        <w:spacing w:after="0" w:line="619" w:lineRule="exact"/>
        <w:ind w:firstLine="740"/>
        <w:jc w:val="left"/>
        <w:rPr>
          <w:rFonts w:hint="eastAsia"/>
          <w:highlight w:val="none"/>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2</w:t>
      </w:r>
      <w:r>
        <w:rPr>
          <w:rFonts w:ascii="宋体" w:eastAsia="宋体" w:hAnsi="宋体" w:cs="宋体"/>
          <w:sz w:val="28"/>
          <w:u w:color="auto"/>
        </w:rPr>
        <w:t xml:space="preserve">)</w:t>
      </w:r>
      <w:r>
        <w:rPr>
          <w:rFonts w:ascii="宋体" w:eastAsia="宋体" w:hAnsi="宋体" w:cs="宋体"/>
          <w:sz w:val="28"/>
          <w:u w:color="auto"/>
        </w:rPr>
        <w:t xml:space="preserve">商品和服务支出</w:t>
      </w:r>
      <w:r>
        <w:rPr>
          <w:rFonts w:ascii="宋体" w:eastAsia="宋体" w:hAnsi="宋体" w:cs="宋体" w:hint="eastAsia"/>
          <w:sz w:val="28"/>
          <w:szCs w:val="28"/>
          <w:lang w:val="en-US" w:eastAsia="zh-CN"/>
        </w:rPr>
        <w:t xml:space="preserve">5.89</w:t>
      </w:r>
      <w:r>
        <w:rPr>
          <w:rFonts w:ascii="宋体" w:eastAsia="宋体" w:hAnsi="宋体" w:cs="宋体" w:hint="eastAsia"/>
          <w:sz w:val="28"/>
          <w:szCs w:val="28"/>
        </w:rPr>
        <w:t xml:space="preserve">万</w:t>
      </w:r>
      <w:r>
        <w:rPr>
          <w:rFonts w:ascii="宋体" w:eastAsia="宋体" w:hAnsi="宋体" w:cs="宋体"/>
          <w:sz w:val="28"/>
          <w:szCs w:val="28"/>
        </w:rPr>
        <w:t xml:space="preserve">元，占基本支出总预算</w:t>
      </w:r>
      <w:r>
        <w:rPr>
          <w:rFonts w:ascii="宋体" w:eastAsia="宋体" w:hAnsi="宋体" w:cs="宋体" w:hint="eastAsia"/>
          <w:sz w:val="28"/>
          <w:szCs w:val="28"/>
          <w:lang w:val="en-US" w:eastAsia="zh-CN"/>
        </w:rPr>
        <w:t xml:space="preserve">8.45%</w:t>
      </w:r>
      <w:r>
        <w:rPr>
          <w:rFonts w:hint="eastAsia"/>
        </w:rPr>
        <w:t xml:space="preserve">,</w:t>
      </w:r>
      <w:r>
        <w:t xml:space="preserve">比上年</w:t>
      </w:r>
      <w:r>
        <w:rPr>
          <w:rFonts w:hint="eastAsia"/>
        </w:rPr>
        <w:t xml:space="preserve">增长0.67</w:t>
      </w:r>
      <w:r>
        <w:t xml:space="preserve">万元，</w:t>
      </w:r>
      <w:r>
        <w:rPr>
          <w:rFonts w:hint="eastAsia"/>
        </w:rPr>
        <w:t xml:space="preserve">增长12.84%</w:t>
      </w:r>
      <w:r>
        <w:rPr>
          <w:rFonts w:ascii="Times New Roman" w:eastAsia="Times New Roman" w:hAnsi="Times New Roman" w:cs="Times New Roman"/>
          <w:sz w:val="30"/>
          <w:szCs w:val="30"/>
          <w:highlight w:val="none"/>
        </w:rPr>
        <w:t xml:space="preserve">,</w:t>
      </w:r>
      <w:r>
        <w:rPr>
          <w:highlight w:val="none"/>
        </w:rPr>
        <w:t xml:space="preserve">主要原因是：</w:t>
      </w:r>
      <w:r>
        <w:rPr>
          <w:rFonts w:hint="eastAsia"/>
          <w:highlight w:val="none"/>
        </w:rPr>
        <w:t xml:space="preserve">2023年3月份和4月份分别各调入两名领导人员，各项费用支出增加，人员增加导致增长的主要原因</w:t>
      </w:r>
      <w:r>
        <w:rPr>
          <w:rFonts w:hint="eastAsia"/>
          <w:highlight w:val="none"/>
          <w:lang w:val="en-US" w:eastAsia="zh-CN"/>
        </w:rPr>
        <w:t xml:space="preserve">。</w:t>
      </w:r>
    </w:p>
    <w:p>
      <w:pPr>
        <w:pStyle w:val="Bodytext|3"/>
        <w:spacing w:after="0" w:line="619" w:lineRule="exact"/>
        <w:ind w:firstLine="740"/>
        <w:jc w:val="left"/>
        <w:rPr>
          <w:rFonts w:hint="eastAsia"/>
          <w:highlight w:val="none"/>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3</w:t>
      </w:r>
      <w:r>
        <w:rPr>
          <w:rFonts w:ascii="宋体" w:eastAsia="宋体" w:hAnsi="宋体" w:cs="宋体"/>
          <w:sz w:val="28"/>
          <w:u w:color="auto"/>
        </w:rPr>
        <w:t xml:space="preserve">)</w:t>
      </w:r>
      <w:r>
        <w:rPr>
          <w:rFonts w:ascii="宋体" w:eastAsia="宋体" w:hAnsi="宋体" w:cs="宋体"/>
          <w:sz w:val="28"/>
          <w:u w:color="auto"/>
        </w:rPr>
        <w:t xml:space="preserve">对个人和家庭的补助</w:t>
      </w:r>
      <w:r>
        <w:rPr>
          <w:rFonts w:ascii="宋体" w:eastAsia="宋体" w:hAnsi="宋体" w:cs="宋体" w:hint="eastAsia"/>
          <w:sz w:val="28"/>
          <w:szCs w:val="28"/>
          <w:lang w:val="en-US" w:eastAsia="zh-CN"/>
        </w:rPr>
        <w:t xml:space="preserve">1.34</w:t>
      </w:r>
      <w:r>
        <w:rPr>
          <w:rFonts w:ascii="宋体" w:eastAsia="宋体" w:hAnsi="宋体" w:cs="宋体" w:hint="eastAsia"/>
          <w:sz w:val="28"/>
          <w:szCs w:val="28"/>
        </w:rPr>
        <w:t xml:space="preserve">万</w:t>
      </w:r>
      <w:r>
        <w:rPr>
          <w:rFonts w:ascii="宋体" w:eastAsia="宋体" w:hAnsi="宋体" w:cs="宋体"/>
          <w:sz w:val="28"/>
          <w:szCs w:val="28"/>
        </w:rPr>
        <w:t xml:space="preserve">元，占基本支出总预算</w:t>
      </w:r>
      <w:r>
        <w:rPr>
          <w:rFonts w:ascii="宋体" w:eastAsia="宋体" w:hAnsi="宋体" w:cs="宋体" w:hint="eastAsia"/>
          <w:sz w:val="28"/>
          <w:szCs w:val="28"/>
          <w:lang w:val="en-US" w:eastAsia="zh-CN"/>
        </w:rPr>
        <w:t xml:space="preserve">1.92%</w:t>
      </w:r>
      <w:r>
        <w:rPr>
          <w:rFonts w:hint="eastAsia"/>
        </w:rPr>
        <w:t xml:space="preserve">,</w:t>
      </w:r>
      <w:r>
        <w:t xml:space="preserve">比上年</w:t>
      </w:r>
      <w:r>
        <w:rPr>
          <w:rFonts w:hint="eastAsia"/>
        </w:rPr>
        <w:t xml:space="preserve">增长1.34</w:t>
      </w:r>
      <w:r>
        <w:t xml:space="preserve">万元，</w:t>
      </w:r>
      <w:r>
        <w:rPr>
          <w:rFonts w:hint="eastAsia"/>
        </w:rPr>
        <w:t xml:space="preserve">增长100%</w:t>
      </w:r>
      <w:r>
        <w:rPr>
          <w:rFonts w:ascii="Times New Roman" w:eastAsia="Times New Roman" w:hAnsi="Times New Roman" w:cs="Times New Roman"/>
          <w:sz w:val="30"/>
          <w:szCs w:val="30"/>
          <w:highlight w:val="none"/>
        </w:rPr>
        <w:t xml:space="preserve">,</w:t>
      </w:r>
      <w:r>
        <w:rPr>
          <w:highlight w:val="none"/>
        </w:rPr>
        <w:t xml:space="preserve">主要原因是：</w:t>
      </w:r>
      <w:r>
        <w:rPr>
          <w:rFonts w:hint="eastAsia"/>
          <w:highlight w:val="none"/>
        </w:rPr>
        <w:t xml:space="preserve">2023年8月份有一名职工退休</w:t>
      </w:r>
      <w:r>
        <w:rPr>
          <w:rFonts w:hint="eastAsia"/>
          <w:highlight w:val="none"/>
          <w:lang w:val="en-US" w:eastAsia="zh-CN"/>
        </w:rPr>
        <w:t xml:space="preserve">。</w:t>
      </w:r>
    </w:p>
    <w:p>
      <w:pPr>
        <w:pStyle w:val="Bodytext|1"/>
        <w:numPr>
          <w:ilvl w:val="0"/>
          <w:numId w:val="3"/>
        </w:numPr>
        <w:spacing w:line="614" w:lineRule="exact"/>
        <w:ind w:firstLine="600"/>
        <w:jc w:val="left"/>
      </w:pPr>
      <w:r>
        <w:t xml:space="preserve">项目支出预算。</w:t>
      </w:r>
    </w:p>
    <w:p>
      <w:pPr>
        <w:pStyle w:val="Bodytext|1"/>
        <w:spacing w:line="619" w:lineRule="exact"/>
        <w:ind w:firstLine="600"/>
        <w:jc w:val="left"/>
        <w:rPr>
          <w:rFonts w:hint="eastAsia"/>
          <w:lang w:val="en-US" w:eastAsia="zh-CN"/>
        </w:rPr>
      </w:pPr>
      <w:r>
        <w:rPr>
          <w:rFonts w:hint="eastAsia"/>
        </w:rPr>
        <w:t xml:space="preserve">项目支出预算</w:t>
      </w:r>
      <w:r>
        <w:rPr>
          <w:rFonts w:hint="eastAsia"/>
          <w:lang w:val="en-US" w:eastAsia="zh-CN"/>
        </w:rPr>
        <w:t xml:space="preserve">8.20</w:t>
      </w:r>
      <w:r>
        <w:rPr>
          <w:rFonts w:hint="eastAsia"/>
        </w:rPr>
        <w:t xml:space="preserve">万元，占支出预算</w:t>
      </w:r>
      <w:r>
        <w:rPr>
          <w:u w:color="auto"/>
        </w:rPr>
        <w:t xml:space="preserve">10.52%</w:t>
      </w:r>
      <w:r>
        <w:rPr>
          <w:rFonts w:hint="eastAsia"/>
        </w:rPr>
        <w:t xml:space="preserve">,比上年</w:t>
      </w:r>
      <w:r>
        <w:rPr>
          <w:u w:color="auto"/>
        </w:rPr>
        <w:t xml:space="preserve">减少0.80</w:t>
      </w:r>
      <w:r>
        <w:rPr>
          <w:rFonts w:hint="eastAsia"/>
        </w:rPr>
        <w:t xml:space="preserve">万元，</w:t>
      </w:r>
      <w:r>
        <w:rPr>
          <w:u w:color="auto"/>
        </w:rPr>
        <w:t xml:space="preserve">减少8.89%</w:t>
      </w:r>
      <w:r>
        <w:t xml:space="preserve">。</w:t>
      </w:r>
      <w:r>
        <w:rPr>
          <w:rFonts w:hint="eastAsia"/>
          <w:lang w:val="en-US" w:eastAsia="zh-CN"/>
        </w:rPr>
        <w:t xml:space="preserve">其中：</w:t>
      </w:r>
    </w:p>
    <w:p>
      <w:pPr>
        <w:pStyle w:val="Bodytext|3"/>
        <w:spacing w:after="0" w:line="619" w:lineRule="exact"/>
        <w:ind w:firstLine="740"/>
        <w:jc w:val="left"/>
        <w:rPr>
          <w:rFonts w:hint="eastAsia"/>
          <w:highlight w:val="none"/>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1</w:t>
      </w:r>
      <w:r>
        <w:rPr>
          <w:rFonts w:ascii="宋体" w:eastAsia="宋体" w:hAnsi="宋体" w:cs="宋体"/>
          <w:sz w:val="28"/>
          <w:u w:color="auto"/>
        </w:rPr>
        <w:t xml:space="preserve">)</w:t>
      </w:r>
      <w:r>
        <w:rPr>
          <w:rFonts w:ascii="宋体" w:eastAsia="宋体" w:hAnsi="宋体" w:cs="宋体"/>
          <w:sz w:val="28"/>
          <w:u w:color="auto"/>
        </w:rPr>
        <w:t xml:space="preserve">商品和服务支出</w:t>
      </w:r>
      <w:r>
        <w:rPr>
          <w:rFonts w:ascii="宋体" w:eastAsia="宋体" w:hAnsi="宋体" w:cs="宋体" w:hint="eastAsia"/>
          <w:sz w:val="28"/>
          <w:szCs w:val="28"/>
          <w:lang w:val="en-US" w:eastAsia="zh-CN"/>
        </w:rPr>
        <w:t xml:space="preserve">8.20</w:t>
      </w:r>
      <w:r>
        <w:rPr>
          <w:rFonts w:ascii="宋体" w:eastAsia="宋体" w:hAnsi="宋体" w:cs="宋体" w:hint="eastAsia"/>
          <w:sz w:val="28"/>
          <w:szCs w:val="28"/>
        </w:rPr>
        <w:t xml:space="preserve">万</w:t>
      </w:r>
      <w:r>
        <w:rPr>
          <w:rFonts w:ascii="宋体" w:eastAsia="宋体" w:hAnsi="宋体" w:cs="宋体"/>
          <w:sz w:val="28"/>
          <w:szCs w:val="28"/>
        </w:rPr>
        <w:t xml:space="preserve">元，占</w:t>
      </w:r>
      <w:r>
        <w:rPr>
          <w:rFonts w:hint="eastAsia"/>
        </w:rPr>
        <w:t xml:space="preserve">项目</w:t>
      </w:r>
      <w:r>
        <w:rPr>
          <w:rFonts w:ascii="宋体" w:eastAsia="宋体" w:hAnsi="宋体" w:cs="宋体"/>
          <w:sz w:val="28"/>
          <w:szCs w:val="28"/>
        </w:rPr>
        <w:t xml:space="preserve">支出总预算</w:t>
      </w:r>
      <w:r>
        <w:rPr>
          <w:rFonts w:ascii="宋体" w:eastAsia="宋体" w:hAnsi="宋体" w:cs="宋体" w:hint="eastAsia"/>
          <w:sz w:val="28"/>
          <w:szCs w:val="28"/>
          <w:lang w:val="en-US" w:eastAsia="zh-CN"/>
        </w:rPr>
        <w:t xml:space="preserve">100.00%</w:t>
      </w:r>
      <w:r>
        <w:t xml:space="preserve">,比上年</w:t>
      </w:r>
      <w:r>
        <w:rPr>
          <w:rFonts w:hint="eastAsia"/>
        </w:rPr>
        <w:t xml:space="preserve">减少0.80</w:t>
      </w:r>
      <w:r>
        <w:t xml:space="preserve">万元，</w:t>
      </w:r>
      <w:r>
        <w:rPr>
          <w:rFonts w:hint="eastAsia"/>
        </w:rPr>
        <w:t xml:space="preserve">减少8.89%</w:t>
      </w:r>
      <w:r>
        <w:rPr>
          <w:rFonts w:ascii="Times New Roman" w:eastAsia="Times New Roman" w:hAnsi="Times New Roman" w:cs="Times New Roman"/>
          <w:sz w:val="30"/>
          <w:szCs w:val="30"/>
          <w:highlight w:val="none"/>
        </w:rPr>
        <w:t xml:space="preserve">,</w:t>
      </w:r>
      <w:r>
        <w:rPr>
          <w:highlight w:val="none"/>
        </w:rPr>
        <w:t xml:space="preserve">主要原因是：</w:t>
      </w:r>
      <w:r>
        <w:rPr>
          <w:rFonts w:hint="eastAsia"/>
          <w:highlight w:val="none"/>
        </w:rPr>
        <w:t xml:space="preserve">本年度共申请了3个项目，总金额是8.2万元，其中2024年社科联工作经费计划投入资金2.6万元，《环江社会科学》计划投入资金3.6万元，用于社会科学普及工作日常经费2万元，均为县财政预算拨款项目，项目资金通过年初预算以及追加预算的方式进行申报，较2023年项目支出，社科联工作经费计划投入资金4.6万元，实际到位资金4.149万元，资金到位率为90.20%，故项目支出减少</w:t>
      </w:r>
      <w:r>
        <w:rPr>
          <w:rFonts w:hint="eastAsia"/>
          <w:highlight w:val="none"/>
          <w:lang w:val="en-US" w:eastAsia="zh-CN"/>
        </w:rPr>
        <w:t xml:space="preserve">。</w:t>
      </w:r>
    </w:p>
    <w:p>
      <w:pPr>
        <w:pStyle w:val="Bodytext|2"/>
        <w:numPr>
          <w:ilvl w:val="0"/>
          <w:numId w:val="0"/>
        </w:numPr>
        <w:tabs>
          <w:tab w:val="left" w:pos="1238"/>
        </w:tabs>
        <w:spacing w:after="0" w:line="625" w:lineRule="exact"/>
        <w:jc w:val="left"/>
        <w:rPr>
          <w:b/>
          <w:bCs/>
        </w:rPr>
      </w:pPr>
    </w:p>
    <w:p>
      <w:pPr>
        <w:pStyle w:val="Bodytext|2"/>
        <w:tabs>
          <w:tab w:val="left" w:pos="1235"/>
        </w:tabs>
        <w:spacing w:after="0" w:line="624" w:lineRule="exact"/>
        <w:ind w:firstLine="580"/>
        <w:jc w:val="left"/>
        <w:rPr>
          <w:b/>
          <w:bCs/>
        </w:rPr>
      </w:pPr>
      <w:r>
        <w:rPr>
          <w:rFonts w:hint="eastAsia"/>
          <w:b/>
          <w:bCs/>
          <w:lang w:val="en-US" w:eastAsia="zh-CN"/>
        </w:rPr>
        <w:t xml:space="preserve">四、</w:t>
      </w:r>
      <w:r>
        <w:rPr>
          <w:b/>
          <w:bCs/>
        </w:rPr>
        <w:t xml:space="preserve">财政拨款收支总体情况说明</w:t>
      </w:r>
    </w:p>
    <w:p>
      <w:pPr>
        <w:pStyle w:val="Bodytext|1"/>
        <w:spacing w:line="240" w:lineRule="auto"/>
        <w:ind w:firstLine="0"/>
        <w:jc w:val="left"/>
        <w:rPr>
          <w:lang w:val="en-US" w:eastAsia="zh-CN"/>
        </w:rPr>
      </w:pPr>
      <w:r>
        <w:rPr>
          <w:rFonts w:hint="eastAsia"/>
          <w:lang w:val="en-US" w:eastAsia="zh-CN"/>
        </w:rPr>
        <w:drawing>
          <wp:inline distT="0" distB="0" distL="114300" distR="114300">
            <wp:extent cx="5080000" cy="3810000"/>
            <wp:effectExtent l="4445" t="4445" r="20955" b="14605"/>
            <wp:docPr id="2199" name="图表 13" title="{{img_sz_c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8"/>
              </a:graphicData>
            </a:graphic>
          </wp:inline>
        </w:drawing>
      </w:r>
    </w:p>
    <w:p>
      <w:pPr>
        <w:pStyle w:val="Bodytext|1"/>
        <w:spacing w:line="624" w:lineRule="exact"/>
        <w:ind w:firstLine="600"/>
        <w:jc w:val="left"/>
        <w:rPr>
          <w:rFonts w:ascii="宋体" w:eastAsia="宋体" w:hAnsi="宋体" w:cs="宋体" w:hint="eastAsia"/>
          <w:sz w:val="28"/>
          <w:szCs w:val="28"/>
        </w:rPr>
      </w:pPr>
      <w:r>
        <w:rPr>
          <w:rFonts w:ascii="宋体" w:eastAsia="宋体" w:hAnsi="宋体" w:cs="宋体" w:hint="eastAsia"/>
          <w:sz w:val="28"/>
          <w:szCs w:val="28"/>
          <w:lang w:eastAsia="zh-CN"/>
        </w:rPr>
        <w:t xml:space="preserve">2024</w:t>
      </w:r>
      <w:r>
        <w:rPr>
          <w:rFonts w:ascii="宋体" w:eastAsia="宋体" w:hAnsi="宋体" w:cs="宋体" w:hint="eastAsia"/>
          <w:sz w:val="28"/>
          <w:szCs w:val="28"/>
          <w:u w:color="auto"/>
        </w:rPr>
        <w:t xml:space="preserve">年</w:t>
      </w:r>
      <w:r>
        <w:rPr>
          <w:rFonts w:ascii="宋体" w:eastAsia="宋体" w:hAnsi="宋体" w:cs="宋体" w:hint="eastAsia"/>
          <w:sz w:val="28"/>
          <w:szCs w:val="28"/>
        </w:rPr>
        <w:t xml:space="preserve">财政拨款收入我部门财政拨款总收入</w:t>
      </w:r>
      <w:r>
        <w:rPr>
          <w:rFonts w:ascii="宋体" w:eastAsia="宋体" w:hAnsi="宋体" w:cs="宋体" w:hint="eastAsia"/>
          <w:sz w:val="28"/>
          <w:szCs w:val="28"/>
          <w:lang w:val="en-US" w:eastAsia="zh-CN" w:bidi="en-US"/>
        </w:rPr>
        <w:t xml:space="preserve">77.91</w:t>
      </w:r>
      <w:r>
        <w:rPr>
          <w:rFonts w:ascii="宋体" w:eastAsia="宋体" w:hAnsi="宋体" w:cs="宋体" w:hint="eastAsia"/>
          <w:sz w:val="28"/>
          <w:szCs w:val="28"/>
        </w:rPr>
        <w:t xml:space="preserve">万元，总支出</w:t>
      </w:r>
      <w:r>
        <w:rPr>
          <w:rFonts w:ascii="宋体" w:eastAsia="宋体" w:hAnsi="宋体" w:cs="宋体" w:hint="eastAsia"/>
          <w:sz w:val="28"/>
          <w:szCs w:val="28"/>
          <w:lang w:val="en-US" w:eastAsia="zh-CN" w:bidi="en-US"/>
        </w:rPr>
        <w:t xml:space="preserve">77.91</w:t>
      </w:r>
      <w:r>
        <w:rPr>
          <w:rFonts w:ascii="宋体" w:eastAsia="宋体" w:hAnsi="宋体" w:cs="宋体" w:hint="eastAsia"/>
          <w:sz w:val="28"/>
          <w:szCs w:val="28"/>
        </w:rPr>
        <w:t xml:space="preserve">万元。财政拨款总收入较2023年度预算数</w:t>
      </w:r>
      <w:r>
        <w:rPr>
          <w:rFonts w:ascii="宋体" w:eastAsia="宋体" w:hAnsi="宋体" w:cs="宋体" w:hint="eastAsia"/>
          <w:sz w:val="28"/>
          <w:szCs w:val="28"/>
          <w:lang w:val="en-US" w:eastAsia="zh-CN" w:bidi="en-US"/>
        </w:rPr>
        <w:t xml:space="preserve">55.41</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增加22.50</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增长40.61%</w:t>
      </w:r>
      <w:r>
        <w:rPr>
          <w:rFonts w:ascii="宋体" w:eastAsia="宋体" w:hAnsi="宋体" w:cs="宋体" w:hint="eastAsia"/>
          <w:sz w:val="28"/>
          <w:szCs w:val="28"/>
        </w:rPr>
        <w:t xml:space="preserve">，主要原因是</w:t>
      </w:r>
      <w:r>
        <w:rPr>
          <w:rFonts w:hint="eastAsia"/>
          <w:highlight w:val="none"/>
          <w:lang w:val="en-US" w:eastAsia="zh-CN"/>
        </w:rPr>
        <w:t xml:space="preserve">有人员调入，2023年3月份调入一名一级主任科员，2023年4月份又调入一名一级主任科员（乡科级正职领导），2023年共调入2名职工，且每年调整的薪资收入增加，社保申报基数增加，费用跟着增长，导致预算收入增加</w:t>
      </w:r>
      <w:r>
        <w:rPr>
          <w:rFonts w:ascii="宋体" w:eastAsia="宋体" w:hAnsi="宋体" w:cs="宋体" w:hint="eastAsia"/>
          <w:sz w:val="28"/>
          <w:szCs w:val="28"/>
        </w:rPr>
        <w:t xml:space="preserve">。财政拨款总支出较2023年度预算数</w:t>
      </w:r>
      <w:r>
        <w:rPr>
          <w:rFonts w:ascii="宋体" w:eastAsia="宋体" w:hAnsi="宋体" w:cs="宋体" w:hint="eastAsia"/>
          <w:sz w:val="28"/>
          <w:szCs w:val="28"/>
          <w:lang w:val="en-US" w:eastAsia="zh-CN" w:bidi="en-US"/>
        </w:rPr>
        <w:t xml:space="preserve">55.41</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增加22.50</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增长40.61%</w:t>
      </w:r>
      <w:r>
        <w:rPr>
          <w:rFonts w:ascii="宋体" w:eastAsia="宋体" w:hAnsi="宋体" w:cs="宋体" w:hint="eastAsia"/>
          <w:sz w:val="28"/>
          <w:szCs w:val="28"/>
        </w:rPr>
        <w:t xml:space="preserve">，主要原因是</w:t>
      </w:r>
      <w:r>
        <w:rPr>
          <w:rFonts w:hint="eastAsia"/>
          <w:highlight w:val="none"/>
          <w:lang w:val="en-US" w:eastAsia="zh-CN"/>
        </w:rPr>
        <w:t xml:space="preserve">有人员调入，2023年3月份调入一名一级主任科员，2023年4月份又调入一名一级主任科员（乡科级正职领导），2023年共调入2名职工，且每年调整的薪资收入增加，社保申报基数增加，费用跟着增长，导致预算收入增加</w:t>
      </w:r>
      <w:r>
        <w:rPr>
          <w:rFonts w:ascii="宋体" w:eastAsia="宋体" w:hAnsi="宋体" w:cs="宋体" w:hint="eastAsia"/>
          <w:sz w:val="28"/>
          <w:szCs w:val="28"/>
        </w:rPr>
        <w:t xml:space="preserve">。</w:t>
      </w:r>
    </w:p>
    <w:p>
      <w:pPr>
        <w:pStyle w:val="Bodytext|2"/>
        <w:numPr>
          <w:ilvl w:val="0"/>
          <w:numId w:val="0"/>
        </w:numPr>
        <w:tabs>
          <w:tab w:val="left" w:pos="1238"/>
        </w:tabs>
        <w:spacing w:after="0" w:line="625" w:lineRule="exact"/>
        <w:ind w:firstLine="560" w:firstLineChars="200"/>
        <w:jc w:val="left"/>
        <w:rPr>
          <w:rFonts w:hint="eastAsia"/>
          <w:sz w:val="28"/>
          <w:szCs w:val="28"/>
        </w:rPr>
      </w:pPr>
    </w:p>
    <w:p>
      <w:pPr>
        <w:pStyle w:val="Bodytext|2"/>
        <w:tabs>
          <w:tab w:val="left" w:pos="1235"/>
        </w:tabs>
        <w:spacing w:after="0" w:line="624" w:lineRule="exact"/>
        <w:ind w:firstLine="580"/>
        <w:jc w:val="left"/>
        <w:rPr>
          <w:b/>
          <w:bCs/>
        </w:rPr>
      </w:pPr>
      <w:r>
        <w:rPr>
          <w:rFonts w:hint="eastAsia"/>
          <w:b/>
          <w:bCs/>
          <w:lang w:val="en-US" w:eastAsia="zh-CN"/>
        </w:rPr>
        <w:t xml:space="preserve">五、</w:t>
      </w:r>
      <w:r>
        <w:rPr>
          <w:b/>
          <w:bCs/>
        </w:rPr>
        <w:t xml:space="preserve">一般公共预算支出情况说明</w:t>
      </w:r>
    </w:p>
    <w:p>
      <w:pPr>
        <w:pStyle w:val="Bodytext|1"/>
        <w:spacing w:line="240" w:lineRule="auto"/>
        <w:ind w:firstLine="0"/>
        <w:jc w:val="left"/>
        <w:rPr>
          <w:lang w:eastAsia="zh-CN"/>
        </w:rPr>
      </w:pPr>
      <w:r>
        <w:rPr>
          <w:lang w:eastAsia="zh-CN"/>
        </w:rPr>
        <w:drawing>
          <wp:inline distT="0" distB="0" distL="114300" distR="114300">
            <wp:extent cx="5080000" cy="3810000"/>
            <wp:effectExtent l="4445" t="4445" r="20955" b="14605"/>
            <wp:docPr id="2200" name="图表 10" title="{{img_zc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9"/>
              </a:graphicData>
            </a:graphic>
          </wp:inline>
        </w:drawing>
      </w:r>
    </w:p>
    <w:p>
      <w:pPr>
        <w:pStyle w:val="Bodytext|1"/>
        <w:spacing w:line="623" w:lineRule="exact"/>
        <w:ind w:left="0" w:firstLine="560" w:leftChars="0" w:firstLineChars="200"/>
        <w:jc w:val="left"/>
        <w:rPr>
          <w:rFonts w:ascii="宋体" w:eastAsia="宋体" w:hAnsi="宋体" w:cs="宋体" w:hint="eastAsia"/>
          <w:sz w:val="28"/>
          <w:szCs w:val="28"/>
        </w:rPr>
      </w:pPr>
      <w:r>
        <w:rPr>
          <w:rFonts w:ascii="宋体" w:eastAsia="宋体" w:hAnsi="宋体" w:cs="宋体" w:hint="eastAsia"/>
          <w:sz w:val="28"/>
          <w:szCs w:val="28"/>
          <w:lang w:eastAsia="zh-CN"/>
        </w:rPr>
        <w:t xml:space="preserve">2024</w:t>
      </w:r>
      <w:r>
        <w:rPr>
          <w:rFonts w:ascii="宋体" w:eastAsia="宋体" w:hAnsi="宋体" w:cs="宋体" w:hint="eastAsia"/>
          <w:sz w:val="28"/>
          <w:szCs w:val="28"/>
          <w:lang w:val="en-US" w:eastAsia="zh-CN"/>
        </w:rPr>
        <w:t xml:space="preserve">年</w:t>
      </w:r>
      <w:r>
        <w:rPr>
          <w:rFonts w:ascii="宋体" w:eastAsia="宋体" w:hAnsi="宋体" w:cs="宋体" w:hint="eastAsia"/>
          <w:sz w:val="28"/>
          <w:szCs w:val="28"/>
        </w:rPr>
        <w:t xml:space="preserve">一般公共预算支出共</w:t>
      </w:r>
      <w:r>
        <w:rPr>
          <w:rFonts w:ascii="宋体" w:eastAsia="宋体" w:hAnsi="宋体" w:cs="宋体" w:hint="eastAsia"/>
          <w:sz w:val="28"/>
          <w:szCs w:val="28"/>
          <w:lang w:val="en-US" w:eastAsia="zh-CN"/>
        </w:rPr>
        <w:t xml:space="preserve">77.91</w:t>
      </w:r>
      <w:r>
        <w:rPr>
          <w:rFonts w:ascii="宋体" w:eastAsia="宋体" w:hAnsi="宋体" w:cs="宋体" w:hint="eastAsia"/>
          <w:sz w:val="28"/>
          <w:szCs w:val="28"/>
        </w:rPr>
        <w:t xml:space="preserve">万元，较2023年度预算数</w:t>
      </w:r>
      <w:r>
        <w:rPr>
          <w:rFonts w:ascii="宋体" w:eastAsia="宋体" w:hAnsi="宋体" w:cs="宋体" w:hint="eastAsia"/>
          <w:sz w:val="28"/>
          <w:szCs w:val="28"/>
          <w:lang w:val="en-US" w:eastAsia="zh-CN"/>
        </w:rPr>
        <w:t xml:space="preserve">55.41</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增加22.50</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增长40.61%</w:t>
      </w:r>
      <w:r>
        <w:rPr>
          <w:rFonts w:ascii="宋体" w:eastAsia="宋体" w:hAnsi="宋体" w:cs="宋体" w:hint="eastAsia"/>
          <w:sz w:val="28"/>
          <w:szCs w:val="28"/>
        </w:rPr>
        <w:t xml:space="preserve">，主要原因是</w:t>
      </w:r>
      <w:r>
        <w:rPr>
          <w:rFonts w:hint="eastAsia"/>
          <w:highlight w:val="none"/>
          <w:lang w:val="en-US" w:eastAsia="zh-CN"/>
        </w:rPr>
        <w:t xml:space="preserve">有人员调入，2023年3月份调入一名一级主任科员，2023年4月份又调入一名一级主任科员（乡科级正职领导），2023年共调入2名职工，且每年调整的薪资收入增加，社保申报基数增加，费用跟着增长，导致预算收入增加</w:t>
      </w:r>
      <w:r>
        <w:rPr>
          <w:rFonts w:ascii="宋体" w:eastAsia="宋体" w:hAnsi="宋体" w:cs="宋体" w:hint="eastAsia"/>
          <w:sz w:val="28"/>
          <w:szCs w:val="28"/>
        </w:rPr>
        <w:t xml:space="preserve">。中央提前下达2024年一般公共预算转移支付资金安排的支出</w:t>
      </w:r>
      <w:r>
        <w:rPr>
          <w:rFonts w:ascii="宋体" w:eastAsia="宋体" w:hAnsi="宋体" w:cs="宋体" w:hint="eastAsia"/>
          <w:sz w:val="28"/>
          <w:szCs w:val="28"/>
          <w:lang w:val="en-US" w:eastAsia="zh-CN"/>
        </w:rPr>
        <w:t xml:space="preserve">0.00</w:t>
      </w:r>
      <w:r>
        <w:rPr>
          <w:rFonts w:ascii="宋体" w:eastAsia="宋体" w:hAnsi="宋体" w:cs="宋体" w:hint="eastAsia"/>
          <w:sz w:val="28"/>
          <w:szCs w:val="28"/>
        </w:rPr>
        <w:t xml:space="preserve">万元。具体情况为：</w:t>
      </w:r>
    </w:p>
    <w:p>
      <w:pPr>
        <w:pStyle w:val="Bodytext|1"/>
        <w:spacing w:line="623" w:lineRule="exact"/>
        <w:ind w:left="0" w:firstLine="560" w:leftChars="0" w:firstLineChars="200"/>
        <w:jc w:val="left"/>
        <w:rPr>
          <w:rFonts w:ascii="宋体" w:eastAsia="宋体" w:hAnsi="宋体" w:cs="宋体" w:hint="eastAsia"/>
          <w:sz w:val="28"/>
          <w:szCs w:val="28"/>
        </w:rPr>
      </w:pPr>
      <w:r>
        <w:rPr>
          <w:rFonts w:ascii="宋体" w:eastAsia="宋体" w:hAnsi="宋体" w:cs="宋体" w:hint="eastAsia"/>
          <w:sz w:val="28"/>
          <w:szCs w:val="28"/>
        </w:rPr>
        <w:t xml:space="preserve">一般公共服务支出</w:t>
      </w:r>
      <w:r>
        <w:rPr>
          <w:rFonts w:ascii="宋体" w:eastAsia="宋体" w:hAnsi="宋体" w:cs="宋体" w:hint="eastAsia"/>
          <w:sz w:val="28"/>
          <w:szCs w:val="28"/>
        </w:rPr>
        <w:t xml:space="preserve">（类）支出</w:t>
      </w:r>
      <w:r>
        <w:rPr>
          <w:rFonts w:ascii="宋体" w:eastAsia="宋体" w:hAnsi="宋体" w:cs="宋体"/>
          <w:sz w:val="28"/>
          <w:u w:color="auto"/>
        </w:rPr>
        <w:t xml:space="preserve">64.51</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82.80%</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45.55</w:t>
      </w:r>
      <w:r>
        <w:rPr>
          <w:rFonts w:ascii="宋体" w:eastAsia="宋体" w:hAnsi="宋体" w:cs="宋体" w:hint="eastAsia"/>
          <w:sz w:val="28"/>
          <w:szCs w:val="28"/>
        </w:rPr>
        <w:t xml:space="preserve">万元，</w:t>
      </w:r>
      <w:r>
        <w:rPr>
          <w:rFonts w:ascii="宋体" w:eastAsia="宋体" w:hAnsi="宋体" w:cs="宋体"/>
          <w:sz w:val="28"/>
          <w:u w:color="auto"/>
        </w:rPr>
        <w:t xml:space="preserve">增长18.96</w:t>
      </w:r>
      <w:r>
        <w:rPr>
          <w:rFonts w:ascii="宋体" w:eastAsia="宋体" w:hAnsi="宋体" w:cs="宋体" w:hint="eastAsia"/>
          <w:sz w:val="28"/>
          <w:szCs w:val="28"/>
        </w:rPr>
        <w:t xml:space="preserve">万元，</w:t>
      </w:r>
      <w:r>
        <w:rPr>
          <w:rFonts w:ascii="宋体" w:eastAsia="宋体" w:hAnsi="宋体" w:cs="宋体"/>
          <w:sz w:val="28"/>
          <w:u w:color="auto"/>
        </w:rPr>
        <w:t xml:space="preserve">增长41.62%</w:t>
      </w:r>
      <w:r>
        <w:rPr>
          <w:rFonts w:ascii="宋体" w:eastAsia="宋体" w:hAnsi="宋体" w:cs="宋体" w:hint="eastAsia"/>
          <w:sz w:val="28"/>
          <w:szCs w:val="28"/>
        </w:rPr>
        <w:t xml:space="preserve">，主要原因是：</w:t>
      </w:r>
      <w:r>
        <w:rPr>
          <w:rFonts w:hint="eastAsia"/>
          <w:highlight w:val="none"/>
        </w:rPr>
        <w:t xml:space="preserve">有人员调入，2023年3月份调入一名一级主任科员，2023年4月份又调入一名一级主任科员（乡科级正职领导），2023年共调入2名职工，且每年调整的薪资收入增加，社保申报基数增加，费用跟着增长，导致预算收入增加</w:t>
      </w:r>
      <w:r>
        <w:rPr>
          <w:rFonts w:ascii="宋体" w:eastAsia="宋体" w:hAnsi="宋体" w:cs="宋体" w:hint="eastAsia"/>
          <w:sz w:val="28"/>
          <w:szCs w:val="28"/>
        </w:rPr>
        <w:t xml:space="preserve">。</w:t>
      </w:r>
    </w:p>
    <w:p>
      <w:pPr>
        <w:pStyle w:val="Bodytext|1"/>
        <w:spacing w:line="623" w:lineRule="exact"/>
        <w:ind w:left="0" w:firstLine="560" w:leftChars="0" w:firstLineChars="200"/>
        <w:jc w:val="left"/>
        <w:rPr>
          <w:rFonts w:ascii="宋体" w:eastAsia="宋体" w:hAnsi="宋体" w:cs="宋体" w:hint="eastAsia"/>
          <w:sz w:val="28"/>
          <w:szCs w:val="28"/>
        </w:rPr>
      </w:pPr>
      <w:r>
        <w:rPr>
          <w:rFonts w:ascii="宋体" w:eastAsia="宋体" w:hAnsi="宋体" w:cs="宋体" w:hint="eastAsia"/>
          <w:sz w:val="28"/>
          <w:szCs w:val="28"/>
        </w:rPr>
        <w:t xml:space="preserve">住房保障支出</w:t>
      </w:r>
      <w:r>
        <w:rPr>
          <w:rFonts w:ascii="宋体" w:eastAsia="宋体" w:hAnsi="宋体" w:cs="宋体" w:hint="eastAsia"/>
          <w:sz w:val="28"/>
          <w:szCs w:val="28"/>
        </w:rPr>
        <w:t xml:space="preserve">（类）支出</w:t>
      </w:r>
      <w:r>
        <w:rPr>
          <w:rFonts w:ascii="宋体" w:eastAsia="宋体" w:hAnsi="宋体" w:cs="宋体"/>
          <w:sz w:val="28"/>
          <w:u w:color="auto"/>
        </w:rPr>
        <w:t xml:space="preserve">6.13</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7.87%</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4.22</w:t>
      </w:r>
      <w:r>
        <w:rPr>
          <w:rFonts w:ascii="宋体" w:eastAsia="宋体" w:hAnsi="宋体" w:cs="宋体" w:hint="eastAsia"/>
          <w:sz w:val="28"/>
          <w:szCs w:val="28"/>
        </w:rPr>
        <w:t xml:space="preserve">万元，</w:t>
      </w:r>
      <w:r>
        <w:rPr>
          <w:rFonts w:ascii="宋体" w:eastAsia="宋体" w:hAnsi="宋体" w:cs="宋体"/>
          <w:sz w:val="28"/>
          <w:u w:color="auto"/>
        </w:rPr>
        <w:t xml:space="preserve">增长1.91</w:t>
      </w:r>
      <w:r>
        <w:rPr>
          <w:rFonts w:ascii="宋体" w:eastAsia="宋体" w:hAnsi="宋体" w:cs="宋体" w:hint="eastAsia"/>
          <w:sz w:val="28"/>
          <w:szCs w:val="28"/>
        </w:rPr>
        <w:t xml:space="preserve">万元，</w:t>
      </w:r>
      <w:r>
        <w:rPr>
          <w:rFonts w:ascii="宋体" w:eastAsia="宋体" w:hAnsi="宋体" w:cs="宋体"/>
          <w:sz w:val="28"/>
          <w:u w:color="auto"/>
        </w:rPr>
        <w:t xml:space="preserve">增长45.26%</w:t>
      </w:r>
      <w:r>
        <w:rPr>
          <w:rFonts w:ascii="宋体" w:eastAsia="宋体" w:hAnsi="宋体" w:cs="宋体" w:hint="eastAsia"/>
          <w:sz w:val="28"/>
          <w:szCs w:val="28"/>
        </w:rPr>
        <w:t xml:space="preserve">，主要原因是：</w:t>
      </w:r>
      <w:r>
        <w:rPr>
          <w:rFonts w:hint="eastAsia"/>
          <w:highlight w:val="none"/>
        </w:rPr>
        <w:t xml:space="preserve">2023年3月及4月份分别各调入一名职工，2023年共调入2名职工，且每年调整的薪资收入增加，故申报基数增加，费用跟着增长，致住房保障支出较2023年度预算数增加</w:t>
      </w:r>
      <w:r>
        <w:rPr>
          <w:rFonts w:ascii="宋体" w:eastAsia="宋体" w:hAnsi="宋体" w:cs="宋体" w:hint="eastAsia"/>
          <w:sz w:val="28"/>
          <w:szCs w:val="28"/>
        </w:rPr>
        <w:t xml:space="preserve">。</w:t>
      </w:r>
    </w:p>
    <w:p>
      <w:pPr>
        <w:pStyle w:val="Bodytext|1"/>
        <w:spacing w:line="623" w:lineRule="exact"/>
        <w:ind w:left="0" w:firstLine="560" w:leftChars="0" w:firstLineChars="200"/>
        <w:jc w:val="left"/>
        <w:rPr>
          <w:rFonts w:ascii="宋体" w:eastAsia="宋体" w:hAnsi="宋体" w:cs="宋体" w:hint="eastAsia"/>
          <w:sz w:val="28"/>
          <w:szCs w:val="28"/>
        </w:rPr>
      </w:pPr>
      <w:r>
        <w:rPr>
          <w:rFonts w:ascii="宋体" w:eastAsia="宋体" w:hAnsi="宋体" w:cs="宋体" w:hint="eastAsia"/>
          <w:sz w:val="28"/>
          <w:szCs w:val="28"/>
        </w:rPr>
        <w:t xml:space="preserve">社会保障和就业支出</w:t>
      </w:r>
      <w:r>
        <w:rPr>
          <w:rFonts w:ascii="宋体" w:eastAsia="宋体" w:hAnsi="宋体" w:cs="宋体" w:hint="eastAsia"/>
          <w:sz w:val="28"/>
          <w:szCs w:val="28"/>
        </w:rPr>
        <w:t xml:space="preserve">（类）支出</w:t>
      </w:r>
      <w:r>
        <w:rPr>
          <w:rFonts w:ascii="宋体" w:eastAsia="宋体" w:hAnsi="宋体" w:cs="宋体"/>
          <w:sz w:val="28"/>
          <w:u w:color="auto"/>
        </w:rPr>
        <w:t xml:space="preserve">7.26</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9.32%</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5.63</w:t>
      </w:r>
      <w:r>
        <w:rPr>
          <w:rFonts w:ascii="宋体" w:eastAsia="宋体" w:hAnsi="宋体" w:cs="宋体" w:hint="eastAsia"/>
          <w:sz w:val="28"/>
          <w:szCs w:val="28"/>
        </w:rPr>
        <w:t xml:space="preserve">万元，</w:t>
      </w:r>
      <w:r>
        <w:rPr>
          <w:rFonts w:ascii="宋体" w:eastAsia="宋体" w:hAnsi="宋体" w:cs="宋体"/>
          <w:sz w:val="28"/>
          <w:u w:color="auto"/>
        </w:rPr>
        <w:t xml:space="preserve">增长1.63</w:t>
      </w:r>
      <w:r>
        <w:rPr>
          <w:rFonts w:ascii="宋体" w:eastAsia="宋体" w:hAnsi="宋体" w:cs="宋体" w:hint="eastAsia"/>
          <w:sz w:val="28"/>
          <w:szCs w:val="28"/>
        </w:rPr>
        <w:t xml:space="preserve">万元，</w:t>
      </w:r>
      <w:r>
        <w:rPr>
          <w:rFonts w:ascii="宋体" w:eastAsia="宋体" w:hAnsi="宋体" w:cs="宋体"/>
          <w:sz w:val="28"/>
          <w:u w:color="auto"/>
        </w:rPr>
        <w:t xml:space="preserve">增长28.95%</w:t>
      </w:r>
      <w:r>
        <w:rPr>
          <w:rFonts w:ascii="宋体" w:eastAsia="宋体" w:hAnsi="宋体" w:cs="宋体" w:hint="eastAsia"/>
          <w:sz w:val="28"/>
          <w:szCs w:val="28"/>
        </w:rPr>
        <w:t xml:space="preserve">，主要原因是：</w:t>
      </w:r>
      <w:r>
        <w:rPr>
          <w:rFonts w:hint="eastAsia"/>
          <w:highlight w:val="none"/>
        </w:rPr>
        <w:t xml:space="preserve">2023年3月及4月份分别各调入一名职工，2023年共调入2名职工，且每年调整的薪资收入增加，故申报基数增加，费用跟着增长，致社会保障和就业支出较2023年度预算数增加</w:t>
      </w:r>
      <w:r>
        <w:rPr>
          <w:rFonts w:ascii="宋体" w:eastAsia="宋体" w:hAnsi="宋体" w:cs="宋体" w:hint="eastAsia"/>
          <w:sz w:val="28"/>
          <w:szCs w:val="28"/>
        </w:rPr>
        <w:t xml:space="preserve">。</w:t>
      </w:r>
    </w:p>
    <w:p>
      <w:pPr>
        <w:pStyle w:val="Bodytext|2"/>
        <w:tabs>
          <w:tab w:val="left" w:pos="1235"/>
        </w:tabs>
        <w:spacing w:after="0" w:line="624" w:lineRule="exact"/>
        <w:ind w:firstLine="580"/>
        <w:jc w:val="left"/>
        <w:rPr>
          <w:b/>
          <w:bCs/>
        </w:rPr>
      </w:pPr>
      <w:r>
        <w:rPr>
          <w:rFonts w:hint="eastAsia"/>
          <w:b/>
          <w:bCs/>
          <w:lang w:val="en-US" w:eastAsia="zh-CN"/>
        </w:rPr>
        <w:t xml:space="preserve">六、</w:t>
      </w:r>
      <w:r>
        <w:rPr>
          <w:b/>
          <w:bCs/>
        </w:rPr>
        <w:t xml:space="preserve">一般公共预算基本支出情况说明</w:t>
      </w:r>
    </w:p>
    <w:p>
      <w:pPr>
        <w:pStyle w:val="Bodytext|2"/>
        <w:spacing w:after="0"/>
        <w:ind w:firstLine="0"/>
        <w:jc w:val="left"/>
        <w:rPr>
          <w:highlight w:val="yellow"/>
          <w:lang w:val="en-US" w:eastAsia="zh-CN"/>
        </w:rPr>
      </w:pPr>
      <w:r>
        <w:rPr>
          <w:highlight w:val="none"/>
          <w:lang w:val="en-US" w:eastAsia="zh-CN"/>
        </w:rPr>
        <w:drawing>
          <wp:inline distT="0" distB="0" distL="114300" distR="114300">
            <wp:extent cx="5080000" cy="3810000"/>
            <wp:effectExtent l="4445" t="4445" r="20955" b="14605"/>
            <wp:docPr id="2201" name="图表 3" title="{{rep6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10"/>
              </a:graphicData>
            </a:graphic>
          </wp:inline>
        </w:drawing>
      </w:r>
    </w:p>
    <w:p>
      <w:pPr>
        <w:pStyle w:val="Bodytext|1"/>
        <w:spacing w:line="623" w:lineRule="exact"/>
        <w:ind w:left="0" w:firstLine="560" w:leftChars="0" w:firstLineChars="200"/>
        <w:jc w:val="left"/>
        <w:rPr>
          <w:rFonts w:hint="eastAsia"/>
          <w:lang w:val="en-US" w:eastAsia="zh-CN"/>
        </w:rPr>
      </w:pPr>
      <w:r>
        <w:rPr>
          <w:rFonts w:hint="eastAsia"/>
          <w:lang w:val="en-US" w:eastAsia="zh-CN"/>
        </w:rPr>
        <w:t xml:space="preserve">2024</w:t>
      </w:r>
      <w:r>
        <w:rPr>
          <w:u w:color="auto"/>
        </w:rPr>
        <w:t xml:space="preserve">年</w:t>
      </w:r>
      <w:r>
        <w:rPr>
          <w:rFonts w:hint="eastAsia"/>
        </w:rPr>
        <w:t xml:space="preserve">一般公共预算基本支出共</w:t>
      </w:r>
      <w:r>
        <w:rPr>
          <w:rFonts w:hint="eastAsia"/>
          <w:lang w:val="en-US" w:eastAsia="zh-CN"/>
        </w:rPr>
        <w:t xml:space="preserve">69.71</w:t>
      </w:r>
      <w:r>
        <w:rPr>
          <w:rFonts w:hint="eastAsia"/>
        </w:rPr>
        <w:t xml:space="preserve">万元，较2023年度预算数</w:t>
      </w:r>
      <w:r>
        <w:rPr>
          <w:rFonts w:hint="eastAsia"/>
          <w:lang w:val="en-US" w:eastAsia="zh-CN"/>
        </w:rPr>
        <w:t xml:space="preserve">46.41</w:t>
      </w:r>
      <w:r>
        <w:rPr>
          <w:rFonts w:hint="eastAsia"/>
        </w:rPr>
        <w:t xml:space="preserve">万元</w:t>
      </w:r>
      <w:r>
        <w:rPr>
          <w:rFonts w:hint="eastAsia"/>
          <w:lang w:val="en-US" w:eastAsia="zh-CN"/>
        </w:rPr>
        <w:t xml:space="preserve">,</w:t>
      </w:r>
      <w:r>
        <w:rPr>
          <w:u w:color="auto"/>
        </w:rPr>
        <w:t xml:space="preserve">增加23.30</w:t>
      </w:r>
      <w:r>
        <w:rPr>
          <w:rFonts w:hint="eastAsia"/>
        </w:rPr>
        <w:t xml:space="preserve">万元，</w:t>
      </w:r>
      <w:r>
        <w:rPr>
          <w:rFonts w:hint="eastAsia"/>
          <w:lang w:val="en-US" w:eastAsia="zh-CN"/>
        </w:rPr>
        <w:t xml:space="preserve">增长50.20%</w:t>
      </w:r>
      <w:r>
        <w:rPr>
          <w:rFonts w:hint="eastAsia"/>
        </w:rPr>
        <w:t xml:space="preserve">，主要原因是</w:t>
      </w:r>
      <w:r>
        <w:rPr>
          <w:rFonts w:hint="eastAsia"/>
          <w:highlight w:val="none"/>
          <w:lang w:val="en-US" w:eastAsia="zh-CN"/>
        </w:rPr>
        <w:t xml:space="preserve">有人员调入，2023年3月份调入一名一级主任科员，2023年4月份又调入一名一级主任科员（乡科级正职领导），2023年共调入2名职工，且每年调整的薪资收入增加，社保申报基数增加，费用跟着增长，导致预算数增加</w:t>
      </w:r>
      <w:r>
        <w:rPr>
          <w:rFonts w:hint="eastAsia"/>
        </w:rPr>
        <w:t xml:space="preserve">。具体情况为：</w:t>
      </w:r>
    </w:p>
    <w:p>
      <w:pPr>
        <w:pStyle w:val="Bodytext|1"/>
        <w:spacing w:line="626" w:lineRule="exact"/>
        <w:ind w:firstLine="600"/>
        <w:jc w:val="left"/>
        <w:rPr>
          <w:rFonts w:hint="default"/>
          <w:lang w:val="en-US" w:eastAsia="zh-CN"/>
        </w:rPr>
      </w:pPr>
      <w:r>
        <w:rPr>
          <w:rFonts w:hint="eastAsia"/>
          <w:lang w:val="en-US" w:eastAsia="zh-CN"/>
        </w:rPr>
        <w:t xml:space="preserve">工资福利支出</w:t>
      </w:r>
      <w:r>
        <w:rPr>
          <w:rFonts w:hint="eastAsia"/>
        </w:rPr>
        <w:t xml:space="preserve">支出预算</w:t>
      </w:r>
      <w:r>
        <w:rPr>
          <w:rFonts w:hint="eastAsia"/>
          <w:lang w:val="en-US" w:eastAsia="zh-CN"/>
        </w:rPr>
        <w:t xml:space="preserve">62.48</w:t>
      </w:r>
      <w:r>
        <w:t xml:space="preserve">万元</w:t>
      </w:r>
      <w:r>
        <w:rPr>
          <w:rFonts w:hint="eastAsia"/>
          <w:lang w:eastAsia="zh-CN"/>
        </w:rPr>
        <w:t xml:space="preserve">，</w:t>
      </w:r>
      <w:r>
        <w:rPr>
          <w:rFonts w:hint="eastAsia"/>
        </w:rPr>
        <w:t xml:space="preserve">占基本支出预算的</w:t>
      </w:r>
      <w:r>
        <w:rPr>
          <w:rFonts w:hint="eastAsia"/>
          <w:lang w:val="en-US" w:eastAsia="zh-CN"/>
        </w:rPr>
        <w:t xml:space="preserve">89.63%</w:t>
      </w:r>
      <w:r>
        <w:rPr>
          <w:rFonts w:hint="eastAsia"/>
        </w:rPr>
        <w:t xml:space="preserve">，较2023年度预算数</w:t>
      </w:r>
      <w:r>
        <w:rPr>
          <w:rFonts w:hint="eastAsia"/>
          <w:lang w:val="en-US" w:eastAsia="zh-CN"/>
        </w:rPr>
        <w:t xml:space="preserve">41.19</w:t>
      </w:r>
      <w:r>
        <w:rPr>
          <w:rFonts w:hint="eastAsia"/>
        </w:rPr>
        <w:t xml:space="preserve">万元，</w:t>
      </w:r>
      <w:r>
        <w:rPr>
          <w:rFonts w:hint="eastAsia"/>
          <w:lang w:val="en-US" w:eastAsia="zh-CN"/>
        </w:rPr>
        <w:t xml:space="preserve">增长21.29</w:t>
      </w:r>
      <w:r>
        <w:rPr>
          <w:rFonts w:hint="eastAsia"/>
        </w:rPr>
        <w:t xml:space="preserve">万元，</w:t>
      </w:r>
      <w:r>
        <w:rPr>
          <w:rFonts w:hint="eastAsia"/>
          <w:lang w:val="en-US" w:eastAsia="zh-CN"/>
        </w:rPr>
        <w:t xml:space="preserve">增长51.69%</w:t>
      </w:r>
      <w:r>
        <w:rPr>
          <w:rFonts w:hint="eastAsia"/>
        </w:rPr>
        <w:t xml:space="preserve">，主要原因是：</w:t>
      </w:r>
      <w:r>
        <w:rPr>
          <w:rFonts w:hint="eastAsia"/>
          <w:highlight w:val="none"/>
        </w:rPr>
        <w:t xml:space="preserve">有人员调入，2023年3月份调入一名一级主任科员，2023年4月份又调入一名一级主任科员（乡科级正职领导），2023年共调入2名职工，且每年调整的薪资收入增加，社保申报基数增加，费用跟着增长，导致预算数增加</w:t>
      </w:r>
    </w:p>
    <w:p>
      <w:pPr>
        <w:pStyle w:val="Bodytext|1"/>
        <w:spacing w:line="626" w:lineRule="exact"/>
        <w:ind w:firstLine="600"/>
        <w:jc w:val="left"/>
        <w:rPr>
          <w:rFonts w:hint="default"/>
          <w:lang w:val="en-US" w:eastAsia="zh-CN"/>
        </w:rPr>
      </w:pPr>
      <w:r>
        <w:rPr>
          <w:rFonts w:hint="eastAsia"/>
          <w:highlight w:val="none"/>
        </w:rPr>
      </w:r>
    </w:p>
    <w:p>
      <w:pPr>
        <w:pStyle w:val="Bodytext|1"/>
        <w:spacing w:line="626" w:lineRule="exact"/>
        <w:ind w:firstLine="600"/>
        <w:jc w:val="left"/>
        <w:rPr>
          <w:rFonts w:hint="default"/>
          <w:lang w:val="en-US" w:eastAsia="zh-CN"/>
        </w:rPr>
      </w:pPr>
      <w:r>
        <w:rPr>
          <w:rFonts w:hint="eastAsia"/>
          <w:highlight w:val="none"/>
        </w:rPr>
      </w:r>
    </w:p>
    <w:p>
      <w:pPr>
        <w:pStyle w:val="Bodytext|1"/>
        <w:spacing w:line="626" w:lineRule="exact"/>
        <w:ind w:firstLine="600"/>
        <w:jc w:val="left"/>
        <w:rPr>
          <w:rFonts w:hint="default"/>
          <w:lang w:val="en-US" w:eastAsia="zh-CN"/>
        </w:rPr>
      </w:pPr>
      <w:r>
        <w:rPr>
          <w:rFonts w:hint="eastAsia"/>
          <w:highlight w:val="none"/>
        </w:rPr>
      </w:r>
    </w:p>
    <w:p>
      <w:pPr>
        <w:pStyle w:val="Bodytext|1"/>
        <w:spacing w:line="626" w:lineRule="exact"/>
        <w:ind w:firstLine="600"/>
        <w:jc w:val="left"/>
        <w:rPr>
          <w:rFonts w:hint="default"/>
          <w:lang w:val="en-US" w:eastAsia="zh-CN"/>
        </w:rPr>
      </w:pPr>
      <w:r>
        <w:rPr>
          <w:rFonts w:hint="eastAsia"/>
          <w:highlight w:val="none"/>
          <w:lang w:val="en-US" w:eastAsia="zh-CN"/>
        </w:rPr>
        <w:t xml:space="preserve">。</w:t>
      </w:r>
    </w:p>
    <w:p>
      <w:pPr>
        <w:pStyle w:val="Bodytext|1"/>
        <w:spacing w:line="626" w:lineRule="exact"/>
        <w:ind w:firstLine="600"/>
        <w:jc w:val="left"/>
        <w:rPr>
          <w:rFonts w:hint="default"/>
          <w:lang w:val="en-US" w:eastAsia="zh-CN"/>
        </w:rPr>
      </w:pPr>
      <w:r>
        <w:rPr>
          <w:rFonts w:hint="eastAsia"/>
          <w:lang w:val="en-US" w:eastAsia="zh-CN"/>
        </w:rPr>
        <w:t xml:space="preserve">商品和服务支出</w:t>
      </w:r>
      <w:r>
        <w:rPr>
          <w:rFonts w:hint="eastAsia"/>
        </w:rPr>
        <w:t xml:space="preserve">支出预算</w:t>
      </w:r>
      <w:r>
        <w:rPr>
          <w:rFonts w:hint="eastAsia"/>
          <w:lang w:val="en-US" w:eastAsia="zh-CN"/>
        </w:rPr>
        <w:t xml:space="preserve">5.89</w:t>
      </w:r>
      <w:r>
        <w:t xml:space="preserve">万元</w:t>
      </w:r>
      <w:r>
        <w:rPr>
          <w:rFonts w:hint="eastAsia"/>
          <w:lang w:eastAsia="zh-CN"/>
        </w:rPr>
        <w:t xml:space="preserve">，</w:t>
      </w:r>
      <w:r>
        <w:rPr>
          <w:rFonts w:hint="eastAsia"/>
        </w:rPr>
        <w:t xml:space="preserve">占基本支出预算的</w:t>
      </w:r>
      <w:r>
        <w:rPr>
          <w:rFonts w:hint="eastAsia"/>
          <w:lang w:val="en-US" w:eastAsia="zh-CN"/>
        </w:rPr>
        <w:t xml:space="preserve">8.45%</w:t>
      </w:r>
      <w:r>
        <w:rPr>
          <w:rFonts w:hint="eastAsia"/>
        </w:rPr>
        <w:t xml:space="preserve">，较2023年度预算数</w:t>
      </w:r>
      <w:r>
        <w:rPr>
          <w:rFonts w:hint="eastAsia"/>
          <w:lang w:val="en-US" w:eastAsia="zh-CN"/>
        </w:rPr>
        <w:t xml:space="preserve">5.22</w:t>
      </w:r>
      <w:r>
        <w:rPr>
          <w:rFonts w:hint="eastAsia"/>
        </w:rPr>
        <w:t xml:space="preserve">万元，</w:t>
      </w:r>
      <w:r>
        <w:rPr>
          <w:rFonts w:hint="eastAsia"/>
          <w:lang w:val="en-US" w:eastAsia="zh-CN"/>
        </w:rPr>
        <w:t xml:space="preserve">增长0.67</w:t>
      </w:r>
      <w:r>
        <w:rPr>
          <w:rFonts w:hint="eastAsia"/>
        </w:rPr>
        <w:t xml:space="preserve">万元，</w:t>
      </w:r>
      <w:r>
        <w:rPr>
          <w:rFonts w:hint="eastAsia"/>
          <w:lang w:val="en-US" w:eastAsia="zh-CN"/>
        </w:rPr>
        <w:t xml:space="preserve">增长12.84%</w:t>
      </w:r>
      <w:r>
        <w:rPr>
          <w:rFonts w:hint="eastAsia"/>
        </w:rPr>
        <w:t xml:space="preserve">，主要原因是：</w:t>
      </w:r>
      <w:r>
        <w:rPr>
          <w:rFonts w:hint="eastAsia"/>
          <w:highlight w:val="none"/>
        </w:rPr>
        <w:t xml:space="preserve">有人员调入，2023年3月份调入一名一级主任科员，2023年4月份又调入一名一级主任科员（乡科级正职领导），2023年共调入2名职工，且每年调整的薪资收入增加，费用跟着增长，导致预算数增加</w:t>
      </w:r>
      <w:r>
        <w:rPr>
          <w:rFonts w:hint="eastAsia"/>
          <w:highlight w:val="none"/>
          <w:lang w:val="en-US" w:eastAsia="zh-CN"/>
        </w:rPr>
        <w:t xml:space="preserve">。</w:t>
      </w:r>
    </w:p>
    <w:p>
      <w:pPr>
        <w:pStyle w:val="Bodytext|1"/>
        <w:spacing w:line="626" w:lineRule="exact"/>
        <w:ind w:firstLine="600"/>
        <w:jc w:val="left"/>
        <w:rPr>
          <w:rFonts w:hint="default"/>
          <w:lang w:val="en-US" w:eastAsia="zh-CN"/>
        </w:rPr>
      </w:pPr>
      <w:r>
        <w:rPr>
          <w:rFonts w:hint="eastAsia"/>
          <w:lang w:val="en-US" w:eastAsia="zh-CN"/>
        </w:rPr>
        <w:t xml:space="preserve">对个人和家庭的补助</w:t>
      </w:r>
      <w:r>
        <w:rPr>
          <w:rFonts w:hint="eastAsia"/>
        </w:rPr>
        <w:t xml:space="preserve">支出预算</w:t>
      </w:r>
      <w:r>
        <w:rPr>
          <w:rFonts w:hint="eastAsia"/>
          <w:lang w:val="en-US" w:eastAsia="zh-CN"/>
        </w:rPr>
        <w:t xml:space="preserve">1.34</w:t>
      </w:r>
      <w:r>
        <w:t xml:space="preserve">万元</w:t>
      </w:r>
      <w:r>
        <w:rPr>
          <w:rFonts w:hint="eastAsia"/>
          <w:lang w:eastAsia="zh-CN"/>
        </w:rPr>
        <w:t xml:space="preserve">，</w:t>
      </w:r>
      <w:r>
        <w:rPr>
          <w:rFonts w:hint="eastAsia"/>
        </w:rPr>
        <w:t xml:space="preserve">占基本支出预算的</w:t>
      </w:r>
      <w:r>
        <w:rPr>
          <w:rFonts w:hint="eastAsia"/>
          <w:lang w:val="en-US" w:eastAsia="zh-CN"/>
        </w:rPr>
        <w:t xml:space="preserve">1.92%</w:t>
      </w:r>
      <w:r>
        <w:rPr>
          <w:rFonts w:hint="eastAsia"/>
        </w:rPr>
        <w:t xml:space="preserve">，较2023年度预算数</w:t>
      </w:r>
      <w:r>
        <w:rPr>
          <w:rFonts w:hint="eastAsia"/>
          <w:lang w:val="en-US" w:eastAsia="zh-CN"/>
        </w:rPr>
        <w:t xml:space="preserve">0.00</w:t>
      </w:r>
      <w:r>
        <w:rPr>
          <w:rFonts w:hint="eastAsia"/>
        </w:rPr>
        <w:t xml:space="preserve">万元，</w:t>
      </w:r>
      <w:r>
        <w:rPr>
          <w:rFonts w:hint="eastAsia"/>
          <w:lang w:val="en-US" w:eastAsia="zh-CN"/>
        </w:rPr>
        <w:t xml:space="preserve">增长1.34</w:t>
      </w:r>
      <w:r>
        <w:rPr>
          <w:rFonts w:hint="eastAsia"/>
        </w:rPr>
        <w:t xml:space="preserve">万元，</w:t>
      </w:r>
      <w:r>
        <w:rPr>
          <w:rFonts w:hint="eastAsia"/>
          <w:lang w:val="en-US" w:eastAsia="zh-CN"/>
        </w:rPr>
        <w:t xml:space="preserve">增长100%</w:t>
      </w:r>
      <w:r>
        <w:rPr>
          <w:rFonts w:hint="eastAsia"/>
        </w:rPr>
        <w:t xml:space="preserve">，主要原因是：</w:t>
      </w:r>
      <w:r>
        <w:rPr>
          <w:rFonts w:hint="eastAsia"/>
          <w:highlight w:val="none"/>
        </w:rPr>
        <w:t xml:space="preserve">2023年8月份有一名职工退休，退休对个人和家庭的补助预算支出多了1.34万元，增长了100%</w:t>
      </w:r>
      <w:r>
        <w:rPr>
          <w:rFonts w:hint="eastAsia"/>
          <w:highlight w:val="none"/>
          <w:lang w:val="en-US" w:eastAsia="zh-CN"/>
        </w:rPr>
        <w:t xml:space="preserve">。</w:t>
      </w:r>
    </w:p>
    <w:p>
      <w:pPr>
        <w:pStyle w:val="Bodytext|2"/>
        <w:tabs>
          <w:tab w:val="left" w:pos="1235"/>
        </w:tabs>
        <w:spacing w:after="0" w:line="624" w:lineRule="exact"/>
        <w:ind w:firstLine="580"/>
        <w:jc w:val="left"/>
        <w:rPr>
          <w:rFonts w:hint="eastAsia"/>
          <w:b/>
          <w:bCs/>
        </w:rPr>
      </w:pPr>
      <w:r>
        <w:rPr>
          <w:rFonts w:hint="eastAsia"/>
          <w:b/>
          <w:bCs/>
          <w:lang w:val="en-US" w:eastAsia="zh-CN"/>
        </w:rPr>
        <w:t xml:space="preserve">七、</w:t>
      </w:r>
      <w:r>
        <w:rPr>
          <w:b/>
          <w:bCs/>
        </w:rPr>
        <w:t xml:space="preserve">一般公共预算</w:t>
      </w:r>
      <w:r>
        <w:rPr>
          <w:b/>
          <w:bCs/>
          <w:lang w:val="zh-CN" w:eastAsia="zh-CN" w:bidi="zh-CN"/>
        </w:rPr>
        <w:t xml:space="preserve">“三</w:t>
      </w:r>
      <w:r>
        <w:rPr>
          <w:b/>
          <w:bCs/>
        </w:rPr>
        <w:t xml:space="preserve">公”</w:t>
      </w:r>
      <w:r>
        <w:rPr>
          <w:rFonts w:hint="eastAsia"/>
          <w:b/>
          <w:bCs/>
        </w:rPr>
        <w:t xml:space="preserve">经费支出情况说明</w:t>
      </w:r>
    </w:p>
    <w:p>
      <w:pPr>
        <w:pStyle w:val="Bodytext|2"/>
        <w:numPr>
          <w:ilvl w:val="0"/>
          <w:numId w:val="0"/>
        </w:numPr>
        <w:spacing w:after="0"/>
        <w:jc w:val="left"/>
        <w:rPr>
          <w:rFonts w:hint="eastAsia"/>
          <w:b/>
          <w:bCs/>
        </w:rPr>
      </w:pPr>
    </w:p>
    <w:p>
      <w:pPr>
        <w:pStyle w:val="Bodytext|2"/>
        <w:spacing w:after="0"/>
        <w:ind w:firstLine="0"/>
        <w:jc w:val="left"/>
        <w:rPr>
          <w:highlight w:val="yellow"/>
          <w:lang w:val="en-US" w:eastAsia="zh-CN"/>
        </w:rPr>
      </w:pPr>
      <w:r>
        <w:rPr>
          <w:rFonts w:hint="eastAsia"/>
          <w:highlight w:val="none"/>
          <w:lang w:val="en-US" w:eastAsia="zh-CN"/>
        </w:rPr>
        <w:drawing>
          <wp:inline distT="0" distB="0" distL="114300" distR="114300">
            <wp:extent cx="5080000" cy="3810000"/>
            <wp:effectExtent l="4445" t="4445" r="5715" b="10795"/>
            <wp:docPr id="2202" name="图表 23" title="{{img_sgzc_ys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11"/>
              </a:graphicData>
            </a:graphic>
          </wp:inline>
        </w:drawing>
      </w:r>
    </w:p>
    <w:p>
      <w:pPr>
        <w:pStyle w:val="Bodytext|2"/>
        <w:tabs>
          <w:tab w:val="left" w:pos="1253"/>
        </w:tabs>
        <w:spacing w:after="0" w:line="629" w:lineRule="exact"/>
        <w:ind w:firstLine="600"/>
        <w:jc w:val="left"/>
        <w:rPr>
          <w:rFonts w:hint="eastAsia"/>
          <w:b w:val="0"/>
          <w:bCs w:val="0"/>
          <w:sz w:val="28"/>
          <w:szCs w:val="28"/>
          <w:lang w:eastAsia="zh-CN"/>
        </w:rPr>
      </w:pPr>
      <w:bookmarkStart w:id="14" w:name="bookmark90"/>
      <w:r>
        <w:rPr>
          <w:rFonts w:hint="eastAsia"/>
          <w:b w:val="0"/>
          <w:bCs w:val="0"/>
          <w:sz w:val="28"/>
          <w:szCs w:val="28"/>
          <w:lang w:eastAsia="zh-CN"/>
        </w:rPr>
        <w:t xml:space="preserve">（</w:t>
      </w:r>
      <w:r>
        <w:rPr>
          <w:rFonts w:hint="eastAsia"/>
          <w:b w:val="0"/>
          <w:bCs w:val="0"/>
          <w:sz w:val="28"/>
          <w:szCs w:val="28"/>
          <w:lang w:val="en-US" w:eastAsia="zh-CN"/>
        </w:rPr>
        <w:t xml:space="preserve">一</w:t>
      </w:r>
      <w:r>
        <w:rPr>
          <w:rFonts w:hint="eastAsia"/>
          <w:b w:val="0"/>
          <w:bCs w:val="0"/>
          <w:sz w:val="28"/>
          <w:szCs w:val="28"/>
          <w:lang w:eastAsia="zh-CN"/>
        </w:rPr>
        <w:t xml:space="preserve">）</w:t>
      </w:r>
      <w:r>
        <w:rPr>
          <w:sz w:val="28"/>
          <w:u w:color="auto"/>
        </w:rPr>
        <w:t xml:space="preserve">2024</w:t>
      </w:r>
      <w:r>
        <w:rPr>
          <w:sz w:val="28"/>
          <w:u w:color="auto"/>
        </w:rPr>
        <w:t xml:space="preserve">年部门预算共安排</w:t>
      </w:r>
      <w:r>
        <w:rPr>
          <w:rFonts w:hint="eastAsia"/>
          <w:b w:val="0"/>
          <w:bCs w:val="0"/>
          <w:sz w:val="28"/>
          <w:szCs w:val="28"/>
          <w:lang w:val="zh-CN" w:eastAsia="zh-CN"/>
        </w:rPr>
        <w:t xml:space="preserve">“三公</w:t>
      </w:r>
      <w:r>
        <w:rPr>
          <w:rFonts w:hint="eastAsia"/>
          <w:b w:val="0"/>
          <w:bCs w:val="0"/>
          <w:sz w:val="28"/>
          <w:szCs w:val="28"/>
          <w:lang w:val="en-US" w:eastAsia="zh-CN"/>
        </w:rPr>
        <w:t xml:space="preserve">"</w:t>
      </w:r>
      <w:r>
        <w:rPr>
          <w:rFonts w:hint="eastAsia"/>
          <w:b w:val="0"/>
          <w:bCs w:val="0"/>
          <w:sz w:val="28"/>
          <w:szCs w:val="28"/>
          <w:lang w:eastAsia="zh-CN"/>
        </w:rPr>
        <w:t xml:space="preserve">经费支出预算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万元（全口径），其中：因公出国（境）经费支出预算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万元，公务接待费支出预算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万元，公务用车购置及运行费支出预算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万元（公务用车购置费</w:t>
      </w:r>
      <w:r>
        <w:rPr>
          <w:rFonts w:hint="eastAsia"/>
          <w:b w:val="0"/>
          <w:bCs w:val="0"/>
          <w:sz w:val="28"/>
          <w:szCs w:val="28"/>
          <w:lang w:val="en-US" w:eastAsia="zh-CN"/>
        </w:rPr>
        <w:t xml:space="preserve">0.00</w:t>
      </w:r>
      <w:r>
        <w:rPr>
          <w:rFonts w:hint="eastAsia"/>
          <w:b w:val="0"/>
          <w:bCs w:val="0"/>
          <w:sz w:val="28"/>
          <w:szCs w:val="28"/>
          <w:lang w:eastAsia="zh-CN"/>
        </w:rPr>
        <w:t xml:space="preserve">万元,公务用车运行维护费</w:t>
      </w:r>
      <w:r>
        <w:rPr>
          <w:rFonts w:hint="eastAsia"/>
          <w:b w:val="0"/>
          <w:bCs w:val="0"/>
          <w:sz w:val="28"/>
          <w:szCs w:val="28"/>
          <w:lang w:val="en-US" w:eastAsia="zh-CN"/>
        </w:rPr>
        <w:t xml:space="preserve">0.00</w:t>
      </w:r>
      <w:r>
        <w:rPr>
          <w:rFonts w:hint="eastAsia"/>
          <w:b w:val="0"/>
          <w:bCs w:val="0"/>
          <w:sz w:val="28"/>
          <w:szCs w:val="28"/>
          <w:lang w:eastAsia="zh-CN"/>
        </w:rPr>
        <w:t xml:space="preserve">万元）。</w:t>
      </w:r>
    </w:p>
    <w:p>
      <w:pPr>
        <w:pStyle w:val="Bodytext|2"/>
        <w:tabs>
          <w:tab w:val="left" w:pos="1253"/>
        </w:tabs>
        <w:spacing w:after="0" w:line="629" w:lineRule="exact"/>
        <w:ind w:firstLine="600"/>
        <w:jc w:val="left"/>
        <w:rPr>
          <w:rFonts w:hint="eastAsia"/>
          <w:b w:val="0"/>
          <w:bCs w:val="0"/>
          <w:sz w:val="28"/>
          <w:szCs w:val="28"/>
        </w:rPr>
      </w:pPr>
      <w:r>
        <w:rPr>
          <w:rFonts w:hint="eastAsia"/>
          <w:b w:val="0"/>
          <w:bCs w:val="0"/>
          <w:sz w:val="28"/>
          <w:szCs w:val="28"/>
          <w:lang w:eastAsia="zh-CN"/>
        </w:rPr>
        <w:t xml:space="preserve">（</w:t>
      </w:r>
      <w:r>
        <w:rPr>
          <w:rFonts w:hint="eastAsia"/>
          <w:b w:val="0"/>
          <w:bCs w:val="0"/>
          <w:sz w:val="28"/>
          <w:szCs w:val="28"/>
          <w:lang w:val="en-US" w:eastAsia="zh-CN"/>
        </w:rPr>
        <w:t xml:space="preserve">二</w:t>
      </w:r>
      <w:r>
        <w:rPr>
          <w:rFonts w:hint="eastAsia"/>
          <w:b w:val="0"/>
          <w:bCs w:val="0"/>
          <w:sz w:val="28"/>
          <w:szCs w:val="28"/>
          <w:lang w:eastAsia="zh-CN"/>
        </w:rPr>
        <w:t xml:space="preserve">）</w:t>
      </w:r>
      <w:r>
        <w:rPr>
          <w:sz w:val="28"/>
          <w:u w:color="auto"/>
        </w:rPr>
        <w:t xml:space="preserve">2024</w:t>
      </w:r>
      <w:r>
        <w:rPr>
          <w:rFonts w:hint="eastAsia"/>
          <w:b w:val="0"/>
          <w:bCs w:val="0"/>
          <w:sz w:val="28"/>
          <w:szCs w:val="28"/>
        </w:rPr>
        <w:t xml:space="preserve">年一般公共预算安排的“三公”经费支出预算</w:t>
      </w:r>
      <w:r>
        <w:rPr>
          <w:rFonts w:hint="eastAsia"/>
          <w:b w:val="0"/>
          <w:bCs w:val="0"/>
          <w:sz w:val="28"/>
          <w:szCs w:val="28"/>
          <w:lang w:val="en-US" w:eastAsia="zh-CN"/>
        </w:rPr>
        <w:t xml:space="preserve">0.00</w:t>
      </w:r>
      <w:r>
        <w:rPr>
          <w:rFonts w:hint="eastAsia"/>
          <w:b w:val="0"/>
          <w:bCs w:val="0"/>
          <w:sz w:val="28"/>
          <w:szCs w:val="28"/>
        </w:rPr>
        <w:t xml:space="preserve">万元，同口径较2023年度预算数</w:t>
      </w:r>
      <w:r>
        <w:rPr>
          <w:rFonts w:hint="eastAsia"/>
          <w:b w:val="0"/>
          <w:bCs w:val="0"/>
          <w:sz w:val="28"/>
          <w:szCs w:val="28"/>
          <w:lang w:val="en-US" w:eastAsia="zh-CN"/>
        </w:rPr>
        <w:t xml:space="preserve">0.30</w:t>
      </w:r>
      <w:r>
        <w:rPr>
          <w:rFonts w:hint="eastAsia"/>
          <w:b w:val="0"/>
          <w:bCs w:val="0"/>
          <w:sz w:val="28"/>
          <w:szCs w:val="28"/>
        </w:rPr>
        <w:t xml:space="preserve">万元，</w:t>
      </w:r>
      <w:r>
        <w:rPr>
          <w:rFonts w:hint="eastAsia"/>
          <w:b w:val="0"/>
          <w:bCs w:val="0"/>
          <w:sz w:val="28"/>
          <w:szCs w:val="28"/>
          <w:lang w:val="en-US" w:eastAsia="zh-CN"/>
        </w:rPr>
        <w:t xml:space="preserve">减少0.30</w:t>
      </w:r>
      <w:r>
        <w:rPr>
          <w:rFonts w:hint="eastAsia"/>
          <w:b w:val="0"/>
          <w:bCs w:val="0"/>
          <w:sz w:val="28"/>
          <w:szCs w:val="28"/>
        </w:rPr>
        <w:t xml:space="preserve">万元，</w:t>
      </w:r>
      <w:r>
        <w:rPr>
          <w:rFonts w:hint="eastAsia"/>
          <w:b w:val="0"/>
          <w:bCs w:val="0"/>
          <w:sz w:val="28"/>
          <w:szCs w:val="28"/>
          <w:lang w:val="en-US" w:eastAsia="zh-CN"/>
        </w:rPr>
        <w:t xml:space="preserve">减少100.00%</w:t>
      </w:r>
      <w:r>
        <w:rPr>
          <w:rFonts w:hint="eastAsia"/>
          <w:b w:val="0"/>
          <w:bCs w:val="0"/>
          <w:sz w:val="28"/>
          <w:szCs w:val="28"/>
        </w:rPr>
        <w:t xml:space="preserve">，具体如下：</w:t>
      </w:r>
    </w:p>
    <w:p>
      <w:pPr>
        <w:pStyle w:val="Bodytext|2"/>
        <w:tabs>
          <w:tab w:val="left" w:pos="1253"/>
        </w:tabs>
        <w:spacing w:after="0" w:line="629" w:lineRule="exact"/>
        <w:ind w:firstLine="600"/>
        <w:jc w:val="left"/>
        <w:rPr>
          <w:rFonts w:eastAsia="宋体" w:hint="eastAsia"/>
          <w:b w:val="0"/>
          <w:bCs w:val="0"/>
          <w:sz w:val="28"/>
          <w:szCs w:val="28"/>
          <w:lang w:eastAsia="zh-CN"/>
        </w:rPr>
      </w:pPr>
      <w:r>
        <w:rPr>
          <w:rFonts w:hint="eastAsia"/>
          <w:b w:val="0"/>
          <w:bCs w:val="0"/>
          <w:sz w:val="28"/>
          <w:szCs w:val="28"/>
        </w:rPr>
        <w:t xml:space="preserve">1.因公出国（境）费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highlight w:val="none"/>
          <w:lang w:val="en-US" w:eastAsia="zh-CN"/>
        </w:rPr>
        <w:t xml:space="preserve">我单位无因公出国（境）费</w:t>
      </w:r>
      <w:r>
        <w:rPr>
          <w:rFonts w:hint="eastAsia"/>
          <w:b w:val="0"/>
          <w:bCs w:val="0"/>
          <w:sz w:val="28"/>
          <w:szCs w:val="28"/>
        </w:rPr>
        <w:t xml:space="preserve">。</w:t>
      </w:r>
    </w:p>
    <w:p>
      <w:pPr>
        <w:pStyle w:val="Bodytext|2"/>
        <w:tabs>
          <w:tab w:val="left" w:pos="1253"/>
        </w:tabs>
        <w:spacing w:after="0" w:line="629" w:lineRule="exact"/>
        <w:ind w:firstLine="600"/>
        <w:jc w:val="left"/>
        <w:rPr>
          <w:rFonts w:eastAsia="宋体" w:hint="eastAsia"/>
          <w:b w:val="0"/>
          <w:bCs w:val="0"/>
          <w:sz w:val="28"/>
          <w:szCs w:val="28"/>
          <w:lang w:eastAsia="zh-CN"/>
        </w:rPr>
      </w:pPr>
      <w:r>
        <w:rPr>
          <w:rFonts w:hint="eastAsia"/>
          <w:b w:val="0"/>
          <w:bCs w:val="0"/>
          <w:sz w:val="28"/>
          <w:szCs w:val="28"/>
        </w:rPr>
        <w:t xml:space="preserve">2.公务接待费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0.30</w:t>
      </w:r>
      <w:r>
        <w:rPr>
          <w:rFonts w:hint="eastAsia"/>
          <w:b w:val="0"/>
          <w:bCs w:val="0"/>
          <w:sz w:val="28"/>
          <w:szCs w:val="28"/>
        </w:rPr>
        <w:t xml:space="preserve">万元，</w:t>
      </w:r>
      <w:r>
        <w:rPr>
          <w:sz w:val="28"/>
          <w:u w:color="auto"/>
        </w:rPr>
        <w:t xml:space="preserve">减少0.30</w:t>
      </w:r>
      <w:r>
        <w:rPr>
          <w:rFonts w:hint="eastAsia"/>
          <w:b w:val="0"/>
          <w:bCs w:val="0"/>
          <w:sz w:val="28"/>
          <w:szCs w:val="28"/>
        </w:rPr>
        <w:t xml:space="preserve">万元，</w:t>
      </w:r>
      <w:r>
        <w:rPr>
          <w:sz w:val="28"/>
          <w:u w:color="auto"/>
        </w:rPr>
        <w:t xml:space="preserve">减少100.00%</w:t>
      </w:r>
      <w:r>
        <w:rPr>
          <w:rFonts w:hint="eastAsia"/>
          <w:b w:val="0"/>
          <w:bCs w:val="0"/>
          <w:sz w:val="28"/>
          <w:szCs w:val="28"/>
        </w:rPr>
        <w:t xml:space="preserve">，主要原因是</w:t>
      </w:r>
      <w:r>
        <w:rPr>
          <w:rFonts w:hint="eastAsia"/>
          <w:highlight w:val="none"/>
          <w:lang w:val="en-US" w:eastAsia="zh-CN"/>
        </w:rPr>
        <w:t xml:space="preserve">2023年预算漏记公务接待费</w:t>
      </w:r>
      <w:r>
        <w:rPr>
          <w:rFonts w:hint="eastAsia"/>
          <w:b w:val="0"/>
          <w:bCs w:val="0"/>
          <w:sz w:val="28"/>
          <w:szCs w:val="28"/>
        </w:rPr>
        <w:t xml:space="preserve">。</w:t>
      </w:r>
    </w:p>
    <w:p>
      <w:pPr>
        <w:pStyle w:val="Bodytext|2"/>
        <w:tabs>
          <w:tab w:val="left" w:pos="1253"/>
        </w:tabs>
        <w:spacing w:after="0" w:line="629" w:lineRule="exact"/>
        <w:ind w:firstLine="600"/>
        <w:jc w:val="left"/>
        <w:rPr>
          <w:rFonts w:hint="eastAsia"/>
          <w:b w:val="0"/>
          <w:bCs w:val="0"/>
          <w:sz w:val="28"/>
          <w:szCs w:val="28"/>
        </w:rPr>
      </w:pPr>
      <w:r>
        <w:rPr>
          <w:rFonts w:hint="eastAsia"/>
          <w:b w:val="0"/>
          <w:bCs w:val="0"/>
          <w:sz w:val="28"/>
          <w:szCs w:val="28"/>
        </w:rPr>
        <w:t xml:space="preserve">3.公务用车购置及运行费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，其中：</w:t>
      </w:r>
    </w:p>
    <w:p>
      <w:pPr>
        <w:pStyle w:val="Bodytext|2"/>
        <w:tabs>
          <w:tab w:val="left" w:pos="1253"/>
        </w:tabs>
        <w:spacing w:after="0" w:line="629" w:lineRule="exact"/>
        <w:ind w:firstLine="600"/>
        <w:jc w:val="left"/>
        <w:rPr>
          <w:rFonts w:eastAsia="宋体" w:hint="eastAsia"/>
          <w:b w:val="0"/>
          <w:bCs w:val="0"/>
          <w:sz w:val="28"/>
          <w:szCs w:val="28"/>
          <w:lang w:eastAsia="zh-CN"/>
        </w:rPr>
      </w:pPr>
      <w:r>
        <w:rPr>
          <w:rFonts w:hint="eastAsia"/>
          <w:b w:val="0"/>
          <w:bCs w:val="0"/>
          <w:sz w:val="28"/>
          <w:szCs w:val="28"/>
        </w:rPr>
        <w:t xml:space="preserve">公务用车购置费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highlight w:val="none"/>
          <w:lang w:val="en-US" w:eastAsia="zh-CN"/>
        </w:rPr>
        <w:t xml:space="preserve">2024年本单位无公务用车购置费预算</w:t>
      </w:r>
      <w:r>
        <w:rPr>
          <w:rFonts w:hint="eastAsia"/>
          <w:b w:val="0"/>
          <w:bCs w:val="0"/>
          <w:sz w:val="28"/>
          <w:szCs w:val="28"/>
        </w:rPr>
        <w:t xml:space="preserve">。</w:t>
      </w:r>
    </w:p>
    <w:p>
      <w:pPr>
        <w:pStyle w:val="Bodytext|2"/>
        <w:tabs>
          <w:tab w:val="left" w:pos="1253"/>
        </w:tabs>
        <w:spacing w:after="0" w:line="629" w:lineRule="exact"/>
        <w:ind w:firstLine="600"/>
        <w:jc w:val="left"/>
        <w:rPr>
          <w:rFonts w:hint="eastAsia"/>
          <w:b w:val="0"/>
          <w:bCs w:val="0"/>
          <w:sz w:val="28"/>
          <w:szCs w:val="28"/>
        </w:rPr>
      </w:pPr>
      <w:r>
        <w:rPr>
          <w:rFonts w:hint="eastAsia"/>
          <w:b w:val="0"/>
          <w:bCs w:val="0"/>
          <w:sz w:val="28"/>
          <w:szCs w:val="28"/>
        </w:rPr>
        <w:t xml:space="preserve">公务用车运行维护费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highlight w:val="none"/>
          <w:lang w:val="en-US" w:eastAsia="zh-CN"/>
        </w:rPr>
        <w:t xml:space="preserve">本单位没有</w:t>
      </w:r>
      <w:r>
        <w:rPr>
          <w:rFonts w:hint="eastAsia"/>
          <w:b w:val="0"/>
          <w:bCs w:val="0"/>
          <w:sz w:val="28"/>
          <w:szCs w:val="28"/>
        </w:rPr>
        <w:t xml:space="preserve">。</w:t>
      </w:r>
    </w:p>
    <w:p>
      <w:pPr>
        <w:pStyle w:val="Bodytext|2"/>
        <w:tabs>
          <w:tab w:val="left" w:pos="1235"/>
        </w:tabs>
        <w:spacing w:after="0" w:line="624" w:lineRule="exact"/>
        <w:ind w:firstLine="580"/>
        <w:jc w:val="left"/>
        <w:rPr>
          <w:b/>
          <w:bCs/>
        </w:rPr>
      </w:pPr>
      <w:r>
        <w:rPr>
          <w:b/>
          <w:bCs/>
        </w:rPr>
        <w:t xml:space="preserve">八</w:t>
      </w:r>
      <w:bookmarkEnd w:id="14"/>
      <w:r>
        <w:rPr>
          <w:b/>
          <w:bCs/>
        </w:rPr>
        <w:t xml:space="preserve">、</w:t>
      </w:r>
      <w:r>
        <w:rPr>
          <w:b/>
          <w:bCs/>
        </w:rPr>
        <w:tab/>
      </w:r>
      <w:r>
        <w:rPr>
          <w:b/>
          <w:bCs/>
        </w:rPr>
        <w:t xml:space="preserve">政府性基金预算支出情况说明</w:t>
      </w:r>
    </w:p>
    <w:p>
      <w:pPr>
        <w:pStyle w:val="Bodytext|1"/>
        <w:spacing w:line="629" w:lineRule="exact"/>
        <w:ind w:firstLine="600"/>
        <w:jc w:val="left"/>
        <w:rPr>
          <w:rFonts w:eastAsia="宋体" w:hint="eastAsia"/>
          <w:lang w:eastAsia="zh-CN"/>
        </w:rPr>
      </w:pPr>
      <w:r>
        <w:rPr>
          <w:rFonts w:hint="eastAsia"/>
        </w:rPr>
        <w:t xml:space="preserve">我部门</w:t>
      </w:r>
      <w:r>
        <w:rPr>
          <w:rFonts w:hint="eastAsia"/>
          <w:b w:val="0"/>
          <w:bCs w:val="0"/>
          <w:sz w:val="28"/>
          <w:szCs w:val="28"/>
          <w:lang w:eastAsia="zh-CN"/>
        </w:rPr>
        <w:t xml:space="preserve">2024</w:t>
      </w:r>
      <w:r>
        <w:rPr>
          <w:rFonts w:hint="eastAsia"/>
        </w:rPr>
        <w:t xml:space="preserve">年政府性基金预算支出共</w:t>
      </w:r>
      <w:r>
        <w:rPr>
          <w:rFonts w:hint="eastAsia"/>
          <w:b w:val="0"/>
          <w:bCs w:val="0"/>
          <w:sz w:val="28"/>
          <w:szCs w:val="28"/>
          <w:lang w:eastAsia="zh-CN"/>
        </w:rPr>
        <w:t xml:space="preserve">0.00</w:t>
      </w:r>
      <w:r>
        <w:rPr>
          <w:rFonts w:hint="eastAsia"/>
        </w:rPr>
        <w:t xml:space="preserve">万元，较2023年度预算数</w:t>
      </w:r>
      <w:r>
        <w:rPr>
          <w:rFonts w:hint="eastAsia"/>
          <w:b w:val="0"/>
          <w:bCs w:val="0"/>
          <w:sz w:val="28"/>
          <w:szCs w:val="28"/>
          <w:lang w:eastAsia="zh-CN"/>
        </w:rPr>
        <w:t xml:space="preserve">0.00</w:t>
      </w:r>
      <w:r>
        <w:rPr>
          <w:rFonts w:hint="eastAsia"/>
        </w:rPr>
        <w:t xml:space="preserve">万元，</w:t>
      </w:r>
      <w:r>
        <w:rPr>
          <w:rFonts w:hint="eastAsia"/>
          <w:b w:val="0"/>
          <w:bCs w:val="0"/>
          <w:sz w:val="28"/>
          <w:szCs w:val="28"/>
          <w:lang w:eastAsia="zh-CN"/>
        </w:rPr>
        <w:t xml:space="preserve">增加0.00</w:t>
      </w:r>
      <w:r>
        <w:rPr>
          <w:rFonts w:hint="eastAsia"/>
        </w:rPr>
        <w:t xml:space="preserve">万元，</w:t>
      </w:r>
      <w:r>
        <w:rPr>
          <w:rFonts w:hint="eastAsia"/>
          <w:b w:val="0"/>
          <w:bCs w:val="0"/>
          <w:sz w:val="28"/>
          <w:szCs w:val="28"/>
          <w:lang w:eastAsia="zh-CN"/>
        </w:rPr>
        <w:t xml:space="preserve">增长0%</w:t>
      </w:r>
      <w:r>
        <w:rPr>
          <w:rFonts w:hint="eastAsia"/>
        </w:rPr>
        <w:t xml:space="preserve">，主要原因是</w:t>
      </w:r>
      <w:r>
        <w:rPr>
          <w:rFonts w:hint="eastAsia"/>
          <w:highlight w:val="none"/>
          <w:lang w:val="en-US" w:eastAsia="zh-CN"/>
        </w:rPr>
        <w:t xml:space="preserve">我部门2024年无政府性基金预算</w:t>
      </w:r>
      <w:r>
        <w:rPr>
          <w:rFonts w:hint="eastAsia"/>
        </w:rPr>
        <w:t xml:space="preserve">。</w:t>
      </w:r>
    </w:p>
    <w:p>
      <w:pPr>
        <w:pStyle w:val="Bodytext|2"/>
        <w:tabs>
          <w:tab w:val="left" w:pos="1235"/>
        </w:tabs>
        <w:spacing w:after="0" w:line="624" w:lineRule="exact"/>
        <w:ind w:firstLine="580"/>
        <w:jc w:val="left"/>
        <w:rPr>
          <w:b/>
          <w:bCs/>
        </w:rPr>
      </w:pPr>
      <w:bookmarkStart w:id="15" w:name="bookmark91"/>
      <w:r>
        <w:rPr>
          <w:b/>
          <w:bCs/>
        </w:rPr>
        <w:t xml:space="preserve">九</w:t>
      </w:r>
      <w:bookmarkEnd w:id="15"/>
      <w:r>
        <w:rPr>
          <w:b/>
          <w:bCs/>
        </w:rPr>
        <w:t xml:space="preserve">、</w:t>
      </w:r>
      <w:r>
        <w:rPr>
          <w:b/>
          <w:bCs/>
        </w:rPr>
        <w:tab/>
      </w:r>
      <w:r>
        <w:rPr>
          <w:b/>
          <w:bCs/>
        </w:rPr>
        <w:t xml:space="preserve">国有资本经营预算支出情况说明</w:t>
      </w:r>
    </w:p>
    <w:p>
      <w:pPr>
        <w:pStyle w:val="Bodytext|1"/>
        <w:spacing w:line="437" w:lineRule="auto"/>
        <w:ind w:firstLine="600"/>
        <w:jc w:val="left"/>
        <w:rPr>
          <w:rFonts w:eastAsia="宋体" w:hint="eastAsia"/>
          <w:lang w:eastAsia="zh-CN"/>
        </w:rPr>
      </w:pPr>
      <w:r>
        <w:rPr>
          <w:rFonts w:hint="eastAsia"/>
        </w:rPr>
        <w:t xml:space="preserve">我部门</w:t>
      </w:r>
      <w:r>
        <w:rPr>
          <w:rFonts w:hint="eastAsia"/>
          <w:lang w:eastAsia="zh-CN"/>
        </w:rPr>
        <w:t xml:space="preserve">2024</w:t>
      </w:r>
      <w:r>
        <w:rPr>
          <w:rFonts w:hint="eastAsia"/>
        </w:rPr>
        <w:t xml:space="preserve">年国有资本经营预算支出共</w:t>
      </w:r>
      <w:r>
        <w:rPr>
          <w:rFonts w:hint="eastAsia"/>
          <w:lang w:eastAsia="zh-CN"/>
        </w:rPr>
        <w:t xml:space="preserve">0.00</w:t>
      </w:r>
      <w:r>
        <w:rPr>
          <w:rFonts w:hint="eastAsia"/>
        </w:rPr>
        <w:t xml:space="preserve">万元，较2023年度预算数</w:t>
      </w:r>
      <w:r>
        <w:rPr>
          <w:rFonts w:hint="eastAsia"/>
          <w:lang w:eastAsia="zh-CN"/>
        </w:rPr>
        <w:t xml:space="preserve">0.00</w:t>
      </w:r>
      <w:r>
        <w:rPr>
          <w:rFonts w:hint="eastAsia"/>
        </w:rPr>
        <w:t xml:space="preserve">万元，</w:t>
      </w:r>
      <w:r>
        <w:rPr>
          <w:rFonts w:hint="eastAsia"/>
          <w:lang w:eastAsia="zh-CN"/>
        </w:rPr>
        <w:t xml:space="preserve">增加0.00</w:t>
      </w:r>
      <w:r>
        <w:rPr>
          <w:rFonts w:hint="eastAsia"/>
        </w:rPr>
        <w:t xml:space="preserve">万元，</w:t>
      </w:r>
      <w:r>
        <w:rPr>
          <w:rFonts w:hint="eastAsia"/>
          <w:lang w:eastAsia="zh-CN"/>
        </w:rPr>
        <w:t xml:space="preserve">增长0%</w:t>
      </w:r>
      <w:r>
        <w:rPr>
          <w:rFonts w:hint="eastAsia"/>
        </w:rPr>
        <w:t xml:space="preserve">，主要原因是</w:t>
      </w:r>
      <w:r>
        <w:rPr>
          <w:rFonts w:hint="eastAsia"/>
          <w:lang w:val="en-US" w:eastAsia="zh-CN"/>
        </w:rPr>
        <w:t xml:space="preserve">我部门2024年无国有资本经营预算</w:t>
      </w:r>
      <w:r>
        <w:rPr>
          <w:rFonts w:hint="eastAsia"/>
        </w:rPr>
        <w:t xml:space="preserve">。</w:t>
      </w:r>
    </w:p>
    <w:p>
      <w:pPr>
        <w:pStyle w:val="Bodytext|2"/>
        <w:tabs>
          <w:tab w:val="left" w:pos="1235"/>
        </w:tabs>
        <w:spacing w:after="0" w:line="624" w:lineRule="exact"/>
        <w:ind w:firstLine="580"/>
        <w:jc w:val="left"/>
        <w:rPr>
          <w:b/>
          <w:bCs/>
        </w:rPr>
      </w:pPr>
      <w:r>
        <w:rPr>
          <w:b/>
          <w:bCs/>
        </w:rPr>
        <w:t xml:space="preserve">十、其他重要事项</w:t>
      </w:r>
      <w:r>
        <w:rPr>
          <w:rFonts w:hint="eastAsia"/>
          <w:b/>
          <w:bCs/>
          <w:lang w:val="en-US" w:eastAsia="zh-CN"/>
        </w:rPr>
        <w:t xml:space="preserve">情况</w:t>
      </w:r>
      <w:r>
        <w:rPr>
          <w:b/>
          <w:bCs/>
        </w:rPr>
        <w:t xml:space="preserve">说明</w:t>
      </w:r>
    </w:p>
    <w:p>
      <w:pPr>
        <w:pStyle w:val="Bodytext|1"/>
        <w:spacing w:line="624" w:lineRule="exact"/>
        <w:ind w:firstLine="600"/>
        <w:jc w:val="left"/>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（一）机关运行经费安排情况说明</w:t>
      </w:r>
    </w:p>
    <w:p>
      <w:pPr>
        <w:pStyle w:val="Bodytext|1"/>
        <w:spacing w:line="624" w:lineRule="exact"/>
        <w:ind w:firstLine="600"/>
        <w:jc w:val="left"/>
        <w:rPr>
          <w:rFonts w:ascii="宋体" w:eastAsia="宋体" w:hAnsi="宋体" w:cs="宋体" w:hint="eastAsia"/>
          <w:sz w:val="28"/>
          <w:szCs w:val="28"/>
          <w:lang w:eastAsia="zh-CN"/>
        </w:rPr>
      </w:pPr>
      <w:r>
        <w:rPr>
          <w:rFonts w:ascii="宋体" w:eastAsia="宋体" w:hAnsi="宋体" w:cs="宋体" w:hint="eastAsia"/>
          <w:b w:val="0"/>
          <w:bCs w:val="0"/>
          <w:sz w:val="28"/>
          <w:szCs w:val="28"/>
          <w:lang w:eastAsia="zh-CN"/>
        </w:rPr>
        <w:t xml:space="preserve">2024</w:t>
      </w:r>
      <w:r>
        <w:rPr>
          <w:rFonts w:ascii="宋体" w:eastAsia="宋体" w:hAnsi="宋体" w:cs="宋体" w:hint="eastAsia"/>
          <w:sz w:val="28"/>
          <w:szCs w:val="28"/>
          <w:lang w:eastAsia="zh-CN"/>
        </w:rPr>
        <w:t xml:space="preserve">年本部门机关运行经费预算</w:t>
      </w:r>
      <w:r>
        <w:rPr>
          <w:rFonts w:ascii="宋体" w:eastAsia="宋体" w:hAnsi="宋体" w:cs="宋体" w:hint="eastAsia"/>
          <w:sz w:val="28"/>
          <w:szCs w:val="28"/>
          <w:lang w:val="en-US" w:eastAsia="zh-CN"/>
        </w:rPr>
        <w:t xml:space="preserve">5.89</w:t>
      </w:r>
      <w:r>
        <w:rPr>
          <w:rFonts w:ascii="宋体" w:eastAsia="宋体" w:hAnsi="宋体" w:cs="宋体" w:hint="eastAsia"/>
          <w:sz w:val="28"/>
          <w:szCs w:val="28"/>
          <w:lang w:eastAsia="zh-CN"/>
        </w:rPr>
        <w:t xml:space="preserve">万元，较2023年度预算数</w:t>
      </w:r>
      <w:r>
        <w:rPr>
          <w:rFonts w:ascii="宋体" w:eastAsia="宋体" w:hAnsi="宋体" w:cs="宋体" w:hint="eastAsia"/>
          <w:sz w:val="28"/>
          <w:szCs w:val="28"/>
          <w:lang w:val="en-US" w:eastAsia="zh-CN"/>
        </w:rPr>
        <w:t xml:space="preserve">5.22</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增加0.67</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增长12.84%</w:t>
      </w:r>
      <w:r>
        <w:rPr>
          <w:rFonts w:ascii="宋体" w:eastAsia="宋体" w:hAnsi="宋体" w:cs="宋体" w:hint="eastAsia"/>
          <w:sz w:val="28"/>
          <w:szCs w:val="28"/>
          <w:lang w:eastAsia="zh-CN"/>
        </w:rPr>
        <w:t xml:space="preserve">，主要原因是：</w:t>
      </w:r>
      <w:r>
        <w:rPr>
          <w:rFonts w:hint="eastAsia"/>
          <w:highlight w:val="none"/>
          <w:lang w:val="en-US" w:eastAsia="zh-CN"/>
        </w:rPr>
        <w:t xml:space="preserve">由行政运行办公经费-邮电费0.2万元，办公经费-差旅费0.8万元，其他群众团体事务支出-工会经费0.66万元，行政运行办公经费-其他交通费用3.6万元，行政运行办公经费-机关公务移动通信补贴0.62万元组成；增加了0.67万元，2023年3月份和4月份分别调入两名领导人员，导致增长的主要原因</w:t>
      </w:r>
      <w:r>
        <w:rPr>
          <w:rFonts w:ascii="宋体" w:eastAsia="宋体" w:hAnsi="宋体" w:cs="宋体" w:hint="eastAsia"/>
          <w:sz w:val="28"/>
          <w:szCs w:val="28"/>
          <w:lang w:eastAsia="zh-CN"/>
        </w:rPr>
        <w:t xml:space="preserve">。</w:t>
      </w:r>
    </w:p>
    <w:p>
      <w:pPr>
        <w:pStyle w:val="Bodytext|1"/>
        <w:spacing w:line="624" w:lineRule="exact"/>
        <w:ind w:firstLine="600"/>
        <w:jc w:val="left"/>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（二）政府采购预算安排情况说明</w:t>
      </w:r>
    </w:p>
    <w:p>
      <w:pPr>
        <w:pStyle w:val="Bodytext|1"/>
        <w:spacing w:line="624" w:lineRule="exact"/>
        <w:ind w:firstLine="600"/>
        <w:jc w:val="left"/>
        <w:rPr>
          <w:rFonts w:ascii="宋体" w:eastAsia="宋体" w:hAnsi="宋体" w:cs="宋体" w:hint="default"/>
          <w:sz w:val="28"/>
          <w:szCs w:val="28"/>
          <w:lang w:val="en-US" w:eastAsia="zh-CN"/>
        </w:rPr>
      </w:pPr>
      <w:r>
        <w:rPr>
          <w:rFonts w:ascii="宋体" w:eastAsia="宋体" w:hAnsi="宋体" w:cs="宋体" w:hint="eastAsia"/>
          <w:sz w:val="28"/>
          <w:szCs w:val="28"/>
          <w:lang w:eastAsia="zh-CN"/>
        </w:rPr>
        <w:t xml:space="preserve">我部门2024年政府采购预算总金额</w:t>
      </w:r>
      <w:r>
        <w:rPr>
          <w:rFonts w:hint="eastAsia"/>
          <w:highlight w:val="none"/>
          <w:lang w:val="en-US" w:eastAsia="zh-CN"/>
        </w:rPr>
        <w:t xml:space="preserve">我单位没有服务类采购</w:t>
      </w:r>
      <w:r>
        <w:rPr>
          <w:rFonts w:ascii="宋体" w:eastAsia="宋体" w:hAnsi="宋体" w:cs="宋体" w:hint="eastAsia"/>
          <w:sz w:val="28"/>
          <w:szCs w:val="28"/>
          <w:lang w:eastAsia="zh-CN"/>
        </w:rPr>
        <w:t xml:space="preserve">万元。其中：货物类采购</w:t>
      </w:r>
      <w:r>
        <w:rPr>
          <w:rFonts w:hint="eastAsia"/>
          <w:highlight w:val="none"/>
          <w:lang w:val="en-US" w:eastAsia="zh-CN"/>
        </w:rPr>
        <w:t xml:space="preserve">本单位没有</w:t>
      </w:r>
      <w:r>
        <w:rPr>
          <w:rFonts w:ascii="宋体" w:eastAsia="宋体" w:hAnsi="宋体" w:cs="宋体" w:hint="eastAsia"/>
          <w:sz w:val="28"/>
          <w:szCs w:val="28"/>
          <w:lang w:eastAsia="zh-CN"/>
        </w:rPr>
        <w:t xml:space="preserve">万元、工程类采购</w:t>
      </w:r>
      <w:r>
        <w:rPr>
          <w:rFonts w:hint="eastAsia"/>
          <w:highlight w:val="none"/>
          <w:lang w:val="en-US" w:eastAsia="zh-CN"/>
        </w:rPr>
        <w:t xml:space="preserve">本单位没有</w:t>
      </w:r>
      <w:r>
        <w:rPr>
          <w:rFonts w:ascii="宋体" w:eastAsia="宋体" w:hAnsi="宋体" w:cs="宋体" w:hint="eastAsia"/>
          <w:sz w:val="28"/>
          <w:szCs w:val="28"/>
          <w:lang w:eastAsia="zh-CN"/>
        </w:rPr>
        <w:t xml:space="preserve">万元、服务类采购</w:t>
      </w:r>
      <w:r>
        <w:rPr>
          <w:rFonts w:hint="eastAsia"/>
          <w:highlight w:val="none"/>
          <w:lang w:val="en-US" w:eastAsia="zh-CN"/>
        </w:rPr>
        <w:t xml:space="preserve">本单位没有</w:t>
      </w:r>
      <w:r>
        <w:rPr>
          <w:rFonts w:ascii="宋体" w:eastAsia="宋体" w:hAnsi="宋体" w:cs="宋体" w:hint="eastAsia"/>
          <w:sz w:val="28"/>
          <w:szCs w:val="28"/>
          <w:lang w:eastAsia="zh-CN"/>
        </w:rPr>
        <w:t xml:space="preserve">万元。</w:t>
      </w:r>
      <w:r>
        <w:rPr>
          <w:rFonts w:cs="宋体" w:hint="eastAsia"/>
          <w:sz w:val="28"/>
          <w:szCs w:val="28"/>
          <w:lang w:val="en-US" w:eastAsia="zh-CN"/>
        </w:rPr>
        <w:t xml:space="preserve">主要用于：</w:t>
      </w:r>
      <w:r>
        <w:rPr>
          <w:rFonts w:hint="eastAsia"/>
          <w:highlight w:val="none"/>
          <w:lang w:val="en-US" w:eastAsia="zh-CN"/>
        </w:rPr>
        <w:t xml:space="preserve">本单位没有</w:t>
      </w:r>
    </w:p>
    <w:p>
      <w:pPr>
        <w:pStyle w:val="Bodytext|1"/>
        <w:spacing w:line="624" w:lineRule="exact"/>
        <w:ind w:firstLine="600"/>
        <w:jc w:val="left"/>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（三）国有资产占用情况说明</w:t>
      </w:r>
    </w:p>
    <w:p>
      <w:pPr>
        <w:pStyle w:val="Bodytext|1"/>
        <w:spacing w:line="624" w:lineRule="exact"/>
        <w:ind w:firstLine="600"/>
        <w:jc w:val="left"/>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截至2023年12月31日，本部门共有车辆</w:t>
      </w:r>
      <w:r>
        <w:rPr>
          <w:rFonts w:hint="eastAsia"/>
          <w:highlight w:val="none"/>
          <w:lang w:val="en-US" w:eastAsia="zh-CN"/>
        </w:rPr>
        <w:t xml:space="preserve">0</w:t>
      </w:r>
      <w:r>
        <w:rPr>
          <w:rFonts w:ascii="宋体" w:eastAsia="宋体" w:hAnsi="宋体" w:cs="宋体" w:hint="eastAsia"/>
          <w:sz w:val="28"/>
          <w:szCs w:val="28"/>
          <w:lang w:eastAsia="zh-CN"/>
        </w:rPr>
        <w:t xml:space="preserve">辆，其中，应急机要通信用车</w:t>
      </w:r>
      <w:r>
        <w:rPr>
          <w:rFonts w:hint="eastAsia"/>
          <w:highlight w:val="none"/>
          <w:lang w:val="en-US" w:eastAsia="zh-CN"/>
        </w:rPr>
        <w:t xml:space="preserve">0</w:t>
      </w:r>
      <w:r>
        <w:rPr>
          <w:rFonts w:ascii="宋体" w:eastAsia="宋体" w:hAnsi="宋体" w:cs="宋体" w:hint="eastAsia"/>
          <w:sz w:val="28"/>
          <w:szCs w:val="28"/>
          <w:lang w:eastAsia="zh-CN"/>
        </w:rPr>
        <w:t xml:space="preserve">辆、一般执法执勤用车</w:t>
      </w:r>
      <w:r>
        <w:rPr>
          <w:rFonts w:hint="eastAsia"/>
          <w:highlight w:val="none"/>
          <w:lang w:val="en-US" w:eastAsia="zh-CN"/>
        </w:rPr>
        <w:t xml:space="preserve">0</w:t>
      </w:r>
      <w:r>
        <w:rPr>
          <w:rFonts w:ascii="宋体" w:eastAsia="宋体" w:hAnsi="宋体" w:cs="宋体" w:hint="eastAsia"/>
          <w:sz w:val="28"/>
          <w:szCs w:val="28"/>
          <w:lang w:eastAsia="zh-CN"/>
        </w:rPr>
        <w:t xml:space="preserve">辆、特种专业技术用车</w:t>
      </w:r>
      <w:r>
        <w:rPr>
          <w:rFonts w:hint="eastAsia"/>
          <w:highlight w:val="none"/>
          <w:lang w:val="en-US" w:eastAsia="zh-CN"/>
        </w:rPr>
        <w:t xml:space="preserve">0</w:t>
      </w:r>
      <w:r>
        <w:rPr>
          <w:rFonts w:ascii="宋体" w:eastAsia="宋体" w:hAnsi="宋体" w:cs="宋体" w:hint="eastAsia"/>
          <w:sz w:val="28"/>
          <w:szCs w:val="28"/>
          <w:lang w:eastAsia="zh-CN"/>
        </w:rPr>
        <w:t xml:space="preserve">辆、其他用车</w:t>
      </w:r>
      <w:r>
        <w:rPr>
          <w:rFonts w:hint="eastAsia"/>
          <w:highlight w:val="none"/>
          <w:lang w:val="en-US" w:eastAsia="zh-CN"/>
        </w:rPr>
        <w:t xml:space="preserve">0</w:t>
      </w:r>
      <w:r>
        <w:rPr>
          <w:rFonts w:ascii="宋体" w:eastAsia="宋体" w:hAnsi="宋体" w:cs="宋体" w:hint="eastAsia"/>
          <w:sz w:val="28"/>
          <w:szCs w:val="28"/>
          <w:lang w:eastAsia="zh-CN"/>
        </w:rPr>
        <w:t xml:space="preserve">辆，单位价值200万元以上大型设备</w:t>
      </w:r>
      <w:r>
        <w:rPr>
          <w:rFonts w:hint="eastAsia"/>
          <w:highlight w:val="none"/>
          <w:lang w:val="en-US" w:eastAsia="zh-CN"/>
        </w:rPr>
        <w:t xml:space="preserve">0</w:t>
      </w:r>
      <w:r>
        <w:rPr>
          <w:rFonts w:ascii="宋体" w:eastAsia="宋体" w:hAnsi="宋体" w:cs="宋体" w:hint="eastAsia"/>
          <w:sz w:val="28"/>
          <w:szCs w:val="28"/>
          <w:lang w:eastAsia="zh-CN"/>
        </w:rPr>
        <w:t xml:space="preserve">台（套）。</w:t>
      </w:r>
    </w:p>
    <w:p>
      <w:pPr>
        <w:pStyle w:val="Bodytext|1"/>
        <w:spacing w:line="624" w:lineRule="exact"/>
        <w:ind w:firstLine="600"/>
        <w:jc w:val="left"/>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（四）预算绩效目标情况说明</w:t>
      </w:r>
    </w:p>
    <w:p>
      <w:pPr>
        <w:pStyle w:val="Bodytext|1"/>
        <w:spacing w:line="624" w:lineRule="exact"/>
        <w:ind w:firstLine="600"/>
        <w:jc w:val="left"/>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1.我部门2024年所有项目支出全面实施绩效目标管理，涉及项目</w:t>
      </w:r>
      <w:r>
        <w:rPr>
          <w:rFonts w:hint="eastAsia"/>
          <w:highlight w:val="none"/>
          <w:lang w:val="en-US" w:eastAsia="zh-CN"/>
        </w:rPr>
        <w:t xml:space="preserve">3</w:t>
      </w:r>
      <w:r>
        <w:rPr>
          <w:rFonts w:ascii="宋体" w:eastAsia="宋体" w:hAnsi="宋体" w:cs="宋体" w:hint="eastAsia"/>
          <w:sz w:val="28"/>
          <w:szCs w:val="28"/>
          <w:lang w:eastAsia="zh-CN"/>
        </w:rPr>
        <w:t xml:space="preserve">个，预算资金</w:t>
      </w:r>
      <w:r>
        <w:rPr>
          <w:rFonts w:hint="eastAsia"/>
          <w:highlight w:val="none"/>
          <w:lang w:val="en-US" w:eastAsia="zh-CN"/>
        </w:rPr>
        <w:t xml:space="preserve">8.2</w:t>
      </w:r>
      <w:r>
        <w:rPr>
          <w:rFonts w:ascii="宋体" w:eastAsia="宋体" w:hAnsi="宋体" w:cs="宋体" w:hint="eastAsia"/>
          <w:sz w:val="28"/>
          <w:szCs w:val="28"/>
          <w:lang w:eastAsia="zh-CN"/>
        </w:rPr>
        <w:t xml:space="preserve">万元。绩效目标情况详见报表（日常运转类项目、工资类人员经费项目和涉密项目等除外）。</w:t>
      </w:r>
    </w:p>
    <w:p>
      <w:pPr>
        <w:pStyle w:val="Bodytext|1"/>
        <w:spacing w:line="624" w:lineRule="exact"/>
        <w:ind w:firstLine="600"/>
        <w:jc w:val="left"/>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2.重点项目预算绩效目标说明。</w:t>
      </w:r>
    </w:p>
    <w:p>
      <w:pPr>
        <w:pStyle w:val="Bodytext|1"/>
        <w:spacing w:line="624" w:lineRule="exact"/>
        <w:ind w:firstLine="600"/>
        <w:jc w:val="left"/>
        <w:rPr>
          <w:rFonts w:hint="eastAsia"/>
          <w:highlight w:val="none"/>
          <w:lang w:val="en-US" w:eastAsia="zh-CN"/>
        </w:rPr>
      </w:pPr>
      <w:r>
        <w:rPr>
          <w:rFonts w:hint="eastAsia"/>
          <w:highlight w:val="none"/>
          <w:lang w:val="en-US" w:eastAsia="zh-CN"/>
        </w:rPr>
        <w:t xml:space="preserve">重点项目一：项目名称：《环江社会科学》，预算金额3.6万元，2024年绩效目标为：完成两期《环江社会科学杂志》内刊，设1条数量指标：举办《环江社会科学》内刊≥1期；设1条质量指标：按期出版《环江社会科学》内刊；设1条时效指标：按时完成《环江社会科学》内刊；设1条成本指标：举办《环江社会科学》内刊所耗用成本3.6万元；设1条经济效益指标：传播先进文化，弘扬科学精神；设1条社会效益指标：提高公众政策知识、制度或宣传点的知晓率，设1条可持续影响指标：对宣传、普及工作事业发展可持继性保障；设1条满意度指标：读者对内刊满意度≥98%。</w:t>
      </w:r>
    </w:p>
    <w:p>
      <w:pPr>
        <w:pStyle w:val="Bodytext|1"/>
        <w:spacing w:line="624" w:lineRule="exact"/>
        <w:ind w:firstLine="600"/>
        <w:jc w:val="left"/>
        <w:rPr>
          <w:rFonts w:hint="eastAsia"/>
          <w:highlight w:val="none"/>
          <w:lang w:val="en-US" w:eastAsia="zh-CN"/>
        </w:rPr>
      </w:pPr>
    </w:p>
    <w:p>
      <w:pPr>
        <w:pStyle w:val="Bodytext|1"/>
        <w:spacing w:line="624" w:lineRule="exact"/>
        <w:ind w:firstLine="600"/>
        <w:jc w:val="left"/>
        <w:rPr>
          <w:rFonts w:hint="eastAsia"/>
          <w:highlight w:val="none"/>
          <w:lang w:val="en-US" w:eastAsia="zh-CN"/>
        </w:rPr>
      </w:pPr>
    </w:p>
    <w:p>
      <w:pPr>
        <w:pStyle w:val="Bodytext|1"/>
        <w:spacing w:line="624" w:lineRule="exact"/>
        <w:ind w:firstLine="600"/>
        <w:jc w:val="left"/>
        <w:rPr>
          <w:rFonts w:hint="default"/>
          <w:highlight w:val="none"/>
          <w:lang w:val="en-US" w:eastAsia="zh-CN"/>
        </w:rPr>
        <w:sectPr>
          <w:headerReference w:type="default" r:id="rId12"/>
          <w:footerReference w:type="default" r:id="rId13"/>
          <w:pgSz w:w="11900" w:h="16840" w:orient="portrait"/>
          <w:pgMar w:top="1440" w:right="1800" w:bottom="1440" w:left="1800" w:header="0" w:footer="3" w:gutter="0"/>
          <w:pgBorders>
            <w:top w:val="none" w:sz="0" w:space="0" w:color="auto"/>
            <w:left w:val="none" w:sz="0" w:space="0" w:color="auto"/>
            <w:bottom w:val="none" w:sz="0" w:space="0" w:color="auto"/>
            <w:right w:val="none" w:sz="0" w:space="0" w:color="auto"/>
          </w:pgBorders>
          <w:cols w:num="1" w:space="720">
            <w:col w:w="8300" w:space="720"/>
          </w:cols>
          <w:docGrid w:linePitch="360" w:charSpace="0"/>
        </w:sectPr>
      </w:pPr>
    </w:p>
    <w:p>
      <w:pPr>
        <w:pStyle w:val="Heading#1|1"/>
        <w:keepNext/>
        <w:keepLines/>
        <w:spacing w:after="980"/>
        <w:jc w:val="center"/>
      </w:pPr>
      <w:bookmarkEnd w:id="10"/>
      <w:bookmarkEnd w:id="11"/>
      <w:bookmarkEnd w:id="12"/>
      <w:r>
        <w:t xml:space="preserve">第</w:t>
      </w:r>
      <w:r>
        <w:rPr>
          <w:rFonts w:hint="eastAsia"/>
          <w:lang w:val="en-US" w:eastAsia="zh-CN"/>
        </w:rPr>
        <w:t xml:space="preserve">三</w:t>
      </w:r>
      <w:r>
        <w:t xml:space="preserve">部分</w:t>
      </w:r>
      <w:r>
        <w:rPr>
          <w:rFonts w:hint="eastAsia"/>
          <w:lang w:eastAsia="zh-CN"/>
        </w:rPr>
        <w:t xml:space="preserve">环江毛南族自治县社会科学界联合会</w:t>
      </w:r>
      <w:r>
        <w:rPr>
          <w:rFonts w:ascii="Times New Roman" w:hAnsi="Times New Roman" w:cs="Times New Roman" w:hint="eastAsia"/>
          <w:sz w:val="42"/>
          <w:szCs w:val="42"/>
          <w:lang w:eastAsia="zh-CN"/>
        </w:rPr>
        <w:t xml:space="preserve">2024</w:t>
      </w:r>
      <w:r>
        <w:rPr>
          <w:rFonts w:ascii="Times New Roman" w:hAnsi="Times New Roman" w:cs="Times New Roman"/>
          <w:sz w:val="42"/>
          <w:u w:color="auto"/>
        </w:rPr>
        <w:t xml:space="preserve">年</w:t>
      </w:r>
      <w:r>
        <w:t xml:space="preserve">部门预算表</w:t>
      </w:r>
    </w:p>
    <w:p>
      <w:pPr>
        <w:pStyle w:val="Heading#2|1"/>
        <w:keepNext/>
        <w:keepLines/>
        <w:spacing w:after="240"/>
        <w:jc w:val="center"/>
      </w:pPr>
      <w:bookmarkStart w:id="16" w:name="bookmark29"/>
      <w:bookmarkStart w:id="17" w:name="bookmark30"/>
      <w:bookmarkStart w:id="18" w:name="bookmark31"/>
      <w:r>
        <w:t xml:space="preserve">收支总体情况表</w:t>
      </w:r>
      <w:bookmarkEnd w:id="16"/>
      <w:bookmarkEnd w:id="17"/>
      <w:bookmarkEnd w:id="18"/>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3339"/>
        <w:gridCol w:w="3760"/>
        <w:gridCol w:w="3542"/>
        <w:gridCol w:w="3571"/>
      </w:tblGrid>
      <w:tr>
        <w:tblPrEx>
          <w:tblW w:w="0" w:type="auto"/>
          <w:tblInd w:w="0" w:type="dxa"/>
          <w:tblLayout w:type="fixed"/>
          <w:tblCellMar>
            <w:top w:w="0" w:type="dxa"/>
            <w:left w:w="10" w:type="dxa"/>
            <w:bottom w:w="0" w:type="dxa"/>
            <w:right w:w="10" w:type="dxa"/>
          </w:tblCellMar>
        </w:tblPrEx>
        <w:trPr>
          <w:trHeight w:hRule="exact" w:val="331"/>
        </w:trPr>
        <w:tc>
          <w:tcPr>
            <w:tcW w:w="10641" w:type="dxa"/>
            <w:gridSpan w:val="3"/>
            <w:tcBorders>
              <w:bottom w:val="single" w:sz="4" w:space="0" w:color="auto"/>
            </w:tcBorders>
            <w:shd w:val="clear" w:color="auto" w:fill="FFFFFF"/>
          </w:tcPr>
          <w:p>
            <w:pPr>
              <w:pStyle w:val="Other|1"/>
              <w:spacing w:line="240" w:lineRule="auto"/>
              <w:ind w:firstLine="0"/>
              <w:jc w:val="left"/>
              <w:rPr>
                <w:sz w:val="17"/>
                <w:szCs w:val="17"/>
              </w:rPr>
            </w:pPr>
            <w:r>
              <w:rPr>
                <w:sz w:val="17"/>
                <w:szCs w:val="17"/>
              </w:rPr>
              <w:t xml:space="preserve">单位名称：</w:t>
            </w:r>
            <w:r>
              <w:rPr>
                <w:rFonts w:hint="eastAsia"/>
                <w:sz w:val="17"/>
                <w:szCs w:val="17"/>
                <w:lang w:eastAsia="zh-CN"/>
              </w:rPr>
              <w:t xml:space="preserve">环江毛南族自治县社会科学界联合会</w:t>
            </w:r>
          </w:p>
        </w:tc>
        <w:tc>
          <w:tcPr>
            <w:tcW w:w="3571" w:type="dxa"/>
            <w:tcBorders>
              <w:bottom w:val="single" w:sz="4" w:space="0" w:color="auto"/>
            </w:tcBorders>
            <w:shd w:val="clear" w:color="auto" w:fill="FFFFFF"/>
          </w:tcPr>
          <w:p>
            <w:pPr>
              <w:pStyle w:val="Other|1"/>
              <w:spacing w:line="240" w:lineRule="auto"/>
              <w:ind w:firstLine="2380" w:firstLineChars="1400"/>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trHeight w:hRule="exact" w:val="456"/>
        </w:trPr>
        <w:tc>
          <w:tcPr>
            <w:tcW w:w="7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2890" w:firstLineChars="1700"/>
              <w:jc w:val="both"/>
              <w:rPr>
                <w:sz w:val="17"/>
                <w:szCs w:val="17"/>
              </w:rPr>
            </w:pPr>
            <w:r>
              <w:rPr>
                <w:sz w:val="17"/>
                <w:szCs w:val="17"/>
              </w:rPr>
              <w:t xml:space="preserve">收入</w:t>
            </w:r>
          </w:p>
        </w:tc>
        <w:tc>
          <w:tcPr>
            <w:tcW w:w="71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right="340" w:firstLine="2890" w:firstLineChars="1700"/>
              <w:jc w:val="both"/>
              <w:rPr>
                <w:sz w:val="17"/>
                <w:szCs w:val="17"/>
              </w:rPr>
            </w:pPr>
            <w:r>
              <w:rPr>
                <w:sz w:val="17"/>
                <w:szCs w:val="17"/>
              </w:rPr>
              <w:t xml:space="preserve">支出</w:t>
            </w:r>
          </w:p>
        </w:tc>
      </w:tr>
      <w:tr>
        <w:tblPrEx>
          <w:tblW w:w="0" w:type="auto"/>
          <w:tblInd w:w="0" w:type="dxa"/>
          <w:tblLayout w:type="fixed"/>
          <w:tblCellMar>
            <w:top w:w="0" w:type="dxa"/>
            <w:left w:w="10" w:type="dxa"/>
            <w:bottom w:w="0" w:type="dxa"/>
            <w:right w:w="10" w:type="dxa"/>
          </w:tblCellMar>
        </w:tblPrEx>
        <w:trPr>
          <w:trHeight w:hRule="exact" w:val="432"/>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项目</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预算数</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tabs>
                <w:tab w:val="left" w:pos="894"/>
              </w:tabs>
              <w:spacing w:line="240" w:lineRule="auto"/>
              <w:jc w:val="left"/>
              <w:rPr>
                <w:sz w:val="17"/>
                <w:szCs w:val="17"/>
              </w:rPr>
            </w:pPr>
            <w:r>
              <w:rPr>
                <w:sz w:val="17"/>
                <w:szCs w:val="17"/>
              </w:rPr>
              <w:t xml:space="preserve">项</w:t>
            </w:r>
            <w:r>
              <w:rPr>
                <w:sz w:val="17"/>
                <w:szCs w:val="17"/>
              </w:rPr>
              <w:tab/>
            </w:r>
            <w:r>
              <w:rPr>
                <w:sz w:val="17"/>
                <w:szCs w:val="17"/>
              </w:rPr>
              <w:t xml:space="preserve">目（按支出功能科目分类）</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预算数</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一、一般公共预算拨款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77.91</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一、一般公共服务支出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64.51</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二、外交支出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77.91</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三、国防支出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二、政府性基金预算拨款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四、公共安全支出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五、教育支出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六、科学技术支出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三、国有资本经营预算拨款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七、文化旅游体育与传媒支出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八、社会保障和就业支出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7.26</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九、卫生健康支出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四、财政专户管理资金收入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十、节能环保支出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五、事业收入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十一、城乡社区支出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六、事业单位经营收入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十二、农林水支出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七、上级补助收入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十三、交通运输支出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八、附属单位上缴收入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十四、资源勘探工业信息等支出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九、其他收入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十五、商业服务业等支出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十六、金融支出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十七、援助其他地区支出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十八、自然资源海洋气象等支出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十九、住房保障支出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6.13</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二十、粮油物资储备支出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二十一、国有资本经营预算支出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二十二、灾害防治及应急管理支出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二十三、其他支出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二十四、债务还本支出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二十五、债务付息支出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二十六、债务发行费用支出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本年收入合计</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77.91</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本年支出合计</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77.91</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上年结转结余</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结转下年支出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收入总计</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77.91</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支出总计</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77.91</w:t>
            </w:r>
          </w:p>
        </w:tc>
      </w:tr>
    </w:tbl>
    <w:p>
      <w:pPr>
        <w:pStyle w:val="Tablecaption|1"/>
        <w:ind w:left="101"/>
        <w:jc w:val="left"/>
      </w:pPr>
      <w:r>
        <w:t xml:space="preserve">注：报表金额单位转换时可能存在四舍五入尾数误差。</w:t>
      </w: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sectPr>
          <w:headerReference w:type="default" r:id="rId14"/>
          <w:footerReference w:type="default" r:id="rId15"/>
          <w:pgSz w:w="16840" w:h="11900" w:orient="landscape"/>
          <w:pgMar w:top="2397" w:right="761" w:bottom="1966" w:left="739" w:header="0" w:footer="3" w:gutter="0"/>
          <w:pgBorders>
            <w:top w:val="none" w:sz="0" w:space="0" w:color="auto"/>
            <w:left w:val="none" w:sz="0" w:space="0" w:color="auto"/>
            <w:bottom w:val="none" w:sz="0" w:space="0" w:color="auto"/>
            <w:right w:val="none" w:sz="0" w:space="0" w:color="auto"/>
          </w:pgBorders>
          <w:cols w:num="1" w:space="720">
            <w:col w:w="15340" w:space="720"/>
          </w:cols>
          <w:docGrid w:linePitch="360" w:charSpace="0"/>
        </w:sectPr>
      </w:pPr>
    </w:p>
    <w:p>
      <w:pPr>
        <w:tabs>
          <w:tab w:val="left" w:pos="859"/>
        </w:tabs>
        <w:jc w:val="left"/>
        <w:rPr>
          <w:rFonts w:eastAsia="宋体"/>
          <w:lang w:eastAsia="zh-CN"/>
        </w:rPr>
      </w:pPr>
    </w:p>
    <w:p>
      <w:pPr>
        <w:tabs>
          <w:tab w:val="left" w:pos="859"/>
        </w:tabs>
        <w:jc w:val="center"/>
        <w:rPr>
          <w:rFonts w:eastAsia="宋体" w:hint="eastAsia"/>
          <w:lang w:val="en-US" w:eastAsia="zh-CN"/>
        </w:rPr>
      </w:pPr>
    </w:p>
    <w:p>
      <w:pPr>
        <w:tabs>
          <w:tab w:val="left" w:pos="859"/>
        </w:tabs>
        <w:jc w:val="center"/>
        <w:rPr>
          <w:rFonts w:eastAsia="宋体" w:hint="eastAsia"/>
          <w:lang w:val="en-US" w:eastAsia="zh-CN"/>
        </w:rPr>
      </w:pPr>
      <w:r>
        <w:rPr>
          <w:rFonts w:eastAsia="宋体" w:hint="eastAsia"/>
          <w:lang w:val="en-US" w:eastAsia="zh-CN"/>
        </w:rPr>
        <w:t xml:space="preserve">收入总体情况表</w:t>
      </w:r>
    </w:p>
    <w:p>
      <w:pPr>
        <w:tabs>
          <w:tab w:val="left" w:pos="859"/>
        </w:tabs>
        <w:jc w:val="center"/>
        <w:rPr>
          <w:rFonts w:eastAsia="宋体" w:hint="eastAsia"/>
          <w:lang w:val="en-US" w:eastAsia="zh-CN"/>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firstRow="0" w:lastRow="0" w:firstColumn="0" w:lastColumn="0" w:noHBand="1" w:noVBand="1"/>
      </w:tblPr>
      <w:tblGrid>
        <w:gridCol w:w="1636"/>
        <w:gridCol w:w="1279"/>
        <w:gridCol w:w="990"/>
        <w:gridCol w:w="926"/>
        <w:gridCol w:w="909"/>
        <w:gridCol w:w="1161"/>
        <w:gridCol w:w="1031"/>
        <w:gridCol w:w="844"/>
        <w:gridCol w:w="856"/>
        <w:gridCol w:w="1035"/>
        <w:gridCol w:w="1011"/>
        <w:gridCol w:w="859"/>
        <w:gridCol w:w="944"/>
        <w:gridCol w:w="150"/>
        <w:gridCol w:w="872"/>
        <w:gridCol w:w="1054"/>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270"/>
        </w:trPr>
        <w:tc>
          <w:tcPr>
            <w:tcW w:w="13481" w:type="dxa"/>
            <w:gridSpan w:val="13"/>
            <w:tcBorders>
              <w:top w:val="nil"/>
              <w:left w:val="nil"/>
              <w:right w:val="nil"/>
            </w:tcBorders>
          </w:tcPr>
          <w:p>
            <w:pPr>
              <w:pStyle w:val="Tablecaption|1"/>
              <w:jc w:val="both"/>
              <w:rPr>
                <w:rFonts w:hint="eastAsia"/>
                <w:lang w:val="en-US" w:eastAsia="zh-CN"/>
              </w:rPr>
            </w:pPr>
            <w:r>
              <w:rPr>
                <w:sz w:val="17"/>
                <w:szCs w:val="17"/>
              </w:rPr>
              <w:t xml:space="preserve">单位名称：</w:t>
            </w:r>
            <w:r>
              <w:rPr>
                <w:rFonts w:hint="eastAsia"/>
                <w:sz w:val="17"/>
                <w:szCs w:val="17"/>
                <w:lang w:eastAsia="zh-CN"/>
              </w:rPr>
              <w:t xml:space="preserve">环江毛南族自治县社会科学界联合会</w:t>
            </w:r>
          </w:p>
        </w:tc>
        <w:tc>
          <w:tcPr>
            <w:tcW w:w="2076" w:type="dxa"/>
            <w:gridSpan w:val="3"/>
            <w:tcBorders>
              <w:top w:val="nil"/>
              <w:left w:val="nil"/>
              <w:right w:val="nil"/>
            </w:tcBorders>
          </w:tcPr>
          <w:p>
            <w:pPr>
              <w:pStyle w:val="Tablecaption|1"/>
              <w:ind w:firstLine="340" w:firstLineChars="200"/>
              <w:jc w:val="left"/>
              <w:rPr>
                <w:rFonts w:hint="eastAsia"/>
                <w:lang w:val="en-US" w:eastAsia="zh-CN"/>
              </w:rPr>
            </w:pPr>
            <w:r>
              <w:rPr>
                <w:sz w:val="17"/>
                <w:szCs w:val="17"/>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vMerge w:val="restart"/>
          </w:tcPr>
          <w:p>
            <w:pPr>
              <w:tabs>
                <w:tab w:val="left" w:pos="859"/>
              </w:tabs>
              <w:jc w:val="both"/>
              <w:rPr>
                <w:rFonts w:eastAsia="宋体" w:hint="eastAsia"/>
                <w:vertAlign w:val="baseline"/>
                <w:lang w:val="en-US" w:eastAsia="zh-CN"/>
              </w:rPr>
            </w:pPr>
            <w:r>
              <w:rPr>
                <w:sz w:val="17"/>
                <w:szCs w:val="17"/>
              </w:rPr>
              <w:t xml:space="preserve">部门（单位）代码</w:t>
            </w:r>
          </w:p>
        </w:tc>
        <w:tc>
          <w:tcPr>
            <w:tcW w:w="1279" w:type="dxa"/>
            <w:vMerge w:val="restart"/>
          </w:tcPr>
          <w:p>
            <w:pPr>
              <w:tabs>
                <w:tab w:val="left" w:pos="859"/>
              </w:tabs>
              <w:jc w:val="both"/>
              <w:rPr>
                <w:rFonts w:eastAsia="宋体" w:hint="eastAsia"/>
                <w:vertAlign w:val="baseline"/>
                <w:lang w:val="en-US" w:eastAsia="zh-CN"/>
              </w:rPr>
            </w:pPr>
            <w:r>
              <w:rPr>
                <w:sz w:val="17"/>
                <w:szCs w:val="17"/>
              </w:rPr>
              <w:t xml:space="preserve">部门（单位）名称</w:t>
            </w:r>
          </w:p>
        </w:tc>
        <w:tc>
          <w:tcPr>
            <w:tcW w:w="990" w:type="dxa"/>
            <w:vMerge w:val="restart"/>
          </w:tcPr>
          <w:p>
            <w:pPr>
              <w:pStyle w:val="Other|1"/>
              <w:spacing w:line="240" w:lineRule="auto"/>
              <w:ind w:firstLine="300" w:firstLineChars="0"/>
              <w:jc w:val="left"/>
              <w:rPr>
                <w:rFonts w:eastAsia="宋体" w:hint="eastAsia"/>
                <w:vertAlign w:val="baseline"/>
                <w:lang w:val="en-US" w:eastAsia="zh-CN"/>
              </w:rPr>
            </w:pPr>
            <w:r>
              <w:rPr>
                <w:rFonts w:hint="eastAsia"/>
                <w:sz w:val="17"/>
                <w:szCs w:val="17"/>
                <w:lang w:val="en-US" w:eastAsia="zh-CN"/>
              </w:rPr>
              <w:t xml:space="preserve">合</w:t>
            </w:r>
            <w:r>
              <w:rPr>
                <w:sz w:val="17"/>
                <w:szCs w:val="17"/>
              </w:rPr>
              <w:t xml:space="preserve">计</w:t>
            </w:r>
          </w:p>
        </w:tc>
        <w:tc>
          <w:tcPr>
            <w:tcW w:w="4871" w:type="dxa"/>
            <w:gridSpan w:val="5"/>
          </w:tcPr>
          <w:p>
            <w:pPr>
              <w:tabs>
                <w:tab w:val="left" w:pos="859"/>
              </w:tabs>
              <w:jc w:val="both"/>
              <w:rPr>
                <w:rFonts w:eastAsia="宋体" w:hint="eastAsia"/>
                <w:vertAlign w:val="baseline"/>
                <w:lang w:val="en-US" w:eastAsia="zh-CN"/>
              </w:rPr>
            </w:pPr>
            <w:r>
              <w:rPr>
                <w:sz w:val="17"/>
                <w:szCs w:val="17"/>
              </w:rPr>
              <w:t xml:space="preserve">本年收入</w:t>
            </w:r>
          </w:p>
        </w:tc>
        <w:tc>
          <w:tcPr>
            <w:tcW w:w="6781" w:type="dxa"/>
            <w:gridSpan w:val="8"/>
          </w:tcPr>
          <w:p>
            <w:pPr>
              <w:tabs>
                <w:tab w:val="left" w:pos="859"/>
              </w:tabs>
              <w:jc w:val="both"/>
              <w:rPr>
                <w:rFonts w:eastAsia="宋体" w:hint="eastAsia"/>
                <w:vertAlign w:val="baseline"/>
                <w:lang w:val="en-US" w:eastAsia="zh-CN"/>
              </w:rPr>
            </w:pPr>
            <w:r>
              <w:rPr>
                <w:sz w:val="17"/>
                <w:szCs w:val="17"/>
              </w:rPr>
              <w:t xml:space="preserve">上年结转结余</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058"/>
        </w:trPr>
        <w:tc>
          <w:tcPr>
            <w:tcW w:w="1636" w:type="dxa"/>
            <w:vMerge/>
          </w:tcPr>
          <w:p>
            <w:pPr>
              <w:tabs>
                <w:tab w:val="left" w:pos="859"/>
              </w:tabs>
              <w:jc w:val="both"/>
              <w:rPr>
                <w:rFonts w:eastAsia="宋体" w:hint="eastAsia"/>
                <w:vertAlign w:val="baseline"/>
                <w:lang w:val="en-US" w:eastAsia="zh-CN"/>
              </w:rPr>
            </w:pPr>
          </w:p>
        </w:tc>
        <w:tc>
          <w:tcPr>
            <w:tcW w:w="1279" w:type="dxa"/>
            <w:vMerge/>
          </w:tcPr>
          <w:p>
            <w:pPr>
              <w:tabs>
                <w:tab w:val="left" w:pos="859"/>
              </w:tabs>
              <w:jc w:val="both"/>
              <w:rPr>
                <w:rFonts w:eastAsia="宋体" w:hint="eastAsia"/>
                <w:vertAlign w:val="baseline"/>
                <w:lang w:val="en-US" w:eastAsia="zh-CN"/>
              </w:rPr>
            </w:pPr>
          </w:p>
        </w:tc>
        <w:tc>
          <w:tcPr>
            <w:tcW w:w="990" w:type="dxa"/>
            <w:vMerge/>
            <w:vAlign w:val="center"/>
          </w:tcPr>
          <w:p>
            <w:pPr>
              <w:pStyle w:val="Other|1"/>
              <w:spacing w:line="240" w:lineRule="auto"/>
              <w:ind w:firstLine="300" w:firstLineChars="0"/>
              <w:jc w:val="left"/>
              <w:rPr>
                <w:rFonts w:eastAsia="宋体" w:hint="eastAsia"/>
                <w:vertAlign w:val="baseline"/>
                <w:lang w:val="en-US" w:eastAsia="zh-CN"/>
              </w:rPr>
            </w:pPr>
          </w:p>
        </w:tc>
        <w:tc>
          <w:tcPr>
            <w:tcW w:w="926" w:type="dxa"/>
            <w:vAlign w:val="center"/>
          </w:tcPr>
          <w:p>
            <w:pPr>
              <w:pStyle w:val="Other|1"/>
              <w:spacing w:line="240" w:lineRule="auto"/>
              <w:ind w:firstLine="300" w:firstLineChars="0"/>
              <w:jc w:val="left"/>
              <w:rPr>
                <w:rFonts w:eastAsia="宋体" w:hint="eastAsia"/>
                <w:vertAlign w:val="baseline"/>
                <w:lang w:val="en-US" w:eastAsia="zh-CN"/>
              </w:rPr>
            </w:pPr>
            <w:r>
              <w:rPr>
                <w:sz w:val="17"/>
                <w:szCs w:val="17"/>
              </w:rPr>
              <w:t xml:space="preserve">小计</w:t>
            </w:r>
          </w:p>
        </w:tc>
        <w:tc>
          <w:tcPr>
            <w:tcW w:w="909" w:type="dxa"/>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一般公共预算</w:t>
            </w:r>
          </w:p>
        </w:tc>
        <w:tc>
          <w:tcPr>
            <w:tcW w:w="1161" w:type="dxa"/>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政府性基金预算</w:t>
            </w:r>
          </w:p>
        </w:tc>
        <w:tc>
          <w:tcPr>
            <w:tcW w:w="1031" w:type="dxa"/>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国有资本经营预算</w:t>
            </w:r>
          </w:p>
        </w:tc>
        <w:tc>
          <w:tcPr>
            <w:tcW w:w="844" w:type="dxa"/>
          </w:tcPr>
          <w:p>
            <w:pPr>
              <w:pStyle w:val="Other|1"/>
              <w:spacing w:line="312" w:lineRule="exact"/>
              <w:ind w:firstLine="0"/>
              <w:jc w:val="left"/>
              <w:rPr>
                <w:sz w:val="17"/>
                <w:szCs w:val="17"/>
              </w:rPr>
            </w:pPr>
            <w:r>
              <w:rPr>
                <w:sz w:val="17"/>
                <w:szCs w:val="17"/>
              </w:rPr>
              <w:t xml:space="preserve">财政专户管理资金</w:t>
            </w:r>
          </w:p>
          <w:p>
            <w:pPr>
              <w:pStyle w:val="Other|1"/>
              <w:spacing w:line="312" w:lineRule="exact"/>
              <w:ind w:firstLine="0" w:firstLineChars="0"/>
              <w:jc w:val="left"/>
              <w:rPr>
                <w:rFonts w:eastAsia="宋体" w:hint="eastAsia"/>
                <w:vertAlign w:val="baseline"/>
                <w:lang w:val="en-US" w:eastAsia="zh-CN"/>
              </w:rPr>
            </w:pPr>
            <w:r>
              <w:rPr>
                <w:sz w:val="17"/>
                <w:szCs w:val="17"/>
              </w:rPr>
              <w:t xml:space="preserve">收入</w:t>
            </w:r>
          </w:p>
        </w:tc>
        <w:tc>
          <w:tcPr>
            <w:tcW w:w="856" w:type="dxa"/>
            <w:vAlign w:val="center"/>
          </w:tcPr>
          <w:p>
            <w:pPr>
              <w:pStyle w:val="Other|1"/>
              <w:spacing w:line="240" w:lineRule="auto"/>
              <w:ind w:firstLine="0" w:firstLineChars="0"/>
              <w:jc w:val="left"/>
              <w:rPr>
                <w:rFonts w:eastAsia="宋体" w:hint="eastAsia"/>
                <w:vertAlign w:val="baseline"/>
                <w:lang w:val="en-US" w:eastAsia="zh-CN"/>
              </w:rPr>
            </w:pPr>
            <w:r>
              <w:rPr>
                <w:sz w:val="17"/>
                <w:szCs w:val="17"/>
              </w:rPr>
              <w:t xml:space="preserve">单位资金</w:t>
            </w:r>
          </w:p>
        </w:tc>
        <w:tc>
          <w:tcPr>
            <w:tcW w:w="1035" w:type="dxa"/>
            <w:vAlign w:val="center"/>
          </w:tcPr>
          <w:p>
            <w:pPr>
              <w:pStyle w:val="Other|1"/>
              <w:spacing w:line="240" w:lineRule="auto"/>
              <w:ind w:firstLine="300" w:firstLineChars="0"/>
              <w:jc w:val="left"/>
              <w:rPr>
                <w:rFonts w:eastAsia="宋体" w:hint="eastAsia"/>
                <w:vertAlign w:val="baseline"/>
                <w:lang w:val="en-US" w:eastAsia="zh-CN"/>
              </w:rPr>
            </w:pPr>
            <w:r>
              <w:rPr>
                <w:sz w:val="17"/>
                <w:szCs w:val="17"/>
              </w:rPr>
              <w:t xml:space="preserve">小计</w:t>
            </w:r>
          </w:p>
        </w:tc>
        <w:tc>
          <w:tcPr>
            <w:tcW w:w="1011" w:type="dxa"/>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一般公共预算</w:t>
            </w:r>
          </w:p>
        </w:tc>
        <w:tc>
          <w:tcPr>
            <w:tcW w:w="859" w:type="dxa"/>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政府性基金预算</w:t>
            </w:r>
          </w:p>
        </w:tc>
        <w:tc>
          <w:tcPr>
            <w:tcW w:w="1094" w:type="dxa"/>
            <w:gridSpan w:val="2"/>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国有资本经营预算</w:t>
            </w:r>
          </w:p>
        </w:tc>
        <w:tc>
          <w:tcPr>
            <w:tcW w:w="872" w:type="dxa"/>
          </w:tcPr>
          <w:p>
            <w:pPr>
              <w:pStyle w:val="Other|1"/>
              <w:spacing w:line="312" w:lineRule="exact"/>
              <w:ind w:firstLine="0"/>
              <w:jc w:val="left"/>
              <w:rPr>
                <w:sz w:val="17"/>
                <w:szCs w:val="17"/>
              </w:rPr>
            </w:pPr>
            <w:r>
              <w:rPr>
                <w:sz w:val="17"/>
                <w:szCs w:val="17"/>
              </w:rPr>
              <w:t xml:space="preserve">财政专户管理资金</w:t>
            </w:r>
          </w:p>
          <w:p>
            <w:pPr>
              <w:pStyle w:val="Other|1"/>
              <w:spacing w:line="312" w:lineRule="exact"/>
              <w:ind w:right="280" w:firstLine="0" w:rightChars="0" w:firstLineChars="0"/>
              <w:jc w:val="left"/>
              <w:rPr>
                <w:rFonts w:eastAsia="宋体" w:hint="eastAsia"/>
                <w:vertAlign w:val="baseline"/>
                <w:lang w:val="en-US" w:eastAsia="zh-CN"/>
              </w:rPr>
            </w:pPr>
            <w:r>
              <w:rPr>
                <w:sz w:val="17"/>
                <w:szCs w:val="17"/>
              </w:rPr>
              <w:t xml:space="preserve">收入</w:t>
            </w:r>
          </w:p>
        </w:tc>
        <w:tc>
          <w:tcPr>
            <w:tcW w:w="1054" w:type="dxa"/>
            <w:vAlign w:val="center"/>
          </w:tcPr>
          <w:p>
            <w:pPr>
              <w:pStyle w:val="Other|1"/>
              <w:spacing w:line="240" w:lineRule="auto"/>
              <w:ind w:firstLine="140" w:firstLineChars="0"/>
              <w:jc w:val="left"/>
              <w:rPr>
                <w:rFonts w:eastAsia="宋体" w:hint="eastAsia"/>
                <w:vertAlign w:val="baseline"/>
                <w:lang w:val="en-US" w:eastAsia="zh-CN"/>
              </w:rPr>
            </w:pPr>
            <w:r>
              <w:rPr>
                <w:sz w:val="17"/>
                <w:szCs w:val="17"/>
              </w:rPr>
              <w:t xml:space="preserve">单位资金</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tcPr>
          <w:p>
            <w:pPr>
              <w:tabs>
                <w:tab w:val="left" w:pos="859"/>
              </w:tabs>
              <w:jc w:val="both"/>
              <w:rPr>
                <w:rFonts w:eastAsia="宋体" w:hint="eastAsia"/>
                <w:vertAlign w:val="baseline"/>
                <w:lang w:val="en-US" w:eastAsia="zh-CN"/>
              </w:rPr>
            </w:pPr>
          </w:p>
        </w:tc>
        <w:tc>
          <w:tcPr>
            <w:tcW w:w="1279" w:type="dxa"/>
          </w:tcPr>
          <w:p>
            <w:pPr>
              <w:tabs>
                <w:tab w:val="left" w:pos="859"/>
              </w:tabs>
              <w:jc w:val="both"/>
              <w:rPr>
                <w:rFonts w:eastAsia="宋体" w:hint="eastAsia"/>
                <w:vertAlign w:val="baseline"/>
                <w:lang w:val="en-US" w:eastAsia="zh-CN"/>
              </w:rPr>
            </w:pPr>
          </w:p>
        </w:tc>
        <w:tc>
          <w:tcPr>
            <w:tcW w:w="990"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1</w:t>
            </w:r>
          </w:p>
        </w:tc>
        <w:tc>
          <w:tcPr>
            <w:tcW w:w="926"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2</w:t>
            </w:r>
          </w:p>
        </w:tc>
        <w:tc>
          <w:tcPr>
            <w:tcW w:w="909"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3</w:t>
            </w:r>
          </w:p>
        </w:tc>
        <w:tc>
          <w:tcPr>
            <w:tcW w:w="1161" w:type="dxa"/>
            <w:vAlign w:val="center"/>
          </w:tcPr>
          <w:p>
            <w:pPr>
              <w:pStyle w:val="Other|1"/>
              <w:spacing w:line="240" w:lineRule="auto"/>
              <w:ind w:firstLine="44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4</w:t>
            </w:r>
          </w:p>
        </w:tc>
        <w:tc>
          <w:tcPr>
            <w:tcW w:w="1031" w:type="dxa"/>
            <w:vAlign w:val="center"/>
          </w:tcPr>
          <w:p>
            <w:pPr>
              <w:pStyle w:val="Other|1"/>
              <w:spacing w:line="240" w:lineRule="auto"/>
              <w:ind w:firstLine="42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5</w:t>
            </w:r>
          </w:p>
        </w:tc>
        <w:tc>
          <w:tcPr>
            <w:tcW w:w="844" w:type="dxa"/>
            <w:vAlign w:val="center"/>
          </w:tcPr>
          <w:p>
            <w:pPr>
              <w:pStyle w:val="Other|1"/>
              <w:spacing w:line="240" w:lineRule="auto"/>
              <w:ind w:firstLine="42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6</w:t>
            </w:r>
          </w:p>
        </w:tc>
        <w:tc>
          <w:tcPr>
            <w:tcW w:w="856" w:type="dxa"/>
            <w:vAlign w:val="center"/>
          </w:tcPr>
          <w:p>
            <w:pPr>
              <w:pStyle w:val="Other|1"/>
              <w:spacing w:line="240" w:lineRule="auto"/>
              <w:ind w:firstLine="44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7</w:t>
            </w:r>
          </w:p>
        </w:tc>
        <w:tc>
          <w:tcPr>
            <w:tcW w:w="1035" w:type="dxa"/>
            <w:vAlign w:val="center"/>
          </w:tcPr>
          <w:p>
            <w:pPr>
              <w:pStyle w:val="Other|1"/>
              <w:spacing w:line="240" w:lineRule="auto"/>
              <w:ind w:firstLine="44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8</w:t>
            </w:r>
          </w:p>
        </w:tc>
        <w:tc>
          <w:tcPr>
            <w:tcW w:w="1011" w:type="dxa"/>
            <w:vAlign w:val="center"/>
          </w:tcPr>
          <w:p>
            <w:pPr>
              <w:pStyle w:val="Other|1"/>
              <w:spacing w:line="240" w:lineRule="auto"/>
              <w:ind w:firstLine="42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9</w:t>
            </w:r>
          </w:p>
        </w:tc>
        <w:tc>
          <w:tcPr>
            <w:tcW w:w="859" w:type="dxa"/>
            <w:vAlign w:val="center"/>
          </w:tcPr>
          <w:p>
            <w:pPr>
              <w:pStyle w:val="Other|1"/>
              <w:spacing w:line="240" w:lineRule="auto"/>
              <w:ind w:right="360" w:firstLine="0" w:rightChars="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10</w:t>
            </w:r>
          </w:p>
        </w:tc>
        <w:tc>
          <w:tcPr>
            <w:tcW w:w="1094" w:type="dxa"/>
            <w:gridSpan w:val="2"/>
            <w:vAlign w:val="center"/>
          </w:tcPr>
          <w:p>
            <w:pPr>
              <w:pStyle w:val="Other|1"/>
              <w:spacing w:line="240" w:lineRule="auto"/>
              <w:ind w:firstLine="44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11</w:t>
            </w:r>
          </w:p>
        </w:tc>
        <w:tc>
          <w:tcPr>
            <w:tcW w:w="872" w:type="dxa"/>
            <w:vAlign w:val="center"/>
          </w:tcPr>
          <w:p>
            <w:pPr>
              <w:pStyle w:val="Other|1"/>
              <w:spacing w:line="240" w:lineRule="auto"/>
              <w:ind w:right="380" w:firstLine="0" w:rightChars="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12</w:t>
            </w:r>
          </w:p>
        </w:tc>
        <w:tc>
          <w:tcPr>
            <w:tcW w:w="1054" w:type="dxa"/>
            <w:vAlign w:val="center"/>
          </w:tcPr>
          <w:p>
            <w:pPr>
              <w:pStyle w:val="Other|1"/>
              <w:spacing w:line="240" w:lineRule="auto"/>
              <w:ind w:right="420" w:firstLine="0" w:rightChars="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13</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vAlign w:val="center"/>
          </w:tcPr>
          <w:p>
            <w:pPr>
              <w:pStyle w:val="Other|1"/>
              <w:spacing w:line="240" w:lineRule="auto"/>
              <w:ind w:firstLine="0" w:firstLineChars="0"/>
              <w:jc w:val="left"/>
              <w:rPr>
                <w:rFonts w:eastAsia="宋体" w:hint="eastAsia"/>
                <w:vertAlign w:val="baseline"/>
                <w:lang w:val="en-US" w:eastAsia="zh-CN"/>
              </w:rPr>
            </w:pPr>
          </w:p>
        </w:tc>
        <w:tc>
          <w:tcPr>
            <w:tcW w:w="1279" w:type="dxa"/>
          </w:tcPr>
          <w:p>
            <w:pPr>
              <w:pStyle w:val="Other|1"/>
              <w:spacing w:line="326" w:lineRule="exact"/>
              <w:ind w:firstLine="0" w:firstLineChars="0"/>
              <w:jc w:val="left"/>
              <w:rPr>
                <w:rFonts w:eastAsia="宋体" w:hint="eastAsia"/>
                <w:vertAlign w:val="baseline"/>
                <w:lang w:val="en-US" w:eastAsia="zh-CN"/>
              </w:rPr>
            </w:pPr>
            <w:r>
              <w:rPr>
                <w:rFonts w:hint="eastAsia"/>
                <w:sz w:val="17"/>
                <w:szCs w:val="17"/>
                <w:lang w:val="en-US" w:eastAsia="zh-CN"/>
              </w:rPr>
              <w:t xml:space="preserve">合计</w:t>
            </w:r>
          </w:p>
        </w:tc>
        <w:tc>
          <w:tcPr>
            <w:tcW w:w="990"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77.91</w:t>
            </w:r>
          </w:p>
        </w:tc>
        <w:tc>
          <w:tcPr>
            <w:tcW w:w="926" w:type="dxa"/>
            <w:vAlign w:val="center"/>
          </w:tcPr>
          <w:p>
            <w:pPr>
              <w:pStyle w:val="Other|1"/>
              <w:spacing w:line="240" w:lineRule="auto"/>
              <w:ind w:firstLine="300" w:firstLineChars="0"/>
              <w:jc w:val="left"/>
              <w:rPr>
                <w:rFonts w:eastAsia="宋体" w:hint="eastAsia"/>
                <w:vertAlign w:val="baseline"/>
                <w:lang w:val="en-US" w:eastAsia="zh-CN"/>
              </w:rPr>
            </w:pPr>
            <w:r>
              <w:rPr>
                <w:rFonts w:hint="eastAsia"/>
                <w:sz w:val="17"/>
                <w:szCs w:val="17"/>
                <w:lang w:val="en-US" w:eastAsia="zh-CN"/>
              </w:rPr>
              <w:t xml:space="preserve">77.91</w:t>
            </w:r>
          </w:p>
        </w:tc>
        <w:tc>
          <w:tcPr>
            <w:tcW w:w="909" w:type="dxa"/>
            <w:vAlign w:val="center"/>
          </w:tcPr>
          <w:p>
            <w:pPr>
              <w:pStyle w:val="Other|1"/>
              <w:spacing w:line="240" w:lineRule="auto"/>
              <w:ind w:firstLine="2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77.91</w:t>
            </w:r>
          </w:p>
        </w:tc>
        <w:tc>
          <w:tcPr>
            <w:tcW w:w="1161" w:type="dxa"/>
            <w:vAlign w:val="center"/>
          </w:tcPr>
          <w:p>
            <w:pPr>
              <w:pStyle w:val="Other|1"/>
              <w:spacing w:line="240" w:lineRule="auto"/>
              <w:ind w:firstLine="520" w:firstLineChars="0"/>
              <w:jc w:val="left"/>
              <w:rPr>
                <w:rFonts w:eastAsia="宋体" w:hint="eastAsia"/>
                <w:vertAlign w:val="baseline"/>
                <w:lang w:val="en-US" w:eastAsia="zh-CN"/>
              </w:rPr>
            </w:pPr>
            <w:r>
              <w:rPr>
                <w:rFonts w:hint="eastAsia"/>
                <w:sz w:val="17"/>
                <w:szCs w:val="17"/>
                <w:lang w:val="en-US" w:eastAsia="zh-CN"/>
              </w:rPr>
              <w:t xml:space="preserve">0.00</w:t>
            </w:r>
          </w:p>
        </w:tc>
        <w:tc>
          <w:tcPr>
            <w:tcW w:w="1031"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844"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856"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1035" w:type="dxa"/>
            <w:vAlign w:val="center"/>
          </w:tcPr>
          <w:p>
            <w:pPr>
              <w:pStyle w:val="Other|1"/>
              <w:spacing w:line="240" w:lineRule="auto"/>
              <w:ind w:firstLine="52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11"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859"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94" w:type="dxa"/>
            <w:gridSpan w:val="2"/>
            <w:vAlign w:val="center"/>
          </w:tcPr>
          <w:p>
            <w:pPr>
              <w:pStyle w:val="Other|1"/>
              <w:spacing w:line="240" w:lineRule="auto"/>
              <w:ind w:firstLine="58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872"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54" w:type="dxa"/>
            <w:vAlign w:val="center"/>
          </w:tcPr>
          <w:p>
            <w:pPr>
              <w:pStyle w:val="Other|1"/>
              <w:spacing w:line="240" w:lineRule="auto"/>
              <w:ind w:firstLine="54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rPr>
              <w:t xml:space="preserve">212001</w:t>
            </w:r>
          </w:p>
        </w:tc>
        <w:tc>
          <w:tcPr>
            <w:tcW w:w="1279" w:type="dxa"/>
          </w:tcPr>
          <w:p>
            <w:pPr>
              <w:pStyle w:val="Other|1"/>
              <w:spacing w:line="326" w:lineRule="exact"/>
              <w:ind w:firstLine="0" w:firstLineChars="0"/>
              <w:jc w:val="left"/>
              <w:rPr>
                <w:rFonts w:eastAsia="宋体" w:hint="eastAsia"/>
                <w:vertAlign w:val="baseline"/>
                <w:lang w:val="en-US" w:eastAsia="zh-CN"/>
              </w:rPr>
            </w:pPr>
          </w:p>
        </w:tc>
        <w:tc>
          <w:tcPr>
            <w:tcW w:w="990"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77.91</w:t>
            </w:r>
          </w:p>
        </w:tc>
        <w:tc>
          <w:tcPr>
            <w:tcW w:w="926" w:type="dxa"/>
            <w:vAlign w:val="center"/>
          </w:tcPr>
          <w:p>
            <w:pPr>
              <w:pStyle w:val="Other|1"/>
              <w:spacing w:line="240" w:lineRule="auto"/>
              <w:ind w:firstLine="300" w:firstLineChars="0"/>
              <w:jc w:val="left"/>
              <w:rPr>
                <w:rFonts w:eastAsia="宋体" w:hint="eastAsia"/>
                <w:vertAlign w:val="baseline"/>
                <w:lang w:val="en-US" w:eastAsia="zh-CN"/>
              </w:rPr>
            </w:pPr>
            <w:r>
              <w:rPr>
                <w:rFonts w:hint="eastAsia"/>
                <w:sz w:val="17"/>
                <w:szCs w:val="17"/>
                <w:lang w:val="en-US" w:eastAsia="zh-CN"/>
              </w:rPr>
              <w:t xml:space="preserve">77.91</w:t>
            </w:r>
          </w:p>
        </w:tc>
        <w:tc>
          <w:tcPr>
            <w:tcW w:w="909" w:type="dxa"/>
            <w:vAlign w:val="center"/>
          </w:tcPr>
          <w:p>
            <w:pPr>
              <w:pStyle w:val="Other|1"/>
              <w:spacing w:line="240" w:lineRule="auto"/>
              <w:ind w:firstLine="2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77.91</w:t>
            </w:r>
          </w:p>
        </w:tc>
        <w:tc>
          <w:tcPr>
            <w:tcW w:w="1161" w:type="dxa"/>
            <w:vAlign w:val="center"/>
          </w:tcPr>
          <w:p>
            <w:pPr>
              <w:pStyle w:val="Other|1"/>
              <w:spacing w:line="240" w:lineRule="auto"/>
              <w:ind w:firstLine="520" w:firstLineChars="0"/>
              <w:jc w:val="left"/>
              <w:rPr>
                <w:rFonts w:eastAsia="宋体" w:hint="eastAsia"/>
                <w:vertAlign w:val="baseline"/>
                <w:lang w:val="en-US" w:eastAsia="zh-CN"/>
              </w:rPr>
            </w:pPr>
            <w:r>
              <w:rPr>
                <w:rFonts w:hint="eastAsia"/>
                <w:sz w:val="17"/>
                <w:szCs w:val="17"/>
                <w:lang w:val="en-US" w:eastAsia="zh-CN"/>
              </w:rPr>
              <w:t xml:space="preserve">0.00</w:t>
            </w:r>
          </w:p>
        </w:tc>
        <w:tc>
          <w:tcPr>
            <w:tcW w:w="1031"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844"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856"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1035" w:type="dxa"/>
            <w:vAlign w:val="center"/>
          </w:tcPr>
          <w:p>
            <w:pPr>
              <w:pStyle w:val="Other|1"/>
              <w:spacing w:line="240" w:lineRule="auto"/>
              <w:ind w:firstLine="52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11"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859"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94" w:type="dxa"/>
            <w:gridSpan w:val="2"/>
            <w:vAlign w:val="center"/>
          </w:tcPr>
          <w:p>
            <w:pPr>
              <w:pStyle w:val="Other|1"/>
              <w:spacing w:line="240" w:lineRule="auto"/>
              <w:ind w:firstLine="58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872"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54" w:type="dxa"/>
            <w:vAlign w:val="center"/>
          </w:tcPr>
          <w:p>
            <w:pPr>
              <w:pStyle w:val="Other|1"/>
              <w:spacing w:line="240" w:lineRule="auto"/>
              <w:ind w:firstLine="54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5557" w:type="dxa"/>
            <w:gridSpan w:val="16"/>
            <w:tcBorders>
              <w:left w:val="nil"/>
              <w:bottom w:val="nil"/>
              <w:right w:val="nil"/>
            </w:tcBorders>
          </w:tcPr>
          <w:p>
            <w:pPr>
              <w:pStyle w:val="Tablecaption|1"/>
              <w:jc w:val="left"/>
              <w:rPr>
                <w:rFonts w:eastAsia="宋体" w:hint="eastAsia"/>
                <w:vertAlign w:val="baseline"/>
                <w:lang w:val="en-US" w:eastAsia="zh-CN"/>
              </w:rPr>
            </w:pPr>
            <w:r>
              <w:t xml:space="preserve">注：本报表金额单位转换时可能存在四舍五入尾数误差。</w:t>
            </w:r>
          </w:p>
        </w:tc>
      </w:tr>
    </w:tbl>
    <w:p>
      <w:pPr>
        <w:tabs>
          <w:tab w:val="left" w:pos="859"/>
        </w:tabs>
        <w:jc w:val="both"/>
        <w:rPr>
          <w:rFonts w:eastAsia="宋体" w:hint="eastAsia"/>
          <w:lang w:val="en-US" w:eastAsia="zh-CN"/>
        </w:rPr>
      </w:pPr>
    </w:p>
    <w:p>
      <w:pPr>
        <w:tabs>
          <w:tab w:val="left" w:pos="859"/>
        </w:tabs>
        <w:jc w:val="center"/>
        <w:rPr>
          <w:rFonts w:eastAsia="宋体" w:hint="eastAsia"/>
          <w:lang w:val="en-US" w:eastAsia="zh-CN"/>
        </w:rPr>
      </w:pPr>
    </w:p>
    <w:p>
      <w:pPr>
        <w:tabs>
          <w:tab w:val="left" w:pos="859"/>
        </w:tabs>
        <w:jc w:val="both"/>
        <w:rPr>
          <w:rFonts w:eastAsia="宋体" w:hint="eastAsia"/>
          <w:lang w:val="en-US" w:eastAsia="zh-CN"/>
        </w:rPr>
      </w:pPr>
    </w:p>
    <w:p>
      <w:pPr>
        <w:spacing w:line="1" w:lineRule="exact"/>
        <w:jc w:val="left"/>
        <w:rPr>
          <w:lang w:eastAsia="zh-CN"/>
        </w:rPr>
        <w:sectPr>
          <w:headerReference w:type="default" r:id="rId16"/>
          <w:footerReference w:type="default" r:id="rId17"/>
          <w:pgSz w:w="16840" w:h="11900" w:orient="landscape"/>
          <w:pgMar w:top="2709" w:right="764" w:bottom="2709" w:left="735" w:header="2281" w:footer="3" w:gutter="0"/>
          <w:pgBorders>
            <w:top w:val="none" w:sz="0" w:space="0" w:color="auto"/>
            <w:left w:val="none" w:sz="0" w:space="0" w:color="auto"/>
            <w:bottom w:val="none" w:sz="0" w:space="0" w:color="auto"/>
            <w:right w:val="none" w:sz="0" w:space="0" w:color="auto"/>
          </w:pgBorders>
          <w:cols w:num="1" w:space="720">
            <w:col w:w="15341" w:space="720"/>
          </w:cols>
          <w:docGrid w:linePitch="360" w:charSpace="0"/>
        </w:sectPr>
      </w:pPr>
    </w:p>
    <w:p>
      <w:pPr>
        <w:pStyle w:val="Heading#2|1"/>
        <w:keepNext/>
        <w:keepLines/>
        <w:spacing w:after="240"/>
        <w:jc w:val="center"/>
      </w:pPr>
      <w:bookmarkStart w:id="19" w:name="bookmark41"/>
      <w:bookmarkStart w:id="20" w:name="bookmark42"/>
      <w:bookmarkStart w:id="21" w:name="bookmark43"/>
      <w:r>
        <w:t xml:space="preserve">支出总体情况表</w:t>
      </w:r>
      <w:bookmarkEnd w:id="19"/>
      <w:bookmarkEnd w:id="20"/>
      <w:bookmarkEnd w:id="21"/>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1843"/>
        <w:gridCol w:w="1934"/>
        <w:gridCol w:w="2390"/>
        <w:gridCol w:w="2280"/>
        <w:gridCol w:w="2299"/>
        <w:gridCol w:w="2222"/>
        <w:gridCol w:w="2371"/>
      </w:tblGrid>
      <w:tr>
        <w:tblPrEx>
          <w:tblW w:w="0" w:type="auto"/>
          <w:tblInd w:w="0" w:type="dxa"/>
          <w:tblLayout w:type="fixed"/>
          <w:tblCellMar>
            <w:top w:w="0" w:type="dxa"/>
            <w:left w:w="10" w:type="dxa"/>
            <w:bottom w:w="0" w:type="dxa"/>
            <w:right w:w="10" w:type="dxa"/>
          </w:tblCellMar>
        </w:tblPrEx>
        <w:trPr>
          <w:trHeight w:hRule="exact" w:val="346"/>
        </w:trPr>
        <w:tc>
          <w:tcPr>
            <w:tcW w:w="12968" w:type="dxa"/>
            <w:gridSpan w:val="6"/>
            <w:shd w:val="clear" w:color="auto" w:fill="FFFFFF"/>
          </w:tcPr>
          <w:p>
            <w:pPr>
              <w:pStyle w:val="Other|1"/>
              <w:spacing w:line="240" w:lineRule="auto"/>
              <w:ind w:firstLine="0"/>
              <w:jc w:val="left"/>
              <w:rPr>
                <w:sz w:val="17"/>
                <w:szCs w:val="17"/>
              </w:rPr>
            </w:pPr>
            <w:r>
              <w:rPr>
                <w:sz w:val="17"/>
                <w:szCs w:val="17"/>
              </w:rPr>
              <w:t xml:space="preserve">单位名称：</w:t>
            </w:r>
            <w:r>
              <w:rPr>
                <w:rFonts w:hint="eastAsia"/>
                <w:sz w:val="17"/>
                <w:szCs w:val="17"/>
                <w:lang w:eastAsia="zh-CN"/>
              </w:rPr>
              <w:t xml:space="preserve">环江毛南族自治县社会科学界联合会</w:t>
            </w:r>
          </w:p>
        </w:tc>
        <w:tc>
          <w:tcPr>
            <w:tcW w:w="2371" w:type="dxa"/>
            <w:shd w:val="clear" w:color="auto" w:fill="FFFFFF"/>
          </w:tcPr>
          <w:p>
            <w:pPr>
              <w:pStyle w:val="Other|1"/>
              <w:spacing w:line="240" w:lineRule="auto"/>
              <w:ind w:firstLine="1190" w:firstLineChars="700"/>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trHeight w:hRule="exact" w:val="854"/>
        </w:trPr>
        <w:tc>
          <w:tcPr>
            <w:tcW w:w="1843"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科目编码</w:t>
            </w:r>
          </w:p>
        </w:tc>
        <w:tc>
          <w:tcPr>
            <w:tcW w:w="1934"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40"/>
              <w:jc w:val="left"/>
              <w:rPr>
                <w:sz w:val="17"/>
                <w:szCs w:val="17"/>
              </w:rPr>
            </w:pPr>
            <w:r>
              <w:rPr>
                <w:sz w:val="17"/>
                <w:szCs w:val="17"/>
              </w:rPr>
              <w:t xml:space="preserve">部门（单位）代码</w:t>
            </w:r>
          </w:p>
        </w:tc>
        <w:tc>
          <w:tcPr>
            <w:tcW w:w="2390" w:type="dxa"/>
            <w:tcBorders>
              <w:top w:val="single" w:sz="4" w:space="0" w:color="auto"/>
              <w:left w:val="single" w:sz="4" w:space="0" w:color="auto"/>
              <w:bottom w:val="single" w:sz="4" w:space="0" w:color="auto"/>
            </w:tcBorders>
            <w:shd w:val="clear" w:color="auto" w:fill="FFFFFF"/>
            <w:vAlign w:val="center"/>
          </w:tcPr>
          <w:p>
            <w:pPr>
              <w:pStyle w:val="Other|1"/>
              <w:spacing w:after="120" w:line="240" w:lineRule="auto"/>
              <w:ind w:firstLine="0"/>
              <w:jc w:val="left"/>
              <w:rPr>
                <w:sz w:val="17"/>
                <w:szCs w:val="17"/>
              </w:rPr>
            </w:pPr>
            <w:r>
              <w:rPr>
                <w:sz w:val="17"/>
                <w:szCs w:val="17"/>
              </w:rPr>
              <w:t xml:space="preserve">部门（单位）名称</w:t>
            </w:r>
          </w:p>
          <w:p>
            <w:pPr>
              <w:pStyle w:val="Other|1"/>
              <w:spacing w:line="240" w:lineRule="auto"/>
              <w:ind w:firstLine="0"/>
              <w:jc w:val="left"/>
              <w:rPr>
                <w:sz w:val="17"/>
                <w:szCs w:val="17"/>
              </w:rPr>
            </w:pPr>
            <w:r>
              <w:rPr>
                <w:sz w:val="17"/>
                <w:szCs w:val="17"/>
              </w:rPr>
              <w:t xml:space="preserve">（功能分类科目名称）</w:t>
            </w:r>
          </w:p>
        </w:tc>
        <w:tc>
          <w:tcPr>
            <w:tcW w:w="228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合计</w:t>
            </w:r>
          </w:p>
        </w:tc>
        <w:tc>
          <w:tcPr>
            <w:tcW w:w="2299"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基本支出</w:t>
            </w:r>
          </w:p>
        </w:tc>
        <w:tc>
          <w:tcPr>
            <w:tcW w:w="2222"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项目支出</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结转下年支出</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合计</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77.91</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69.71</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8.20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212001</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77.91</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69.71</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8.20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2012901</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行政运行</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63.85</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55.65</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8.20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2012999</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其他群众团体事务支出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0.66</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0.66</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2080505</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机关事业单位基本养老保险缴费支出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7.26</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7.26</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2210201</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住房公积金</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6.13</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6.13</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bl>
    <w:p>
      <w:pPr>
        <w:pStyle w:val="Tablecaption|1"/>
        <w:ind w:left="672"/>
        <w:jc w:val="left"/>
      </w:pPr>
      <w:r>
        <w:t xml:space="preserve">注：本报表金额单位转换时可能存在四舍五入尾数误差。</w:t>
      </w:r>
      <w:r>
        <w:br w:type="page"/>
      </w:r>
    </w:p>
    <w:p>
      <w:pPr>
        <w:pStyle w:val="Heading#2|1"/>
        <w:keepNext/>
        <w:keepLines/>
        <w:spacing w:after="240"/>
        <w:jc w:val="center"/>
      </w:pPr>
      <w:bookmarkStart w:id="22" w:name="bookmark46"/>
      <w:bookmarkStart w:id="23" w:name="bookmark45"/>
      <w:bookmarkStart w:id="24" w:name="bookmark44"/>
      <w:r>
        <w:t xml:space="preserve">财政拨款收支总体情况表</w:t>
      </w:r>
      <w:bookmarkEnd w:id="22"/>
      <w:bookmarkEnd w:id="23"/>
      <w:bookmarkEnd w:id="24"/>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2885"/>
        <w:gridCol w:w="955"/>
        <w:gridCol w:w="3830"/>
        <w:gridCol w:w="3826"/>
        <w:gridCol w:w="3845"/>
        <w:gridCol w:w="1"/>
      </w:tblGrid>
      <w:tr>
        <w:tblPrEx>
          <w:tblW w:w="0" w:type="auto"/>
          <w:tblInd w:w="0" w:type="dxa"/>
          <w:tblLayout w:type="fixed"/>
          <w:tblCellMar>
            <w:top w:w="0" w:type="dxa"/>
            <w:left w:w="10" w:type="dxa"/>
            <w:bottom w:w="0" w:type="dxa"/>
            <w:right w:w="10" w:type="dxa"/>
          </w:tblCellMar>
        </w:tblPrEx>
        <w:trPr>
          <w:gridAfter w:val="1"/>
          <w:wAfter w:w="1" w:type="dxa"/>
          <w:trHeight w:hRule="exact" w:val="346"/>
        </w:trPr>
        <w:tc>
          <w:tcPr>
            <w:tcW w:w="11496" w:type="dxa"/>
            <w:gridSpan w:val="4"/>
            <w:shd w:val="clear" w:color="auto" w:fill="FFFFFF"/>
          </w:tcPr>
          <w:p>
            <w:pPr>
              <w:pStyle w:val="Other|1"/>
              <w:spacing w:line="240" w:lineRule="auto"/>
              <w:ind w:firstLine="0"/>
              <w:jc w:val="left"/>
              <w:rPr>
                <w:rFonts w:hint="default"/>
                <w:sz w:val="17"/>
                <w:szCs w:val="17"/>
                <w:lang w:val="en-US"/>
              </w:rPr>
            </w:pPr>
            <w:r>
              <w:rPr>
                <w:sz w:val="17"/>
                <w:szCs w:val="17"/>
              </w:rPr>
              <w:t xml:space="preserve">单位名称：</w:t>
            </w:r>
            <w:r>
              <w:rPr>
                <w:rFonts w:hint="eastAsia"/>
                <w:sz w:val="17"/>
                <w:szCs w:val="17"/>
                <w:lang w:eastAsia="zh-CN"/>
              </w:rPr>
              <w:t xml:space="preserve">环江毛南族自治县社会科学界联合会</w:t>
            </w:r>
          </w:p>
        </w:tc>
        <w:tc>
          <w:tcPr>
            <w:tcW w:w="3845" w:type="dxa"/>
            <w:shd w:val="clear" w:color="auto" w:fill="FFFFFF"/>
          </w:tcPr>
          <w:p>
            <w:pPr>
              <w:pStyle w:val="Other|1"/>
              <w:spacing w:line="240" w:lineRule="auto"/>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2885" w:type="dxa"/>
            <w:tcBorders>
              <w:top w:val="single" w:sz="4" w:space="0" w:color="auto"/>
              <w:left w:val="single" w:sz="4" w:space="0" w:color="auto"/>
            </w:tcBorders>
            <w:shd w:val="clear" w:color="auto" w:fill="FFFFFF"/>
          </w:tcPr>
          <w:p>
            <w:pPr>
              <w:jc w:val="left"/>
              <w:rPr>
                <w:sz w:val="10"/>
                <w:szCs w:val="10"/>
              </w:rPr>
            </w:pPr>
          </w:p>
        </w:tc>
        <w:tc>
          <w:tcPr>
            <w:tcW w:w="955" w:type="dxa"/>
            <w:tcBorders>
              <w:top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收</w:t>
            </w:r>
          </w:p>
        </w:tc>
        <w:tc>
          <w:tcPr>
            <w:tcW w:w="3830" w:type="dxa"/>
            <w:tcBorders>
              <w:top w:val="single" w:sz="4" w:space="0" w:color="auto"/>
            </w:tcBorders>
            <w:shd w:val="clear" w:color="auto" w:fill="FFFFFF"/>
            <w:vAlign w:val="center"/>
          </w:tcPr>
          <w:p>
            <w:pPr>
              <w:pStyle w:val="Other|1"/>
              <w:spacing w:line="240" w:lineRule="auto"/>
              <w:ind w:firstLine="340"/>
              <w:jc w:val="left"/>
              <w:rPr>
                <w:sz w:val="17"/>
                <w:szCs w:val="17"/>
              </w:rPr>
            </w:pPr>
            <w:r>
              <w:rPr>
                <w:sz w:val="17"/>
                <w:szCs w:val="17"/>
              </w:rPr>
              <w:t xml:space="preserve">入</w:t>
            </w:r>
          </w:p>
        </w:tc>
        <w:tc>
          <w:tcPr>
            <w:tcW w:w="3826" w:type="dxa"/>
            <w:tcBorders>
              <w:top w:val="single" w:sz="4" w:space="0" w:color="auto"/>
              <w:left w:val="single" w:sz="4" w:space="0" w:color="auto"/>
            </w:tcBorders>
            <w:shd w:val="clear" w:color="auto" w:fill="FFFFFF"/>
            <w:vAlign w:val="center"/>
          </w:tcPr>
          <w:p>
            <w:pPr>
              <w:pStyle w:val="Other|1"/>
              <w:spacing w:line="240" w:lineRule="auto"/>
              <w:ind w:right="340" w:firstLine="2720" w:firstLineChars="1600"/>
              <w:jc w:val="left"/>
              <w:rPr>
                <w:sz w:val="17"/>
                <w:szCs w:val="17"/>
              </w:rPr>
            </w:pPr>
            <w:r>
              <w:rPr>
                <w:sz w:val="17"/>
                <w:szCs w:val="17"/>
              </w:rPr>
              <w:t xml:space="preserve">支</w:t>
            </w:r>
          </w:p>
        </w:tc>
        <w:tc>
          <w:tcPr>
            <w:tcW w:w="3845" w:type="dxa"/>
            <w:tcBorders>
              <w:top w:val="single" w:sz="4" w:space="0" w:color="auto"/>
              <w:right w:val="single" w:sz="4" w:space="0" w:color="auto"/>
            </w:tcBorders>
            <w:shd w:val="clear" w:color="auto" w:fill="FFFFFF"/>
            <w:vAlign w:val="center"/>
          </w:tcPr>
          <w:p>
            <w:pPr>
              <w:pStyle w:val="Other|1"/>
              <w:spacing w:line="240" w:lineRule="auto"/>
              <w:ind w:firstLine="935" w:firstLineChars="550"/>
              <w:jc w:val="left"/>
              <w:rPr>
                <w:sz w:val="17"/>
                <w:szCs w:val="17"/>
              </w:rPr>
            </w:pPr>
            <w:r>
              <w:rPr>
                <w:sz w:val="17"/>
                <w:szCs w:val="17"/>
              </w:rPr>
              <w:t xml:space="preserve">出</w:t>
            </w:r>
          </w:p>
        </w:tc>
      </w:tr>
      <w:tr>
        <w:tblPrEx>
          <w:tblW w:w="0" w:type="auto"/>
          <w:tblInd w:w="0" w:type="dxa"/>
          <w:tblLayout w:type="fixed"/>
          <w:tblCellMar>
            <w:top w:w="0" w:type="dxa"/>
            <w:left w:w="10" w:type="dxa"/>
            <w:bottom w:w="0" w:type="dxa"/>
            <w:right w:w="10" w:type="dxa"/>
          </w:tblCellMar>
        </w:tblPrEx>
        <w:trPr>
          <w:gridAfter w:val="1"/>
          <w:wAfter w:w="1" w:type="dxa"/>
          <w:trHeight w:hRule="exact" w:val="451"/>
        </w:trPr>
        <w:tc>
          <w:tcPr>
            <w:tcW w:w="3840" w:type="dxa"/>
            <w:gridSpan w:val="2"/>
            <w:tcBorders>
              <w:top w:val="single" w:sz="4" w:space="0" w:color="auto"/>
              <w:lef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项目</w:t>
            </w:r>
          </w:p>
        </w:tc>
        <w:tc>
          <w:tcPr>
            <w:tcW w:w="3830" w:type="dxa"/>
            <w:tcBorders>
              <w:top w:val="single" w:sz="4" w:space="0" w:color="auto"/>
              <w:lef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预算数</w:t>
            </w:r>
          </w:p>
        </w:tc>
        <w:tc>
          <w:tcPr>
            <w:tcW w:w="3826" w:type="dxa"/>
            <w:tcBorders>
              <w:top w:val="single" w:sz="4" w:space="0" w:color="auto"/>
              <w:left w:val="single" w:sz="4" w:space="0" w:color="auto"/>
            </w:tcBorders>
            <w:shd w:val="clear" w:color="auto" w:fill="FFFFFF"/>
            <w:vAlign w:val="center"/>
          </w:tcPr>
          <w:p>
            <w:pPr>
              <w:pStyle w:val="Other|1"/>
              <w:tabs>
                <w:tab w:val="left" w:pos="1034"/>
              </w:tabs>
              <w:spacing w:line="240" w:lineRule="auto"/>
              <w:ind w:firstLine="540"/>
              <w:jc w:val="center"/>
              <w:rPr>
                <w:sz w:val="17"/>
                <w:szCs w:val="17"/>
              </w:rPr>
            </w:pPr>
            <w:r>
              <w:rPr>
                <w:sz w:val="17"/>
                <w:szCs w:val="17"/>
              </w:rPr>
              <w:t xml:space="preserve">项</w:t>
            </w:r>
            <w:r>
              <w:rPr>
                <w:sz w:val="17"/>
                <w:szCs w:val="17"/>
              </w:rPr>
              <w:tab/>
            </w:r>
            <w:r>
              <w:rPr>
                <w:sz w:val="17"/>
                <w:szCs w:val="17"/>
              </w:rPr>
              <w:t xml:space="preserve">目（按支出功能科目分类）</w:t>
            </w:r>
          </w:p>
        </w:tc>
        <w:tc>
          <w:tcPr>
            <w:tcW w:w="3845" w:type="dxa"/>
            <w:tcBorders>
              <w:top w:val="single" w:sz="4" w:space="0" w:color="auto"/>
              <w:left w:val="single" w:sz="4" w:space="0" w:color="auto"/>
              <w:righ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预算数</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一、一般公共预算拨款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77.91</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一、一般公共服务支出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64.51</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二、外交支出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77.91</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三、国防支出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二、政府性基金预算拨款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四、公共安全支出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五、教育支出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六、科学技术支出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三、国有资本经营预算拨款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七、文化旅游体育与传媒支出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八、社会保障和就业支出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7.26</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九、卫生健康支出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十、节能环保支出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十一、城乡社区支出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十二、农林水支出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十三、交通运输支出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十四、资源勘探工业信息等支出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十五、商业服务业等支出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十六、金融支出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十七、援助其他地区支出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十八、自然资源海洋气象等支出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十九、住房保障支出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6.13</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二十、粮油物资储备支出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二十一、国有资本经营预算支出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二十二、灾害防治及应急管理支出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二十三、其他支出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二十四、债务还本支出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二十五、债务付息支出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二十六、债务发行费用支出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本年收入合计</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77.91</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本年支出合计</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77.91</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上年结转结余</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结转下年支出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收入总计</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77.91</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支出总计</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77.91</w:t>
            </w:r>
          </w:p>
        </w:tc>
      </w:tr>
      <w:tr>
        <w:tblPrEx>
          <w:tblW w:w="0" w:type="auto"/>
          <w:tblInd w:w="0" w:type="dxa"/>
          <w:tblLayout w:type="fixed"/>
          <w:tblCellMar>
            <w:top w:w="0" w:type="dxa"/>
            <w:left w:w="10" w:type="dxa"/>
            <w:bottom w:w="0" w:type="dxa"/>
            <w:right w:w="10" w:type="dxa"/>
          </w:tblCellMar>
        </w:tblPrEx>
        <w:trPr>
          <w:trHeight w:hRule="exact" w:val="352"/>
        </w:trPr>
        <w:tc>
          <w:tcPr>
            <w:tcW w:w="15342" w:type="dxa"/>
            <w:gridSpan w:val="6"/>
            <w:tcBorders>
              <w:top w:val="single" w:sz="4" w:space="0" w:color="auto"/>
            </w:tcBorders>
            <w:shd w:val="clear" w:color="auto" w:fill="FFFFFF"/>
          </w:tcPr>
          <w:p>
            <w:pPr>
              <w:jc w:val="left"/>
              <w:rPr>
                <w:sz w:val="10"/>
                <w:szCs w:val="10"/>
                <w:lang w:eastAsia="zh-CN"/>
              </w:rPr>
            </w:pPr>
            <w:r>
              <w:rPr>
                <w:sz w:val="17"/>
                <w:szCs w:val="17"/>
              </w:rPr>
              <w:t xml:space="preserve">注：表中功能分类科目，根据各部门实际预算编制情况编列。</w:t>
            </w:r>
          </w:p>
        </w:tc>
      </w:tr>
      <w:tr>
        <w:tblPrEx>
          <w:tblW w:w="0" w:type="auto"/>
          <w:tblInd w:w="0" w:type="dxa"/>
          <w:tblLayout w:type="fixed"/>
          <w:tblCellMar>
            <w:top w:w="0" w:type="dxa"/>
            <w:left w:w="10" w:type="dxa"/>
            <w:bottom w:w="0" w:type="dxa"/>
            <w:right w:w="10" w:type="dxa"/>
          </w:tblCellMar>
        </w:tblPrEx>
        <w:trPr>
          <w:trHeight w:hRule="exact" w:val="274"/>
        </w:trPr>
        <w:tc>
          <w:tcPr>
            <w:tcW w:w="15342" w:type="dxa"/>
            <w:gridSpan w:val="6"/>
            <w:shd w:val="clear" w:color="auto" w:fill="FFFFFF"/>
            <w:vAlign w:val="bottom"/>
          </w:tcPr>
          <w:p>
            <w:pPr>
              <w:jc w:val="left"/>
              <w:rPr>
                <w:sz w:val="10"/>
                <w:szCs w:val="10"/>
                <w:lang w:eastAsia="zh-CN"/>
              </w:rPr>
            </w:pPr>
            <w:r>
              <w:rPr>
                <w:sz w:val="17"/>
                <w:szCs w:val="17"/>
              </w:rPr>
              <w:t xml:space="preserve">报表金额单位转换时可能存在四舍五入尾数误差。</w:t>
            </w:r>
          </w:p>
        </w:tc>
      </w:tr>
    </w:tbl>
    <w:p>
      <w:pPr>
        <w:jc w:val="left"/>
        <w:rPr>
          <w:lang w:eastAsia="zh-CN"/>
        </w:rPr>
      </w:pPr>
      <w:r>
        <w:br w:type="page"/>
      </w:r>
    </w:p>
    <w:p>
      <w:pPr>
        <w:jc w:val="center"/>
        <w:rPr>
          <w:rFonts w:hint="eastAsia"/>
          <w:lang w:eastAsia="zh-CN"/>
        </w:rPr>
      </w:pPr>
      <w:r>
        <w:rPr>
          <w:rFonts w:hint="eastAsia"/>
          <w:lang w:eastAsia="zh-CN"/>
        </w:rPr>
        <w:t xml:space="preserve">一般公共预算支出情况表</w:t>
      </w:r>
    </w:p>
    <w:p>
      <w:pPr>
        <w:jc w:val="center"/>
        <w:rPr>
          <w:rFonts w:hint="eastAsia"/>
          <w:lang w:eastAsia="zh-CN"/>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1715"/>
        <w:gridCol w:w="1676"/>
        <w:gridCol w:w="1662"/>
        <w:gridCol w:w="1717"/>
        <w:gridCol w:w="1879"/>
        <w:gridCol w:w="1729"/>
        <w:gridCol w:w="1718"/>
        <w:gridCol w:w="72"/>
        <w:gridCol w:w="1694"/>
        <w:gridCol w:w="1695"/>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2096" w:type="dxa"/>
            <w:gridSpan w:val="7"/>
            <w:tcBorders>
              <w:top w:val="nil"/>
              <w:left w:val="nil"/>
              <w:right w:val="nil"/>
            </w:tcBorders>
          </w:tcPr>
          <w:p>
            <w:pPr>
              <w:jc w:val="left"/>
              <w:rPr>
                <w:rFonts w:hint="eastAsia"/>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环江毛南族自治县社会科学界联合会</w:t>
            </w:r>
          </w:p>
        </w:tc>
        <w:tc>
          <w:tcPr>
            <w:tcW w:w="3461" w:type="dxa"/>
            <w:gridSpan w:val="3"/>
            <w:tcBorders>
              <w:top w:val="nil"/>
              <w:left w:val="nil"/>
              <w:right w:val="nil"/>
            </w:tcBorders>
          </w:tcPr>
          <w:p>
            <w:pPr>
              <w:ind w:firstLine="1760" w:firstLineChars="1100"/>
              <w:jc w:val="left"/>
              <w:rPr>
                <w:rFonts w:hint="eastAsia"/>
                <w:vertAlign w:val="baseline"/>
                <w:lang w:eastAsia="zh-CN"/>
              </w:rPr>
            </w:pPr>
            <w:r>
              <w:rPr>
                <w:rFonts w:ascii="宋体" w:eastAsia="宋体" w:hAnsi="宋体" w:cs="宋体" w:hint="eastAsia"/>
                <w:sz w:val="16"/>
                <w:szCs w:val="16"/>
                <w:vertAlign w:val="baseline"/>
                <w:lang w:eastAsia="zh-CN"/>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Merge w:val="restart"/>
          </w:tcPr>
          <w:p>
            <w:pPr>
              <w:jc w:val="center"/>
              <w:rPr>
                <w:rFonts w:hint="eastAsia"/>
                <w:vertAlign w:val="baseline"/>
                <w:lang w:eastAsia="zh-CN"/>
              </w:rPr>
            </w:pPr>
            <w:r>
              <w:rPr>
                <w:sz w:val="17"/>
                <w:szCs w:val="17"/>
              </w:rPr>
              <w:t xml:space="preserve">科目编码</w:t>
            </w:r>
          </w:p>
        </w:tc>
        <w:tc>
          <w:tcPr>
            <w:tcW w:w="1676" w:type="dxa"/>
            <w:vMerge w:val="restart"/>
          </w:tcPr>
          <w:p>
            <w:pPr>
              <w:jc w:val="center"/>
              <w:rPr>
                <w:rFonts w:hint="eastAsia"/>
                <w:vertAlign w:val="baseline"/>
                <w:lang w:eastAsia="zh-CN"/>
              </w:rPr>
            </w:pPr>
            <w:r>
              <w:rPr>
                <w:sz w:val="17"/>
                <w:szCs w:val="17"/>
              </w:rPr>
              <w:t xml:space="preserve">部门（单位）代码</w:t>
            </w:r>
          </w:p>
        </w:tc>
        <w:tc>
          <w:tcPr>
            <w:tcW w:w="1662" w:type="dxa"/>
            <w:vMerge w:val="restart"/>
          </w:tcPr>
          <w:p>
            <w:pPr>
              <w:pStyle w:val="Other|1"/>
              <w:spacing w:after="120" w:line="240" w:lineRule="auto"/>
              <w:ind w:firstLine="0"/>
              <w:jc w:val="center"/>
              <w:rPr>
                <w:sz w:val="17"/>
                <w:szCs w:val="17"/>
              </w:rPr>
            </w:pPr>
            <w:r>
              <w:rPr>
                <w:sz w:val="17"/>
                <w:szCs w:val="17"/>
              </w:rPr>
              <w:t xml:space="preserve">部门（单位）名称</w:t>
            </w:r>
          </w:p>
          <w:p>
            <w:pPr>
              <w:jc w:val="center"/>
              <w:rPr>
                <w:rFonts w:hint="eastAsia"/>
                <w:vertAlign w:val="baseline"/>
                <w:lang w:eastAsia="zh-CN"/>
              </w:rPr>
            </w:pPr>
            <w:r>
              <w:rPr>
                <w:sz w:val="17"/>
                <w:szCs w:val="17"/>
              </w:rPr>
              <w:t xml:space="preserve">（功能分类科目名称）</w:t>
            </w:r>
          </w:p>
        </w:tc>
        <w:tc>
          <w:tcPr>
            <w:tcW w:w="1717" w:type="dxa"/>
            <w:vMerge w:val="restart"/>
          </w:tcPr>
          <w:p>
            <w:pPr>
              <w:jc w:val="center"/>
              <w:rPr>
                <w:rFonts w:hint="eastAsia"/>
                <w:vertAlign w:val="baseline"/>
                <w:lang w:eastAsia="zh-CN"/>
              </w:rPr>
            </w:pPr>
            <w:r>
              <w:rPr>
                <w:sz w:val="17"/>
                <w:szCs w:val="17"/>
              </w:rPr>
              <w:t xml:space="preserve">合计</w:t>
            </w:r>
          </w:p>
        </w:tc>
        <w:tc>
          <w:tcPr>
            <w:tcW w:w="5398" w:type="dxa"/>
            <w:gridSpan w:val="4"/>
          </w:tcPr>
          <w:p>
            <w:pPr>
              <w:jc w:val="center"/>
              <w:rPr>
                <w:rFonts w:hint="eastAsia"/>
                <w:vertAlign w:val="baseline"/>
                <w:lang w:eastAsia="zh-CN"/>
              </w:rPr>
            </w:pPr>
            <w:r>
              <w:rPr>
                <w:sz w:val="17"/>
                <w:szCs w:val="17"/>
              </w:rPr>
              <w:t xml:space="preserve">基本支出</w:t>
            </w:r>
          </w:p>
        </w:tc>
        <w:tc>
          <w:tcPr>
            <w:tcW w:w="1694" w:type="dxa"/>
            <w:vMerge w:val="restart"/>
          </w:tcPr>
          <w:p>
            <w:pPr>
              <w:jc w:val="center"/>
              <w:rPr>
                <w:rFonts w:hint="eastAsia"/>
                <w:vertAlign w:val="baseline"/>
                <w:lang w:eastAsia="zh-CN"/>
              </w:rPr>
            </w:pPr>
            <w:r>
              <w:rPr>
                <w:sz w:val="17"/>
                <w:szCs w:val="17"/>
              </w:rPr>
              <w:t xml:space="preserve">项目支出</w:t>
            </w:r>
          </w:p>
        </w:tc>
        <w:tc>
          <w:tcPr>
            <w:tcW w:w="1695" w:type="dxa"/>
            <w:vMerge w:val="restart"/>
          </w:tcPr>
          <w:p>
            <w:pPr>
              <w:jc w:val="center"/>
              <w:rPr>
                <w:rFonts w:hint="eastAsia"/>
                <w:vertAlign w:val="baseline"/>
                <w:lang w:eastAsia="zh-CN"/>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Merge/>
          </w:tcPr>
          <w:p>
            <w:pPr>
              <w:jc w:val="center"/>
              <w:rPr>
                <w:rFonts w:hint="eastAsia"/>
                <w:vertAlign w:val="baseline"/>
                <w:lang w:eastAsia="zh-CN"/>
              </w:rPr>
            </w:pPr>
          </w:p>
        </w:tc>
        <w:tc>
          <w:tcPr>
            <w:tcW w:w="1676" w:type="dxa"/>
            <w:vMerge/>
          </w:tcPr>
          <w:p>
            <w:pPr>
              <w:jc w:val="center"/>
              <w:rPr>
                <w:rFonts w:hint="eastAsia"/>
                <w:vertAlign w:val="baseline"/>
                <w:lang w:eastAsia="zh-CN"/>
              </w:rPr>
            </w:pPr>
          </w:p>
        </w:tc>
        <w:tc>
          <w:tcPr>
            <w:tcW w:w="1662" w:type="dxa"/>
            <w:vMerge/>
          </w:tcPr>
          <w:p>
            <w:pPr>
              <w:jc w:val="center"/>
              <w:rPr>
                <w:rFonts w:hint="eastAsia"/>
                <w:vertAlign w:val="baseline"/>
                <w:lang w:eastAsia="zh-CN"/>
              </w:rPr>
            </w:pPr>
          </w:p>
        </w:tc>
        <w:tc>
          <w:tcPr>
            <w:tcW w:w="1717" w:type="dxa"/>
            <w:vMerge/>
          </w:tcPr>
          <w:p>
            <w:pPr>
              <w:jc w:val="center"/>
              <w:rPr>
                <w:rFonts w:hint="eastAsia"/>
                <w:vertAlign w:val="baseline"/>
                <w:lang w:eastAsia="zh-CN"/>
              </w:rPr>
            </w:pPr>
          </w:p>
        </w:tc>
        <w:tc>
          <w:tcPr>
            <w:tcW w:w="1879" w:type="dxa"/>
            <w:vAlign w:val="center"/>
          </w:tcPr>
          <w:p>
            <w:pPr>
              <w:pStyle w:val="Other|1"/>
              <w:spacing w:line="240" w:lineRule="auto"/>
              <w:ind w:firstLine="0" w:firstLineChars="0"/>
              <w:jc w:val="center"/>
              <w:rPr>
                <w:rFonts w:hint="eastAsia"/>
                <w:vertAlign w:val="baseline"/>
                <w:lang w:eastAsia="zh-CN"/>
              </w:rPr>
            </w:pPr>
            <w:r>
              <w:rPr>
                <w:sz w:val="17"/>
                <w:szCs w:val="17"/>
              </w:rPr>
              <w:t xml:space="preserve">小计</w:t>
            </w:r>
          </w:p>
        </w:tc>
        <w:tc>
          <w:tcPr>
            <w:tcW w:w="1729" w:type="dxa"/>
            <w:vAlign w:val="center"/>
          </w:tcPr>
          <w:p>
            <w:pPr>
              <w:pStyle w:val="Other|1"/>
              <w:spacing w:line="240" w:lineRule="auto"/>
              <w:ind w:firstLine="0" w:firstLineChars="0"/>
              <w:jc w:val="center"/>
              <w:rPr>
                <w:rFonts w:hint="eastAsia"/>
                <w:vertAlign w:val="baseline"/>
                <w:lang w:eastAsia="zh-CN"/>
              </w:rPr>
            </w:pPr>
            <w:r>
              <w:rPr>
                <w:sz w:val="17"/>
                <w:szCs w:val="17"/>
              </w:rPr>
              <w:t xml:space="preserve">人员经费</w:t>
            </w:r>
          </w:p>
        </w:tc>
        <w:tc>
          <w:tcPr>
            <w:tcW w:w="1790" w:type="dxa"/>
            <w:gridSpan w:val="2"/>
            <w:vAlign w:val="center"/>
          </w:tcPr>
          <w:p>
            <w:pPr>
              <w:pStyle w:val="Other|1"/>
              <w:spacing w:line="240" w:lineRule="auto"/>
              <w:ind w:firstLine="440" w:firstLineChars="0"/>
              <w:jc w:val="center"/>
              <w:rPr>
                <w:rFonts w:hint="eastAsia"/>
                <w:vertAlign w:val="baseline"/>
                <w:lang w:eastAsia="zh-CN"/>
              </w:rPr>
            </w:pPr>
            <w:r>
              <w:rPr>
                <w:sz w:val="17"/>
                <w:szCs w:val="17"/>
              </w:rPr>
              <w:t xml:space="preserve">公用经费</w:t>
            </w:r>
          </w:p>
        </w:tc>
        <w:tc>
          <w:tcPr>
            <w:tcW w:w="1694" w:type="dxa"/>
            <w:vMerge/>
          </w:tcPr>
          <w:p>
            <w:pPr>
              <w:jc w:val="center"/>
              <w:rPr>
                <w:rFonts w:hint="eastAsia"/>
                <w:vertAlign w:val="baseline"/>
                <w:lang w:eastAsia="zh-CN"/>
              </w:rPr>
            </w:pPr>
          </w:p>
        </w:tc>
        <w:tc>
          <w:tcPr>
            <w:tcW w:w="1695" w:type="dxa"/>
            <w:vMerge/>
          </w:tcPr>
          <w:p>
            <w:pPr>
              <w:jc w:val="center"/>
              <w:rPr>
                <w:rFonts w:hint="eastAsia"/>
                <w:vertAlign w:val="baseline"/>
                <w:lang w:eastAsia="zh-CN"/>
              </w:rPr>
            </w:pP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jc w:val="center"/>
              <w:rPr>
                <w:rFonts w:hint="eastAsia"/>
                <w:vertAlign w:val="baseline"/>
                <w:lang w:eastAsia="zh-CN"/>
              </w:rPr>
            </w:pPr>
          </w:p>
        </w:tc>
        <w:tc>
          <w:tcPr>
            <w:tcW w:w="1676" w:type="dxa"/>
            <w:vAlign w:val="center"/>
          </w:tcPr>
          <w:p>
            <w:pPr>
              <w:jc w:val="center"/>
              <w:rPr>
                <w:rFonts w:hint="eastAsia"/>
                <w:vertAlign w:val="baseline"/>
                <w:lang w:eastAsia="zh-CN"/>
              </w:rPr>
            </w:pPr>
          </w:p>
        </w:tc>
        <w:tc>
          <w:tcPr>
            <w:tcW w:w="1662" w:type="dxa"/>
            <w:vAlign w:val="center"/>
          </w:tcPr>
          <w:p>
            <w:pPr>
              <w:jc w:val="center"/>
              <w:rPr>
                <w:rFonts w:hint="eastAsia"/>
                <w:vertAlign w:val="baseline"/>
                <w:lang w:eastAsia="zh-CN"/>
              </w:rPr>
            </w:pPr>
          </w:p>
        </w:tc>
        <w:tc>
          <w:tcPr>
            <w:tcW w:w="1717"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1</w:t>
            </w:r>
          </w:p>
        </w:tc>
        <w:tc>
          <w:tcPr>
            <w:tcW w:w="1879"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2</w:t>
            </w:r>
          </w:p>
        </w:tc>
        <w:tc>
          <w:tcPr>
            <w:tcW w:w="1729"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3</w:t>
            </w:r>
          </w:p>
        </w:tc>
        <w:tc>
          <w:tcPr>
            <w:tcW w:w="1790" w:type="dxa"/>
            <w:gridSpan w:val="2"/>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4</w:t>
            </w:r>
          </w:p>
        </w:tc>
        <w:tc>
          <w:tcPr>
            <w:tcW w:w="1694" w:type="dxa"/>
            <w:vAlign w:val="center"/>
          </w:tcPr>
          <w:p>
            <w:pPr>
              <w:pStyle w:val="Other|1"/>
              <w:spacing w:line="240" w:lineRule="auto"/>
              <w:ind w:firstLine="660" w:firstLineChars="0"/>
              <w:jc w:val="center"/>
              <w:rPr>
                <w:rFonts w:hint="eastAsia"/>
                <w:vertAlign w:val="baseline"/>
                <w:lang w:eastAsia="zh-CN"/>
              </w:rPr>
            </w:pPr>
            <w:r>
              <w:rPr>
                <w:rFonts w:ascii="Times New Roman" w:eastAsia="Times New Roman" w:hAnsi="Times New Roman" w:cs="Times New Roman"/>
                <w:b/>
                <w:bCs/>
                <w:sz w:val="17"/>
                <w:szCs w:val="17"/>
              </w:rPr>
              <w:t xml:space="preserve">5</w:t>
            </w:r>
          </w:p>
        </w:tc>
        <w:tc>
          <w:tcPr>
            <w:tcW w:w="1695" w:type="dxa"/>
            <w:vAlign w:val="center"/>
          </w:tcPr>
          <w:p>
            <w:pPr>
              <w:pStyle w:val="Other|1"/>
              <w:spacing w:line="240" w:lineRule="auto"/>
              <w:ind w:right="700" w:firstLine="0" w:rightChars="0" w:firstLineChars="0"/>
              <w:jc w:val="center"/>
              <w:rPr>
                <w:rFonts w:hint="eastAsia"/>
                <w:vertAlign w:val="baseline"/>
                <w:lang w:eastAsia="zh-CN"/>
              </w:rPr>
            </w:pPr>
            <w:r>
              <w:rPr>
                <w:rFonts w:ascii="Times New Roman" w:eastAsia="Times New Roman" w:hAnsi="Times New Roman" w:cs="Times New Roman"/>
                <w:b/>
                <w:bCs/>
                <w:sz w:val="17"/>
                <w:szCs w:val="17"/>
              </w:rPr>
              <w:t xml:space="preserve">6</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p>
        </w:tc>
        <w:tc>
          <w:tcPr>
            <w:tcW w:w="1676"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212001</w:t>
            </w:r>
          </w:p>
        </w:tc>
        <w:tc>
          <w:tcPr>
            <w:tcW w:w="1662" w:type="dxa"/>
            <w:vAlign w:val="center"/>
          </w:tcPr>
          <w:p>
            <w:pPr>
              <w:pStyle w:val="Other|1"/>
              <w:spacing w:line="240" w:lineRule="auto"/>
              <w:ind w:firstLine="0" w:firstLineChars="0"/>
              <w:jc w:val="center"/>
              <w:rPr>
                <w:rFonts w:hint="eastAsia"/>
                <w:vertAlign w:val="baseline"/>
                <w:lang w:eastAsia="zh-CN"/>
              </w:rPr>
            </w:pP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77.91</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69.71</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63.82</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5.89</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8.20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2012901</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行政运行</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63.85</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55.65</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50.43</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5.22</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8.20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2012999</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其他群众团体事务支出</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0.66</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0.66</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0.66</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2080505</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机关事业单位基本养老保险缴费支出</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7.26</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7.26</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7.26</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2210201</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住房公积金</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6.13</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6.13</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6.13</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5557" w:type="dxa"/>
            <w:gridSpan w:val="10"/>
            <w:tcBorders>
              <w:left w:val="nil"/>
              <w:bottom w:val="nil"/>
              <w:right w:val="nil"/>
            </w:tcBorders>
          </w:tcPr>
          <w:p>
            <w:pPr>
              <w:jc w:val="left"/>
              <w:rPr>
                <w:rFonts w:hint="eastAsia"/>
                <w:vertAlign w:val="baseline"/>
                <w:lang w:eastAsia="zh-CN"/>
              </w:rPr>
            </w:pPr>
            <w:r>
              <w:rPr>
                <w:sz w:val="16"/>
                <w:szCs w:val="16"/>
              </w:rPr>
              <w:t xml:space="preserve">注：本报表金额单位转换时可能存在四舍五入尾数误差。</w:t>
            </w:r>
          </w:p>
        </w:tc>
      </w:tr>
    </w:tbl>
    <w:p>
      <w:pPr>
        <w:jc w:val="left"/>
        <w:rPr>
          <w:rFonts w:hint="eastAsia"/>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Heading#2|1"/>
        <w:keepNext/>
        <w:keepLines/>
        <w:spacing w:after="240"/>
        <w:jc w:val="center"/>
      </w:pPr>
      <w:bookmarkStart w:id="25" w:name="bookmark57"/>
      <w:bookmarkStart w:id="26" w:name="bookmark56"/>
      <w:bookmarkStart w:id="27" w:name="bookmark58"/>
      <w:r>
        <w:t xml:space="preserve">一般公共预算基本支出情况表</w:t>
      </w:r>
      <w:bookmarkEnd w:id="25"/>
      <w:bookmarkEnd w:id="26"/>
      <w:bookmarkEnd w:id="27"/>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3110"/>
        <w:gridCol w:w="3111"/>
        <w:gridCol w:w="3111"/>
        <w:gridCol w:w="3112"/>
        <w:gridCol w:w="311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2444" w:type="dxa"/>
            <w:gridSpan w:val="4"/>
            <w:tcBorders>
              <w:top w:val="nil"/>
              <w:left w:val="nil"/>
              <w:right w:val="nil"/>
            </w:tcBorders>
          </w:tcPr>
          <w:p>
            <w:pPr>
              <w:jc w:val="left"/>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环江毛南族自治县社会科学界联合会</w:t>
            </w:r>
          </w:p>
        </w:tc>
        <w:tc>
          <w:tcPr>
            <w:tcW w:w="3113" w:type="dxa"/>
            <w:tcBorders>
              <w:top w:val="nil"/>
              <w:left w:val="nil"/>
              <w:right w:val="nil"/>
            </w:tcBorders>
          </w:tcPr>
          <w:p>
            <w:pPr>
              <w:ind w:firstLine="1760" w:firstLineChars="1100"/>
              <w:jc w:val="left"/>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35"/>
        </w:trPr>
        <w:tc>
          <w:tcPr>
            <w:tcW w:w="6221" w:type="dxa"/>
            <w:gridSpan w:val="2"/>
          </w:tcPr>
          <w:p>
            <w:pPr>
              <w:jc w:val="left"/>
              <w:rPr>
                <w:vertAlign w:val="baseline"/>
                <w:lang w:eastAsia="zh-CN"/>
              </w:rPr>
            </w:pPr>
            <w:r>
              <w:rPr>
                <w:sz w:val="17"/>
                <w:szCs w:val="17"/>
              </w:rPr>
              <w:t xml:space="preserve">部门预算支出经济分类科目</w:t>
            </w:r>
          </w:p>
        </w:tc>
        <w:tc>
          <w:tcPr>
            <w:tcW w:w="9336" w:type="dxa"/>
            <w:gridSpan w:val="3"/>
          </w:tcPr>
          <w:p>
            <w:pPr>
              <w:jc w:val="left"/>
              <w:rPr>
                <w:vertAlign w:val="baseline"/>
                <w:lang w:eastAsia="zh-CN"/>
              </w:rPr>
            </w:pPr>
            <w:r>
              <w:rPr>
                <w:sz w:val="17"/>
                <w:szCs w:val="17"/>
              </w:rPr>
              <w:t xml:space="preserve">本年一般公共预算基本支出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20"/>
        </w:trPr>
        <w:tc>
          <w:tcPr>
            <w:tcW w:w="3110" w:type="dxa"/>
            <w:vAlign w:val="center"/>
          </w:tcPr>
          <w:p>
            <w:pPr>
              <w:pStyle w:val="Other|1"/>
              <w:spacing w:line="240" w:lineRule="auto"/>
              <w:ind w:firstLine="0" w:firstLineChars="0"/>
              <w:jc w:val="center"/>
              <w:rPr>
                <w:vertAlign w:val="baseline"/>
                <w:lang w:eastAsia="zh-CN"/>
              </w:rPr>
            </w:pPr>
            <w:r>
              <w:rPr>
                <w:sz w:val="17"/>
                <w:szCs w:val="17"/>
              </w:rPr>
              <w:t xml:space="preserve">科目编码</w:t>
            </w:r>
          </w:p>
        </w:tc>
        <w:tc>
          <w:tcPr>
            <w:tcW w:w="3111" w:type="dxa"/>
            <w:vAlign w:val="center"/>
          </w:tcPr>
          <w:p>
            <w:pPr>
              <w:pStyle w:val="Other|1"/>
              <w:spacing w:line="240" w:lineRule="auto"/>
              <w:ind w:firstLine="0" w:firstLineChars="0"/>
              <w:jc w:val="center"/>
              <w:rPr>
                <w:vertAlign w:val="baseline"/>
                <w:lang w:eastAsia="zh-CN"/>
              </w:rPr>
            </w:pPr>
            <w:r>
              <w:rPr>
                <w:sz w:val="17"/>
                <w:szCs w:val="17"/>
              </w:rPr>
              <w:t xml:space="preserve">科目名称</w:t>
            </w:r>
          </w:p>
        </w:tc>
        <w:tc>
          <w:tcPr>
            <w:tcW w:w="3111" w:type="dxa"/>
            <w:vAlign w:val="center"/>
          </w:tcPr>
          <w:p>
            <w:pPr>
              <w:pStyle w:val="Other|1"/>
              <w:spacing w:line="240" w:lineRule="auto"/>
              <w:ind w:firstLine="0" w:firstLineChars="0"/>
              <w:jc w:val="center"/>
              <w:rPr>
                <w:vertAlign w:val="baseline"/>
                <w:lang w:eastAsia="zh-CN"/>
              </w:rPr>
            </w:pPr>
            <w:r>
              <w:rPr>
                <w:sz w:val="17"/>
                <w:szCs w:val="17"/>
              </w:rPr>
              <w:t xml:space="preserve">合计</w:t>
            </w:r>
          </w:p>
        </w:tc>
        <w:tc>
          <w:tcPr>
            <w:tcW w:w="3112" w:type="dxa"/>
            <w:vAlign w:val="center"/>
          </w:tcPr>
          <w:p>
            <w:pPr>
              <w:pStyle w:val="Other|1"/>
              <w:spacing w:line="240" w:lineRule="auto"/>
              <w:ind w:firstLine="0" w:firstLineChars="0"/>
              <w:jc w:val="center"/>
              <w:rPr>
                <w:vertAlign w:val="baseline"/>
                <w:lang w:eastAsia="zh-CN"/>
              </w:rPr>
            </w:pPr>
            <w:r>
              <w:rPr>
                <w:sz w:val="17"/>
                <w:szCs w:val="17"/>
              </w:rPr>
              <w:t xml:space="preserve">人员经费</w:t>
            </w:r>
          </w:p>
        </w:tc>
        <w:tc>
          <w:tcPr>
            <w:tcW w:w="3113" w:type="dxa"/>
            <w:vAlign w:val="center"/>
          </w:tcPr>
          <w:p>
            <w:pPr>
              <w:pStyle w:val="Other|1"/>
              <w:spacing w:line="240" w:lineRule="auto"/>
              <w:ind w:firstLine="0" w:firstLineChars="0"/>
              <w:jc w:val="center"/>
              <w:rPr>
                <w:vertAlign w:val="baseline"/>
                <w:lang w:eastAsia="zh-CN"/>
              </w:rPr>
            </w:pPr>
            <w:r>
              <w:rPr>
                <w:sz w:val="17"/>
                <w:szCs w:val="17"/>
              </w:rPr>
              <w:t xml:space="preserve">公用经费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合计</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69.71</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63.82</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5.89</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工资福利支出</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62.48</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62.48</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基本工资</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20.26</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20.26</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津贴补贴</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11.23</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11.23</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30103</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奖金</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14.65</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14.65</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30108</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机关事业单位基本养老保险缴费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7.26</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7.26</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30110</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职工基本医疗保险缴费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2.90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2.90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30112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其他社会保障缴费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0.05</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0.05</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30113</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住房公积金</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6.13</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6.13</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商品和服务支出</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5.89</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5.89</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30201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办公费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30202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印刷费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30207</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邮电费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0.82</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0.82</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30211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差旅费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0.80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0.80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30228</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工会经费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0.66</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0.66</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30239</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其他交通费用</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3.60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3.60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303</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对个人和家庭的补助</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1.34</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1.34</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30302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退休费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1.34</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1.34</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32"/>
        </w:trPr>
        <w:tc>
          <w:tcPr>
            <w:tcW w:w="15557" w:type="dxa"/>
            <w:gridSpan w:val="5"/>
            <w:tcBorders>
              <w:left w:val="nil"/>
              <w:bottom w:val="nil"/>
              <w:right w:val="nil"/>
            </w:tcBorders>
          </w:tcPr>
          <w:p>
            <w:pPr>
              <w:jc w:val="left"/>
              <w:rPr>
                <w:sz w:val="16"/>
                <w:szCs w:val="16"/>
              </w:rPr>
            </w:pPr>
          </w:p>
          <w:p>
            <w:pPr>
              <w:jc w:val="left"/>
              <w:rPr>
                <w:vertAlign w:val="baseline"/>
                <w:lang w:eastAsia="zh-CN"/>
              </w:rPr>
            </w:pPr>
            <w:r>
              <w:rPr>
                <w:sz w:val="16"/>
                <w:szCs w:val="16"/>
              </w:rPr>
              <w:t xml:space="preserve">注：本报表金额单位转换时可能存在四舍五入尾数误差。</w:t>
            </w:r>
          </w:p>
        </w:tc>
      </w:tr>
    </w:tbl>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Heading#2|1"/>
        <w:keepNext/>
        <w:keepLines/>
        <w:spacing w:after="240"/>
        <w:jc w:val="center"/>
        <w:rPr>
          <w:rFonts w:hint="default"/>
          <w:sz w:val="28"/>
          <w:szCs w:val="28"/>
          <w:lang w:val="en-US" w:eastAsia="zh-CN"/>
        </w:rPr>
      </w:pPr>
      <w:bookmarkStart w:id="28" w:name="bookmark65"/>
      <w:bookmarkStart w:id="29" w:name="bookmark67"/>
      <w:bookmarkStart w:id="30" w:name="bookmark66"/>
      <w:r>
        <w:rPr>
          <w:rFonts w:hint="default"/>
          <w:sz w:val="28"/>
          <w:szCs w:val="28"/>
          <w:lang w:val="en-US" w:eastAsia="zh-CN"/>
        </w:rPr>
        <w:t xml:space="preserve">一般公共预算“三公”经费预算表</w:t>
      </w: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296"/>
        <w:gridCol w:w="1918"/>
        <w:gridCol w:w="1884"/>
        <w:gridCol w:w="1895"/>
        <w:gridCol w:w="1888"/>
        <w:gridCol w:w="1890"/>
        <w:gridCol w:w="1895"/>
        <w:gridCol w:w="2"/>
        <w:gridCol w:w="1889"/>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3666" w:type="dxa"/>
            <w:gridSpan w:val="7"/>
            <w:tcBorders>
              <w:top w:val="nil"/>
              <w:left w:val="nil"/>
              <w:right w:val="nil"/>
            </w:tcBorders>
          </w:tcPr>
          <w:p>
            <w:pPr>
              <w:pStyle w:val="Tablecaption|1"/>
              <w:bidi w:val="0"/>
              <w:jc w:val="both"/>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环江毛南族自治县社会科学界联合会</w:t>
            </w:r>
          </w:p>
        </w:tc>
        <w:tc>
          <w:tcPr>
            <w:tcW w:w="1891" w:type="dxa"/>
            <w:gridSpan w:val="2"/>
            <w:tcBorders>
              <w:top w:val="nil"/>
              <w:left w:val="nil"/>
              <w:right w:val="nil"/>
            </w:tcBorders>
          </w:tcPr>
          <w:p>
            <w:pPr>
              <w:pStyle w:val="Tablecaption|1"/>
              <w:bidi w:val="0"/>
              <w:ind w:firstLine="480" w:firstLineChars="300"/>
              <w:jc w:val="both"/>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Merge w:val="restart"/>
          </w:tcPr>
          <w:p>
            <w:pPr>
              <w:pStyle w:val="Tablecaption|1"/>
              <w:bidi w:val="0"/>
              <w:jc w:val="center"/>
              <w:rPr>
                <w:rFonts w:hint="eastAsia"/>
                <w:vertAlign w:val="baseline"/>
                <w:lang w:val="en-US" w:eastAsia="zh-CN"/>
              </w:rPr>
            </w:pPr>
            <w:r>
              <w:rPr>
                <w:sz w:val="17"/>
                <w:szCs w:val="17"/>
              </w:rPr>
              <w:t xml:space="preserve">门（单位）代码</w:t>
            </w:r>
          </w:p>
        </w:tc>
        <w:tc>
          <w:tcPr>
            <w:tcW w:w="1918" w:type="dxa"/>
            <w:vMerge w:val="restart"/>
          </w:tcPr>
          <w:p>
            <w:pPr>
              <w:pStyle w:val="Tablecaption|1"/>
              <w:bidi w:val="0"/>
              <w:jc w:val="center"/>
              <w:rPr>
                <w:rFonts w:hint="eastAsia"/>
                <w:vertAlign w:val="baseline"/>
                <w:lang w:val="en-US" w:eastAsia="zh-CN"/>
              </w:rPr>
            </w:pPr>
            <w:r>
              <w:rPr>
                <w:sz w:val="17"/>
                <w:szCs w:val="17"/>
              </w:rPr>
              <w:t xml:space="preserve">部门（单位）名称</w:t>
            </w:r>
          </w:p>
        </w:tc>
        <w:tc>
          <w:tcPr>
            <w:tcW w:w="11343" w:type="dxa"/>
            <w:gridSpan w:val="7"/>
          </w:tcPr>
          <w:p>
            <w:pPr>
              <w:pStyle w:val="Tablecaption|1"/>
              <w:bidi w:val="0"/>
              <w:jc w:val="center"/>
              <w:rPr>
                <w:rFonts w:hint="eastAsia"/>
                <w:vertAlign w:val="baseline"/>
                <w:lang w:val="en-US" w:eastAsia="zh-CN"/>
              </w:rPr>
            </w:pPr>
            <w:r>
              <w:rPr>
                <w:sz w:val="17"/>
                <w:szCs w:val="17"/>
                <w:lang w:val="zh-CN" w:eastAsia="zh-CN" w:bidi="zh-CN"/>
              </w:rPr>
              <w:t xml:space="preserve">“三</w:t>
            </w:r>
            <w:r>
              <w:rPr>
                <w:sz w:val="17"/>
                <w:szCs w:val="17"/>
              </w:rPr>
              <w:t xml:space="preserve">公”经费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Merge/>
          </w:tcPr>
          <w:p>
            <w:pPr>
              <w:pStyle w:val="Tablecaption|1"/>
              <w:bidi w:val="0"/>
              <w:jc w:val="center"/>
              <w:rPr>
                <w:rFonts w:hint="eastAsia"/>
                <w:vertAlign w:val="baseline"/>
                <w:lang w:val="en-US" w:eastAsia="zh-CN"/>
              </w:rPr>
            </w:pPr>
          </w:p>
        </w:tc>
        <w:tc>
          <w:tcPr>
            <w:tcW w:w="1918" w:type="dxa"/>
            <w:vMerge/>
          </w:tcPr>
          <w:p>
            <w:pPr>
              <w:pStyle w:val="Tablecaption|1"/>
              <w:bidi w:val="0"/>
              <w:jc w:val="center"/>
              <w:rPr>
                <w:rFonts w:hint="eastAsia"/>
                <w:vertAlign w:val="baseline"/>
                <w:lang w:val="en-US" w:eastAsia="zh-CN"/>
              </w:rPr>
            </w:pPr>
          </w:p>
        </w:tc>
        <w:tc>
          <w:tcPr>
            <w:tcW w:w="1884" w:type="dxa"/>
            <w:vMerge w:val="restart"/>
          </w:tcPr>
          <w:p>
            <w:pPr>
              <w:pStyle w:val="Tablecaption|1"/>
              <w:bidi w:val="0"/>
              <w:jc w:val="center"/>
              <w:rPr>
                <w:rFonts w:hint="eastAsia"/>
                <w:vertAlign w:val="baseline"/>
                <w:lang w:val="en-US" w:eastAsia="zh-CN"/>
              </w:rPr>
            </w:pPr>
            <w:r>
              <w:rPr>
                <w:sz w:val="17"/>
                <w:szCs w:val="17"/>
              </w:rPr>
              <w:t xml:space="preserve">合计</w:t>
            </w:r>
          </w:p>
        </w:tc>
        <w:tc>
          <w:tcPr>
            <w:tcW w:w="1895" w:type="dxa"/>
            <w:vMerge w:val="restart"/>
          </w:tcPr>
          <w:p>
            <w:pPr>
              <w:pStyle w:val="Tablecaption|1"/>
              <w:bidi w:val="0"/>
              <w:jc w:val="center"/>
              <w:rPr>
                <w:rFonts w:hint="eastAsia"/>
                <w:vertAlign w:val="baseline"/>
                <w:lang w:val="en-US" w:eastAsia="zh-CN"/>
              </w:rPr>
            </w:pPr>
            <w:r>
              <w:rPr>
                <w:sz w:val="17"/>
                <w:szCs w:val="17"/>
              </w:rPr>
              <w:t xml:space="preserve">因公出国（境）费</w:t>
            </w:r>
          </w:p>
        </w:tc>
        <w:tc>
          <w:tcPr>
            <w:tcW w:w="5675" w:type="dxa"/>
            <w:gridSpan w:val="4"/>
          </w:tcPr>
          <w:p>
            <w:pPr>
              <w:pStyle w:val="Tablecaption|1"/>
              <w:bidi w:val="0"/>
              <w:jc w:val="center"/>
              <w:rPr>
                <w:rFonts w:hint="eastAsia"/>
                <w:vertAlign w:val="baseline"/>
                <w:lang w:val="en-US" w:eastAsia="zh-CN"/>
              </w:rPr>
            </w:pPr>
            <w:r>
              <w:rPr>
                <w:sz w:val="17"/>
                <w:szCs w:val="17"/>
              </w:rPr>
              <w:t xml:space="preserve">公务用车购置及运行维护费</w:t>
            </w:r>
          </w:p>
        </w:tc>
        <w:tc>
          <w:tcPr>
            <w:tcW w:w="1889" w:type="dxa"/>
            <w:vMerge w:val="restart"/>
          </w:tcPr>
          <w:p>
            <w:pPr>
              <w:pStyle w:val="Tablecaption|1"/>
              <w:bidi w:val="0"/>
              <w:jc w:val="center"/>
              <w:rPr>
                <w:rFonts w:hint="eastAsia"/>
                <w:vertAlign w:val="baseline"/>
                <w:lang w:val="en-US" w:eastAsia="zh-CN"/>
              </w:rPr>
            </w:pPr>
            <w:r>
              <w:rPr>
                <w:sz w:val="17"/>
                <w:szCs w:val="17"/>
              </w:rPr>
              <w:t xml:space="preserve">公务接待费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Merge/>
          </w:tcPr>
          <w:p>
            <w:pPr>
              <w:pStyle w:val="Tablecaption|1"/>
              <w:bidi w:val="0"/>
              <w:jc w:val="center"/>
              <w:rPr>
                <w:rFonts w:hint="eastAsia"/>
                <w:vertAlign w:val="baseline"/>
                <w:lang w:val="en-US" w:eastAsia="zh-CN"/>
              </w:rPr>
            </w:pPr>
          </w:p>
        </w:tc>
        <w:tc>
          <w:tcPr>
            <w:tcW w:w="1918" w:type="dxa"/>
            <w:vMerge/>
          </w:tcPr>
          <w:p>
            <w:pPr>
              <w:pStyle w:val="Tablecaption|1"/>
              <w:bidi w:val="0"/>
              <w:jc w:val="center"/>
              <w:rPr>
                <w:rFonts w:hint="eastAsia"/>
                <w:vertAlign w:val="baseline"/>
                <w:lang w:val="en-US" w:eastAsia="zh-CN"/>
              </w:rPr>
            </w:pPr>
          </w:p>
        </w:tc>
        <w:tc>
          <w:tcPr>
            <w:tcW w:w="1884" w:type="dxa"/>
            <w:vMerge/>
          </w:tcPr>
          <w:p>
            <w:pPr>
              <w:pStyle w:val="Tablecaption|1"/>
              <w:bidi w:val="0"/>
              <w:jc w:val="center"/>
              <w:rPr>
                <w:rFonts w:hint="eastAsia"/>
                <w:vertAlign w:val="baseline"/>
                <w:lang w:val="en-US" w:eastAsia="zh-CN"/>
              </w:rPr>
            </w:pPr>
          </w:p>
        </w:tc>
        <w:tc>
          <w:tcPr>
            <w:tcW w:w="1895" w:type="dxa"/>
            <w:vMerge/>
          </w:tcPr>
          <w:p>
            <w:pPr>
              <w:pStyle w:val="Tablecaption|1"/>
              <w:bidi w:val="0"/>
              <w:jc w:val="center"/>
              <w:rPr>
                <w:rFonts w:hint="eastAsia"/>
                <w:vertAlign w:val="baseline"/>
                <w:lang w:val="en-US" w:eastAsia="zh-CN"/>
              </w:rPr>
            </w:pPr>
          </w:p>
        </w:tc>
        <w:tc>
          <w:tcPr>
            <w:tcW w:w="1888" w:type="dxa"/>
            <w:vAlign w:val="center"/>
          </w:tcPr>
          <w:p>
            <w:pPr>
              <w:pStyle w:val="Other|1"/>
              <w:spacing w:line="240" w:lineRule="auto"/>
              <w:ind w:firstLine="0" w:firstLineChars="0"/>
              <w:jc w:val="center"/>
              <w:rPr>
                <w:rFonts w:hint="eastAsia"/>
                <w:vertAlign w:val="baseline"/>
                <w:lang w:val="en-US" w:eastAsia="zh-CN"/>
              </w:rPr>
            </w:pPr>
            <w:r>
              <w:rPr>
                <w:sz w:val="17"/>
                <w:szCs w:val="17"/>
              </w:rPr>
              <w:t xml:space="preserve">小计</w:t>
            </w:r>
          </w:p>
        </w:tc>
        <w:tc>
          <w:tcPr>
            <w:tcW w:w="1890" w:type="dxa"/>
            <w:vAlign w:val="center"/>
          </w:tcPr>
          <w:p>
            <w:pPr>
              <w:pStyle w:val="Other|1"/>
              <w:spacing w:line="240" w:lineRule="auto"/>
              <w:ind w:firstLine="220" w:firstLineChars="0"/>
              <w:jc w:val="center"/>
              <w:rPr>
                <w:rFonts w:hint="eastAsia"/>
                <w:vertAlign w:val="baseline"/>
                <w:lang w:val="en-US" w:eastAsia="zh-CN"/>
              </w:rPr>
            </w:pPr>
            <w:r>
              <w:rPr>
                <w:sz w:val="17"/>
                <w:szCs w:val="17"/>
              </w:rPr>
              <w:t xml:space="preserve">公务用车运行维护费</w:t>
            </w:r>
          </w:p>
        </w:tc>
        <w:tc>
          <w:tcPr>
            <w:tcW w:w="1897" w:type="dxa"/>
            <w:gridSpan w:val="2"/>
            <w:vAlign w:val="center"/>
          </w:tcPr>
          <w:p>
            <w:pPr>
              <w:pStyle w:val="Other|1"/>
              <w:spacing w:line="240" w:lineRule="auto"/>
              <w:ind w:firstLine="400" w:firstLineChars="0"/>
              <w:jc w:val="center"/>
              <w:rPr>
                <w:rFonts w:hint="eastAsia"/>
                <w:vertAlign w:val="baseline"/>
                <w:lang w:val="en-US" w:eastAsia="zh-CN"/>
              </w:rPr>
            </w:pPr>
            <w:r>
              <w:rPr>
                <w:sz w:val="17"/>
                <w:szCs w:val="17"/>
              </w:rPr>
              <w:t xml:space="preserve">公务用车购置费</w:t>
            </w:r>
          </w:p>
        </w:tc>
        <w:tc>
          <w:tcPr>
            <w:tcW w:w="1889" w:type="dxa"/>
            <w:vMerge/>
          </w:tcPr>
          <w:p>
            <w:pPr>
              <w:pStyle w:val="Tablecaption|1"/>
              <w:bidi w:val="0"/>
              <w:jc w:val="center"/>
              <w:rPr>
                <w:rFonts w:hint="eastAsia"/>
                <w:vertAlign w:val="baseline"/>
                <w:lang w:val="en-US" w:eastAsia="zh-CN"/>
              </w:rPr>
            </w:pP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Align w:val="center"/>
          </w:tcPr>
          <w:p>
            <w:pPr>
              <w:jc w:val="center"/>
              <w:rPr>
                <w:rFonts w:hint="eastAsia"/>
                <w:vertAlign w:val="baseline"/>
                <w:lang w:val="en-US" w:eastAsia="zh-CN"/>
              </w:rPr>
            </w:pPr>
          </w:p>
        </w:tc>
        <w:tc>
          <w:tcPr>
            <w:tcW w:w="1918" w:type="dxa"/>
            <w:vAlign w:val="center"/>
          </w:tcPr>
          <w:p>
            <w:pPr>
              <w:jc w:val="center"/>
              <w:rPr>
                <w:rFonts w:hint="eastAsia"/>
                <w:vertAlign w:val="baseline"/>
                <w:lang w:val="en-US" w:eastAsia="zh-CN"/>
              </w:rPr>
            </w:pPr>
          </w:p>
        </w:tc>
        <w:tc>
          <w:tcPr>
            <w:tcW w:w="1884"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1</w:t>
            </w:r>
          </w:p>
        </w:tc>
        <w:tc>
          <w:tcPr>
            <w:tcW w:w="1895"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2</w:t>
            </w:r>
          </w:p>
        </w:tc>
        <w:tc>
          <w:tcPr>
            <w:tcW w:w="1888"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3</w:t>
            </w:r>
          </w:p>
        </w:tc>
        <w:tc>
          <w:tcPr>
            <w:tcW w:w="1890"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4</w:t>
            </w:r>
          </w:p>
        </w:tc>
        <w:tc>
          <w:tcPr>
            <w:tcW w:w="1897" w:type="dxa"/>
            <w:gridSpan w:val="2"/>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5</w:t>
            </w:r>
          </w:p>
        </w:tc>
        <w:tc>
          <w:tcPr>
            <w:tcW w:w="1889"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6</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Align w:val="center"/>
          </w:tcPr>
          <w:p>
            <w:pPr>
              <w:pStyle w:val="Other|1"/>
              <w:spacing w:line="240" w:lineRule="auto"/>
              <w:ind w:firstLine="0" w:firstLineChars="0"/>
              <w:jc w:val="lef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212001</w:t>
            </w:r>
          </w:p>
        </w:tc>
        <w:tc>
          <w:tcPr>
            <w:tcW w:w="1918" w:type="dxa"/>
            <w:vAlign w:val="center"/>
          </w:tcPr>
          <w:p>
            <w:pPr>
              <w:pStyle w:val="Other|1"/>
              <w:spacing w:line="240" w:lineRule="auto"/>
              <w:ind w:firstLine="0" w:firstLineChars="0"/>
              <w:jc w:val="left"/>
              <w:rPr>
                <w:rFonts w:hint="eastAsia"/>
                <w:vertAlign w:val="baseline"/>
                <w:lang w:val="en-US" w:eastAsia="zh-CN"/>
              </w:rPr>
            </w:pPr>
          </w:p>
        </w:tc>
        <w:tc>
          <w:tcPr>
            <w:tcW w:w="1884"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95"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88"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90"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97" w:type="dxa"/>
            <w:gridSpan w:val="2"/>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89"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2"/>
        </w:trPr>
        <w:tc>
          <w:tcPr>
            <w:tcW w:w="15557" w:type="dxa"/>
            <w:gridSpan w:val="9"/>
            <w:tcBorders>
              <w:left w:val="nil"/>
              <w:bottom w:val="nil"/>
              <w:right w:val="nil"/>
            </w:tcBorders>
          </w:tcPr>
          <w:p>
            <w:pPr>
              <w:pStyle w:val="Tablecaption|1"/>
              <w:bidi w:val="0"/>
              <w:jc w:val="both"/>
              <w:rPr>
                <w:rFonts w:hint="eastAsia"/>
                <w:vertAlign w:val="baseline"/>
                <w:lang w:val="en-US" w:eastAsia="zh-CN"/>
              </w:rPr>
            </w:pPr>
            <w:r>
              <w:rPr>
                <w:rFonts w:ascii="宋体" w:eastAsia="宋体" w:hAnsi="宋体" w:cs="宋体" w:hint="eastAsia"/>
                <w:sz w:val="16"/>
                <w:szCs w:val="16"/>
              </w:rPr>
              <w:t xml:space="preserve">注：本报表金额单位转换时可能存在四舍五入尾数误差</w:t>
            </w:r>
          </w:p>
        </w:tc>
      </w:tr>
    </w:tbl>
    <w:p>
      <w:pPr>
        <w:pStyle w:val="Tablecaption|1"/>
        <w:bidi w:val="0"/>
        <w:rPr>
          <w:rFonts w:hint="eastAsia"/>
          <w:lang w:val="en-US" w:eastAsia="zh-CN"/>
        </w:rPr>
      </w:pPr>
    </w:p>
    <w:p>
      <w:pPr>
        <w:pStyle w:val="Heading#2|1"/>
        <w:keepNext/>
        <w:keepLines/>
        <w:spacing w:after="240"/>
        <w:jc w:val="center"/>
      </w:pPr>
    </w:p>
    <w:p>
      <w:pPr>
        <w:pStyle w:val="Heading#2|1"/>
        <w:keepNext/>
        <w:keepLines/>
        <w:spacing w:after="240"/>
        <w:jc w:val="center"/>
      </w:pPr>
    </w:p>
    <w:p>
      <w:pPr>
        <w:pStyle w:val="Heading#2|1"/>
        <w:keepNext/>
        <w:keepLines/>
        <w:spacing w:after="240"/>
        <w:jc w:val="center"/>
      </w:pPr>
    </w:p>
    <w:p>
      <w:pPr>
        <w:pStyle w:val="Heading#2|1"/>
        <w:keepNext/>
        <w:keepLines/>
        <w:spacing w:after="240"/>
        <w:jc w:val="center"/>
      </w:pPr>
    </w:p>
    <w:p>
      <w:pPr>
        <w:pStyle w:val="Heading#2|1"/>
        <w:keepNext/>
        <w:keepLines/>
        <w:spacing w:after="240"/>
        <w:jc w:val="center"/>
      </w:pPr>
    </w:p>
    <w:p>
      <w:pPr>
        <w:pStyle w:val="Tablecaption|1"/>
        <w:bidi w:val="0"/>
      </w:pPr>
    </w:p>
    <w:p>
      <w:pPr>
        <w:pStyle w:val="Heading#2|1"/>
        <w:keepNext/>
        <w:keepLines/>
        <w:spacing w:after="240"/>
        <w:jc w:val="center"/>
      </w:pPr>
      <w:r>
        <w:t xml:space="preserve">政府性基金预算支出情况表</w:t>
      </w:r>
      <w:bookmarkEnd w:id="28"/>
      <w:bookmarkEnd w:id="29"/>
      <w:bookmarkEnd w:id="30"/>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527"/>
        <w:gridCol w:w="2161"/>
        <w:gridCol w:w="2162"/>
        <w:gridCol w:w="2222"/>
        <w:gridCol w:w="2161"/>
        <w:gridCol w:w="2161"/>
        <w:gridCol w:w="216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5"/>
        </w:trPr>
        <w:tc>
          <w:tcPr>
            <w:tcW w:w="13394" w:type="dxa"/>
            <w:gridSpan w:val="6"/>
            <w:tcBorders>
              <w:top w:val="nil"/>
              <w:left w:val="nil"/>
              <w:right w:val="nil"/>
            </w:tcBorders>
          </w:tcPr>
          <w:p>
            <w:pPr>
              <w:pStyle w:val="Tablecaption|1"/>
              <w:tabs>
                <w:tab w:val="left" w:pos="14213"/>
              </w:tabs>
              <w:ind w:left="101"/>
              <w:jc w:val="left"/>
            </w:pPr>
            <w:r>
              <w:t xml:space="preserve">单位名称：</w:t>
            </w:r>
            <w:r>
              <w:rPr>
                <w:rFonts w:hint="eastAsia"/>
                <w:lang w:eastAsia="zh-CN"/>
              </w:rPr>
              <w:t xml:space="preserve">环江毛南族自治县社会科学界联合会</w:t>
            </w:r>
            <w:r>
              <w:tab/>
            </w:r>
            <w:r>
              <w:t xml:space="preserve">单位：万元</w:t>
            </w:r>
          </w:p>
        </w:tc>
        <w:tc>
          <w:tcPr>
            <w:tcW w:w="2163" w:type="dxa"/>
            <w:tcBorders>
              <w:top w:val="nil"/>
              <w:left w:val="nil"/>
              <w:right w:val="nil"/>
            </w:tcBorders>
          </w:tcPr>
          <w:p>
            <w:pPr>
              <w:pStyle w:val="Tablecaption|1"/>
              <w:tabs>
                <w:tab w:val="left" w:pos="14213"/>
              </w:tabs>
              <w:ind w:left="101" w:firstLine="680" w:firstLineChars="400"/>
              <w:jc w:val="left"/>
            </w:pPr>
            <w:r>
              <w:rPr>
                <w:rFonts w:hint="eastAsia"/>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tcPr>
          <w:p>
            <w:pPr>
              <w:pStyle w:val="Tablecaption|1"/>
              <w:bidi w:val="0"/>
              <w:jc w:val="center"/>
              <w:rPr>
                <w:vertAlign w:val="baseline"/>
              </w:rPr>
            </w:pPr>
            <w:r>
              <w:rPr>
                <w:sz w:val="17"/>
                <w:szCs w:val="17"/>
              </w:rPr>
              <w:t xml:space="preserve">科目编码</w:t>
            </w:r>
          </w:p>
        </w:tc>
        <w:tc>
          <w:tcPr>
            <w:tcW w:w="2161" w:type="dxa"/>
          </w:tcPr>
          <w:p>
            <w:pPr>
              <w:pStyle w:val="Tablecaption|1"/>
              <w:bidi w:val="0"/>
              <w:jc w:val="center"/>
              <w:rPr>
                <w:vertAlign w:val="baseline"/>
              </w:rPr>
            </w:pPr>
            <w:r>
              <w:rPr>
                <w:sz w:val="17"/>
                <w:szCs w:val="17"/>
              </w:rPr>
              <w:t xml:space="preserve">部门（单位）代码</w:t>
            </w:r>
          </w:p>
        </w:tc>
        <w:tc>
          <w:tcPr>
            <w:tcW w:w="2162" w:type="dxa"/>
          </w:tcPr>
          <w:p>
            <w:pPr>
              <w:pStyle w:val="Tablecaption|1"/>
              <w:bidi w:val="0"/>
              <w:jc w:val="center"/>
              <w:rPr>
                <w:vertAlign w:val="baseline"/>
              </w:rPr>
            </w:pPr>
            <w:r>
              <w:rPr>
                <w:sz w:val="17"/>
                <w:szCs w:val="17"/>
              </w:rPr>
              <w:t xml:space="preserve">部门（单位）名称（功能分类科目名称）</w:t>
            </w:r>
          </w:p>
        </w:tc>
        <w:tc>
          <w:tcPr>
            <w:tcW w:w="2222" w:type="dxa"/>
            <w:vAlign w:val="center"/>
          </w:tcPr>
          <w:p>
            <w:pPr>
              <w:pStyle w:val="Other|1"/>
              <w:spacing w:line="240" w:lineRule="auto"/>
              <w:ind w:firstLine="0" w:firstLineChars="0"/>
              <w:jc w:val="center"/>
              <w:rPr>
                <w:vertAlign w:val="baseline"/>
              </w:rPr>
            </w:pPr>
            <w:r>
              <w:rPr>
                <w:sz w:val="17"/>
                <w:szCs w:val="17"/>
              </w:rPr>
              <w:t xml:space="preserve">合计</w:t>
            </w:r>
          </w:p>
        </w:tc>
        <w:tc>
          <w:tcPr>
            <w:tcW w:w="2161" w:type="dxa"/>
            <w:vAlign w:val="center"/>
          </w:tcPr>
          <w:p>
            <w:pPr>
              <w:pStyle w:val="Other|1"/>
              <w:spacing w:line="240" w:lineRule="auto"/>
              <w:ind w:firstLine="0" w:firstLineChars="0"/>
              <w:jc w:val="center"/>
              <w:rPr>
                <w:vertAlign w:val="baseline"/>
              </w:rPr>
            </w:pPr>
            <w:r>
              <w:rPr>
                <w:sz w:val="17"/>
                <w:szCs w:val="17"/>
              </w:rPr>
              <w:t xml:space="preserve">基本支出</w:t>
            </w:r>
          </w:p>
        </w:tc>
        <w:tc>
          <w:tcPr>
            <w:tcW w:w="2161" w:type="dxa"/>
            <w:vAlign w:val="center"/>
          </w:tcPr>
          <w:p>
            <w:pPr>
              <w:pStyle w:val="Other|1"/>
              <w:spacing w:line="240" w:lineRule="auto"/>
              <w:ind w:firstLine="0" w:firstLineChars="0"/>
              <w:jc w:val="center"/>
              <w:rPr>
                <w:vertAlign w:val="baseline"/>
              </w:rPr>
            </w:pPr>
            <w:r>
              <w:rPr>
                <w:sz w:val="17"/>
                <w:szCs w:val="17"/>
              </w:rPr>
              <w:t xml:space="preserve">项目支出</w:t>
            </w:r>
          </w:p>
        </w:tc>
        <w:tc>
          <w:tcPr>
            <w:tcW w:w="2163" w:type="dxa"/>
            <w:vAlign w:val="center"/>
          </w:tcPr>
          <w:p>
            <w:pPr>
              <w:pStyle w:val="Other|1"/>
              <w:spacing w:line="240" w:lineRule="auto"/>
              <w:ind w:firstLine="0" w:firstLineChars="0"/>
              <w:jc w:val="center"/>
              <w:rPr>
                <w:vertAlign w:val="baseline"/>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5557" w:type="dxa"/>
            <w:gridSpan w:val="7"/>
            <w:tcBorders>
              <w:left w:val="nil"/>
              <w:bottom w:val="nil"/>
              <w:right w:val="nil"/>
            </w:tcBorders>
          </w:tcPr>
          <w:p>
            <w:pPr>
              <w:pStyle w:val="Tablecaption|1"/>
              <w:bidi w:val="0"/>
              <w:jc w:val="both"/>
              <w:rPr>
                <w:vertAlign w:val="baseline"/>
              </w:rPr>
            </w:pPr>
            <w:r>
              <w:t xml:space="preserve">注：本报表金额单位转换时可能存在四舍五入尾数误差</w:t>
            </w:r>
          </w:p>
        </w:tc>
      </w:tr>
    </w:tbl>
    <w:p>
      <w:pPr>
        <w:pStyle w:val="Tablecaption|1"/>
        <w:bidi w:val="0"/>
      </w:pPr>
    </w:p>
    <w:p>
      <w:pPr>
        <w:pStyle w:val="Tablecaption|1"/>
        <w:bidi w:val="0"/>
      </w:pPr>
      <w:bookmarkStart w:id="31" w:name="_GoBack"/>
      <w:bookmarkEnd w:id="31"/>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jc w:val="center"/>
        <w:rPr>
          <w:sz w:val="28"/>
          <w:szCs w:val="28"/>
        </w:rPr>
      </w:pPr>
      <w:r>
        <w:rPr>
          <w:sz w:val="28"/>
          <w:szCs w:val="28"/>
        </w:rPr>
        <w:t xml:space="preserve">国有资本经营预算支出情况表</w:t>
      </w:r>
    </w:p>
    <w:p>
      <w:pPr>
        <w:pStyle w:val="Tablecaption|1"/>
        <w:bidi w:val="0"/>
        <w:jc w:val="center"/>
        <w:rPr>
          <w:sz w:val="28"/>
          <w:szCs w:val="28"/>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527"/>
        <w:gridCol w:w="2161"/>
        <w:gridCol w:w="2162"/>
        <w:gridCol w:w="2222"/>
        <w:gridCol w:w="2161"/>
        <w:gridCol w:w="2161"/>
        <w:gridCol w:w="216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3394" w:type="dxa"/>
            <w:gridSpan w:val="6"/>
            <w:tcBorders>
              <w:top w:val="nil"/>
              <w:left w:val="nil"/>
              <w:right w:val="nil"/>
            </w:tcBorders>
          </w:tcPr>
          <w:p>
            <w:pPr>
              <w:pStyle w:val="Tablecaption|1"/>
              <w:tabs>
                <w:tab w:val="left" w:pos="14213"/>
              </w:tabs>
              <w:ind w:left="101"/>
              <w:jc w:val="left"/>
            </w:pPr>
            <w:r>
              <w:t xml:space="preserve">单位名称：</w:t>
            </w:r>
            <w:r>
              <w:rPr>
                <w:rFonts w:hint="eastAsia"/>
                <w:lang w:eastAsia="zh-CN"/>
              </w:rPr>
              <w:t xml:space="preserve">环江毛南族自治县社会科学界联合会</w:t>
            </w:r>
            <w:r>
              <w:tab/>
            </w:r>
            <w:r>
              <w:t xml:space="preserve">单位：万元</w:t>
            </w:r>
          </w:p>
        </w:tc>
        <w:tc>
          <w:tcPr>
            <w:tcW w:w="2163" w:type="dxa"/>
            <w:tcBorders>
              <w:top w:val="nil"/>
              <w:left w:val="nil"/>
              <w:right w:val="nil"/>
            </w:tcBorders>
          </w:tcPr>
          <w:p>
            <w:pPr>
              <w:pStyle w:val="Tablecaption|1"/>
              <w:tabs>
                <w:tab w:val="left" w:pos="14213"/>
              </w:tabs>
              <w:ind w:left="101"/>
              <w:jc w:val="left"/>
            </w:pPr>
            <w:r>
              <w:rPr>
                <w:rFonts w:ascii="宋体" w:eastAsia="宋体" w:hAnsi="宋体" w:cs="宋体" w:hint="eastAsia"/>
                <w:sz w:val="17"/>
                <w:szCs w:val="17"/>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vMerge w:val="restart"/>
          </w:tcPr>
          <w:p>
            <w:pPr>
              <w:pStyle w:val="Tablecaption|1"/>
              <w:bidi w:val="0"/>
              <w:jc w:val="center"/>
              <w:rPr>
                <w:vertAlign w:val="baseline"/>
              </w:rPr>
            </w:pPr>
            <w:r>
              <w:rPr>
                <w:sz w:val="17"/>
                <w:szCs w:val="17"/>
              </w:rPr>
              <w:t xml:space="preserve">科目编码</w:t>
            </w:r>
          </w:p>
        </w:tc>
        <w:tc>
          <w:tcPr>
            <w:tcW w:w="2161" w:type="dxa"/>
            <w:vMerge w:val="restart"/>
          </w:tcPr>
          <w:p>
            <w:pPr>
              <w:pStyle w:val="Tablecaption|1"/>
              <w:bidi w:val="0"/>
              <w:jc w:val="center"/>
              <w:rPr>
                <w:vertAlign w:val="baseline"/>
              </w:rPr>
            </w:pPr>
            <w:r>
              <w:rPr>
                <w:sz w:val="17"/>
                <w:szCs w:val="17"/>
              </w:rPr>
              <w:t xml:space="preserve">部门（单位）代码</w:t>
            </w:r>
          </w:p>
        </w:tc>
        <w:tc>
          <w:tcPr>
            <w:tcW w:w="2162" w:type="dxa"/>
            <w:vMerge w:val="restart"/>
          </w:tcPr>
          <w:p>
            <w:pPr>
              <w:pStyle w:val="Tablecaption|1"/>
              <w:bidi w:val="0"/>
              <w:jc w:val="center"/>
              <w:rPr>
                <w:vertAlign w:val="baseline"/>
              </w:rPr>
            </w:pPr>
            <w:r>
              <w:rPr>
                <w:sz w:val="17"/>
                <w:szCs w:val="17"/>
              </w:rPr>
              <w:t xml:space="preserve">部门（单位）名称（功能分类科目名称）</w:t>
            </w:r>
          </w:p>
        </w:tc>
        <w:tc>
          <w:tcPr>
            <w:tcW w:w="2222" w:type="dxa"/>
            <w:vAlign w:val="center"/>
          </w:tcPr>
          <w:p>
            <w:pPr>
              <w:pStyle w:val="Other|1"/>
              <w:spacing w:line="240" w:lineRule="auto"/>
              <w:ind w:firstLine="0" w:firstLineChars="0"/>
              <w:jc w:val="center"/>
              <w:rPr>
                <w:vertAlign w:val="baseline"/>
              </w:rPr>
            </w:pPr>
            <w:r>
              <w:rPr>
                <w:sz w:val="17"/>
                <w:szCs w:val="17"/>
              </w:rPr>
              <w:t xml:space="preserve">合计</w:t>
            </w:r>
          </w:p>
        </w:tc>
        <w:tc>
          <w:tcPr>
            <w:tcW w:w="2161" w:type="dxa"/>
            <w:vAlign w:val="center"/>
          </w:tcPr>
          <w:p>
            <w:pPr>
              <w:pStyle w:val="Other|1"/>
              <w:spacing w:line="240" w:lineRule="auto"/>
              <w:ind w:firstLine="0" w:firstLineChars="0"/>
              <w:jc w:val="center"/>
              <w:rPr>
                <w:vertAlign w:val="baseline"/>
              </w:rPr>
            </w:pPr>
            <w:r>
              <w:rPr>
                <w:sz w:val="17"/>
                <w:szCs w:val="17"/>
              </w:rPr>
              <w:t xml:space="preserve">基本支出</w:t>
            </w:r>
          </w:p>
        </w:tc>
        <w:tc>
          <w:tcPr>
            <w:tcW w:w="2161" w:type="dxa"/>
            <w:vAlign w:val="center"/>
          </w:tcPr>
          <w:p>
            <w:pPr>
              <w:pStyle w:val="Other|1"/>
              <w:spacing w:line="240" w:lineRule="auto"/>
              <w:ind w:firstLine="0" w:firstLineChars="0"/>
              <w:jc w:val="center"/>
              <w:rPr>
                <w:vertAlign w:val="baseline"/>
              </w:rPr>
            </w:pPr>
            <w:r>
              <w:rPr>
                <w:sz w:val="17"/>
                <w:szCs w:val="17"/>
              </w:rPr>
              <w:t xml:space="preserve">项目支出</w:t>
            </w:r>
          </w:p>
        </w:tc>
        <w:tc>
          <w:tcPr>
            <w:tcW w:w="2163" w:type="dxa"/>
            <w:vAlign w:val="center"/>
          </w:tcPr>
          <w:p>
            <w:pPr>
              <w:pStyle w:val="Other|1"/>
              <w:spacing w:line="240" w:lineRule="auto"/>
              <w:ind w:firstLine="0" w:firstLineChars="0"/>
              <w:jc w:val="center"/>
              <w:rPr>
                <w:vertAlign w:val="baseline"/>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vMerge/>
          </w:tcPr>
          <w:p>
            <w:pPr>
              <w:pStyle w:val="Tablecaption|1"/>
              <w:bidi w:val="0"/>
              <w:jc w:val="both"/>
              <w:rPr>
                <w:vertAlign w:val="baseline"/>
              </w:rPr>
            </w:pPr>
          </w:p>
        </w:tc>
        <w:tc>
          <w:tcPr>
            <w:tcW w:w="2161" w:type="dxa"/>
            <w:vMerge/>
          </w:tcPr>
          <w:p>
            <w:pPr>
              <w:pStyle w:val="Tablecaption|1"/>
              <w:bidi w:val="0"/>
              <w:jc w:val="both"/>
              <w:rPr>
                <w:vertAlign w:val="baseline"/>
              </w:rPr>
            </w:pPr>
          </w:p>
        </w:tc>
        <w:tc>
          <w:tcPr>
            <w:tcW w:w="2162" w:type="dxa"/>
            <w:vMerge/>
          </w:tcPr>
          <w:p>
            <w:pPr>
              <w:pStyle w:val="Tablecaption|1"/>
              <w:bidi w:val="0"/>
              <w:jc w:val="both"/>
              <w:rPr>
                <w:vertAlign w:val="baseline"/>
              </w:rPr>
            </w:pPr>
          </w:p>
        </w:tc>
        <w:tc>
          <w:tcPr>
            <w:tcW w:w="2222"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1</w:t>
            </w:r>
          </w:p>
        </w:tc>
        <w:tc>
          <w:tcPr>
            <w:tcW w:w="2161"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2</w:t>
            </w:r>
          </w:p>
        </w:tc>
        <w:tc>
          <w:tcPr>
            <w:tcW w:w="2161"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3</w:t>
            </w:r>
          </w:p>
        </w:tc>
        <w:tc>
          <w:tcPr>
            <w:tcW w:w="2163"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4</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tcPr>
          <w:p>
            <w:pPr>
              <w:jc w:val="left"/>
              <w:rPr>
                <w:vertAlign w:val="baseline"/>
              </w:rPr>
            </w:pPr>
          </w:p>
        </w:tc>
        <w:tc>
          <w:tcPr>
            <w:tcW w:w="2161" w:type="dxa"/>
          </w:tcPr>
          <w:p>
            <w:pPr>
              <w:jc w:val="left"/>
              <w:rPr>
                <w:vertAlign w:val="baseline"/>
              </w:rPr>
            </w:pPr>
          </w:p>
        </w:tc>
        <w:tc>
          <w:tcPr>
            <w:tcW w:w="2162" w:type="dxa"/>
            <w:vAlign w:val="center"/>
          </w:tcPr>
          <w:p>
            <w:pPr>
              <w:pStyle w:val="Other|1"/>
              <w:spacing w:line="240" w:lineRule="auto"/>
              <w:ind w:firstLine="0" w:firstLineChars="0"/>
              <w:jc w:val="left"/>
              <w:rPr>
                <w:vertAlign w:val="baseline"/>
              </w:rPr>
            </w:pPr>
            <w:r>
              <w:rPr>
                <w:sz w:val="17"/>
                <w:szCs w:val="17"/>
              </w:rPr>
              <w:t xml:space="preserve">合计</w:t>
            </w:r>
          </w:p>
        </w:tc>
        <w:tc>
          <w:tcPr>
            <w:tcW w:w="2222" w:type="dxa"/>
            <w:vAlign w:val="center"/>
          </w:tcPr>
          <w:p>
            <w:pPr>
              <w:pStyle w:val="Other|1"/>
              <w:spacing w:line="240" w:lineRule="auto"/>
              <w:ind w:left="1700" w:firstLine="0" w:leftChars="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2161" w:type="dxa"/>
            <w:vAlign w:val="center"/>
          </w:tcPr>
          <w:p>
            <w:pPr>
              <w:pStyle w:val="Other|1"/>
              <w:spacing w:line="240" w:lineRule="auto"/>
              <w:ind w:firstLine="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2161" w:type="dxa"/>
            <w:vAlign w:val="center"/>
          </w:tcPr>
          <w:p>
            <w:pPr>
              <w:pStyle w:val="Other|1"/>
              <w:spacing w:line="240" w:lineRule="auto"/>
              <w:ind w:firstLine="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2163" w:type="dxa"/>
            <w:vAlign w:val="center"/>
          </w:tcPr>
          <w:p>
            <w:pPr>
              <w:pStyle w:val="Other|1"/>
              <w:spacing w:line="240" w:lineRule="auto"/>
              <w:ind w:firstLine="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5557" w:type="dxa"/>
            <w:gridSpan w:val="7"/>
            <w:tcBorders>
              <w:left w:val="nil"/>
              <w:bottom w:val="nil"/>
              <w:right w:val="nil"/>
            </w:tcBorders>
          </w:tcPr>
          <w:p>
            <w:pPr>
              <w:pStyle w:val="Tablecaption|1"/>
              <w:spacing w:line="302" w:lineRule="exact"/>
              <w:ind w:left="672"/>
              <w:jc w:val="left"/>
            </w:pPr>
            <w:r>
              <w:t xml:space="preserve">注：本报表金额单位转换时可能存在四舍五入尾数误差。本部门</w:t>
            </w:r>
            <w:r>
              <w:rPr>
                <w:rFonts w:ascii="Times New Roman" w:hAnsi="Times New Roman" w:cs="Times New Roman" w:hint="eastAsia"/>
                <w:b/>
                <w:bCs/>
                <w:lang w:eastAsia="zh-CN"/>
              </w:rPr>
              <w:t xml:space="preserve">2024</w:t>
            </w:r>
            <w:r>
              <w:rPr>
                <w:rFonts w:ascii="Times New Roman" w:hAnsi="Times New Roman" w:cs="Times New Roman"/>
                <w:b/>
                <w:u w:color="auto"/>
              </w:rPr>
              <w:t xml:space="preserve">年</w:t>
            </w:r>
            <w:r>
              <w:t xml:space="preserve">度没有国有资本经营预算支出，故本表无数据</w:t>
            </w:r>
          </w:p>
          <w:p>
            <w:pPr>
              <w:pStyle w:val="Tablecaption|1"/>
              <w:bidi w:val="0"/>
              <w:jc w:val="both"/>
              <w:rPr>
                <w:vertAlign w:val="baseline"/>
              </w:rPr>
            </w:pPr>
          </w:p>
        </w:tc>
      </w:tr>
    </w:tbl>
    <w:p>
      <w:pPr>
        <w:pStyle w:val="Tablecaption|1"/>
        <w:bidi w:val="0"/>
      </w:pPr>
    </w:p>
    <w:p>
      <w:pPr/>
      <w:r>
        <w:br w:type="page"/>
      </w:r>
    </w:p>
    <w:p>
      <w:pPr>
        <w:pStyle w:val="Heading#2|1"/>
        <w:keepNext/>
        <w:keepLines/>
        <w:spacing w:after="240"/>
        <w:jc w:val="center"/>
        <w:rPr>
          <w:rFonts w:eastAsia="宋体" w:hint="default"/>
          <w:lang w:val="en-US" w:eastAsia="zh-CN"/>
        </w:rPr>
      </w:pPr>
      <w:r>
        <w:rPr>
          <w:rFonts w:hint="eastAsia"/>
          <w:lang w:val="en-US" w:eastAsia="zh-CN"/>
        </w:rPr>
        <w:t xml:space="preserve">2024年度预算项目绩效目标公开表</w:t>
      </w:r>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1843"/>
        <w:gridCol w:w="2559"/>
        <w:gridCol w:w="3350"/>
        <w:gridCol w:w="1511"/>
        <w:gridCol w:w="6076"/>
      </w:tblGrid>
      <w:tr>
        <w:tblPrEx>
          <w:tblW w:w="0" w:type="auto"/>
          <w:tblInd w:w="0" w:type="dxa"/>
          <w:tblLayout w:type="fixed"/>
          <w:tblCellMar>
            <w:top w:w="0" w:type="dxa"/>
            <w:left w:w="10" w:type="dxa"/>
            <w:bottom w:w="0" w:type="dxa"/>
            <w:right w:w="10" w:type="dxa"/>
          </w:tblCellMar>
        </w:tblPrEx>
        <w:trPr>
          <w:trHeight w:hRule="exact" w:val="346"/>
        </w:trPr>
        <w:tc>
          <w:tcPr>
            <w:tcW w:w="9263" w:type="dxa"/>
            <w:gridSpan w:val="4"/>
            <w:shd w:val="clear" w:color="auto" w:fill="FFFFFF"/>
          </w:tcPr>
          <w:p>
            <w:pPr>
              <w:pStyle w:val="Other|1"/>
              <w:spacing w:line="240" w:lineRule="auto"/>
              <w:ind w:firstLine="0"/>
              <w:jc w:val="left"/>
              <w:rPr>
                <w:rFonts w:ascii="宋体" w:eastAsia="宋体" w:hAnsi="宋体" w:cs="宋体" w:hint="default"/>
                <w:sz w:val="17"/>
                <w:szCs w:val="17"/>
                <w:lang w:val="en-US"/>
              </w:rPr>
            </w:pPr>
            <w:r>
              <w:rPr>
                <w:rFonts w:ascii="宋体" w:eastAsia="宋体" w:hAnsi="宋体" w:cs="宋体" w:hint="eastAsia"/>
                <w:sz w:val="17"/>
                <w:szCs w:val="17"/>
              </w:rPr>
              <w:t xml:space="preserve">单位名称：</w:t>
            </w:r>
            <w:r>
              <w:rPr>
                <w:rFonts w:ascii="宋体" w:eastAsia="宋体" w:hAnsi="宋体" w:cs="宋体" w:hint="eastAsia"/>
                <w:sz w:val="17"/>
                <w:szCs w:val="17"/>
                <w:lang w:eastAsia="zh-CN"/>
              </w:rPr>
              <w:t xml:space="preserve">环江毛南族自治县社会科学界联合会</w:t>
            </w:r>
          </w:p>
        </w:tc>
        <w:tc>
          <w:tcPr>
            <w:tcW w:w="6076" w:type="dxa"/>
            <w:shd w:val="clear" w:color="auto" w:fill="FFFFFF"/>
          </w:tcPr>
          <w:p>
            <w:pPr>
              <w:pStyle w:val="Other|1"/>
              <w:spacing w:line="240" w:lineRule="auto"/>
              <w:ind w:firstLine="4760" w:firstLineChars="2800"/>
              <w:jc w:val="left"/>
              <w:rPr>
                <w:rFonts w:ascii="宋体" w:eastAsia="宋体" w:hAnsi="宋体" w:cs="宋体" w:hint="eastAsia"/>
                <w:sz w:val="17"/>
                <w:szCs w:val="17"/>
              </w:rPr>
            </w:pPr>
            <w:r>
              <w:rPr>
                <w:rFonts w:ascii="宋体" w:eastAsia="宋体" w:hAnsi="宋体" w:cs="宋体" w:hint="eastAsia"/>
                <w:sz w:val="17"/>
                <w:szCs w:val="17"/>
              </w:rPr>
              <w:t xml:space="preserve">单位：万元</w:t>
            </w:r>
          </w:p>
        </w:tc>
      </w:tr>
      <w:tr>
        <w:tblPrEx>
          <w:tblW w:w="0" w:type="auto"/>
          <w:tblInd w:w="0" w:type="dxa"/>
          <w:tblLayout w:type="fixed"/>
          <w:tblCellMar>
            <w:top w:w="0" w:type="dxa"/>
            <w:left w:w="10" w:type="dxa"/>
            <w:bottom w:w="0" w:type="dxa"/>
            <w:right w:w="10" w:type="dxa"/>
          </w:tblCellMar>
        </w:tblPrEx>
        <w:trPr>
          <w:trHeight w:hRule="exact" w:val="854"/>
        </w:trPr>
        <w:tc>
          <w:tcPr>
            <w:tcW w:w="1843"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sz w:val="17"/>
                <w:u w:color="auto"/>
              </w:rPr>
              <w:t xml:space="preserve">单位代码</w:t>
            </w:r>
          </w:p>
        </w:tc>
        <w:tc>
          <w:tcPr>
            <w:tcW w:w="2559"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4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单位名称</w:t>
            </w:r>
          </w:p>
        </w:tc>
        <w:tc>
          <w:tcPr>
            <w:tcW w:w="335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项目名称</w:t>
            </w:r>
          </w:p>
        </w:tc>
        <w:tc>
          <w:tcPr>
            <w:tcW w:w="1511"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预算金额</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年度绩效目标</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212001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环江毛南族自治县社会科学界联合会</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《环江社会科学》</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3.60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完成一期《环江社会科学杂志》内刊</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212001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环江毛南族自治县社会科学界联合会</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社科联工作经费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2.60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2024年社科联工作经费</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212001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环江毛南族自治县社会科学界联合会</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社会科学普及工作经费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日常社会科学普及工作经费</w:t>
            </w:r>
          </w:p>
        </w:tc>
      </w:tr>
    </w:tbl>
    <w:p>
      <w:pPr>
        <w:jc w:val="left"/>
        <w:rPr>
          <w:rFonts w:hint="eastAsia"/>
        </w:rPr>
      </w:pPr>
      <w:r>
        <w:t xml:space="preserve">注：本报表金额单位转换时可能存在四舍五入尾数误差。</w:t>
      </w:r>
    </w:p>
    <w:p>
      <w:pPr>
        <w:jc w:val="left"/>
        <w:rPr>
          <w:rFonts w:hint="eastAsia"/>
          <w:lang w:eastAsia="zh-CN"/>
        </w:rPr>
        <w:sectPr>
          <w:headerReference w:type="default" r:id="rId18"/>
          <w:footerReference w:type="default" r:id="rId19"/>
          <w:pgSz w:w="16840" w:h="11900" w:orient="landscape"/>
          <w:pgMar w:top="2714" w:right="764" w:bottom="2714" w:left="735" w:header="2286" w:footer="3" w:gutter="0"/>
          <w:pgBorders>
            <w:top w:val="none" w:sz="0" w:space="0" w:color="auto"/>
            <w:left w:val="none" w:sz="0" w:space="0" w:color="auto"/>
            <w:bottom w:val="none" w:sz="0" w:space="0" w:color="auto"/>
            <w:right w:val="none" w:sz="0" w:space="0" w:color="auto"/>
          </w:pgBorders>
          <w:cols w:num="1" w:space="720">
            <w:col w:w="15341" w:space="720"/>
          </w:cols>
          <w:docGrid w:linePitch="360" w:charSpace="0"/>
        </w:sectPr>
      </w:pPr>
    </w:p>
    <w:p>
      <w:pPr>
        <w:pStyle w:val="Heading#1|1"/>
        <w:keepNext/>
        <w:keepLines/>
        <w:spacing w:before="200" w:after="0"/>
        <w:jc w:val="center"/>
      </w:pPr>
      <w:bookmarkStart w:id="32" w:name="bookmark95"/>
      <w:bookmarkStart w:id="33" w:name="bookmark96"/>
      <w:bookmarkStart w:id="34" w:name="bookmark94"/>
      <w:r>
        <w:t xml:space="preserve">第四部分名词解释</w:t>
      </w:r>
      <w:bookmarkEnd w:id="32"/>
      <w:bookmarkEnd w:id="33"/>
      <w:bookmarkEnd w:id="34"/>
    </w:p>
    <w:p>
      <w:pPr>
        <w:pStyle w:val="Bodytext|1"/>
        <w:tabs>
          <w:tab w:val="left" w:pos="1270"/>
        </w:tabs>
        <w:spacing w:line="626" w:lineRule="exact"/>
        <w:ind w:firstLine="640"/>
        <w:jc w:val="left"/>
      </w:pPr>
      <w:bookmarkStart w:id="35" w:name="bookmark97"/>
      <w:r>
        <w:t xml:space="preserve">一</w:t>
      </w:r>
      <w:bookmarkEnd w:id="35"/>
      <w:r>
        <w:t xml:space="preserve">、</w:t>
      </w:r>
      <w:r>
        <w:tab/>
      </w:r>
      <w:r>
        <w:t xml:space="preserve">财政拨款收入：指预算单位从本级财政部门取得的财政预算资金收入。</w:t>
      </w:r>
    </w:p>
    <w:p>
      <w:pPr>
        <w:pStyle w:val="Bodytext|1"/>
        <w:tabs>
          <w:tab w:val="left" w:pos="1280"/>
        </w:tabs>
        <w:spacing w:line="626" w:lineRule="exact"/>
        <w:ind w:firstLine="640"/>
        <w:jc w:val="left"/>
      </w:pPr>
      <w:bookmarkStart w:id="36" w:name="bookmark98"/>
      <w:r>
        <w:t xml:space="preserve">二</w:t>
      </w:r>
      <w:bookmarkEnd w:id="36"/>
      <w:r>
        <w:t xml:space="preserve">、</w:t>
      </w:r>
      <w:r>
        <w:tab/>
      </w:r>
      <w:r>
        <w:t xml:space="preserve">事业收入：指事业单位开展专业业务活动及辅助活动所取得的收入。</w:t>
      </w:r>
    </w:p>
    <w:p>
      <w:pPr>
        <w:pStyle w:val="Bodytext|1"/>
        <w:tabs>
          <w:tab w:val="left" w:pos="1275"/>
        </w:tabs>
        <w:spacing w:line="626" w:lineRule="exact"/>
        <w:ind w:firstLine="640"/>
        <w:jc w:val="left"/>
      </w:pPr>
      <w:bookmarkStart w:id="37" w:name="bookmark99"/>
      <w:r>
        <w:t xml:space="preserve">三</w:t>
      </w:r>
      <w:bookmarkEnd w:id="37"/>
      <w:r>
        <w:t xml:space="preserve">、</w:t>
      </w:r>
      <w:r>
        <w:tab/>
      </w:r>
      <w:r>
        <w:t xml:space="preserve">经营收入：指事业单位在专业业务活动及其辅助活动之外开展非独立核算经营活动取得的收入。</w:t>
      </w:r>
    </w:p>
    <w:p>
      <w:pPr>
        <w:pStyle w:val="Bodytext|1"/>
        <w:tabs>
          <w:tab w:val="left" w:pos="1309"/>
        </w:tabs>
        <w:spacing w:line="626" w:lineRule="exact"/>
        <w:ind w:firstLine="640"/>
        <w:jc w:val="left"/>
      </w:pPr>
      <w:bookmarkStart w:id="38" w:name="bookmark100"/>
      <w:r>
        <w:t xml:space="preserve">四</w:t>
      </w:r>
      <w:bookmarkEnd w:id="38"/>
      <w:r>
        <w:t xml:space="preserve">、</w:t>
      </w:r>
      <w:r>
        <w:tab/>
      </w:r>
      <w:r>
        <w:t xml:space="preserve">其他收入：指除上述</w:t>
      </w:r>
      <w:r>
        <w:rPr>
          <w:lang w:val="zh-CN" w:eastAsia="zh-CN" w:bidi="zh-CN"/>
        </w:rPr>
        <w:t xml:space="preserve">“财</w:t>
      </w:r>
      <w:r>
        <w:t xml:space="preserve">政拨款收入”、</w:t>
      </w:r>
      <w:r>
        <w:rPr>
          <w:lang w:val="zh-CN" w:eastAsia="zh-CN" w:bidi="zh-CN"/>
        </w:rPr>
        <w:t xml:space="preserve">“事</w:t>
      </w:r>
      <w:r>
        <w:t xml:space="preserve">业收入"、</w:t>
      </w:r>
      <w:r>
        <w:rPr>
          <w:lang w:val="zh-CN" w:eastAsia="zh-CN" w:bidi="zh-CN"/>
        </w:rPr>
        <w:t xml:space="preserve">“经营</w:t>
      </w:r>
      <w:r>
        <w:t xml:space="preserve">收入"等以外的收入。主要是非本级财政拨款、存款利息收入、事业单位固定资产出租收入等。</w:t>
      </w:r>
    </w:p>
    <w:p>
      <w:pPr>
        <w:pStyle w:val="Bodytext|1"/>
        <w:tabs>
          <w:tab w:val="left" w:pos="1275"/>
        </w:tabs>
        <w:spacing w:line="626" w:lineRule="exact"/>
        <w:ind w:firstLine="640"/>
        <w:jc w:val="left"/>
      </w:pPr>
      <w:bookmarkStart w:id="39" w:name="bookmark101"/>
      <w:r>
        <w:t xml:space="preserve">五</w:t>
      </w:r>
      <w:bookmarkEnd w:id="39"/>
      <w:r>
        <w:t xml:space="preserve">、</w:t>
      </w:r>
      <w:r>
        <w:tab/>
      </w:r>
      <w:r>
        <w:t xml:space="preserve">用事业基金弥补收支差额：指事业单位在用当年的</w:t>
      </w:r>
      <w:r>
        <w:rPr>
          <w:lang w:val="zh-CN" w:eastAsia="zh-CN" w:bidi="zh-CN"/>
        </w:rPr>
        <w:t xml:space="preserve">“财</w:t>
      </w:r>
      <w:r>
        <w:t xml:space="preserve">政拨款收入"、</w:t>
      </w:r>
      <w:r>
        <w:rPr>
          <w:lang w:val="zh-CN" w:eastAsia="zh-CN" w:bidi="zh-CN"/>
        </w:rPr>
        <w:t xml:space="preserve">“事业</w:t>
      </w:r>
      <w:r>
        <w:t xml:space="preserve">收入"、</w:t>
      </w:r>
      <w:r>
        <w:rPr>
          <w:lang w:val="zh-CN" w:eastAsia="zh-CN" w:bidi="zh-CN"/>
        </w:rPr>
        <w:t xml:space="preserve">“经营</w:t>
      </w:r>
      <w:r>
        <w:t xml:space="preserve">收入"、</w:t>
      </w:r>
      <w:r>
        <w:rPr>
          <w:lang w:val="zh-CN" w:eastAsia="zh-CN" w:bidi="zh-CN"/>
        </w:rPr>
        <w:t xml:space="preserve">“其他</w:t>
      </w:r>
      <w:r>
        <w:t xml:space="preserve">收入"不足以安排当年支出的情况下，使用以前年度积累的事业基金（事业单位当年收支相抵后按国家规定提取、用于弥补以后年度收支差额的基金）弥补本年度收支缺口的资金。</w:t>
      </w:r>
    </w:p>
    <w:p>
      <w:pPr>
        <w:pStyle w:val="Bodytext|1"/>
        <w:tabs>
          <w:tab w:val="left" w:pos="1270"/>
        </w:tabs>
        <w:spacing w:line="626" w:lineRule="exact"/>
        <w:ind w:firstLine="640"/>
        <w:jc w:val="left"/>
      </w:pPr>
      <w:bookmarkStart w:id="40" w:name="bookmark102"/>
      <w:r>
        <w:t xml:space="preserve">六</w:t>
      </w:r>
      <w:bookmarkEnd w:id="40"/>
      <w:r>
        <w:t xml:space="preserve">、</w:t>
      </w:r>
      <w:r>
        <w:tab/>
      </w:r>
      <w:r>
        <w:t xml:space="preserve">年初结转和结余：指以前年度尚未完成、结转到本年按有关规定继续使用的资金。</w:t>
      </w:r>
    </w:p>
    <w:p>
      <w:pPr>
        <w:pStyle w:val="Bodytext|1"/>
        <w:tabs>
          <w:tab w:val="left" w:pos="1275"/>
        </w:tabs>
        <w:spacing w:line="626" w:lineRule="exact"/>
        <w:ind w:firstLine="640"/>
        <w:jc w:val="left"/>
      </w:pPr>
      <w:bookmarkStart w:id="41" w:name="bookmark103"/>
      <w:r>
        <w:t xml:space="preserve">七</w:t>
      </w:r>
      <w:bookmarkEnd w:id="41"/>
      <w:r>
        <w:t xml:space="preserve">、</w:t>
      </w:r>
      <w:r>
        <w:tab/>
      </w:r>
      <w:r>
        <w:t xml:space="preserve">结余分配：指事业单位按规定提取的职工福利基金、事业基金和缴纳的所得税，以及建设单位按规定应交回的基本建设竣工项目结余资金。</w:t>
      </w:r>
    </w:p>
    <w:p>
      <w:pPr>
        <w:pStyle w:val="Bodytext|1"/>
        <w:tabs>
          <w:tab w:val="left" w:pos="632"/>
        </w:tabs>
        <w:spacing w:line="626" w:lineRule="exact"/>
        <w:ind w:firstLine="640"/>
        <w:jc w:val="left"/>
      </w:pPr>
      <w:bookmarkStart w:id="42" w:name="bookmark104"/>
      <w:r>
        <w:t xml:space="preserve">八</w:t>
      </w:r>
      <w:bookmarkEnd w:id="42"/>
      <w:r>
        <w:t xml:space="preserve">、</w:t>
      </w:r>
      <w:r>
        <w:tab/>
      </w:r>
      <w:r>
        <w:t xml:space="preserve">年末结转和结余：指本年度或以前年度预算安排、因客观条件发生变化无法按原计划实施，需要延迟到以后年度按有关规定继续使用的资金。</w:t>
      </w:r>
    </w:p>
    <w:p>
      <w:pPr>
        <w:pStyle w:val="Bodytext|1"/>
        <w:spacing w:line="628" w:lineRule="exact"/>
        <w:ind w:firstLine="640"/>
        <w:jc w:val="left"/>
      </w:pPr>
      <w:bookmarkStart w:id="43" w:name="bookmark105"/>
      <w:r>
        <w:t xml:space="preserve">九</w:t>
      </w:r>
      <w:bookmarkEnd w:id="43"/>
      <w:r>
        <w:t xml:space="preserve">、基本支出：指为保障机构正常运转、完成日常工作任务而发生的人员支出和公用支出。</w:t>
      </w:r>
    </w:p>
    <w:p>
      <w:pPr>
        <w:pStyle w:val="Bodytext|1"/>
        <w:spacing w:line="628" w:lineRule="exact"/>
        <w:ind w:firstLine="640"/>
        <w:jc w:val="left"/>
      </w:pPr>
      <w:r>
        <w:t xml:space="preserve">十、项目支出：指在基本支出之外为完成特定行政任务和事业发展目标所发生的支出。</w:t>
      </w:r>
    </w:p>
    <w:p>
      <w:pPr>
        <w:pStyle w:val="Bodytext|1"/>
        <w:spacing w:line="628" w:lineRule="exact"/>
        <w:ind w:firstLine="640"/>
        <w:jc w:val="left"/>
      </w:pPr>
      <w:r>
        <w:t xml:space="preserve">十一、经营支出：指事业单位在专业业务活动及其辅助活动之外开展非独立核算经营活动所发生的支出。</w:t>
      </w:r>
    </w:p>
    <w:p>
      <w:pPr>
        <w:pStyle w:val="Bodytext|1"/>
        <w:spacing w:line="628" w:lineRule="exact"/>
        <w:ind w:firstLine="640"/>
        <w:jc w:val="left"/>
      </w:pPr>
      <w:r>
        <w:t xml:space="preserve">十二、</w:t>
      </w:r>
      <w:r>
        <w:rPr>
          <w:lang w:val="zh-CN" w:eastAsia="zh-CN" w:bidi="zh-CN"/>
        </w:rPr>
        <w:t xml:space="preserve">“三</w:t>
      </w:r>
      <w:r>
        <w:t xml:space="preserve">公”经费：纳入财政预决算管理的</w:t>
      </w:r>
      <w:r>
        <w:rPr>
          <w:lang w:val="zh-CN" w:eastAsia="zh-CN" w:bidi="zh-CN"/>
        </w:rPr>
        <w:t xml:space="preserve">“三公</w:t>
      </w:r>
      <w:r>
        <w:t xml:space="preserve">”经费，是指市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Bodytext|1"/>
        <w:spacing w:line="628" w:lineRule="exact"/>
        <w:ind w:firstLine="640"/>
        <w:jc w:val="left"/>
      </w:pPr>
      <w:r>
        <w:t xml:space="preserve">十三、机关运行经费：为保障行政单位（含参照公务员法管理的事业单位、机关服务中心）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headerReference w:type="default" r:id="rId20"/>
      <w:footerReference w:type="default" r:id="rId21"/>
      <w:type w:val="continuous"/>
      <w:pgSz w:w="11900" w:h="16840" w:orient="portrait"/>
      <w:pgMar w:top="1302" w:right="1735" w:bottom="1568" w:left="1793" w:header="874" w:footer="3" w:gutter="0"/>
      <w:pgBorders>
        <w:top w:val="none" w:sz="0" w:space="0" w:color="auto"/>
        <w:left w:val="none" w:sz="0" w:space="0" w:color="auto"/>
        <w:bottom w:val="none" w:sz="0" w:space="0" w:color="auto"/>
        <w:right w:val="none" w:sz="0" w:space="0" w:color="auto"/>
      </w:pgBorders>
      <w:cols w:num="1" w:space="720">
        <w:col w:w="8372" w:space="720"/>
      </w:cols>
      <w:docGrid w:linePitch="360"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E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p>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p>
</w:ftr>
</file>

<file path=word/footer5.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mc:AlternateContent xmlns:mc="http://schemas.openxmlformats.org/markup-compatibility/2006">
        <mc:Choice Requires="wps">
          <w:drawing>
            <wp:anchor distT="0" distB="0" distL="0" distR="0" simplePos="0" relativeHeight="251659264"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2203" name="Shape 5"/>
              <wp:cNvGraphicFramePr>
                <a:graphicFrameLocks noChangeAspect="0"/>
              </wp:cNvGraphicFramePr>
              <a:graphic>
                <a:graphicData uri="http://schemas.microsoft.com/office/word/2010/wordprocessingShape">
                  <wps:wsp>
                    <wps:cNvSpPr/>
                    <wps:spPr>
                      <a:xfrm>
                        <a:off x="0" y="0"/>
                        <a:ext cx="581025" cy="109855"/>
                      </a:xfrm>
                      <a:prstGeom prst="rect">
                        <a:avLst/>
                      </a:prstGeom>
                      <a:noFill/>
                    </wps:spPr>
                    <wps:txbx>
                      <w:txbxContent>
                        <w:p>
                          <w:pPr>
                            <w:pStyle w:val="Headerorfooter|1"/>
                          </w:pPr>
                        </w:p>
                      </w:txbxContent>
                    </wps:txbx>
                    <wps:bodyPr rot="0" spcFirstLastPara="0" vertOverflow="overflow" horzOverflow="overflow" vert="horz" wrap="square" lIns="0" tIns="0" rIns="0" bIns="0" numCol="1" anchor="t" upright="0">
                      <a:spAutoFit/>
                    </wps:bodyPr>
                  </wps:wsp>
                </a:graphicData>
              </a:graphic>
            </wp:anchor>
          </w:drawing>
        </mc:Choice>
        <mc:Fallback>
          <w:pict>
            <v:shape id="Shape 5" o:spid="_x0000_s4489" type="#_x0000_t202" style="height:8.65pt;margin-left:717.9pt;margin-top:95.85pt;mso-height-relative:page;mso-position-horizontal-relative:page;mso-position-vertical-relative:page;mso-width-relative:page;mso-wrap-distance-bottom:0;mso-wrap-distance-left:0;mso-wrap-distance-right:0;mso-wrap-distance-top:0;mso-wrap-style:square;position:absolute;width:45.75pt;z-index:-4043308031" coordsize="21600,21600" filled="f" stroked="f">
              <v:textbox style="mso-fit-shape-to-text:t" inset="0,0,0,0">
                <w:txbxContent>
                  <w:p>
                    <w:pPr>
                      <w:pStyle w:val="Headerorfooter|1"/>
                    </w:pPr>
                  </w:p>
                </w:txbxContent>
              </v:textbox>
            </v:shape>
          </w:pict>
        </mc:Fallback>
      </mc:AlternateContent>
    </w:r>
  </w:p>
</w:hdr>
</file>

<file path=word/header2.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mc:AlternateContent xmlns:mc="http://schemas.openxmlformats.org/markup-compatibility/2006">
        <mc:Choice Requires="wps">
          <w:drawing>
            <wp:anchor distT="0" distB="0" distL="0" distR="0" simplePos="0" relativeHeight="251660288"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2204" name="Shape 5"/>
              <wp:cNvGraphicFramePr>
                <a:graphicFrameLocks noChangeAspect="0"/>
              </wp:cNvGraphicFramePr>
              <a:graphic>
                <a:graphicData uri="http://schemas.microsoft.com/office/word/2010/wordprocessingShape">
                  <wps:wsp>
                    <wps:cNvSpPr/>
                    <wps:spPr>
                      <a:xfrm>
                        <a:off x="0" y="0"/>
                        <a:ext cx="581025" cy="109855"/>
                      </a:xfrm>
                      <a:prstGeom prst="rect">
                        <a:avLst/>
                      </a:prstGeom>
                      <a:noFill/>
                    </wps:spPr>
                    <wps:txbx>
                      <w:txbxContent>
                        <w:p>
                          <w:pPr>
                            <w:pStyle w:val="Headerorfooter|1"/>
                          </w:pPr>
                        </w:p>
                      </w:txbxContent>
                    </wps:txbx>
                    <wps:bodyPr rot="0" spcFirstLastPara="0" vertOverflow="overflow" horzOverflow="overflow" vert="horz" wrap="square" lIns="0" tIns="0" rIns="0" bIns="0" numCol="1" anchor="t" upright="0">
                      <a:spAutoFit/>
                    </wps:bodyPr>
                  </wps:wsp>
                </a:graphicData>
              </a:graphic>
            </wp:anchor>
          </w:drawing>
        </mc:Choice>
        <mc:Fallback>
          <w:pict>
            <v:shape id="Shape 5" o:spid="_x0000_s4490" type="#_x0000_t202" style="height:8.65pt;margin-left:717.9pt;margin-top:95.85pt;mso-height-relative:page;mso-position-horizontal-relative:page;mso-position-vertical-relative:page;mso-width-relative:page;mso-wrap-distance-bottom:0;mso-wrap-distance-left:0;mso-wrap-distance-right:0;mso-wrap-distance-top:0;mso-wrap-style:square;position:absolute;width:45.75pt;z-index:-4043307007" coordsize="21600,21600" filled="f" stroked="f">
              <v:textbox style="mso-fit-shape-to-text:t" inset="0,0,0,0">
                <w:txbxContent>
                  <w:p>
                    <w:pPr>
                      <w:pStyle w:val="Headerorfooter|1"/>
                    </w:pPr>
                  </w:p>
                </w:txbxContent>
              </v:textbox>
            </v:shape>
          </w:pict>
        </mc:Fallback>
      </mc:AlternateContent>
    </w:r>
  </w:p>
</w:hdr>
</file>

<file path=word/header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header4.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header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singleLevel"/>
    <w:lvl w:ilvl="0">
      <w:start w:val="2"/>
      <w:numFmt w:val="decimal"/>
      <w:suff w:val="tab"/>
      <w:lvlText w:val="%1."/>
      <w:lvlJc w:val="left"/>
      <w:pPr>
        <w:tabs>
          <w:tab w:val="left" w:pos="312"/>
        </w:tabs>
      </w:pPr>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sl="http://schemas.openxmlformats.org/schemaLibrary/2006/main" xmlns:w="http://schemas.openxmlformats.org/wordprocessingml/2006/main" xmlns:w14="http://schemas.microsoft.com/office/word/2010/wordml" xmlns:w15="http://schemas.microsoft.com/office/word/2012/wordml" mc:Ignorable="w14 w15">
  <w:zoom w:percent="120"/>
  <w:doNotDisplayPageBoundaries/>
  <w:bordersDoNotSurroundFooter w:val="0"/>
  <w:bordersDoNotSurroundHeader w:val="0"/>
  <w:doNotTrackMoves/>
  <w:documentProtection w:enforcement="1" w:edit="readOnly" w:salt="dxhVFg1QSwzQ/rHFRi4ISQ==" w:hash="U4NUEa6yEcTVJVu36apgcx3NwdhHQOfIV/a+AifTi8LdKIqhqVrQaLJyWHVjYkbOqZTuCeXkRiV4wqmCOSO9dw==" w:cryptSpinCount="100000" w:cryptAlgorithmType="typeAny" w:cryptAlgorithmClass="hash" w:cryptProviderType="rsaAES" w:cryptAlgorithmSid="14"/>
  <w:defaultTabStop w:val="420"/>
  <w:drawingGridHorizontalSpacing w:val="181"/>
  <w:drawingGridVerticalSpacing w:val="181"/>
  <w:noPunctuationKerning/>
  <w:characterSpacingControl w:val="compressPunctuation"/>
  <w:compat>
    <w:doNotExpandShiftReturn/>
    <w:doNotWrapTextWithPunct/>
    <w:doNotUseEastAsianBreakRules/>
    <w:useFELayout/>
    <w:doNotUseIndentAsNumberingTabStop/>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w:docVars>
    <w:docVar w:name="commondata" w:val="eyJoZGlkIjoiOGMwZTIwMjA5OTI4N2MwODc2NzEzYWVkMzg3YjQ5NmMifQ=="/>
  </w:docVars>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qFormat="1"/>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qFormat="1"/>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Variable" w:semiHidden="0" w:uiPriority="0" w:unhideWhenUsed="0"/>
    <w:lsdException w:name="Normal Table" w:qFormat="1"/>
    <w:lsdException w:name="annotation subject" w:semiHidden="0" w:uiPriority="0" w:unhideWhenUsed="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iPriority="0" w:unhideWhenUsed="0"/>
    <w:lsdException w:name="Table Grid" w:semiHidden="0" w:uiPriority="0" w:unhideWhenUsed="0" w:qFormat="1"/>
    <w:lsdException w:name="Table Theme"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autoRedefine/>
    <w:qFormat/>
    <w:pPr>
      <w:widowControl w:val="0"/>
    </w:pPr>
    <w:rPr>
      <w:rFonts w:ascii="Times New Roman" w:eastAsia="Times New Roman" w:hAnsi="Times New Roman" w:cs="Times New Roman"/>
      <w:color w:val="000000"/>
      <w:sz w:val="24"/>
      <w:szCs w:val="24"/>
      <w:lang w:val="en-US" w:eastAsia="en-US" w:bidi="en-US"/>
    </w:rPr>
  </w:style>
  <w:style w:type="character" w:default="1" w:styleId="DefaultParagraphFont">
    <w:name w:val="Default Paragraph Font"/>
    <w:autoRedefine/>
    <w:uiPriority w:val="1"/>
    <w:semiHidden/>
    <w:unhideWhenUsed/>
    <w:qFormat/>
    <w:rPr/>
  </w:style>
  <w:style w:type="table" w:default="1" w:styleId="NormalTable">
    <w:name w:val="Normal Table"/>
    <w:autoRedefine/>
    <w:uiPriority w:val="99"/>
    <w:semiHidden/>
    <w:unhideWhenUsed/>
    <w:qFormat/>
    <w:rPr/>
    <w:tblPr>
      <w:tblCellMar>
        <w:top w:w="0" w:type="dxa"/>
        <w:left w:w="108" w:type="dxa"/>
        <w:bottom w:w="0" w:type="dxa"/>
        <w:right w:w="108" w:type="dxa"/>
      </w:tblCellMar>
    </w:tblPr>
  </w:style>
  <w:style w:type="paragraph" w:styleId="CommentText">
    <w:name w:val="Comment Text"/>
    <w:basedOn w:val="Normal"/>
    <w:autoRedefine/>
    <w:qFormat/>
    <w:rPr/>
  </w:style>
  <w:style w:type="paragraph" w:styleId="Footer">
    <w:name w:val="Footer"/>
    <w:basedOn w:val="Normal"/>
    <w:autoRedefine/>
    <w:qFormat/>
    <w:pPr>
      <w:tabs>
        <w:tab w:val="center" w:pos="4153"/>
        <w:tab w:val="right" w:pos="8306"/>
      </w:tabs>
      <w:snapToGrid w:val="0"/>
    </w:pPr>
    <w:rPr>
      <w:sz w:val="18"/>
    </w:rPr>
  </w:style>
  <w:style w:type="paragraph" w:styleId="Header">
    <w:name w:val="Header"/>
    <w:basedOn w:val="Normal"/>
    <w:autoRedefine/>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styleId="TableGrid">
    <w:name w:val="Table Grid"/>
    <w:basedOn w:val="NormalTable"/>
    <w:autoRedefine/>
    <w:qFormat/>
    <w:pPr>
      <w:widowControl w:val="0"/>
      <w:jc w:val="both"/>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Comment Reference"/>
    <w:basedOn w:val="DefaultParagraphFont"/>
    <w:autoRedefine/>
    <w:qFormat/>
    <w:rPr>
      <w:sz w:val="21"/>
      <w:szCs w:val="21"/>
    </w:rPr>
  </w:style>
  <w:style w:type="character" w:customStyle="1" w:styleId="Bodytext|5_">
    <w:name w:val="Body text|5_"/>
    <w:basedOn w:val="DefaultParagraphFont"/>
    <w:link w:val="Bodytext|5"/>
    <w:autoRedefine/>
    <w:qFormat/>
    <w:rPr>
      <w:rFonts w:ascii="宋体" w:eastAsia="宋体" w:hAnsi="宋体" w:cs="宋体"/>
      <w:sz w:val="54"/>
      <w:szCs w:val="54"/>
      <w:u w:val="none"/>
      <w:shd w:val="clear" w:color="auto" w:fill="auto"/>
      <w:lang w:val="zh-TW" w:eastAsia="zh-TW" w:bidi="zh-TW"/>
    </w:rPr>
  </w:style>
  <w:style w:type="paragraph" w:customStyle="1" w:styleId="Bodytext|5">
    <w:name w:val="Body text|5"/>
    <w:basedOn w:val="Normal"/>
    <w:link w:val="Bodytext|5_"/>
    <w:autoRedefine/>
    <w:qFormat/>
    <w:pPr>
      <w:jc w:val="center"/>
    </w:pPr>
    <w:rPr>
      <w:rFonts w:ascii="宋体" w:eastAsia="宋体" w:hAnsi="宋体" w:cs="宋体"/>
      <w:sz w:val="54"/>
      <w:szCs w:val="54"/>
      <w:lang w:val="zh-TW" w:eastAsia="zh-TW" w:bidi="zh-TW"/>
    </w:rPr>
  </w:style>
  <w:style w:type="character" w:customStyle="1" w:styleId="Heading#1|1_">
    <w:name w:val="Heading #1|1_"/>
    <w:basedOn w:val="DefaultParagraphFont"/>
    <w:link w:val="Heading#1|1"/>
    <w:autoRedefine/>
    <w:qFormat/>
    <w:rPr>
      <w:rFonts w:ascii="宋体" w:eastAsia="宋体" w:hAnsi="宋体" w:cs="宋体"/>
      <w:sz w:val="44"/>
      <w:szCs w:val="44"/>
      <w:u w:val="none"/>
      <w:shd w:val="clear" w:color="auto" w:fill="auto"/>
      <w:lang w:val="zh-TW" w:eastAsia="zh-TW" w:bidi="zh-TW"/>
    </w:rPr>
  </w:style>
  <w:style w:type="paragraph" w:customStyle="1" w:styleId="Heading#1|1">
    <w:name w:val="Heading #1|1"/>
    <w:basedOn w:val="Normal"/>
    <w:link w:val="Heading#1|1_"/>
    <w:autoRedefine/>
    <w:qFormat/>
    <w:pPr>
      <w:spacing w:after="400"/>
      <w:jc w:val="center"/>
      <w:outlineLvl w:val="0"/>
    </w:pPr>
    <w:rPr>
      <w:rFonts w:ascii="宋体" w:eastAsia="宋体" w:hAnsi="宋体" w:cs="宋体"/>
      <w:sz w:val="44"/>
      <w:szCs w:val="44"/>
      <w:lang w:val="zh-TW" w:eastAsia="zh-TW" w:bidi="zh-TW"/>
    </w:rPr>
  </w:style>
  <w:style w:type="character" w:customStyle="1" w:styleId="Headerorfooter|2_">
    <w:name w:val="Header or footer|2_"/>
    <w:basedOn w:val="DefaultParagraphFont"/>
    <w:link w:val="Headerorfooter|2"/>
    <w:autoRedefine/>
    <w:qFormat/>
    <w:rPr>
      <w:sz w:val="20"/>
      <w:szCs w:val="20"/>
      <w:u w:val="none"/>
      <w:shd w:val="clear" w:color="auto" w:fill="auto"/>
      <w:lang w:val="zh-TW" w:eastAsia="zh-TW" w:bidi="zh-TW"/>
    </w:rPr>
  </w:style>
  <w:style w:type="paragraph" w:customStyle="1" w:styleId="Headerorfooter|2">
    <w:name w:val="Header or footer|2"/>
    <w:basedOn w:val="Normal"/>
    <w:link w:val="Headerorfooter|2_"/>
    <w:autoRedefine/>
    <w:qFormat/>
    <w:rPr>
      <w:sz w:val="20"/>
      <w:szCs w:val="20"/>
      <w:lang w:val="zh-TW" w:eastAsia="zh-TW" w:bidi="zh-TW"/>
    </w:rPr>
  </w:style>
  <w:style w:type="character" w:customStyle="1" w:styleId="Bodytext|2_">
    <w:name w:val="Body text|2_"/>
    <w:basedOn w:val="DefaultParagraphFont"/>
    <w:link w:val="Bodytext|2"/>
    <w:autoRedefine/>
    <w:qFormat/>
    <w:rPr>
      <w:rFonts w:ascii="宋体" w:eastAsia="宋体" w:hAnsi="宋体" w:cs="宋体"/>
      <w:sz w:val="32"/>
      <w:szCs w:val="32"/>
      <w:u w:val="none"/>
      <w:shd w:val="clear" w:color="auto" w:fill="auto"/>
      <w:lang w:val="zh-TW" w:eastAsia="zh-TW" w:bidi="zh-TW"/>
    </w:rPr>
  </w:style>
  <w:style w:type="paragraph" w:customStyle="1" w:styleId="Bodytext|2">
    <w:name w:val="Body text|2"/>
    <w:basedOn w:val="Normal"/>
    <w:link w:val="Bodytext|2_"/>
    <w:autoRedefine/>
    <w:qFormat/>
    <w:pPr>
      <w:spacing w:after="240"/>
      <w:ind w:firstLine="560"/>
    </w:pPr>
    <w:rPr>
      <w:rFonts w:ascii="宋体" w:eastAsia="宋体" w:hAnsi="宋体" w:cs="宋体"/>
      <w:sz w:val="32"/>
      <w:szCs w:val="32"/>
      <w:lang w:val="zh-TW" w:eastAsia="zh-TW" w:bidi="zh-TW"/>
    </w:rPr>
  </w:style>
  <w:style w:type="character" w:customStyle="1" w:styleId="Bodytext|1_">
    <w:name w:val="Body text|1_"/>
    <w:basedOn w:val="DefaultParagraphFont"/>
    <w:link w:val="Bodytext|1"/>
    <w:autoRedefine/>
    <w:qFormat/>
    <w:rPr>
      <w:rFonts w:ascii="宋体" w:eastAsia="宋体" w:hAnsi="宋体" w:cs="宋体"/>
      <w:sz w:val="28"/>
      <w:szCs w:val="28"/>
      <w:u w:val="none"/>
      <w:shd w:val="clear" w:color="auto" w:fill="auto"/>
      <w:lang w:val="zh-TW" w:eastAsia="zh-TW" w:bidi="zh-TW"/>
    </w:rPr>
  </w:style>
  <w:style w:type="paragraph" w:customStyle="1" w:styleId="Bodytext|1">
    <w:name w:val="Body text|1"/>
    <w:basedOn w:val="Normal"/>
    <w:link w:val="Bodytext|1_"/>
    <w:autoRedefine/>
    <w:qFormat/>
    <w:pPr>
      <w:spacing w:line="468" w:lineRule="auto"/>
      <w:ind w:firstLine="400"/>
    </w:pPr>
    <w:rPr>
      <w:rFonts w:ascii="宋体" w:eastAsia="宋体" w:hAnsi="宋体" w:cs="宋体"/>
      <w:sz w:val="28"/>
      <w:szCs w:val="28"/>
      <w:lang w:val="zh-TW" w:eastAsia="zh-TW" w:bidi="zh-TW"/>
    </w:rPr>
  </w:style>
  <w:style w:type="character" w:customStyle="1" w:styleId="Headerorfooter|1_">
    <w:name w:val="Header or footer|1_"/>
    <w:basedOn w:val="DefaultParagraphFont"/>
    <w:link w:val="Headerorfooter|1"/>
    <w:autoRedefine/>
    <w:qFormat/>
    <w:rPr>
      <w:b/>
      <w:bCs/>
      <w:sz w:val="17"/>
      <w:szCs w:val="17"/>
      <w:u w:val="none"/>
      <w:shd w:val="clear" w:color="auto" w:fill="auto"/>
      <w:lang w:val="zh-TW" w:eastAsia="zh-TW" w:bidi="zh-TW"/>
    </w:rPr>
  </w:style>
  <w:style w:type="paragraph" w:customStyle="1" w:styleId="Headerorfooter|1">
    <w:name w:val="Header or footer|1"/>
    <w:basedOn w:val="Normal"/>
    <w:link w:val="Headerorfooter|1_"/>
    <w:autoRedefine/>
    <w:qFormat/>
    <w:rPr>
      <w:b/>
      <w:bCs/>
      <w:sz w:val="17"/>
      <w:szCs w:val="17"/>
      <w:lang w:val="zh-TW" w:eastAsia="zh-TW" w:bidi="zh-TW"/>
    </w:rPr>
  </w:style>
  <w:style w:type="character" w:customStyle="1" w:styleId="Heading#2|1_">
    <w:name w:val="Heading #2|1_"/>
    <w:basedOn w:val="DefaultParagraphFont"/>
    <w:link w:val="Heading#2|1"/>
    <w:autoRedefine/>
    <w:qFormat/>
    <w:rPr>
      <w:rFonts w:ascii="宋体" w:eastAsia="宋体" w:hAnsi="宋体" w:cs="宋体"/>
      <w:sz w:val="26"/>
      <w:szCs w:val="26"/>
      <w:u w:val="none"/>
      <w:shd w:val="clear" w:color="auto" w:fill="auto"/>
      <w:lang w:val="zh-TW" w:eastAsia="zh-TW" w:bidi="zh-TW"/>
    </w:rPr>
  </w:style>
  <w:style w:type="paragraph" w:customStyle="1" w:styleId="Heading#2|1">
    <w:name w:val="Heading #2|1"/>
    <w:basedOn w:val="Normal"/>
    <w:link w:val="Heading#2|1_"/>
    <w:autoRedefine/>
    <w:qFormat/>
    <w:pPr>
      <w:spacing w:after="230"/>
      <w:jc w:val="center"/>
      <w:outlineLvl w:val="1"/>
    </w:pPr>
    <w:rPr>
      <w:rFonts w:ascii="宋体" w:eastAsia="宋体" w:hAnsi="宋体" w:cs="宋体"/>
      <w:sz w:val="26"/>
      <w:szCs w:val="26"/>
      <w:lang w:val="zh-TW" w:eastAsia="zh-TW" w:bidi="zh-TW"/>
    </w:rPr>
  </w:style>
  <w:style w:type="character" w:customStyle="1" w:styleId="Other|1_">
    <w:name w:val="Other|1_"/>
    <w:basedOn w:val="DefaultParagraphFont"/>
    <w:link w:val="Other|1"/>
    <w:autoRedefine/>
    <w:qFormat/>
    <w:rPr>
      <w:rFonts w:ascii="宋体" w:eastAsia="宋体" w:hAnsi="宋体" w:cs="宋体"/>
      <w:sz w:val="28"/>
      <w:szCs w:val="28"/>
      <w:u w:val="none"/>
      <w:shd w:val="clear" w:color="auto" w:fill="auto"/>
      <w:lang w:val="zh-TW" w:eastAsia="zh-TW" w:bidi="zh-TW"/>
    </w:rPr>
  </w:style>
  <w:style w:type="paragraph" w:customStyle="1" w:styleId="Other|1">
    <w:name w:val="Other|1"/>
    <w:basedOn w:val="Normal"/>
    <w:link w:val="Other|1_"/>
    <w:autoRedefine/>
    <w:qFormat/>
    <w:pPr>
      <w:spacing w:line="468" w:lineRule="auto"/>
      <w:ind w:firstLine="400"/>
    </w:pPr>
    <w:rPr>
      <w:rFonts w:ascii="宋体" w:eastAsia="宋体" w:hAnsi="宋体" w:cs="宋体"/>
      <w:sz w:val="28"/>
      <w:szCs w:val="28"/>
      <w:lang w:val="zh-TW" w:eastAsia="zh-TW" w:bidi="zh-TW"/>
    </w:rPr>
  </w:style>
  <w:style w:type="character" w:customStyle="1" w:styleId="Tablecaption|1_">
    <w:name w:val="Table caption|1_"/>
    <w:basedOn w:val="DefaultParagraphFont"/>
    <w:link w:val="Tablecaption|1"/>
    <w:autoRedefine/>
    <w:qFormat/>
    <w:rPr>
      <w:rFonts w:ascii="宋体" w:eastAsia="宋体" w:hAnsi="宋体" w:cs="宋体"/>
      <w:sz w:val="17"/>
      <w:szCs w:val="17"/>
      <w:u w:val="none"/>
      <w:shd w:val="clear" w:color="auto" w:fill="auto"/>
      <w:lang w:val="zh-TW" w:eastAsia="zh-TW" w:bidi="zh-TW"/>
    </w:rPr>
  </w:style>
  <w:style w:type="paragraph" w:customStyle="1" w:styleId="Tablecaption|1">
    <w:name w:val="Table caption|1"/>
    <w:basedOn w:val="Normal"/>
    <w:link w:val="Tablecaption|1_"/>
    <w:autoRedefine/>
    <w:qFormat/>
    <w:rPr>
      <w:rFonts w:ascii="宋体" w:eastAsia="宋体" w:hAnsi="宋体" w:cs="宋体"/>
      <w:sz w:val="17"/>
      <w:szCs w:val="17"/>
      <w:lang w:val="zh-TW" w:eastAsia="zh-TW" w:bidi="zh-TW"/>
    </w:rPr>
  </w:style>
  <w:style w:type="character" w:customStyle="1" w:styleId="Bodytext|4_">
    <w:name w:val="Body text|4_"/>
    <w:basedOn w:val="DefaultParagraphFont"/>
    <w:link w:val="Bodytext|4"/>
    <w:autoRedefine/>
    <w:qFormat/>
    <w:rPr>
      <w:rFonts w:ascii="宋体" w:eastAsia="宋体" w:hAnsi="宋体" w:cs="宋体"/>
      <w:sz w:val="17"/>
      <w:szCs w:val="17"/>
      <w:u w:val="none"/>
      <w:shd w:val="clear" w:color="auto" w:fill="auto"/>
      <w:lang w:val="zh-TW" w:eastAsia="zh-TW" w:bidi="zh-TW"/>
    </w:rPr>
  </w:style>
  <w:style w:type="paragraph" w:customStyle="1" w:styleId="Bodytext|4">
    <w:name w:val="Body text|4"/>
    <w:basedOn w:val="Normal"/>
    <w:link w:val="Bodytext|4_"/>
    <w:autoRedefine/>
    <w:qFormat/>
    <w:pPr>
      <w:ind w:firstLine="680"/>
    </w:pPr>
    <w:rPr>
      <w:rFonts w:ascii="宋体" w:eastAsia="宋体" w:hAnsi="宋体" w:cs="宋体"/>
      <w:sz w:val="17"/>
      <w:szCs w:val="17"/>
      <w:lang w:val="zh-TW" w:eastAsia="zh-TW" w:bidi="zh-TW"/>
    </w:rPr>
  </w:style>
  <w:style w:type="character" w:customStyle="1" w:styleId="Bodytext|3_">
    <w:name w:val="Body text|3_"/>
    <w:basedOn w:val="DefaultParagraphFont"/>
    <w:link w:val="Bodytext|3"/>
    <w:autoRedefine/>
    <w:qFormat/>
    <w:rPr>
      <w:sz w:val="30"/>
      <w:szCs w:val="30"/>
      <w:u w:val="none"/>
      <w:shd w:val="clear" w:color="auto" w:fill="auto"/>
      <w:lang w:val="zh-TW" w:eastAsia="zh-TW" w:bidi="zh-TW"/>
    </w:rPr>
  </w:style>
  <w:style w:type="paragraph" w:customStyle="1" w:styleId="Bodytext|3">
    <w:name w:val="Body text|3"/>
    <w:basedOn w:val="Normal"/>
    <w:link w:val="Bodytext|3_"/>
    <w:autoRedefine/>
    <w:qFormat/>
    <w:pPr>
      <w:spacing w:after="140" w:line="336" w:lineRule="auto"/>
      <w:ind w:firstLine="370"/>
    </w:pPr>
    <w:rPr>
      <w:sz w:val="30"/>
      <w:szCs w:val="30"/>
      <w:lang w:val="zh-TW" w:eastAsia="zh-TW" w:bidi="zh-TW"/>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charts/chart5.xml" Type="http://schemas.openxmlformats.org/officeDocument/2006/relationships/chart"/><Relationship Id="rId11" Target="charts/chart6.xml" Type="http://schemas.openxmlformats.org/officeDocument/2006/relationships/chart"/><Relationship Id="rId12" Target="header1.xml" Type="http://schemas.openxmlformats.org/officeDocument/2006/relationships/header"/><Relationship Id="rId13" Target="footer2.xml" Type="http://schemas.openxmlformats.org/officeDocument/2006/relationships/footer"/><Relationship Id="rId14" Target="header2.xml" Type="http://schemas.openxmlformats.org/officeDocument/2006/relationships/header"/><Relationship Id="rId15" Target="footer3.xml" Type="http://schemas.openxmlformats.org/officeDocument/2006/relationships/footer"/><Relationship Id="rId16" Target="header3.xml" Type="http://schemas.openxmlformats.org/officeDocument/2006/relationships/header"/><Relationship Id="rId17" Target="footer4.xml" Type="http://schemas.openxmlformats.org/officeDocument/2006/relationships/footer"/><Relationship Id="rId18" Target="header4.xml" Type="http://schemas.openxmlformats.org/officeDocument/2006/relationships/header"/><Relationship Id="rId19" Target="footer5.xml" Type="http://schemas.openxmlformats.org/officeDocument/2006/relationships/footer"/><Relationship Id="rId2" Target="../customXml/item2.xml" Type="http://schemas.openxmlformats.org/officeDocument/2006/relationships/customXml"/><Relationship Id="rId20" Target="header5.xml" Type="http://schemas.openxmlformats.org/officeDocument/2006/relationships/header"/><Relationship Id="rId21" Target="footer6.xml" Type="http://schemas.openxmlformats.org/officeDocument/2006/relationships/footer"/><Relationship Id="rId22" Target="theme/theme1.xml" Type="http://schemas.openxmlformats.org/officeDocument/2006/relationships/theme"/><Relationship Id="rId23" Target="styles.xml" Type="http://schemas.openxmlformats.org/officeDocument/2006/relationships/styles"/><Relationship Id="rId24" Target="webSettings.xml" Type="http://schemas.openxmlformats.org/officeDocument/2006/relationships/webSettings"/><Relationship Id="rId25" Target="numbering.xml" Type="http://schemas.openxmlformats.org/officeDocument/2006/relationships/numbering"/><Relationship Id="rId26" Target="fontTable.xml" Type="http://schemas.openxmlformats.org/officeDocument/2006/relationships/fontTable"/><Relationship Id="rId27" Target="settings.xml" Type="http://schemas.openxmlformats.org/officeDocument/2006/relationships/settings"/><Relationship Id="rId3" Target="../customXml/item3.xml" Type="http://schemas.openxmlformats.org/officeDocument/2006/relationships/customXml"/><Relationship Id="rId4" Target="../customXml/item4.xml" Type="http://schemas.openxmlformats.org/officeDocument/2006/relationships/customXml"/><Relationship Id="rId5" Target="footer1.xml" Type="http://schemas.openxmlformats.org/officeDocument/2006/relationships/footer"/><Relationship Id="rId6" Target="charts/chart1.xml" Type="http://schemas.openxmlformats.org/officeDocument/2006/relationships/chart"/><Relationship Id="rId7" Target="charts/chart2.xml" Type="http://schemas.openxmlformats.org/officeDocument/2006/relationships/chart"/><Relationship Id="rId8" Target="charts/chart3.xml" Type="http://schemas.openxmlformats.org/officeDocument/2006/relationships/chart"/><Relationship Id="rId9" Target="charts/chart4.xml" Type="http://schemas.openxmlformats.org/officeDocument/2006/relationships/chart"/></Relationships>
</file>

<file path=word/charts/_rels/chart1.xml.rels><?xml version="1.0" encoding="UTF-8" standalone="yes"?><Relationships xmlns="http://schemas.openxmlformats.org/package/2006/relationships"><Relationship Id="rId1" Target="../embeddings/Microsoft_Office_Excel_Worksheet1.xlsx" Type="http://schemas.openxmlformats.org/officeDocument/2006/relationships/package"/></Relationships>
</file>

<file path=word/charts/_rels/chart2.xml.rels><?xml version="1.0" encoding="UTF-8" standalone="yes"?><Relationships xmlns="http://schemas.openxmlformats.org/package/2006/relationships"><Relationship Id="rId1" Target="../embeddings/Microsoft_Office_Excel_Worksheet2.xlsx" Type="http://schemas.openxmlformats.org/officeDocument/2006/relationships/package"/></Relationships>
</file>

<file path=word/charts/_rels/chart3.xml.rels><?xml version="1.0" encoding="UTF-8" standalone="yes"?><Relationships xmlns="http://schemas.openxmlformats.org/package/2006/relationships"><Relationship Id="rId1" Target="../embeddings/Microsoft_Office_Excel_Worksheet3.xlsx" Type="http://schemas.openxmlformats.org/officeDocument/2006/relationships/package"/></Relationships>
</file>

<file path=word/charts/_rels/chart4.xml.rels><?xml version="1.0" encoding="UTF-8" standalone="yes"?><Relationships xmlns="http://schemas.openxmlformats.org/package/2006/relationships"><Relationship Id="rId1" Target="../embeddings/Microsoft_Office_Excel_Worksheet4.xlsx" Type="http://schemas.openxmlformats.org/officeDocument/2006/relationships/package"/></Relationships>
</file>

<file path=word/charts/_rels/chart5.xml.rels><?xml version="1.0" encoding="UTF-8" standalone="yes"?><Relationships xmlns="http://schemas.openxmlformats.org/package/2006/relationships"><Relationship Id="rId1" Target="../embeddings/Microsoft_Office_Excel_Worksheet5.xlsx" Type="http://schemas.openxmlformats.org/officeDocument/2006/relationships/package"/></Relationships>
</file>

<file path=word/charts/_rels/chart6.xml.rels><?xml version="1.0" encoding="UTF-8" standalone="yes"?><Relationships xmlns="http://schemas.openxmlformats.org/package/2006/relationships"><Relationship Id="rId1" Target="../embeddings/Microsoft_Office_Excel_Worksheet6.xlsx" Type="http://schemas.openxmlformats.org/officeDocument/2006/relationships/package"/></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部门收入总体情况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一般公共预算拨款</c:v>
                </c:pt>
              </c:strCache>
            </c:strRef>
          </c:cat>
          <c:val>
            <c:numRef>
              <c:f>Sheet1!$B$2</c:f>
              <c:numCache>
                <c:ptCount val="1"/>
                <c:pt idx="0">
                  <c:v>77.91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部门支出总体情况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Lbls>
            <c:delete val="1"/>
          </c:dLbls>
          <c:cat>
            <c:strRef>
              <c:f>Sheet1!$A$2:$A$4</c:f>
              <c:strCache>
                <c:ptCount val="3"/>
                <c:pt idx="0">
                  <c:v>一般公共服务支出</c:v>
                </c:pt>
                <c:pt idx="1">
                  <c:v>社会保障和就业支出</c:v>
                </c:pt>
                <c:pt idx="2">
                  <c:v>住房保障支出</c:v>
                </c:pt>
              </c:strCache>
            </c:strRef>
          </c:cat>
          <c:val>
            <c:numRef>
              <c:f>Sheet1!$B$2:$B$4</c:f>
              <c:numCache>
                <c:ptCount val="3"/>
                <c:pt idx="0">
                  <c:v>64.51</c:v>
                </c:pt>
                <c:pt idx="1">
                  <c:v>7.26</c:v>
                </c:pt>
                <c:pt idx="2">
                  <c:v>6.13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财政拨款收支总体情况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Sheet1!$A$2:$A$3</c:f>
              <c:strCache>
                <c:ptCount val="2"/>
                <c:pt idx="0">
                  <c:v>支出</c:v>
                </c:pt>
                <c:pt idx="1">
                  <c:v>收入</c:v>
                </c:pt>
              </c:strCache>
            </c:strRef>
          </c:cat>
          <c:val>
            <c:numRef>
              <c:f>Sheet1!$B$2:$B$3</c:f>
              <c:numCache>
                <c:formatCode>General</c:formatCode>
                <c:ptCount val="2"/>
                <c:pt idx="0">
                  <c:v>55.41</c:v>
                </c:pt>
                <c:pt idx="1">
                  <c:v>55.41</c:v>
                </c:pt>
              </c:numCache>
            </c:numRef>
          </c:val>
        </c:ser>
        <c:ser>
          <c:idx val="1"/>
          <c:order val="1"/>
          <c:tx>
            <c:strRef>
              <c:f>Sheet1!$C$1</c:f>
              <c:strCache>
                <c:ptCount val="1"/>
                <c:pt idx="0">
                  <c:v>当年</c:v>
                </c:pt>
              </c:strCache>
            </c:strRef>
          </c:tx>
          <c:spPr>
            <a:solidFill>
              <a:schemeClr val="accent2"/>
            </a:solidFill>
            <a:ln>
              <a:noFill/>
            </a:ln>
            <a:effectLst/>
          </c:spPr>
          <c:invertIfNegative val="0"/>
          <c:dLbls>
            <c:delete val="1"/>
          </c:dLbls>
          <c:cat>
            <c:strRef>
              <c:f>Sheet1!$A$2:$A$3</c:f>
              <c:strCache>
                <c:ptCount val="2"/>
                <c:pt idx="0">
                  <c:v>支出</c:v>
                </c:pt>
                <c:pt idx="1">
                  <c:v>收入</c:v>
                </c:pt>
              </c:strCache>
            </c:strRef>
          </c:cat>
          <c:val>
            <c:numRef>
              <c:f>Sheet1!$C$2:$C$3</c:f>
              <c:numCache>
                <c:formatCode>General</c:formatCode>
                <c:ptCount val="2"/>
                <c:pt idx="0">
                  <c:v>77.91</c:v>
                </c:pt>
                <c:pt idx="1">
                  <c:v>77.91</c:v>
                </c:pt>
              </c:numCache>
            </c:numRef>
          </c:val>
        </c:ser>
        <c:dLbls>
          <c:showLegendKey val="0"/>
          <c:showVal val="0"/>
          <c:showCatName val="0"/>
          <c:showSerName val="0"/>
          <c:showPercent val="0"/>
          <c:showBubbleSize val="0"/>
        </c:dLbls>
        <c:gapWidth val="219"/>
        <c:overlap val="-27"/>
        <c:axId val="811850650"/>
        <c:axId val="698020238"/>
      </c:barChart>
      <c:catAx>
        <c:axId val="81185065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8020238"/>
        <c:crosses val="autoZero"/>
        <c:auto val="1"/>
        <c:lblAlgn val="ctr"/>
        <c:lblOffset val="100"/>
        <c:noMultiLvlLbl val="0"/>
      </c:catAx>
      <c:valAx>
        <c:axId val="69802023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185065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rtlCol="false"/>
          <a:lstStyle/>
          <a:p>
            <a:pPr algn="l">
              <a:defRPr/>
            </a:pPr>
            <a:r>
              <a:rPr lang="zh-CN"/>
              <a:t>一般公共预算支出情况</a:t>
            </a:r>
            <a:endParaRPr lang="en-US" sz="1100"/>
          </a:p>
        </c:rich>
      </c:tx>
      <c:layout/>
      <c:overlay val="fals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bar"/>
        <c:grouping val="clustered"/>
        <c:varyColors val="0"/>
        <c:ser>
          <c:idx val="0"/>
          <c:order val="0"/>
          <c:tx>
            <c:strRef>
              <c:f>Sheet1!$B$1</c:f>
              <c:strCache>
                <c:ptCount val="1"/>
                <c:pt idx="0">
                  <c:v>基本支出</c:v>
                </c:pt>
              </c:strCache>
            </c:strRef>
          </c:tx>
          <c:spPr>
            <a:solidFill>
              <a:schemeClr val="accent1"/>
            </a:solidFill>
            <a:ln>
              <a:noFill/>
            </a:ln>
            <a:effectLst/>
          </c:spPr>
          <c:invertIfNegative val="0"/>
          <c:dLbls>
            <c:delete val="1"/>
          </c:dLbls>
          <c:cat>
            <c:strRef>
              <c:f>Sheet1!$A$2</c:f>
              <c:strCache>
                <c:ptCount val="1"/>
                <c:pt idx="0">
                  <c:v>上年</c:v>
                </c:pt>
              </c:strCache>
            </c:strRef>
          </c:cat>
          <c:val>
            <c:numRef>
              <c:f>Sheet1!$B$2</c:f>
              <c:numCache>
                <c:formatCode>General</c:formatCode>
                <c:ptCount val="1"/>
                <c:pt idx="0">
                  <c:v>69.71</c:v>
                </c:pt>
              </c:numCache>
            </c:numRef>
          </c:val>
        </c:ser>
        <c:ser>
          <c:idx val="1"/>
          <c:order val="1"/>
          <c:tx>
            <c:strRef>
              <c:f>Sheet1!$C$1</c:f>
              <c:strCache>
                <c:ptCount val="1"/>
                <c:pt idx="0">
                  <c:v>结转下年支出</c:v>
                </c:pt>
              </c:strCache>
            </c:strRef>
          </c:tx>
          <c:cat>
            <c:strRef>
              <c:f>Sheet1!$A$2</c:f>
              <c:strCache>
                <c:ptCount val="1"/>
                <c:pt idx="0">
                  <c:v>上年</c:v>
                </c:pt>
              </c:strCache>
            </c:strRef>
          </c:cat>
          <c:val>
            <c:numRef>
              <c:f>Sheet1!$C$2</c:f>
              <c:numCache>
                <c:ptCount val="1"/>
                <c:pt idx="0">
                  <c:v>0.0</c:v>
                </c:pt>
              </c:numCache>
            </c:numRef>
          </c:val>
        </c:ser>
        <c:ser>
          <c:idx val="2"/>
          <c:order val="2"/>
          <c:tx>
            <c:strRef>
              <c:f>Sheet1!$D$1</c:f>
              <c:strCache>
                <c:ptCount val="1"/>
                <c:pt idx="0">
                  <c:v>项目支出</c:v>
                </c:pt>
              </c:strCache>
            </c:strRef>
          </c:tx>
          <c:cat>
            <c:strRef>
              <c:f>Sheet1!$A$2</c:f>
              <c:strCache>
                <c:ptCount val="1"/>
                <c:pt idx="0">
                  <c:v>上年</c:v>
                </c:pt>
              </c:strCache>
            </c:strRef>
          </c:cat>
          <c:val>
            <c:numRef>
              <c:f>Sheet1!$D$2</c:f>
              <c:numCache>
                <c:ptCount val="1"/>
                <c:pt idx="0">
                  <c:v>8.2</c:v>
                </c:pt>
              </c:numCache>
            </c:numRef>
          </c:val>
        </c:ser>
        <c:ser>
          <c:idx val="3"/>
          <c:order val="3"/>
          <c:tx>
            <c:strRef>
              <c:f>Sheet1!$E$1</c:f>
              <c:strCache>
                <c:ptCount val="1"/>
                <c:pt idx="0">
                  <c:v>公用经费</c:v>
                </c:pt>
              </c:strCache>
            </c:strRef>
          </c:tx>
          <c:cat>
            <c:strRef>
              <c:f>Sheet1!$A$2</c:f>
              <c:strCache>
                <c:ptCount val="1"/>
                <c:pt idx="0">
                  <c:v>上年</c:v>
                </c:pt>
              </c:strCache>
            </c:strRef>
          </c:cat>
          <c:val>
            <c:numRef>
              <c:f>Sheet1!$E$2</c:f>
              <c:numCache>
                <c:ptCount val="1"/>
                <c:pt idx="0">
                  <c:v>5.89</c:v>
                </c:pt>
              </c:numCache>
            </c:numRef>
          </c:val>
        </c:ser>
        <c:ser>
          <c:idx val="4"/>
          <c:order val="4"/>
          <c:tx>
            <c:strRef>
              <c:f>Sheet1!$F$1</c:f>
              <c:strCache>
                <c:ptCount val="1"/>
                <c:pt idx="0">
                  <c:v>人员经费</c:v>
                </c:pt>
              </c:strCache>
            </c:strRef>
          </c:tx>
          <c:cat>
            <c:strRef>
              <c:f>Sheet1!$A$2</c:f>
              <c:strCache>
                <c:ptCount val="1"/>
                <c:pt idx="0">
                  <c:v>上年</c:v>
                </c:pt>
              </c:strCache>
            </c:strRef>
          </c:cat>
          <c:val>
            <c:numRef>
              <c:f>Sheet1!$F$2</c:f>
              <c:numCache>
                <c:ptCount val="1"/>
                <c:pt idx="0">
                  <c:v>63.82</c:v>
                </c:pt>
              </c:numCache>
            </c:numRef>
          </c:val>
        </c:ser>
        <c:dLbls>
          <c:showLegendKey val="0"/>
          <c:showVal val="0"/>
          <c:showCatName val="0"/>
          <c:showSerName val="0"/>
          <c:showPercent val="0"/>
          <c:showBubbleSize val="0"/>
        </c:dLbls>
        <c:gapWidth val="182"/>
        <c:overlap val="0"/>
        <c:axId val="691519273"/>
        <c:axId val="850134922"/>
      </c:barChart>
      <c:catAx>
        <c:axId val="691519273"/>
        <c:scaling>
          <c:orientation val="minMax"/>
        </c:scaling>
        <c:delete val="1"/>
        <c:axPos val="l"/>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0134922"/>
        <c:crosses val="autoZero"/>
        <c:auto val="1"/>
        <c:lblAlgn val="ctr"/>
        <c:lblOffset val="100"/>
        <c:noMultiLvlLbl val="0"/>
      </c:catAx>
      <c:valAx>
        <c:axId val="85013492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151927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rtlCol="false"/>
          <a:lstStyle/>
          <a:p>
            <a:pPr algn="l">
              <a:defRPr/>
            </a:pPr>
            <a:r>
              <a:rPr lang="zh-CN"/>
              <a:t>一般公共预算基本支出情况</a:t>
            </a:r>
            <a:endParaRPr lang="en-US" sz="1100"/>
          </a:p>
        </c:rich>
      </c:tx>
      <c:layout/>
      <c:overlay val="fals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Sheet1!$A$2:$A$3</c:f>
              <c:strCache>
                <c:ptCount val="2"/>
                <c:pt idx="0">
                  <c:v>人员经费</c:v>
                </c:pt>
                <c:pt idx="1">
                  <c:v>公用经费</c:v>
                </c:pt>
              </c:strCache>
            </c:strRef>
          </c:cat>
          <c:val>
            <c:numRef>
              <c:f>Sheet1!$B$2:$B$3</c:f>
              <c:numCache>
                <c:ptCount val="2"/>
                <c:pt idx="0">
                  <c:v>63.82</c:v>
                </c:pt>
                <c:pt idx="1">
                  <c:v>5.89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一般公共预算“三公”经费安排情况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Sheet1!$A$2:$A$4</c:f>
              <c:strCache>
                <c:ptCount val="3"/>
                <c:pt idx="0">
                  <c:v>公务接待费预算</c:v>
                </c:pt>
                <c:pt idx="1">
                  <c:v>公务用车购置及运行费预算</c:v>
                </c:pt>
                <c:pt idx="2">
                  <c:v>因公出国（境）经费预算</c:v>
                </c:pt>
              </c:strCache>
            </c:strRef>
          </c:cat>
          <c:val>
            <c:numRef>
              <c:f>Sheet1!$B$2:$B$4</c:f>
              <c:numCache>
                <c:formatCode>General</c:formatCode>
                <c:ptCount val="3"/>
                <c:pt idx="0">
                  <c:v>0.3</c:v>
                </c:pt>
                <c:pt idx="1">
                  <c:v>0.0</c:v>
                </c:pt>
                <c:pt idx="2">
                  <c:v>0.0</c:v>
                </c:pt>
              </c:numCache>
            </c:numRef>
          </c:val>
        </c:ser>
        <c:ser>
          <c:idx val="1"/>
          <c:order val="1"/>
          <c:tx>
            <c:strRef>
              <c:f>Sheet1!$C$1</c:f>
              <c:strCache>
                <c:ptCount val="1"/>
                <c:pt idx="0">
                  <c:v>当年</c:v>
                </c:pt>
              </c:strCache>
            </c:strRef>
          </c:tx>
          <c:invertIfNegative val="0"/>
          <c:dLbls>
            <c:delete val="1"/>
          </c:dLbls>
          <c:cat>
            <c:strRef>
              <c:f>Sheet1!$A$2:$A$4</c:f>
              <c:strCache>
                <c:ptCount val="3"/>
                <c:pt idx="0">
                  <c:v>公务接待费预算</c:v>
                </c:pt>
                <c:pt idx="1">
                  <c:v>公务用车购置及运行费预算</c:v>
                </c:pt>
                <c:pt idx="2">
                  <c:v>因公出国（境）经费预算</c:v>
                </c:pt>
              </c:strCache>
            </c:strRef>
          </c:cat>
          <c:val>
            <c:numRef>
              <c:f>Sheet1!$C$2:$C$4</c:f>
              <c:numCache>
                <c:formatCode>General</c:formatCode>
                <c:ptCount val="3"/>
                <c:pt idx="0">
                  <c:v>0.0</c:v>
                </c:pt>
                <c:pt idx="1">
                  <c:v>0.0</c:v>
                </c:pt>
                <c:pt idx="2">
                  <c:v>0.0</c:v>
                </c:pt>
              </c:numCache>
            </c:numRef>
          </c:val>
        </c:ser>
        <c:dLbls>
          <c:showLegendKey val="0"/>
          <c:showVal val="0"/>
          <c:showCatName val="0"/>
          <c:showSerName val="0"/>
          <c:showPercent val="0"/>
          <c:showBubbleSize val="0"/>
        </c:dLbls>
        <c:gapWidth val="182"/>
        <c:overlap val="0"/>
        <c:axId val="587647791"/>
        <c:axId val="468612210"/>
      </c:barChart>
      <c:catAx>
        <c:axId val="58764779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8612210"/>
        <c:crosses val="autoZero"/>
        <c:auto val="1"/>
        <c:lblAlgn val="ctr"/>
        <c:lblOffset val="100"/>
        <c:noMultiLvlLbl val="0"/>
      </c:catAx>
      <c:valAx>
        <c:axId val="46861221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764779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cp:coreProperties xmlns:cp="http://schemas.openxmlformats.org/package/2006/metadata/core-properties" xmlns:dc="http://purl.org/dc/elements/1.1/" xmlns:dcterms="http://purl.org/dc/terms/" xmlns:xsi="http://www.w3.org/2001/XMLSchema-instance">
  <dcterms:created xsi:type="dcterms:W3CDTF">2023-02-07T06:11:00Z</dcterms:created>
  <dc:creator>蔡冬冬</dc:creator>
  <cp:lastModifiedBy>向左走</cp:lastModifiedBy>
  <dcterms:modified xsi:type="dcterms:W3CDTF">2024-02-26T10:01:48Z</dcterms:modified>
  <cp:revision>3</cp:revision>
</cp:coreProperties>
</file>

<file path=customXml/item2.xml><?xml version="1.0" encoding="utf-8"?>
<Properties xmlns="http://schemas.openxmlformats.org/officeDocument/2006/extended-properties" xmlns:vt="http://schemas.openxmlformats.org/officeDocument/2006/docPropsVTypes">
  <Template>Normal.dotm</Template>
  <Pages>35</Pages>
  <Words>8576</Words>
  <Characters>11046</Characters>
  <Lines>105</Lines>
  <Paragraphs>29</Paragraphs>
  <TotalTime>10</TotalTime>
  <ScaleCrop>false</ScaleCrop>
  <LinksUpToDate>false</LinksUpToDate>
  <CharactersWithSpaces>11333</CharactersWithSpaces>
  <Application>WPS Office_12.1.0.16388_F1E327BC-269C-435d-A152-05C5408002CA</Application>
  <DocSecurity>0</DocSecurity>
</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FE193AB58C2A4C168D34CB3A6F7CE640_13</vt:lpwstr>
  </property>
</Properties>
</file>

<file path=customXml/item4.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vt="http://schemas.openxmlformats.org/officeDocument/2006/docPropsVTypes" xmlns="http://schemas.openxmlformats.org/officeDocument/2006/extended-properties">
  <Template>Normal.dotm</Template>
  <TotalTime>10</TotalTime>
  <Pages>35</Pages>
  <Words>8576</Words>
  <Characters>11046</Characters>
  <Application>WPS Office_12.1.0.16388_F1E327BC-269C-435d-A152-05C5408002CA</Application>
  <DocSecurity>0</DocSecurity>
  <Lines>105</Lines>
  <Paragraphs>29</Paragraphs>
  <CharactersWithSpaces>11333</CharactersWithSpaces>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2023-02-07T06:11:00Z</dcterms:created>
  <dc:creator>蔡冬冬</dc:creator>
  <cp:lastModifiedBy>向左走</cp:lastModifiedBy>
  <dcterms:modified xsi:type="dcterms:W3CDTF">2024-03-02T13:47:44Z</dcterms:modified>
  <cp:revision>3</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2052-12.1.0.16388</vt:lpstr>
  </property>
  <property fmtid="{D5CDD505-2E9C-101B-9397-08002B2CF9AE}" pid="3" name="ICV">
    <vt:lpstr>FE193AB58C2A4C168D34CB3A6F7CE640_13</vt:lpstr>
  </property>
</Properties>
</file>