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环江毛南族自治县文物管理所</w:t>
      </w:r>
    </w:p>
    <w:p>
      <w:pPr>
        <w:pStyle w:val="Bodytext|5"/>
        <w:jc w:val="center"/>
        <w:rPr>
          <w:rFonts w:eastAsia="宋体" w:eastAsiaTheme="majorEastAsia" w:hint="eastAsia"/>
          <w:sz w:val="56"/>
          <w:szCs w:val="56"/>
          <w:lang w:val="en-US" w:eastAsia="zh-CN"/>
        </w:rPr>
        <w:sectPr>
          <w:headerReference w:type="default" r:id="rId5"/>
          <w:footerReference w:type="default" r:id="rId6"/>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r>
        <w:rPr>
          <w:rFonts w:ascii="宋体" w:eastAsia="宋体" w:hAnsi="宋体" w:asciiTheme="majorEastAsia" w:eastAsiaTheme="majorEastAsia" w:hAnsiTheme="majorEastAsia" w:cs="Times New Roman" w:cstheme="majorEastAsia" w:hint="eastAsia"/>
          <w:sz w:val="56"/>
          <w:szCs w:val="56"/>
          <w:lang w:val="en-US" w:eastAsia="zh-CN"/>
        </w:rPr>
        <w:t xml:space="preserve">公开</w:t>
      </w:r>
    </w:p>
    <w:p>
      <w:pPr>
        <w:pStyle w:val="Heading#1|1"/>
        <w:keepNext/>
        <w:keepLines/>
        <w:spacing w:after="240"/>
        <w:jc w:val="center"/>
      </w:pPr>
      <w:bookmarkStart w:id="0" w:name="bookmark1"/>
      <w:bookmarkStart w:id="1" w:name="bookmark2"/>
      <w:bookmarkStart w:id="2" w:name="bookmark0"/>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环江毛南族自治县文物管理所</w:t>
      </w:r>
      <w:r>
        <w:rPr>
          <w:u w:color="auto"/>
        </w:rPr>
        <w:t xml:space="preserve">单位</w:t>
      </w:r>
      <w:r>
        <w:t xml:space="preserve">概况</w:t>
      </w:r>
    </w:p>
    <w:p>
      <w:pPr>
        <w:pStyle w:val="Bodytext|2"/>
        <w:jc w:val="left"/>
        <w:rPr>
          <w:rFonts w:hint="eastAsia"/>
          <w:b w:val="0"/>
          <w:bCs w:val="0"/>
          <w:lang w:val="en-US" w:eastAsia="zh-CN"/>
        </w:rPr>
      </w:pPr>
      <w:r>
        <w:rPr>
          <w:rFonts w:hint="eastAsia"/>
          <w:b w:val="0"/>
          <w:bCs w:val="0"/>
          <w:lang w:val="en-US" w:eastAsia="zh-CN"/>
        </w:rPr>
        <w:t xml:space="preserve">一、主要职责</w:t>
      </w:r>
    </w:p>
    <w:p>
      <w:pPr>
        <w:pStyle w:val="Bodytext|2"/>
        <w:jc w:val="left"/>
        <w:rPr>
          <w:rFonts w:hint="eastAsia"/>
          <w:b w:val="0"/>
          <w:bCs w:val="0"/>
        </w:rPr>
      </w:pPr>
      <w:r>
        <w:rPr>
          <w:rFonts w:hint="eastAsia"/>
          <w:b w:val="0"/>
          <w:bCs w:val="0"/>
          <w:lang w:val="en-US" w:eastAsia="zh-CN"/>
        </w:rPr>
        <w:t xml:space="preserve">二、</w:t>
      </w:r>
      <w:r>
        <w:rPr>
          <w:rFonts w:hint="eastAsia"/>
          <w:b w:val="0"/>
          <w:bCs w:val="0"/>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环江毛南族自治县文物管理所</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bookmarkStart w:id="3" w:name="_GoBack"/>
      <w:bookmarkEnd w:id="3"/>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环江毛南族自治县文物管理所</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七、一般公共预算“三公”经费支出情况表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7"/>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4" w:name="bookmark14"/>
      <w:bookmarkStart w:id="5" w:name="bookmark13"/>
      <w:bookmarkStart w:id="6" w:name="bookmark12"/>
      <w:r>
        <w:rPr>
          <w:b/>
          <w:bCs/>
          <w:sz w:val="40"/>
          <w:szCs w:val="40"/>
        </w:rPr>
        <w:t xml:space="preserve">第一部分</w:t>
      </w:r>
      <w:r>
        <w:rPr>
          <w:rFonts w:hint="eastAsia"/>
          <w:b/>
          <w:bCs/>
          <w:sz w:val="40"/>
          <w:szCs w:val="40"/>
          <w:lang w:eastAsia="zh-CN"/>
        </w:rPr>
        <w:t xml:space="preserve">：</w:t>
      </w:r>
      <w:r>
        <w:rPr>
          <w:b/>
          <w:sz w:val="40"/>
          <w:u w:color="auto"/>
        </w:rPr>
        <w:t xml:space="preserve">环江毛南族自治县文物管理所</w:t>
      </w:r>
      <w:r>
        <w:rPr>
          <w:b/>
          <w:bCs/>
          <w:sz w:val="40"/>
          <w:szCs w:val="40"/>
        </w:rPr>
        <w:t xml:space="preserve">概况</w:t>
      </w:r>
      <w:bookmarkEnd w:id="4"/>
      <w:bookmarkEnd w:id="5"/>
      <w:bookmarkEnd w:id="6"/>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管理保护文物，促进文物事业发展。文物保护管理；文物理论：出土文献研究；文物档案资料管理与研究、征集、保管；文物展览；文物保护法宣传；相关资讯与培训。</w:t>
      </w:r>
    </w:p>
    <w:p>
      <w:pPr>
        <w:pStyle w:val="Bodytext|2"/>
        <w:spacing w:after="0" w:line="619" w:lineRule="exact"/>
        <w:ind w:firstLine="620"/>
        <w:jc w:val="left"/>
        <w:rPr>
          <w:rFonts w:hint="eastAsia"/>
          <w:b/>
          <w:bCs/>
          <w:lang w:val="en-US" w:eastAsia="zh-CN"/>
        </w:rPr>
      </w:pPr>
      <w:bookmarkStart w:id="7" w:name="bookmark24"/>
      <w:r>
        <w:rPr>
          <w:rFonts w:hint="eastAsia"/>
          <w:b/>
          <w:bCs/>
          <w:lang w:val="en-US" w:eastAsia="zh-CN"/>
        </w:rPr>
        <w:t xml:space="preserve">二</w:t>
      </w:r>
      <w:bookmarkEnd w:id="7"/>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文物管理所为财政全额拨款公益性一类事业单位。内设机构5个：办公室、宣教部、陈列展览部、安保部、保管部。</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8" w:name="bookmark69"/>
      <w:bookmarkStart w:id="9" w:name="bookmark70"/>
      <w:bookmarkStart w:id="10" w:name="bookmark68"/>
      <w:bookmarkStart w:id="11" w:name="bookmark28"/>
      <w:bookmarkStart w:id="12" w:name="bookmark27"/>
      <w:bookmarkStart w:id="13" w:name="bookmark26"/>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8"/>
      <w:bookmarkEnd w:id="9"/>
      <w:bookmarkEnd w:id="10"/>
      <w:r>
        <w:rPr>
          <w:rFonts w:hint="eastAsia"/>
          <w:b/>
          <w:bCs/>
          <w:sz w:val="40"/>
          <w:szCs w:val="40"/>
          <w:lang w:eastAsia="zh-CN"/>
        </w:rPr>
        <w:t xml:space="preserve">环江毛南族自治县文物管理所</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4" w:name="bookmark71"/>
      <w:r>
        <w:rPr>
          <w:rFonts w:hint="eastAsia"/>
          <w:b/>
          <w:bCs/>
          <w:lang w:val="en-US" w:eastAsia="zh-CN"/>
        </w:rPr>
        <w:t xml:space="preserve">一</w:t>
      </w:r>
      <w:bookmarkEnd w:id="14"/>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120.04</w:t>
      </w:r>
      <w:r>
        <w:rPr>
          <w:rFonts w:hint="eastAsia"/>
          <w:b w:val="0"/>
          <w:bCs w:val="0"/>
          <w:sz w:val="28"/>
          <w:szCs w:val="28"/>
        </w:rPr>
        <w:t xml:space="preserve">万元，总支出</w:t>
      </w:r>
      <w:r>
        <w:rPr>
          <w:rFonts w:hint="eastAsia"/>
          <w:sz w:val="28"/>
          <w:szCs w:val="28"/>
          <w:lang w:val="en-US" w:eastAsia="zh-CN"/>
        </w:rPr>
        <w:t xml:space="preserve">120.04</w:t>
      </w:r>
      <w:r>
        <w:rPr>
          <w:rFonts w:hint="eastAsia"/>
          <w:b w:val="0"/>
          <w:bCs w:val="0"/>
          <w:sz w:val="28"/>
          <w:szCs w:val="28"/>
        </w:rPr>
        <w:t xml:space="preserve">万元。总收入较2023年度预算数</w:t>
      </w:r>
      <w:r>
        <w:rPr>
          <w:rFonts w:hint="eastAsia"/>
          <w:sz w:val="28"/>
          <w:szCs w:val="28"/>
          <w:lang w:val="en-US" w:eastAsia="zh-CN"/>
        </w:rPr>
        <w:t xml:space="preserve">108.44</w:t>
      </w:r>
      <w:r>
        <w:rPr>
          <w:rFonts w:hint="eastAsia"/>
          <w:b w:val="0"/>
          <w:bCs w:val="0"/>
          <w:sz w:val="28"/>
          <w:szCs w:val="28"/>
        </w:rPr>
        <w:t xml:space="preserve">万元，</w:t>
      </w:r>
      <w:r>
        <w:rPr>
          <w:rFonts w:hint="eastAsia"/>
          <w:sz w:val="28"/>
          <w:szCs w:val="28"/>
        </w:rPr>
        <w:t xml:space="preserve">增加11.60</w:t>
      </w:r>
      <w:r>
        <w:rPr>
          <w:rFonts w:hint="eastAsia"/>
          <w:b w:val="0"/>
          <w:bCs w:val="0"/>
          <w:sz w:val="28"/>
          <w:szCs w:val="28"/>
        </w:rPr>
        <w:t xml:space="preserve">万元，</w:t>
      </w:r>
      <w:r>
        <w:rPr>
          <w:rFonts w:hint="eastAsia"/>
          <w:sz w:val="28"/>
          <w:szCs w:val="28"/>
        </w:rPr>
        <w:t xml:space="preserve">增长10.70%</w:t>
      </w:r>
      <w:r>
        <w:rPr>
          <w:rFonts w:hint="eastAsia"/>
          <w:b w:val="0"/>
          <w:bCs w:val="0"/>
          <w:sz w:val="28"/>
          <w:szCs w:val="28"/>
        </w:rPr>
        <w:t xml:space="preserve">，主要原因是</w:t>
      </w:r>
      <w:r>
        <w:rPr>
          <w:rFonts w:hint="eastAsia"/>
          <w:highlight w:val="none"/>
          <w:lang w:val="en-US" w:eastAsia="zh-CN"/>
        </w:rPr>
        <w:t xml:space="preserve">一是基础性绩效工资增量增加；二是上年结转结余安排在2024年使用</w:t>
      </w:r>
      <w:r>
        <w:rPr>
          <w:rFonts w:hint="eastAsia"/>
          <w:b w:val="0"/>
          <w:bCs w:val="0"/>
          <w:sz w:val="28"/>
          <w:szCs w:val="28"/>
        </w:rPr>
        <w:t xml:space="preserve">。总支出较2023年度预算数</w:t>
      </w:r>
      <w:r>
        <w:rPr>
          <w:rFonts w:hint="eastAsia"/>
          <w:sz w:val="28"/>
          <w:szCs w:val="28"/>
          <w:lang w:val="en-US" w:eastAsia="zh-CN"/>
        </w:rPr>
        <w:t xml:space="preserve">108.44</w:t>
      </w:r>
      <w:r>
        <w:rPr>
          <w:rFonts w:hint="eastAsia"/>
          <w:b w:val="0"/>
          <w:bCs w:val="0"/>
          <w:sz w:val="28"/>
          <w:szCs w:val="28"/>
        </w:rPr>
        <w:t xml:space="preserve">万元，</w:t>
      </w:r>
      <w:r>
        <w:rPr>
          <w:rFonts w:hint="eastAsia"/>
          <w:sz w:val="28"/>
          <w:szCs w:val="28"/>
        </w:rPr>
        <w:t xml:space="preserve">增加11.60</w:t>
      </w:r>
      <w:r>
        <w:rPr>
          <w:rFonts w:hint="eastAsia"/>
          <w:b w:val="0"/>
          <w:bCs w:val="0"/>
          <w:sz w:val="28"/>
          <w:szCs w:val="28"/>
        </w:rPr>
        <w:t xml:space="preserve">万元，</w:t>
      </w:r>
      <w:r>
        <w:rPr>
          <w:rFonts w:hint="eastAsia"/>
          <w:sz w:val="28"/>
          <w:szCs w:val="28"/>
        </w:rPr>
        <w:t xml:space="preserve">增长10.70%</w:t>
      </w:r>
      <w:r>
        <w:rPr>
          <w:rFonts w:hint="eastAsia"/>
          <w:b w:val="0"/>
          <w:bCs w:val="0"/>
          <w:sz w:val="28"/>
          <w:szCs w:val="28"/>
        </w:rPr>
        <w:t xml:space="preserve">，主要原因是</w:t>
      </w:r>
      <w:r>
        <w:rPr>
          <w:rFonts w:hint="eastAsia"/>
          <w:highlight w:val="none"/>
          <w:lang w:val="en-US" w:eastAsia="zh-CN"/>
        </w:rPr>
        <w:t xml:space="preserve">一是基础性绩效工资增量增加；二是上年结转结余安排在2024年使用</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2230"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120.04</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108.44</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增加11.60</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增长10.70%</w:t>
      </w:r>
      <w:r>
        <w:rPr>
          <w:rFonts w:ascii="宋体" w:eastAsia="宋体" w:hAnsi="宋体" w:cs="宋体" w:hint="eastAsia"/>
          <w:sz w:val="28"/>
          <w:szCs w:val="28"/>
          <w:u w:color="auto"/>
        </w:rPr>
        <w:t xml:space="preserve">，主要原因是</w:t>
      </w:r>
      <w:r>
        <w:rPr>
          <w:rFonts w:hint="eastAsia"/>
          <w:highlight w:val="none"/>
          <w:lang w:val="en-US" w:eastAsia="zh-CN"/>
        </w:rPr>
        <w:t xml:space="preserve">一是基础性绩效工资增量增加；二是上年结转结余安排在2024年使用</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2231"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120.04</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108.44</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增加11.60</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增长10.70%</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一是基础性绩效工资增量增加；二是上年结转结余安排在2024年使用</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住房保障支出、文化旅游体育与传媒支出、一般公共服务支出、社会保障和就业支出</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4</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9.61</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8.01%</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增长0.85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增长9.70%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基数调整增加</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文化旅游体育与传媒支出</w:t>
      </w:r>
      <w:r>
        <w:rPr>
          <w:rFonts w:ascii="宋体" w:eastAsia="宋体" w:hAnsi="宋体" w:cs="宋体" w:hint="eastAsia"/>
          <w:sz w:val="28"/>
          <w:szCs w:val="28"/>
          <w:lang w:val="en-US" w:eastAsia="zh-CN"/>
        </w:rPr>
        <w:t xml:space="preserve">98.25</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81.85%</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增长11.72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增长13.54%</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基础性绩效工资增量增加</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0.97</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0.81%</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减少0.49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减少33.56%</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工会费支出减少</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11.20</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9.33%</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减少0.49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减少4.19%</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基数调整</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96.38</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80.29%</w:t>
      </w:r>
      <w:r>
        <w:rPr>
          <w:rFonts w:ascii="宋体" w:eastAsia="宋体" w:hAnsi="宋体" w:cs="宋体"/>
          <w:sz w:val="28"/>
          <w:u w:color="auto"/>
        </w:rPr>
        <w:t xml:space="preserve">,比上年</w:t>
      </w:r>
      <w:r>
        <w:rPr>
          <w:rFonts w:ascii="宋体" w:eastAsia="宋体" w:hAnsi="宋体" w:cs="宋体"/>
          <w:sz w:val="28"/>
          <w:u w:color="auto"/>
        </w:rPr>
        <w:t xml:space="preserve">增长16.23</w:t>
      </w:r>
      <w:r>
        <w:rPr>
          <w:rFonts w:ascii="宋体" w:eastAsia="宋体" w:hAnsi="宋体" w:cs="宋体"/>
          <w:sz w:val="28"/>
          <w:u w:color="auto"/>
        </w:rPr>
        <w:t xml:space="preserve">万元，</w:t>
      </w:r>
      <w:r>
        <w:rPr>
          <w:rFonts w:ascii="宋体" w:eastAsia="宋体" w:hAnsi="宋体" w:cs="宋体"/>
          <w:sz w:val="28"/>
          <w:u w:color="auto"/>
        </w:rPr>
        <w:t xml:space="preserve">增长20.25%</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90.78</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94.19%</w:t>
      </w:r>
      <w:r>
        <w:rPr>
          <w:rFonts w:ascii="宋体" w:eastAsia="宋体" w:hAnsi="宋体" w:cs="宋体" w:hint="eastAsia"/>
          <w:sz w:val="28"/>
          <w:szCs w:val="28"/>
        </w:rPr>
        <w:t xml:space="preserve">,比上年</w:t>
      </w:r>
      <w:r>
        <w:rPr>
          <w:rFonts w:ascii="宋体" w:eastAsia="宋体" w:hAnsi="宋体" w:cs="宋体"/>
          <w:sz w:val="28"/>
          <w:u w:color="auto"/>
        </w:rPr>
        <w:t xml:space="preserve">增长15.72</w:t>
      </w:r>
      <w:r>
        <w:rPr>
          <w:rFonts w:ascii="宋体" w:eastAsia="宋体" w:hAnsi="宋体" w:cs="宋体"/>
          <w:sz w:val="28"/>
          <w:u w:color="auto"/>
        </w:rPr>
        <w:t xml:space="preserve">万元，</w:t>
      </w:r>
      <w:r>
        <w:rPr>
          <w:rFonts w:ascii="宋体" w:eastAsia="宋体" w:hAnsi="宋体" w:cs="宋体"/>
          <w:sz w:val="28"/>
          <w:u w:color="auto"/>
        </w:rPr>
        <w:t xml:space="preserve">增长20.94%</w:t>
      </w:r>
      <w:r>
        <w:rPr>
          <w:rFonts w:ascii="宋体" w:eastAsia="宋体" w:hAnsi="宋体" w:cs="宋体"/>
          <w:sz w:val="28"/>
          <w:u w:color="auto"/>
        </w:rPr>
        <w:t xml:space="preserve">,主要原因是：一是基础性绩效工资增量增加；二是公积金调整增加支出</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4.60</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4.77%</w:t>
      </w:r>
      <w:r>
        <w:rPr>
          <w:rFonts w:ascii="宋体" w:eastAsia="宋体" w:hAnsi="宋体" w:cs="宋体" w:hint="eastAsia"/>
          <w:sz w:val="28"/>
          <w:szCs w:val="28"/>
        </w:rPr>
        <w:t xml:space="preserve">,比上年</w:t>
      </w:r>
      <w:r>
        <w:rPr>
          <w:rFonts w:ascii="宋体" w:eastAsia="宋体" w:hAnsi="宋体" w:cs="宋体"/>
          <w:sz w:val="28"/>
          <w:u w:color="auto"/>
        </w:rPr>
        <w:t xml:space="preserve">减少0.49</w:t>
      </w:r>
      <w:r>
        <w:rPr>
          <w:rFonts w:ascii="宋体" w:eastAsia="宋体" w:hAnsi="宋体" w:cs="宋体"/>
          <w:sz w:val="28"/>
          <w:u w:color="auto"/>
        </w:rPr>
        <w:t xml:space="preserve">万元，</w:t>
      </w:r>
      <w:r>
        <w:rPr>
          <w:rFonts w:ascii="宋体" w:eastAsia="宋体" w:hAnsi="宋体" w:cs="宋体"/>
          <w:sz w:val="28"/>
          <w:u w:color="auto"/>
        </w:rPr>
        <w:t xml:space="preserve">减少9.63%</w:t>
      </w:r>
      <w:r>
        <w:rPr>
          <w:rFonts w:ascii="宋体" w:eastAsia="宋体" w:hAnsi="宋体" w:cs="宋体"/>
          <w:sz w:val="28"/>
          <w:u w:color="auto"/>
        </w:rPr>
        <w:t xml:space="preserve">,主要原因是：工会费支出减少</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1.00</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1.04%</w:t>
      </w:r>
      <w:r>
        <w:rPr>
          <w:rFonts w:ascii="宋体" w:eastAsia="宋体" w:hAnsi="宋体" w:cs="宋体" w:hint="eastAsia"/>
          <w:sz w:val="28"/>
          <w:szCs w:val="28"/>
        </w:rPr>
        <w:t xml:space="preserve">,比上年</w:t>
      </w:r>
      <w:r>
        <w:rPr>
          <w:rFonts w:ascii="宋体" w:eastAsia="宋体" w:hAnsi="宋体" w:cs="宋体"/>
          <w:sz w:val="28"/>
          <w:u w:color="auto"/>
        </w:rPr>
        <w:t xml:space="preserve">增长1.00</w:t>
      </w:r>
      <w:r>
        <w:rPr>
          <w:rFonts w:ascii="宋体" w:eastAsia="宋体" w:hAnsi="宋体" w:cs="宋体"/>
          <w:sz w:val="28"/>
          <w:u w:color="auto"/>
        </w:rPr>
        <w:t xml:space="preserve">万元，</w:t>
      </w:r>
      <w:r>
        <w:rPr>
          <w:rFonts w:ascii="宋体" w:eastAsia="宋体" w:hAnsi="宋体" w:cs="宋体"/>
          <w:sz w:val="28"/>
          <w:u w:color="auto"/>
        </w:rPr>
        <w:t xml:space="preserve">增长100%</w:t>
      </w:r>
      <w:r>
        <w:rPr>
          <w:rFonts w:ascii="宋体" w:eastAsia="宋体" w:hAnsi="宋体" w:cs="宋体"/>
          <w:sz w:val="28"/>
          <w:u w:color="auto"/>
        </w:rPr>
        <w:t xml:space="preserve">,主要原因是：退休人员生活补助标准提高</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23.66</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19.71%</w:t>
      </w:r>
      <w:r>
        <w:rPr>
          <w:rFonts w:ascii="宋体" w:eastAsia="宋体" w:hAnsi="宋体" w:cs="宋体" w:hint="eastAsia"/>
          <w:sz w:val="28"/>
          <w:szCs w:val="28"/>
        </w:rPr>
        <w:t xml:space="preserve">,比上年</w:t>
      </w:r>
      <w:r>
        <w:rPr>
          <w:rFonts w:ascii="宋体" w:eastAsia="宋体" w:hAnsi="宋体" w:cs="宋体"/>
          <w:sz w:val="28"/>
          <w:u w:color="auto"/>
        </w:rPr>
        <w:t xml:space="preserve">减少4.63</w:t>
      </w:r>
      <w:r>
        <w:rPr>
          <w:rFonts w:ascii="宋体" w:eastAsia="宋体" w:hAnsi="宋体" w:cs="宋体" w:hint="eastAsia"/>
          <w:sz w:val="28"/>
          <w:szCs w:val="28"/>
        </w:rPr>
        <w:t xml:space="preserve">万元，</w:t>
      </w:r>
      <w:r>
        <w:rPr>
          <w:rFonts w:ascii="宋体" w:eastAsia="宋体" w:hAnsi="宋体" w:cs="宋体"/>
          <w:sz w:val="28"/>
          <w:u w:color="auto"/>
        </w:rPr>
        <w:t xml:space="preserve">减少16.37%</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0.70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2.96%</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增长0.70</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增长100%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本年度新增项目</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22.94</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96.96%</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增长12.51</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增长119.94%</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一是上年结转结余安排在2024年使用；二是调整其他运转类到项目支出预算</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0.02</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0.08%</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减少16.84</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减少99.88%</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基础性绩效工资增量在基本支出预算，不再保留有预发绩效奖的支出预算</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资本性支出（基本建设）</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0.00%</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减少1.00</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减少100.00%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本年度我单位部门预算无资本性支出（基本建设）预算</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2232"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120.04</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120.04</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108.44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增加11.60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增长10.70%</w:t>
      </w:r>
      <w:r>
        <w:rPr>
          <w:rFonts w:ascii="宋体" w:eastAsia="宋体" w:hAnsi="宋体" w:cs="宋体" w:hint="eastAsia"/>
          <w:sz w:val="28"/>
          <w:szCs w:val="28"/>
        </w:rPr>
        <w:t xml:space="preserve">，主要原因是</w:t>
      </w:r>
      <w:r>
        <w:rPr>
          <w:rFonts w:hint="eastAsia"/>
          <w:highlight w:val="none"/>
          <w:lang w:val="en-US" w:eastAsia="zh-CN"/>
        </w:rPr>
        <w:t xml:space="preserve">一是基础性绩效工资增量增加；二是上年结转结余安排在2024年使用</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108.44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增加11.60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增长10.70%</w:t>
      </w:r>
      <w:r>
        <w:rPr>
          <w:rFonts w:ascii="宋体" w:eastAsia="宋体" w:hAnsi="宋体" w:cs="宋体" w:hint="eastAsia"/>
          <w:sz w:val="28"/>
          <w:szCs w:val="28"/>
        </w:rPr>
        <w:t xml:space="preserve">，主要原因是</w:t>
      </w:r>
      <w:r>
        <w:rPr>
          <w:rFonts w:hint="eastAsia"/>
          <w:highlight w:val="none"/>
          <w:lang w:val="en-US" w:eastAsia="zh-CN"/>
        </w:rPr>
        <w:t xml:space="preserve">一是基础性绩效工资增量增加；二是上年结转结余安排在2024年使用</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2233"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120.04</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108.44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增加11.60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增长10.70%</w:t>
      </w:r>
      <w:r>
        <w:rPr>
          <w:rFonts w:ascii="宋体" w:eastAsia="宋体" w:hAnsi="宋体" w:cs="宋体" w:hint="eastAsia"/>
          <w:sz w:val="28"/>
          <w:szCs w:val="28"/>
        </w:rPr>
        <w:t xml:space="preserve">，主要原因是</w:t>
      </w:r>
      <w:r>
        <w:rPr>
          <w:rFonts w:hint="eastAsia"/>
          <w:highlight w:val="none"/>
          <w:lang w:val="en-US" w:eastAsia="zh-CN"/>
        </w:rPr>
        <w:t xml:space="preserve">一是基础性绩效工资增量增加；二是上年结转结余安排在2024年使用</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0.97</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0.81%</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1.46</w:t>
      </w:r>
      <w:r>
        <w:rPr>
          <w:rFonts w:ascii="宋体" w:eastAsia="宋体" w:hAnsi="宋体" w:cs="宋体" w:hint="eastAsia"/>
          <w:sz w:val="28"/>
          <w:szCs w:val="28"/>
        </w:rPr>
        <w:t xml:space="preserve">万元，</w:t>
      </w:r>
      <w:r>
        <w:rPr>
          <w:rFonts w:ascii="宋体" w:eastAsia="宋体" w:hAnsi="宋体" w:cs="宋体"/>
          <w:sz w:val="28"/>
          <w:u w:color="auto"/>
        </w:rPr>
        <w:t xml:space="preserve">减少0.49</w:t>
      </w:r>
      <w:r>
        <w:rPr>
          <w:rFonts w:ascii="宋体" w:eastAsia="宋体" w:hAnsi="宋体" w:cs="宋体" w:hint="eastAsia"/>
          <w:sz w:val="28"/>
          <w:szCs w:val="28"/>
        </w:rPr>
        <w:t xml:space="preserve">万元，</w:t>
      </w:r>
      <w:r>
        <w:rPr>
          <w:rFonts w:ascii="宋体" w:eastAsia="宋体" w:hAnsi="宋体" w:cs="宋体"/>
          <w:sz w:val="28"/>
          <w:u w:color="auto"/>
        </w:rPr>
        <w:t xml:space="preserve">减少33.56%</w:t>
      </w:r>
      <w:r>
        <w:rPr>
          <w:rFonts w:ascii="宋体" w:eastAsia="宋体" w:hAnsi="宋体" w:cs="宋体" w:hint="eastAsia"/>
          <w:sz w:val="28"/>
          <w:szCs w:val="28"/>
        </w:rPr>
        <w:t xml:space="preserve">，主要原因是：</w:t>
      </w:r>
      <w:r>
        <w:rPr>
          <w:rFonts w:hint="eastAsia"/>
          <w:highlight w:val="none"/>
        </w:rPr>
        <w:t xml:space="preserve">工会费支出减少</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9.61</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8.01%</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8.76</w:t>
      </w:r>
      <w:r>
        <w:rPr>
          <w:rFonts w:ascii="宋体" w:eastAsia="宋体" w:hAnsi="宋体" w:cs="宋体" w:hint="eastAsia"/>
          <w:sz w:val="28"/>
          <w:szCs w:val="28"/>
        </w:rPr>
        <w:t xml:space="preserve">万元，</w:t>
      </w:r>
      <w:r>
        <w:rPr>
          <w:rFonts w:ascii="宋体" w:eastAsia="宋体" w:hAnsi="宋体" w:cs="宋体"/>
          <w:sz w:val="28"/>
          <w:u w:color="auto"/>
        </w:rPr>
        <w:t xml:space="preserve">增长0.85</w:t>
      </w:r>
      <w:r>
        <w:rPr>
          <w:rFonts w:ascii="宋体" w:eastAsia="宋体" w:hAnsi="宋体" w:cs="宋体" w:hint="eastAsia"/>
          <w:sz w:val="28"/>
          <w:szCs w:val="28"/>
        </w:rPr>
        <w:t xml:space="preserve">万元，</w:t>
      </w:r>
      <w:r>
        <w:rPr>
          <w:rFonts w:ascii="宋体" w:eastAsia="宋体" w:hAnsi="宋体" w:cs="宋体"/>
          <w:sz w:val="28"/>
          <w:u w:color="auto"/>
        </w:rPr>
        <w:t xml:space="preserve">增长9.70%</w:t>
      </w:r>
      <w:r>
        <w:rPr>
          <w:rFonts w:ascii="宋体" w:eastAsia="宋体" w:hAnsi="宋体" w:cs="宋体" w:hint="eastAsia"/>
          <w:sz w:val="28"/>
          <w:szCs w:val="28"/>
        </w:rPr>
        <w:t xml:space="preserve">，主要原因是：</w:t>
      </w:r>
      <w:r>
        <w:rPr>
          <w:rFonts w:hint="eastAsia"/>
          <w:highlight w:val="none"/>
        </w:rPr>
        <w:t xml:space="preserve">基数调整增加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文化旅游体育与传媒支出</w:t>
      </w:r>
      <w:r>
        <w:rPr>
          <w:rFonts w:ascii="宋体" w:eastAsia="宋体" w:hAnsi="宋体" w:cs="宋体" w:hint="eastAsia"/>
          <w:sz w:val="28"/>
          <w:szCs w:val="28"/>
        </w:rPr>
        <w:t xml:space="preserve">（类）支出</w:t>
      </w:r>
      <w:r>
        <w:rPr>
          <w:rFonts w:ascii="宋体" w:eastAsia="宋体" w:hAnsi="宋体" w:cs="宋体"/>
          <w:sz w:val="28"/>
          <w:u w:color="auto"/>
        </w:rPr>
        <w:t xml:space="preserve">98.25</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81.85%</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86.53</w:t>
      </w:r>
      <w:r>
        <w:rPr>
          <w:rFonts w:ascii="宋体" w:eastAsia="宋体" w:hAnsi="宋体" w:cs="宋体" w:hint="eastAsia"/>
          <w:sz w:val="28"/>
          <w:szCs w:val="28"/>
        </w:rPr>
        <w:t xml:space="preserve">万元，</w:t>
      </w:r>
      <w:r>
        <w:rPr>
          <w:rFonts w:ascii="宋体" w:eastAsia="宋体" w:hAnsi="宋体" w:cs="宋体"/>
          <w:sz w:val="28"/>
          <w:u w:color="auto"/>
        </w:rPr>
        <w:t xml:space="preserve">增长11.72</w:t>
      </w:r>
      <w:r>
        <w:rPr>
          <w:rFonts w:ascii="宋体" w:eastAsia="宋体" w:hAnsi="宋体" w:cs="宋体" w:hint="eastAsia"/>
          <w:sz w:val="28"/>
          <w:szCs w:val="28"/>
        </w:rPr>
        <w:t xml:space="preserve">万元，</w:t>
      </w:r>
      <w:r>
        <w:rPr>
          <w:rFonts w:ascii="宋体" w:eastAsia="宋体" w:hAnsi="宋体" w:cs="宋体"/>
          <w:sz w:val="28"/>
          <w:u w:color="auto"/>
        </w:rPr>
        <w:t xml:space="preserve">增长13.54%</w:t>
      </w:r>
      <w:r>
        <w:rPr>
          <w:rFonts w:ascii="宋体" w:eastAsia="宋体" w:hAnsi="宋体" w:cs="宋体" w:hint="eastAsia"/>
          <w:sz w:val="28"/>
          <w:szCs w:val="28"/>
        </w:rPr>
        <w:t xml:space="preserve">，主要原因是：</w:t>
      </w:r>
      <w:r>
        <w:rPr>
          <w:rFonts w:hint="eastAsia"/>
          <w:highlight w:val="none"/>
        </w:rPr>
        <w:t xml:space="preserve">一是基础性绩效工资增量增加；二是公积金基数调整增加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11.20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9.33%</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11.69</w:t>
      </w:r>
      <w:r>
        <w:rPr>
          <w:rFonts w:ascii="宋体" w:eastAsia="宋体" w:hAnsi="宋体" w:cs="宋体" w:hint="eastAsia"/>
          <w:sz w:val="28"/>
          <w:szCs w:val="28"/>
        </w:rPr>
        <w:t xml:space="preserve">万元，</w:t>
      </w:r>
      <w:r>
        <w:rPr>
          <w:rFonts w:ascii="宋体" w:eastAsia="宋体" w:hAnsi="宋体" w:cs="宋体"/>
          <w:sz w:val="28"/>
          <w:u w:color="auto"/>
        </w:rPr>
        <w:t xml:space="preserve">减少0.49</w:t>
      </w:r>
      <w:r>
        <w:rPr>
          <w:rFonts w:ascii="宋体" w:eastAsia="宋体" w:hAnsi="宋体" w:cs="宋体" w:hint="eastAsia"/>
          <w:sz w:val="28"/>
          <w:szCs w:val="28"/>
        </w:rPr>
        <w:t xml:space="preserve">万元，</w:t>
      </w:r>
      <w:r>
        <w:rPr>
          <w:rFonts w:ascii="宋体" w:eastAsia="宋体" w:hAnsi="宋体" w:cs="宋体"/>
          <w:sz w:val="28"/>
          <w:u w:color="auto"/>
        </w:rPr>
        <w:t xml:space="preserve">减少4.19%</w:t>
      </w:r>
      <w:r>
        <w:rPr>
          <w:rFonts w:ascii="宋体" w:eastAsia="宋体" w:hAnsi="宋体" w:cs="宋体" w:hint="eastAsia"/>
          <w:sz w:val="28"/>
          <w:szCs w:val="28"/>
        </w:rPr>
        <w:t xml:space="preserve">，主要原因是：</w:t>
      </w:r>
      <w:r>
        <w:rPr>
          <w:rFonts w:hint="eastAsia"/>
          <w:highlight w:val="none"/>
        </w:rPr>
        <w:t xml:space="preserve">基数调整</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2234"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96.38</w:t>
      </w:r>
      <w:r>
        <w:rPr>
          <w:rFonts w:hint="eastAsia"/>
        </w:rPr>
        <w:t xml:space="preserve">万元，较2023年度预算数</w:t>
      </w:r>
      <w:r>
        <w:rPr>
          <w:rFonts w:hint="eastAsia"/>
          <w:lang w:val="en-US" w:eastAsia="zh-CN"/>
        </w:rPr>
        <w:t xml:space="preserve">80.15</w:t>
      </w:r>
      <w:r>
        <w:rPr>
          <w:rFonts w:hint="eastAsia"/>
        </w:rPr>
        <w:t xml:space="preserve">万元</w:t>
      </w:r>
      <w:r>
        <w:rPr>
          <w:rFonts w:hint="eastAsia"/>
          <w:lang w:val="en-US" w:eastAsia="zh-CN"/>
        </w:rPr>
        <w:t xml:space="preserve">,</w:t>
      </w:r>
      <w:r>
        <w:rPr>
          <w:u w:color="auto"/>
        </w:rPr>
        <w:t xml:space="preserve">增加16.23</w:t>
      </w:r>
      <w:r>
        <w:rPr>
          <w:rFonts w:hint="eastAsia"/>
        </w:rPr>
        <w:t xml:space="preserve">万元，</w:t>
      </w:r>
      <w:r>
        <w:rPr>
          <w:rFonts w:hint="eastAsia"/>
          <w:lang w:val="en-US" w:eastAsia="zh-CN"/>
        </w:rPr>
        <w:t xml:space="preserve">增长20.25%</w:t>
      </w:r>
      <w:r>
        <w:rPr>
          <w:rFonts w:hint="eastAsia"/>
        </w:rPr>
        <w:t xml:space="preserve">，主要原因是</w:t>
      </w:r>
      <w:r>
        <w:rPr>
          <w:rFonts w:hint="eastAsia"/>
          <w:highlight w:val="none"/>
          <w:lang w:val="en-US" w:eastAsia="zh-CN"/>
        </w:rPr>
        <w:t xml:space="preserve">一是基础性绩效工资增量增加；二是公积金调整增加支出</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90.78</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94.19%</w:t>
      </w:r>
      <w:r>
        <w:rPr>
          <w:rFonts w:hint="eastAsia"/>
        </w:rPr>
        <w:t xml:space="preserve">，较2023年度预算数</w:t>
      </w:r>
      <w:r>
        <w:rPr>
          <w:rFonts w:hint="eastAsia"/>
          <w:lang w:val="en-US" w:eastAsia="zh-CN"/>
        </w:rPr>
        <w:t xml:space="preserve">75.06</w:t>
      </w:r>
      <w:r>
        <w:rPr>
          <w:rFonts w:hint="eastAsia"/>
        </w:rPr>
        <w:t xml:space="preserve">万元，</w:t>
      </w:r>
      <w:r>
        <w:rPr>
          <w:rFonts w:hint="eastAsia"/>
          <w:lang w:val="en-US" w:eastAsia="zh-CN"/>
        </w:rPr>
        <w:t xml:space="preserve">增长15.72</w:t>
      </w:r>
      <w:r>
        <w:rPr>
          <w:rFonts w:hint="eastAsia"/>
        </w:rPr>
        <w:t xml:space="preserve">万元，</w:t>
      </w:r>
      <w:r>
        <w:rPr>
          <w:rFonts w:hint="eastAsia"/>
          <w:lang w:val="en-US" w:eastAsia="zh-CN"/>
        </w:rPr>
        <w:t xml:space="preserve">增长20.94%</w:t>
      </w:r>
      <w:r>
        <w:rPr>
          <w:rFonts w:hint="eastAsia"/>
        </w:rPr>
        <w:t xml:space="preserve">，主要原因是：</w:t>
      </w:r>
      <w:r>
        <w:rPr>
          <w:rFonts w:hint="eastAsia"/>
          <w:highlight w:val="none"/>
        </w:rPr>
        <w:t xml:space="preserve">一是基础性绩效工资增量增加；二是公积金调整增加支出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4.60</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4.77%</w:t>
      </w:r>
      <w:r>
        <w:rPr>
          <w:rFonts w:hint="eastAsia"/>
        </w:rPr>
        <w:t xml:space="preserve">，较2023年度预算数</w:t>
      </w:r>
      <w:r>
        <w:rPr>
          <w:rFonts w:hint="eastAsia"/>
          <w:lang w:val="en-US" w:eastAsia="zh-CN"/>
        </w:rPr>
        <w:t xml:space="preserve">5.09</w:t>
      </w:r>
      <w:r>
        <w:rPr>
          <w:rFonts w:hint="eastAsia"/>
        </w:rPr>
        <w:t xml:space="preserve">万元，</w:t>
      </w:r>
      <w:r>
        <w:rPr>
          <w:rFonts w:hint="eastAsia"/>
          <w:lang w:val="en-US" w:eastAsia="zh-CN"/>
        </w:rPr>
        <w:t xml:space="preserve">减少0.49</w:t>
      </w:r>
      <w:r>
        <w:rPr>
          <w:rFonts w:hint="eastAsia"/>
        </w:rPr>
        <w:t xml:space="preserve">万元，</w:t>
      </w:r>
      <w:r>
        <w:rPr>
          <w:rFonts w:hint="eastAsia"/>
          <w:lang w:val="en-US" w:eastAsia="zh-CN"/>
        </w:rPr>
        <w:t xml:space="preserve">减少9.63%</w:t>
      </w:r>
      <w:r>
        <w:rPr>
          <w:rFonts w:hint="eastAsia"/>
        </w:rPr>
        <w:t xml:space="preserve">，主要原因是：</w:t>
      </w:r>
      <w:r>
        <w:rPr>
          <w:rFonts w:hint="eastAsia"/>
          <w:highlight w:val="none"/>
        </w:rPr>
        <w:t xml:space="preserve">工会费支出减少</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1.00</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1.04%</w:t>
      </w:r>
      <w:r>
        <w:rPr>
          <w:rFonts w:hint="eastAsia"/>
        </w:rPr>
        <w:t xml:space="preserve">，较2023年度预算数</w:t>
      </w:r>
      <w:r>
        <w:rPr>
          <w:rFonts w:hint="eastAsia"/>
          <w:lang w:val="en-US" w:eastAsia="zh-CN"/>
        </w:rPr>
        <w:t xml:space="preserve">0.00</w:t>
      </w:r>
      <w:r>
        <w:rPr>
          <w:rFonts w:hint="eastAsia"/>
        </w:rPr>
        <w:t xml:space="preserve">万元，</w:t>
      </w:r>
      <w:r>
        <w:rPr>
          <w:rFonts w:hint="eastAsia"/>
          <w:lang w:val="en-US" w:eastAsia="zh-CN"/>
        </w:rPr>
        <w:t xml:space="preserve">增长1.00</w:t>
      </w:r>
      <w:r>
        <w:rPr>
          <w:rFonts w:hint="eastAsia"/>
        </w:rPr>
        <w:t xml:space="preserve">万元，</w:t>
      </w:r>
      <w:r>
        <w:rPr>
          <w:rFonts w:hint="eastAsia"/>
          <w:lang w:val="en-US" w:eastAsia="zh-CN"/>
        </w:rPr>
        <w:t xml:space="preserve">增长100%</w:t>
      </w:r>
      <w:r>
        <w:rPr>
          <w:rFonts w:hint="eastAsia"/>
        </w:rPr>
        <w:t xml:space="preserve">，主要原因是：</w:t>
      </w:r>
      <w:r>
        <w:rPr>
          <w:rFonts w:hint="eastAsia"/>
          <w:highlight w:val="none"/>
        </w:rPr>
        <w:t xml:space="preserve">退休人员生活补助标准提高</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2235"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5"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1.95</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1.95</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1.95</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1.95</w:t>
      </w:r>
      <w:r>
        <w:rPr>
          <w:rFonts w:hint="eastAsia"/>
          <w:b w:val="0"/>
          <w:bCs w:val="0"/>
          <w:sz w:val="28"/>
          <w:szCs w:val="28"/>
        </w:rPr>
        <w:t xml:space="preserve">万元，同口径较2023年度预算数</w:t>
      </w:r>
      <w:r>
        <w:rPr>
          <w:rFonts w:hint="eastAsia"/>
          <w:b w:val="0"/>
          <w:bCs w:val="0"/>
          <w:sz w:val="28"/>
          <w:szCs w:val="28"/>
          <w:lang w:val="en-US" w:eastAsia="zh-CN"/>
        </w:rPr>
        <w:t xml:space="preserve">2.25</w:t>
      </w:r>
      <w:r>
        <w:rPr>
          <w:rFonts w:hint="eastAsia"/>
          <w:b w:val="0"/>
          <w:bCs w:val="0"/>
          <w:sz w:val="28"/>
          <w:szCs w:val="28"/>
        </w:rPr>
        <w:t xml:space="preserve">万元，</w:t>
      </w:r>
      <w:r>
        <w:rPr>
          <w:rFonts w:hint="eastAsia"/>
          <w:b w:val="0"/>
          <w:bCs w:val="0"/>
          <w:sz w:val="28"/>
          <w:szCs w:val="28"/>
          <w:lang w:val="en-US" w:eastAsia="zh-CN"/>
        </w:rPr>
        <w:t xml:space="preserve">减少0.30</w:t>
      </w:r>
      <w:r>
        <w:rPr>
          <w:rFonts w:hint="eastAsia"/>
          <w:b w:val="0"/>
          <w:bCs w:val="0"/>
          <w:sz w:val="28"/>
          <w:szCs w:val="28"/>
        </w:rPr>
        <w:t xml:space="preserve">万元，</w:t>
      </w:r>
      <w:r>
        <w:rPr>
          <w:rFonts w:hint="eastAsia"/>
          <w:b w:val="0"/>
          <w:bCs w:val="0"/>
          <w:sz w:val="28"/>
          <w:szCs w:val="28"/>
          <w:lang w:val="en-US" w:eastAsia="zh-CN"/>
        </w:rPr>
        <w:t xml:space="preserve">减少13.33%</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我单位2024年无因公出国（境）活动安排</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0.30</w:t>
      </w:r>
      <w:r>
        <w:rPr>
          <w:rFonts w:hint="eastAsia"/>
          <w:b w:val="0"/>
          <w:bCs w:val="0"/>
          <w:sz w:val="28"/>
          <w:szCs w:val="28"/>
        </w:rPr>
        <w:t xml:space="preserve">万元，</w:t>
      </w:r>
      <w:r>
        <w:rPr>
          <w:sz w:val="28"/>
          <w:u w:color="auto"/>
        </w:rPr>
        <w:t xml:space="preserve">减少0.30</w:t>
      </w:r>
      <w:r>
        <w:rPr>
          <w:rFonts w:hint="eastAsia"/>
          <w:b w:val="0"/>
          <w:bCs w:val="0"/>
          <w:sz w:val="28"/>
          <w:szCs w:val="28"/>
        </w:rPr>
        <w:t xml:space="preserve">万元，</w:t>
      </w:r>
      <w:r>
        <w:rPr>
          <w:sz w:val="28"/>
          <w:u w:color="auto"/>
        </w:rPr>
        <w:t xml:space="preserve">减少100.00%</w:t>
      </w:r>
      <w:r>
        <w:rPr>
          <w:rFonts w:hint="eastAsia"/>
          <w:b w:val="0"/>
          <w:bCs w:val="0"/>
          <w:sz w:val="28"/>
          <w:szCs w:val="28"/>
        </w:rPr>
        <w:t xml:space="preserve">，主要原因是</w:t>
      </w:r>
      <w:r>
        <w:rPr>
          <w:rFonts w:hint="eastAsia"/>
          <w:sz w:val="28"/>
          <w:szCs w:val="28"/>
          <w:highlight w:val="none"/>
          <w:lang w:val="en-US" w:eastAsia="zh-CN"/>
        </w:rPr>
        <w:t xml:space="preserve">我单位2024年无公务接待费预算</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1.95</w:t>
      </w:r>
      <w:r>
        <w:rPr>
          <w:rFonts w:hint="eastAsia"/>
          <w:b w:val="0"/>
          <w:bCs w:val="0"/>
          <w:sz w:val="28"/>
          <w:szCs w:val="28"/>
        </w:rPr>
        <w:t xml:space="preserve">万元，较2023年度预算数</w:t>
      </w:r>
      <w:r>
        <w:rPr>
          <w:sz w:val="28"/>
          <w:u w:color="auto"/>
        </w:rPr>
        <w:t xml:space="preserve">1.95</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我单位2024年没有购买公车</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1.95</w:t>
      </w:r>
      <w:r>
        <w:rPr>
          <w:rFonts w:hint="eastAsia"/>
          <w:b w:val="0"/>
          <w:bCs w:val="0"/>
          <w:sz w:val="28"/>
          <w:szCs w:val="28"/>
        </w:rPr>
        <w:t xml:space="preserve">万元，较2023年度预算数</w:t>
      </w:r>
      <w:r>
        <w:rPr>
          <w:sz w:val="28"/>
          <w:u w:color="auto"/>
        </w:rPr>
        <w:t xml:space="preserve">1.95</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，主要原因是</w:t>
      </w:r>
      <w:r>
        <w:rPr>
          <w:rFonts w:hint="eastAsia"/>
          <w:sz w:val="28"/>
          <w:szCs w:val="28"/>
          <w:highlight w:val="none"/>
          <w:lang w:val="en-US" w:eastAsia="zh-CN"/>
        </w:rPr>
        <w:t xml:space="preserve">加强公车维护保养，运行维护费预算与上年持平</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5"/>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0.00</w:t>
      </w:r>
      <w:r>
        <w:rPr>
          <w:rFonts w:hint="eastAsia"/>
          <w:sz w:val="28"/>
          <w:szCs w:val="28"/>
        </w:rPr>
        <w:t xml:space="preserve">万元，较2023年度预算数</w:t>
      </w:r>
      <w:r>
        <w:rPr>
          <w:rFonts w:hint="eastAsia"/>
          <w:b w:val="0"/>
          <w:bCs w:val="0"/>
          <w:sz w:val="28"/>
          <w:szCs w:val="28"/>
          <w:lang w:eastAsia="zh-CN"/>
        </w:rPr>
        <w:t xml:space="preserve">0.00</w:t>
      </w:r>
      <w:r>
        <w:rPr>
          <w:rFonts w:hint="eastAsia"/>
          <w:sz w:val="28"/>
          <w:szCs w:val="28"/>
        </w:rPr>
        <w:t xml:space="preserve">万元，</w:t>
      </w:r>
      <w:r>
        <w:rPr>
          <w:rFonts w:hint="eastAsia"/>
          <w:b w:val="0"/>
          <w:bCs w:val="0"/>
          <w:sz w:val="28"/>
          <w:szCs w:val="28"/>
          <w:lang w:eastAsia="zh-CN"/>
        </w:rPr>
        <w:t xml:space="preserve">增加0.00</w:t>
      </w:r>
      <w:r>
        <w:rPr>
          <w:rFonts w:hint="eastAsia"/>
          <w:sz w:val="28"/>
          <w:szCs w:val="28"/>
        </w:rPr>
        <w:t xml:space="preserve">万元，</w:t>
      </w:r>
      <w:r>
        <w:rPr>
          <w:rFonts w:hint="eastAsia"/>
          <w:b w:val="0"/>
          <w:bCs w:val="0"/>
          <w:sz w:val="28"/>
          <w:szCs w:val="28"/>
          <w:lang w:eastAsia="zh-CN"/>
        </w:rPr>
        <w:t xml:space="preserve">增长0%</w:t>
      </w:r>
      <w:r>
        <w:rPr>
          <w:rFonts w:hint="eastAsia"/>
          <w:sz w:val="28"/>
          <w:szCs w:val="28"/>
        </w:rPr>
        <w:t xml:space="preserve">，主要原因是</w:t>
      </w:r>
      <w:r>
        <w:rPr>
          <w:rFonts w:hint="eastAsia"/>
          <w:sz w:val="28"/>
          <w:szCs w:val="28"/>
          <w:highlight w:val="none"/>
          <w:lang w:val="en-US" w:eastAsia="zh-CN"/>
        </w:rPr>
        <w:t xml:space="preserve">我单位2024年部门预算无政府性基金预算</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6" w:name="bookmark91"/>
      <w:r>
        <w:rPr>
          <w:rFonts w:hint="eastAsia"/>
          <w:b/>
          <w:bCs/>
          <w:lang w:val="en-US" w:eastAsia="zh-CN"/>
        </w:rPr>
        <w:t xml:space="preserve">九</w:t>
      </w:r>
      <w:bookmarkEnd w:id="16"/>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我单位2024年部门预算无国有资本经营预算</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4.60</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5.09</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减少0.49</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下降9.63%</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工会费支出减少</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主要用于：2024年我单位无政府采购预算。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1</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1</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6</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23.66</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重点项目名称：凤腾山古墓群巡查员经费，预算资金43600元，2024年度绩效目标为：通巡查，确保古墓群的日常维护及安全。设1条数量指标：发放凤腾山古墓群巡查员工资12月；设1条质量指标：巡查员工资发放率100%；设1条时效指标：巡查员经费到位率100%；设1条成本指标：项目成本小于或等于43600元；设一条社会效益指标：通过巡查，古墓群的日常维护及安全得到加强；设1条满意度指标：群众满意率100%。</w:t>
      </w: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4"/>
          <w:footerReference w:type="default" r:id="rId15"/>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1"/>
      <w:bookmarkEnd w:id="12"/>
      <w:bookmarkEnd w:id="13"/>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环江毛南族自治县文物管理所</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7" w:name="bookmark31"/>
      <w:bookmarkStart w:id="18" w:name="bookmark30"/>
      <w:bookmarkStart w:id="19" w:name="bookmark29"/>
      <w:r>
        <w:t xml:space="preserve">收支总体情况表</w:t>
      </w:r>
      <w:bookmarkEnd w:id="17"/>
      <w:bookmarkEnd w:id="18"/>
      <w:bookmarkEnd w:id="19"/>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cantSplit/>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环江毛南族自治县文物管理所</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cantSplit/>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117.74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0.97</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117.74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98.25</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11.20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9.61</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117.74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120.04</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2.30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120.04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120.04</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6"/>
          <w:footerReference w:type="default" r:id="rId17"/>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环江毛南族自治县文物管理所</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90"/>
        </w:trPr>
        <w:tc>
          <w:tcPr>
            <w:tcW w:w="1636"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rPr>
              <w:t xml:space="preserve">202005</w:t>
            </w:r>
          </w:p>
        </w:tc>
        <w:tc>
          <w:tcPr>
            <w:tcW w:w="1279" w:type="dxa"/>
          </w:tcPr>
          <w:p>
            <w:pPr>
              <w:pStyle w:val="Other|1"/>
              <w:spacing w:line="326" w:lineRule="exact"/>
              <w:ind w:firstLine="0" w:firstLineChars="0"/>
              <w:jc w:val="lef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rPr>
              <w:t xml:space="preserve">环江毛南族自治县文物管理所</w:t>
            </w:r>
          </w:p>
        </w:tc>
        <w:tc>
          <w:tcPr>
            <w:tcW w:w="990"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120.04</w:t>
            </w:r>
          </w:p>
        </w:tc>
        <w:tc>
          <w:tcPr>
            <w:tcW w:w="926"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117.74</w:t>
            </w:r>
          </w:p>
        </w:tc>
        <w:tc>
          <w:tcPr>
            <w:tcW w:w="909"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117.74</w:t>
            </w:r>
          </w:p>
        </w:tc>
        <w:tc>
          <w:tcPr>
            <w:tcW w:w="968"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19"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2.30</w:t>
            </w:r>
          </w:p>
        </w:tc>
        <w:tc>
          <w:tcPr>
            <w:tcW w:w="1011"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2.30</w:t>
            </w:r>
          </w:p>
        </w:tc>
        <w:tc>
          <w:tcPr>
            <w:tcW w:w="859" w:type="dxa"/>
            <w:vAlign w:val="center"/>
          </w:tcPr>
          <w:p>
            <w:pPr>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1094" w:type="dxa"/>
            <w:gridSpan w:val="2"/>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37" w:type="dxa"/>
            <w:vAlign w:val="center"/>
          </w:tcPr>
          <w:p>
            <w:pPr>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89"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5557" w:type="dxa"/>
            <w:gridSpan w:val="16"/>
            <w:tcBorders>
              <w:left w:val="nil"/>
              <w:bottom w:val="nil"/>
              <w:right w:val="nil"/>
            </w:tcBorders>
          </w:tcPr>
          <w:p>
            <w:pPr>
              <w:pStyle w:val="Tablecaption|1"/>
              <w:jc w:val="left"/>
              <w:rPr>
                <w:rFonts w:eastAsia="宋体" w:hint="eastAsia"/>
                <w:sz w:val="17"/>
                <w:szCs w:val="17"/>
                <w:vertAlign w:val="baseline"/>
                <w:lang w:val="en-US" w:eastAsia="zh-CN"/>
              </w:rPr>
            </w:pPr>
            <w:r>
              <w:rPr>
                <w:sz w:val="17"/>
                <w:szCs w:val="17"/>
              </w:rP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8"/>
          <w:footerReference w:type="default" r:id="rId19"/>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3"/>
      <w:bookmarkStart w:id="21" w:name="bookmark41"/>
      <w:bookmarkStart w:id="22" w:name="bookmark42"/>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rPr>
          <w:cantSplit/>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环江毛南族自治县文物管理所</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120.04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96.38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23.66</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202005</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120.04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96.38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23.66</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0.97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0.97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2070199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其他文化和旅游支出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2.30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2.30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2070204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文物保护</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7.56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7.56</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2070205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博物馆</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2070299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其他文物支出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76.39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74.59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1.80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11.20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11.20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9.61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9.61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bl>
    <w:p>
      <w:pPr>
        <w:pStyle w:val="Tablecaption|1"/>
        <w:ind w:left="672"/>
        <w:jc w:val="left"/>
      </w:pPr>
      <w:r>
        <w:rPr>
          <w:b w:val="0"/>
          <w:bCs w:val="0"/>
        </w:rPr>
        <w:t xml:space="preserve">注：本报表金额单位转换时可能存在四舍五入尾数误差。</w:t>
      </w:r>
      <w:r>
        <w:br w:type="page"/>
      </w:r>
    </w:p>
    <w:p>
      <w:pPr>
        <w:pStyle w:val="Heading#2|1"/>
        <w:keepNext/>
        <w:keepLines/>
        <w:spacing w:after="240"/>
        <w:jc w:val="center"/>
      </w:pPr>
      <w:bookmarkStart w:id="23" w:name="bookmark44"/>
      <w:bookmarkStart w:id="24" w:name="bookmark46"/>
      <w:bookmarkStart w:id="25" w:name="bookmark45"/>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cantSplit/>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环江毛南族自治县文物管理所</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117.74</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0.97</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117.74</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98.25</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11.20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9.61</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117.74</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120.04</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2.30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120.04</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120.04</w:t>
            </w:r>
          </w:p>
        </w:tc>
      </w:tr>
      <w:tr>
        <w:tblPrEx>
          <w:tblW w:w="0" w:type="auto"/>
          <w:tblInd w:w="0" w:type="dxa"/>
          <w:tblLayout w:type="fixed"/>
          <w:tblCellMar>
            <w:top w:w="0" w:type="dxa"/>
            <w:left w:w="10" w:type="dxa"/>
            <w:bottom w:w="0" w:type="dxa"/>
            <w:right w:w="10" w:type="dxa"/>
          </w:tblCellMar>
        </w:tblPrEx>
        <w:trPr>
          <w:cantSplit/>
          <w:trHeight w:hRule="exact" w:val="352"/>
        </w:trPr>
        <w:tc>
          <w:tcPr>
            <w:tcW w:w="15342" w:type="dxa"/>
            <w:gridSpan w:val="6"/>
            <w:tcBorders>
              <w:top w:val="single" w:sz="4" w:space="0" w:color="auto"/>
            </w:tcBorders>
            <w:shd w:val="clear" w:color="auto" w:fill="FFFFFF"/>
          </w:tcPr>
          <w:p>
            <w:pPr>
              <w:jc w:val="left"/>
              <w:rPr>
                <w:rFonts w:ascii="宋体" w:eastAsia="宋体" w:hAnsi="宋体" w:cs="宋体" w:hint="eastAsia"/>
                <w:sz w:val="17"/>
                <w:szCs w:val="17"/>
                <w:lang w:eastAsia="zh-CN"/>
              </w:rPr>
            </w:pPr>
            <w:r>
              <w:rPr>
                <w:rFonts w:ascii="宋体" w:eastAsia="宋体" w:hAnsi="宋体" w:cs="宋体" w:hint="eastAsia"/>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cantSplit/>
          <w:trHeight w:hRule="exact" w:val="274"/>
        </w:trPr>
        <w:tc>
          <w:tcPr>
            <w:tcW w:w="15342" w:type="dxa"/>
            <w:gridSpan w:val="6"/>
            <w:shd w:val="clear" w:color="auto" w:fill="FFFFFF"/>
            <w:vAlign w:val="bottom"/>
          </w:tcPr>
          <w:p>
            <w:pPr>
              <w:jc w:val="left"/>
              <w:rPr>
                <w:rFonts w:ascii="宋体" w:eastAsia="宋体" w:hAnsi="宋体" w:cs="宋体" w:hint="eastAsia"/>
                <w:sz w:val="17"/>
                <w:szCs w:val="17"/>
                <w:lang w:eastAsia="zh-CN"/>
              </w:rPr>
            </w:pPr>
            <w:r>
              <w:rPr>
                <w:rFonts w:ascii="宋体" w:eastAsia="宋体" w:hAnsi="宋体" w:cs="宋体" w:hint="eastAsia"/>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05"/>
        <w:gridCol w:w="1636"/>
        <w:gridCol w:w="1615"/>
        <w:gridCol w:w="1713"/>
        <w:gridCol w:w="1879"/>
        <w:gridCol w:w="1846"/>
        <w:gridCol w:w="1718"/>
        <w:gridCol w:w="72"/>
        <w:gridCol w:w="1686"/>
        <w:gridCol w:w="1687"/>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环江毛南族自治县文物管理所</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202005</w:t>
            </w: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120.04</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96.38</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91.78</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4.60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23.66</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2012999</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0.97</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0.97</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0.97</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2070199</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其他文化和旅游支出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2.30</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2.30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2070204</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文物保护</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7.56</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7.56</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2070205</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博物馆</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12.00</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12.00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2070299</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其他文物支出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76.39</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74.59</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70.96</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3.63</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1.80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2080505</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11.20</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11.20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11.20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2210201</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9.61</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9.61</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9.61</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10"/>
            <w:tcBorders>
              <w:left w:val="nil"/>
              <w:bottom w:val="nil"/>
              <w:right w:val="nil"/>
            </w:tcBorders>
          </w:tcPr>
          <w:p>
            <w:pPr>
              <w:jc w:val="left"/>
              <w:rPr>
                <w:rFonts w:hint="eastAsia"/>
                <w:sz w:val="17"/>
                <w:szCs w:val="17"/>
                <w:vertAlign w:val="baseline"/>
                <w:lang w:eastAsia="zh-CN"/>
              </w:rPr>
            </w:pPr>
            <w:r>
              <w:rPr>
                <w:rFonts w:ascii="宋体" w:eastAsia="宋体" w:hAnsi="宋体" w:cs="宋体" w:hint="eastAsia"/>
                <w:sz w:val="17"/>
                <w:szCs w:val="17"/>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6"/>
      <w:bookmarkStart w:id="27" w:name="bookmark57"/>
      <w:bookmarkStart w:id="28" w:name="bookmark58"/>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blHeader/>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环江毛南族自治县文物管理所</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blHeader/>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blHeader/>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合计</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96.38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91.78</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4.60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工资福利支出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90.78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90.78</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基本工资</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32.11</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32.11</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津贴补贴</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4.81</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4.81</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奖金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16.29</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16.29</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30107</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绩效工资</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11.78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11.78</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11.20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11.20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30110</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4.48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4.48</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0.49</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0.49</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住房公积金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9.61</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9.61</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4.60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4.60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印刷费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1.68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1.68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30205</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30206</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电费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30207</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邮电费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差旅费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维修（护）费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30226</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劳务费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30228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工会经费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0.97</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0.97</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30231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公务用车运行维护费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1.95</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1.95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30299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退休费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310</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资本性支出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31002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办公设备购置</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blHeader/>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rFonts w:ascii="宋体" w:eastAsia="宋体" w:hAnsi="宋体" w:cs="宋体" w:hint="eastAsia"/>
                <w:sz w:val="17"/>
                <w:szCs w:val="17"/>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5"/>
      <w:bookmarkStart w:id="30" w:name="bookmark66"/>
      <w:bookmarkStart w:id="31" w:name="bookmark67"/>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环江毛南族自治县文物管理所</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pStyle w:val="Other|1"/>
              <w:spacing w:line="240" w:lineRule="auto"/>
              <w:ind w:firstLine="0" w:firstLineChars="0"/>
              <w:jc w:val="lef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202005</w:t>
            </w:r>
          </w:p>
        </w:tc>
        <w:tc>
          <w:tcPr>
            <w:tcW w:w="1918" w:type="dxa"/>
            <w:vAlign w:val="center"/>
          </w:tcPr>
          <w:p>
            <w:pPr>
              <w:pStyle w:val="Other|1"/>
              <w:spacing w:line="240" w:lineRule="auto"/>
              <w:ind w:firstLine="0" w:firstLineChars="0"/>
              <w:jc w:val="left"/>
              <w:rPr>
                <w:rFonts w:ascii="宋体" w:eastAsia="宋体" w:hAnsi="宋体" w:cs="宋体" w:hint="eastAsia"/>
                <w:b w:val="0"/>
                <w:bCs w:val="0"/>
                <w:vertAlign w:val="baseline"/>
                <w:lang w:val="en-US" w:eastAsia="zh-CN"/>
              </w:rPr>
            </w:pPr>
          </w:p>
        </w:tc>
        <w:tc>
          <w:tcPr>
            <w:tcW w:w="1884"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1.95</w:t>
            </w:r>
          </w:p>
        </w:tc>
        <w:tc>
          <w:tcPr>
            <w:tcW w:w="1895"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88"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1.95</w:t>
            </w:r>
          </w:p>
        </w:tc>
        <w:tc>
          <w:tcPr>
            <w:tcW w:w="1890"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1.95</w:t>
            </w:r>
          </w:p>
        </w:tc>
        <w:tc>
          <w:tcPr>
            <w:tcW w:w="1897" w:type="dxa"/>
            <w:gridSpan w:val="2"/>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89"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7"/>
                <w:szCs w:val="17"/>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环江毛南族自治县文物管理所</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bidi w:val="0"/>
              <w:jc w:val="both"/>
              <w:rPr>
                <w:vertAlign w:val="baseline"/>
              </w:rPr>
            </w:pPr>
            <w:r>
              <w:rPr>
                <w:b w:val="0"/>
                <w:bCs w:val="0"/>
              </w:rP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环江毛南族自治县文物管理所</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spacing w:line="302" w:lineRule="exact"/>
              <w:ind w:left="672"/>
              <w:jc w:val="left"/>
              <w:rPr>
                <w:rFonts w:ascii="宋体" w:eastAsia="宋体" w:hAnsi="宋体" w:cs="宋体" w:hint="eastAsia"/>
                <w:b w:val="0"/>
                <w:bCs w:val="0"/>
              </w:rPr>
            </w:pPr>
            <w:r>
              <w:rPr>
                <w:rFonts w:ascii="宋体" w:eastAsia="宋体" w:hAnsi="宋体" w:cs="宋体" w:hint="eastAsia"/>
                <w:b w:val="0"/>
                <w:bCs w:val="0"/>
              </w:rPr>
              <w:t xml:space="preserve">注：本报表金额单位转换时可能存在四舍五入尾数误差。本部门</w:t>
            </w:r>
            <w:r>
              <w:rPr>
                <w:rFonts w:ascii="宋体" w:eastAsia="宋体" w:hAnsi="宋体" w:cs="宋体" w:hint="eastAsia"/>
                <w:b w:val="0"/>
                <w:bCs w:val="0"/>
                <w:lang w:eastAsia="zh-CN"/>
              </w:rPr>
              <w:t xml:space="preserve">2024</w:t>
            </w:r>
            <w:r>
              <w:rPr>
                <w:rFonts w:ascii="宋体" w:eastAsia="宋体" w:hAnsi="宋体" w:cs="宋体"/>
                <w:u w:color="auto"/>
              </w:rPr>
              <w:t xml:space="preserve">年</w:t>
            </w:r>
            <w:r>
              <w:rPr>
                <w:rFonts w:ascii="宋体" w:eastAsia="宋体" w:hAnsi="宋体" w:cs="宋体" w:hint="eastAsia"/>
                <w:b w:val="0"/>
                <w:bCs w:val="0"/>
              </w:rP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cantSplit/>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环江毛南族自治县文物管理所</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202005</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环江毛南族自治县文物管理所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凤腾山古墓群巡查员经费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4.36</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凤腾山古墓群巡查员经费</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202005</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环江毛南族自治县文物管理所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文物调查征集经费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0.70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文物调查征集经费</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202005</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环江毛南族自治县文物管理所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中央补助地方公共服务体系免费开放经费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2.30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中央补助地方公共服务体系免费开放经费</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202005</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环江毛南族自治县文物管理所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日常工作经费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1.80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日常工作经费</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202005</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环江毛南族自治县文物管理所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县级文物保护经费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2.50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县级文物保护经费</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202005</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环江毛南族自治县文物管理所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博物馆保安经费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博物馆保安经费</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20"/>
          <w:footerReference w:type="default" r:id="rId21"/>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4"/>
      <w:bookmarkStart w:id="33" w:name="bookmark96"/>
      <w:bookmarkStart w:id="34" w:name="bookmark95"/>
      <w:r>
        <w:rPr>
          <w:sz w:val="40"/>
          <w:szCs w:val="40"/>
        </w:rPr>
        <w:t xml:space="preserve">第四部</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2"/>
      <w:footerReference w:type="default" r:id="rId23"/>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29"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454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2237"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4543"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2239"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4545"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2240" name="文本框 9"/>
              <wp:cNvGraphicFramePr>
                <a:graphicFrameLocks noChangeAspect="0"/>
              </wp:cNvGraphicFramePr>
              <a:graphic>
                <a:graphicData uri="http://schemas.microsoft.com/office/word/2010/wordprocessingShape">
                  <wps:wsp>
                    <wps:cNvSpPr/>
                    <wps:spPr>
                      <a:xfrm>
                        <a:off x="0" y="0"/>
                        <a:ext cx="478790" cy="32321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9" o:spid="_x0000_s4546" type="#_x0000_t202" style="height:25.45pt;margin-left:357.35pt;margin-top:-11.95pt;mso-height-relative:page;mso-position-horizontal-relative:margin;mso-width-relative:page;mso-wrap-distance-bottom:0;mso-wrap-distance-left:9pt;mso-wrap-distance-right:9pt;mso-wrap-distance-top:0;mso-wrap-style:square;position:absolute;v-text-anchor:top;width:37.7pt;z-index:251664384"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2241" name="文本框 11"/>
              <wp:cNvGraphicFramePr>
                <a:graphicFrameLocks noChangeAspect="0"/>
              </wp:cNvGraphicFramePr>
              <a:graphic>
                <a:graphicData uri="http://schemas.microsoft.com/office/word/2010/wordprocessingShape">
                  <wps:wsp>
                    <wps:cNvSpPr/>
                    <wps:spPr>
                      <a:xfrm>
                        <a:off x="0" y="0"/>
                        <a:ext cx="447040" cy="26797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11" o:spid="_x0000_s4547" type="#_x0000_t202" style="height:21.1pt;margin-left:352.25pt;margin-top:-6.8pt;mso-height-relative:page;mso-position-horizontal-relative:margin;mso-width-relative:page;mso-wrap-distance-bottom:0;mso-wrap-distance-left:9pt;mso-wrap-distance-right:9pt;mso-wrap-distance-top:0;mso-wrap-style:square;position:absolute;v-text-anchor:top;width:35.2pt;z-index:251665408"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42"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454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236"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4542"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238"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4544"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60"/>
  <w:bordersDoNotSurroundFooter w:val="0"/>
  <w:bordersDoNotSurroundHeader w:val="0"/>
  <w:doNotTrackMoves/>
  <w:documentProtection w:enforcement="1" w:edit="readOnly" w:salt="7YR9EZplueKom1YvSkn/Iw==" w:hash="kVRKFhWqp4XCteAF5H5RViP4gZ4o9ZAJ3gX5PqGbFhbaw4wA9E22HCj/1IqpTPAWaTIOYPDxVt2N4NBiIxM2FQ=="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mQ3NjQxYmZmN2ZkODIxYWNiNTEzMzQyMTZmNzQ1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theme/theme1.xml" Type="http://schemas.openxmlformats.org/officeDocument/2006/relationships/theme"/><Relationship Id="rId25" Target="styles.xml" Type="http://schemas.openxmlformats.org/officeDocument/2006/relationships/styles"/><Relationship Id="rId26" Target="webSettings.xml" Type="http://schemas.openxmlformats.org/officeDocument/2006/relationships/webSettings"/><Relationship Id="rId27" Target="numbering.xml" Type="http://schemas.openxmlformats.org/officeDocument/2006/relationships/numbering"/><Relationship Id="rId28" Target="fontTable.xml" Type="http://schemas.openxmlformats.org/officeDocument/2006/relationships/fontTable"/><Relationship Id="rId29"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120.04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文化旅游体育与传媒支出</c:v>
                </c:pt>
                <c:pt idx="2">
                  <c:v>社会保障和就业支出</c:v>
                </c:pt>
                <c:pt idx="3">
                  <c:v>住房保障支出</c:v>
                </c:pt>
              </c:strCache>
            </c:strRef>
          </c:cat>
          <c:val>
            <c:numRef>
              <c:f>Sheet1!$B$2:$B$5</c:f>
              <c:numCache>
                <c:ptCount val="4"/>
                <c:pt idx="0">
                  <c:v>0.97</c:v>
                </c:pt>
                <c:pt idx="1">
                  <c:v>95.95</c:v>
                </c:pt>
                <c:pt idx="2">
                  <c:v>11.2</c:v>
                </c:pt>
                <c:pt idx="3">
                  <c:v>9.61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108.44</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120.04</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96.38</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21.36</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4.6</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91.78</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91.78</c:v>
                </c:pt>
                <c:pt idx="1">
                  <c:v>4.6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0.3</c:v>
                </c:pt>
                <c:pt idx="2">
                  <c:v>1.95</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0.0</c:v>
                </c:pt>
                <c:pt idx="2">
                  <c:v>1.95</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2024-03-01T08:17:38Z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17</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4E3C581BBF724D7C94F9FADCFB18DEB4_13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17</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2024-03-03T01:33:20Z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4E3C581BBF724D7C94F9FADCFB18DEB4_13</vt:lpstr>
  </property>
</Properties>
</file>