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rFonts w:hint="eastAsia"/>
          <w:sz w:val="56"/>
          <w:szCs w:val="56"/>
          <w:lang w:eastAsia="zh-CN"/>
        </w:rPr>
      </w:pPr>
      <w:bookmarkStart w:id="43" w:name="_GoBack"/>
      <w:bookmarkEnd w:id="43"/>
      <w:r>
        <w:rPr>
          <w:rFonts w:hint="eastAsia"/>
          <w:sz w:val="56"/>
          <w:szCs w:val="56"/>
          <w:lang w:eastAsia="zh-CN"/>
        </w:rPr>
        <w:t>环江毛南族自治县职业技术学校</w:t>
      </w:r>
    </w:p>
    <w:p>
      <w:pPr>
        <w:pStyle w:val="10"/>
        <w:jc w:val="center"/>
        <w:rPr>
          <w:sz w:val="56"/>
          <w:szCs w:val="56"/>
        </w:rPr>
        <w:sectPr>
          <w:pgSz w:w="11900" w:h="16840"/>
          <w:pgMar w:top="4713" w:right="1913" w:bottom="4713" w:left="2020" w:header="4285" w:footer="2381" w:gutter="0"/>
          <w:pgBorders>
            <w:top w:val="none" w:sz="0" w:space="0"/>
            <w:left w:val="none" w:sz="0" w:space="0"/>
            <w:bottom w:val="none" w:sz="0" w:space="0"/>
            <w:right w:val="none" w:sz="0" w:space="0"/>
          </w:pgBorders>
          <w:pgNumType w:fmt="decimal" w:start="1"/>
          <w:cols w:space="720" w:num="1"/>
          <w:docGrid w:linePitch="360" w:charSpace="0"/>
        </w:sectPr>
      </w:pPr>
      <w:r>
        <w:rPr>
          <w:rFonts w:hint="eastAsia"/>
          <w:sz w:val="56"/>
          <w:szCs w:val="56"/>
          <w:lang w:eastAsia="zh-CN"/>
        </w:rPr>
        <w:t>2024</w:t>
      </w:r>
      <w:r>
        <w:rPr>
          <w:rFonts w:hint="eastAsia" w:asciiTheme="majorEastAsia" w:hAnsiTheme="majorEastAsia" w:eastAsiaTheme="majorEastAsia" w:cstheme="majorEastAsia"/>
          <w:sz w:val="56"/>
          <w:szCs w:val="56"/>
          <w:u w:color="auto"/>
        </w:rPr>
        <w:t>年</w:t>
      </w:r>
      <w:r>
        <w:rPr>
          <w:rFonts w:hint="eastAsia" w:asciiTheme="majorEastAsia" w:hAnsiTheme="majorEastAsia" w:eastAsiaTheme="majorEastAsia" w:cstheme="majorEastAsia"/>
          <w:sz w:val="56"/>
          <w:szCs w:val="56"/>
        </w:rPr>
        <w:t>度部门预算</w:t>
      </w:r>
    </w:p>
    <w:p>
      <w:pPr>
        <w:pStyle w:val="12"/>
        <w:keepNext/>
        <w:keepLines/>
        <w:spacing w:after="240"/>
        <w:jc w:val="center"/>
      </w:pPr>
      <w:bookmarkStart w:id="0" w:name="bookmark1"/>
      <w:bookmarkStart w:id="1" w:name="bookmark0"/>
      <w:bookmarkStart w:id="2" w:name="bookmark2"/>
      <w:r>
        <w:t>目录</w:t>
      </w:r>
      <w:bookmarkEnd w:id="0"/>
      <w:bookmarkEnd w:id="1"/>
      <w:bookmarkEnd w:id="2"/>
    </w:p>
    <w:p>
      <w:pPr>
        <w:pStyle w:val="16"/>
        <w:ind w:left="0" w:leftChars="0" w:firstLine="320" w:firstLineChars="100"/>
        <w:jc w:val="left"/>
      </w:pPr>
      <w:r>
        <w:t>第一部分</w:t>
      </w:r>
      <w:r>
        <w:rPr>
          <w:rFonts w:hint="eastAsia"/>
          <w:lang w:eastAsia="zh-CN"/>
        </w:rPr>
        <w:t>：</w:t>
      </w:r>
      <w:r>
        <w:rPr>
          <w:u w:color="auto"/>
        </w:rPr>
        <w:t>环江毛南族自治县职业技术学校单位</w:t>
      </w:r>
      <w:r>
        <w:t>概况</w:t>
      </w:r>
    </w:p>
    <w:p>
      <w:pPr>
        <w:pStyle w:val="16"/>
        <w:jc w:val="left"/>
      </w:pPr>
      <w:r>
        <w:rPr>
          <w:lang w:val="en-US" w:eastAsia="zh-CN" w:bidi="en-US"/>
        </w:rPr>
        <w:t>—</w:t>
      </w:r>
      <w:r>
        <w:t>、主要职责</w:t>
      </w:r>
    </w:p>
    <w:p>
      <w:pPr>
        <w:pStyle w:val="16"/>
        <w:jc w:val="left"/>
        <w:rPr>
          <w:rFonts w:hint="eastAsia"/>
        </w:rPr>
      </w:pPr>
      <w:r>
        <w:rPr>
          <w:rFonts w:hint="eastAsia"/>
          <w:lang w:val="en-US" w:eastAsia="zh-CN"/>
        </w:rPr>
        <w:t>二、</w:t>
      </w:r>
      <w:r>
        <w:rPr>
          <w:rFonts w:hint="eastAsia"/>
        </w:rPr>
        <w:t>机构设置情况</w:t>
      </w:r>
    </w:p>
    <w:p>
      <w:pPr>
        <w:pStyle w:val="16"/>
        <w:ind w:left="0" w:leftChars="0" w:firstLine="320" w:firstLineChars="100"/>
        <w:jc w:val="left"/>
      </w:pPr>
      <w:r>
        <w:t>第二部分</w:t>
      </w:r>
      <w:r>
        <w:rPr>
          <w:rFonts w:hint="eastAsia"/>
          <w:lang w:eastAsia="zh-CN"/>
        </w:rPr>
        <w:t>：</w:t>
      </w:r>
      <w:r>
        <w:rPr>
          <w:u w:color="auto"/>
        </w:rPr>
        <w:t>环江毛南族自治县职业技术学校2024</w:t>
      </w:r>
      <w:r>
        <w:t>部门预算情况说明</w:t>
      </w:r>
    </w:p>
    <w:p>
      <w:pPr>
        <w:pStyle w:val="16"/>
        <w:numPr>
          <w:ilvl w:val="0"/>
          <w:numId w:val="0"/>
        </w:numPr>
        <w:ind w:firstLine="640" w:firstLineChars="200"/>
        <w:jc w:val="left"/>
        <w:rPr>
          <w:rFonts w:hint="eastAsia"/>
        </w:rPr>
      </w:pPr>
      <w:r>
        <w:rPr>
          <w:rFonts w:hint="eastAsia"/>
        </w:rPr>
        <w:t>一、部门收支总体情况说明</w:t>
      </w:r>
    </w:p>
    <w:p>
      <w:pPr>
        <w:pStyle w:val="16"/>
        <w:numPr>
          <w:ilvl w:val="0"/>
          <w:numId w:val="0"/>
        </w:numPr>
        <w:ind w:firstLine="640" w:firstLineChars="200"/>
        <w:jc w:val="left"/>
        <w:rPr>
          <w:rFonts w:hint="eastAsia"/>
        </w:rPr>
      </w:pPr>
      <w:r>
        <w:rPr>
          <w:rFonts w:hint="eastAsia"/>
        </w:rPr>
        <w:t>二、部门收入总体情况说明</w:t>
      </w:r>
    </w:p>
    <w:p>
      <w:pPr>
        <w:pStyle w:val="16"/>
        <w:numPr>
          <w:ilvl w:val="0"/>
          <w:numId w:val="0"/>
        </w:numPr>
        <w:ind w:firstLine="640" w:firstLineChars="200"/>
        <w:jc w:val="left"/>
        <w:rPr>
          <w:rFonts w:hint="eastAsia"/>
        </w:rPr>
      </w:pPr>
      <w:r>
        <w:rPr>
          <w:rFonts w:hint="eastAsia"/>
        </w:rPr>
        <w:t>三、部门支出总体情况说明</w:t>
      </w:r>
    </w:p>
    <w:p>
      <w:pPr>
        <w:pStyle w:val="16"/>
        <w:numPr>
          <w:ilvl w:val="0"/>
          <w:numId w:val="0"/>
        </w:numPr>
        <w:ind w:firstLine="640" w:firstLineChars="200"/>
        <w:jc w:val="left"/>
        <w:rPr>
          <w:rFonts w:hint="eastAsia"/>
        </w:rPr>
      </w:pPr>
      <w:r>
        <w:rPr>
          <w:rFonts w:hint="eastAsia"/>
        </w:rPr>
        <w:t>四、财政拨款收支总体情况说明</w:t>
      </w:r>
    </w:p>
    <w:p>
      <w:pPr>
        <w:pStyle w:val="16"/>
        <w:numPr>
          <w:ilvl w:val="0"/>
          <w:numId w:val="0"/>
        </w:numPr>
        <w:ind w:firstLine="640" w:firstLineChars="200"/>
        <w:jc w:val="left"/>
        <w:rPr>
          <w:rFonts w:hint="eastAsia"/>
        </w:rPr>
      </w:pPr>
      <w:r>
        <w:rPr>
          <w:rFonts w:hint="eastAsia"/>
        </w:rPr>
        <w:t>五、一般公共预算支出情况说明</w:t>
      </w:r>
    </w:p>
    <w:p>
      <w:pPr>
        <w:pStyle w:val="16"/>
        <w:numPr>
          <w:ilvl w:val="0"/>
          <w:numId w:val="0"/>
        </w:numPr>
        <w:ind w:firstLine="640" w:firstLineChars="200"/>
        <w:jc w:val="left"/>
        <w:rPr>
          <w:rFonts w:hint="eastAsia"/>
        </w:rPr>
      </w:pPr>
      <w:r>
        <w:rPr>
          <w:rFonts w:hint="eastAsia"/>
        </w:rPr>
        <w:t>六、一般公共预算基本支出情况说明</w:t>
      </w:r>
    </w:p>
    <w:p>
      <w:pPr>
        <w:pStyle w:val="16"/>
        <w:numPr>
          <w:ilvl w:val="0"/>
          <w:numId w:val="0"/>
        </w:numPr>
        <w:ind w:firstLine="640" w:firstLineChars="200"/>
        <w:jc w:val="left"/>
        <w:rPr>
          <w:rFonts w:hint="eastAsia"/>
        </w:rPr>
      </w:pPr>
      <w:r>
        <w:rPr>
          <w:rFonts w:hint="eastAsia"/>
        </w:rPr>
        <w:t>七、一般公共预算“三公”经费支出情况说明</w:t>
      </w:r>
    </w:p>
    <w:p>
      <w:pPr>
        <w:pStyle w:val="16"/>
        <w:numPr>
          <w:ilvl w:val="0"/>
          <w:numId w:val="0"/>
        </w:numPr>
        <w:ind w:firstLine="640" w:firstLineChars="200"/>
        <w:jc w:val="left"/>
        <w:rPr>
          <w:rFonts w:hint="eastAsia"/>
        </w:rPr>
      </w:pPr>
      <w:r>
        <w:rPr>
          <w:rFonts w:hint="eastAsia"/>
        </w:rPr>
        <w:t>八、政府性基金预算支出情况说明</w:t>
      </w:r>
    </w:p>
    <w:p>
      <w:pPr>
        <w:pStyle w:val="16"/>
        <w:numPr>
          <w:ilvl w:val="0"/>
          <w:numId w:val="0"/>
        </w:numPr>
        <w:ind w:firstLine="640" w:firstLineChars="200"/>
        <w:jc w:val="left"/>
        <w:rPr>
          <w:rFonts w:hint="eastAsia"/>
        </w:rPr>
      </w:pPr>
      <w:r>
        <w:rPr>
          <w:rFonts w:hint="eastAsia"/>
        </w:rPr>
        <w:t>九、国有资本经营预算支出情况说明</w:t>
      </w:r>
    </w:p>
    <w:p>
      <w:pPr>
        <w:pStyle w:val="16"/>
        <w:numPr>
          <w:ilvl w:val="0"/>
          <w:numId w:val="0"/>
        </w:numPr>
        <w:ind w:firstLine="640" w:firstLineChars="200"/>
        <w:jc w:val="left"/>
      </w:pPr>
      <w:r>
        <w:rPr>
          <w:rFonts w:hint="eastAsia"/>
        </w:rPr>
        <w:t>十、其他重要事项情况说明</w:t>
      </w:r>
    </w:p>
    <w:p>
      <w:pPr>
        <w:pStyle w:val="16"/>
        <w:ind w:left="0" w:leftChars="0" w:firstLine="320" w:firstLineChars="100"/>
        <w:jc w:val="left"/>
      </w:pPr>
      <w:r>
        <w:t>第三部分</w:t>
      </w:r>
      <w:r>
        <w:rPr>
          <w:rFonts w:hint="eastAsia"/>
          <w:lang w:eastAsia="zh-CN"/>
        </w:rPr>
        <w:t>：</w:t>
      </w:r>
      <w:r>
        <w:rPr>
          <w:u w:color="auto"/>
        </w:rPr>
        <w:t>环江毛南族自治县职业技术学校2024</w:t>
      </w:r>
      <w:r>
        <w:rPr>
          <w:rFonts w:ascii="Times New Roman" w:hAnsi="Times New Roman" w:cs="Times New Roman"/>
          <w:u w:color="auto"/>
        </w:rPr>
        <w:t>年</w:t>
      </w:r>
      <w:r>
        <w:t>部门预算</w:t>
      </w:r>
      <w:r>
        <w:rPr>
          <w:rFonts w:hint="eastAsia"/>
          <w:lang w:val="en-US" w:eastAsia="zh-CN"/>
        </w:rPr>
        <w:t>相关报</w:t>
      </w:r>
      <w:r>
        <w:t>表</w:t>
      </w:r>
    </w:p>
    <w:p>
      <w:pPr>
        <w:pStyle w:val="16"/>
        <w:jc w:val="left"/>
        <w:rPr>
          <w:rFonts w:hint="eastAsia"/>
        </w:rPr>
      </w:pPr>
      <w:r>
        <w:rPr>
          <w:rFonts w:hint="eastAsia"/>
        </w:rPr>
        <w:t>一、部门收支总体情况表</w:t>
      </w:r>
    </w:p>
    <w:p>
      <w:pPr>
        <w:pStyle w:val="16"/>
        <w:jc w:val="left"/>
        <w:rPr>
          <w:rFonts w:hint="eastAsia"/>
        </w:rPr>
      </w:pPr>
      <w:r>
        <w:rPr>
          <w:rFonts w:hint="eastAsia"/>
        </w:rPr>
        <w:t>二、部门收入总体情况表</w:t>
      </w:r>
    </w:p>
    <w:p>
      <w:pPr>
        <w:pStyle w:val="16"/>
        <w:jc w:val="left"/>
        <w:rPr>
          <w:rFonts w:hint="eastAsia"/>
        </w:rPr>
      </w:pPr>
      <w:r>
        <w:rPr>
          <w:rFonts w:hint="eastAsia"/>
        </w:rPr>
        <w:t>三、部门支出总体情况表</w:t>
      </w:r>
    </w:p>
    <w:p>
      <w:pPr>
        <w:pStyle w:val="16"/>
        <w:jc w:val="left"/>
        <w:rPr>
          <w:rFonts w:hint="eastAsia"/>
        </w:rPr>
      </w:pPr>
      <w:r>
        <w:rPr>
          <w:rFonts w:hint="eastAsia"/>
        </w:rPr>
        <w:t>四、财政拨款收支总体情况表</w:t>
      </w:r>
    </w:p>
    <w:p>
      <w:pPr>
        <w:pStyle w:val="16"/>
        <w:jc w:val="left"/>
        <w:rPr>
          <w:rFonts w:hint="eastAsia"/>
        </w:rPr>
      </w:pPr>
      <w:r>
        <w:rPr>
          <w:rFonts w:hint="eastAsia"/>
        </w:rPr>
        <w:t>五、一般公共预算支出情况表</w:t>
      </w:r>
    </w:p>
    <w:p>
      <w:pPr>
        <w:pStyle w:val="16"/>
        <w:jc w:val="left"/>
        <w:rPr>
          <w:rFonts w:hint="eastAsia"/>
        </w:rPr>
      </w:pPr>
      <w:r>
        <w:rPr>
          <w:rFonts w:hint="eastAsia"/>
        </w:rPr>
        <w:t>六、一般公共预算基本支出情况表</w:t>
      </w:r>
    </w:p>
    <w:p>
      <w:pPr>
        <w:pStyle w:val="16"/>
        <w:jc w:val="left"/>
        <w:rPr>
          <w:rFonts w:hint="eastAsia"/>
        </w:rPr>
      </w:pPr>
      <w:r>
        <w:rPr>
          <w:rFonts w:hint="eastAsia"/>
        </w:rPr>
        <w:t>七、一般公开预算“三公”经费支出情况表</w:t>
      </w:r>
    </w:p>
    <w:p>
      <w:pPr>
        <w:pStyle w:val="16"/>
        <w:jc w:val="left"/>
        <w:rPr>
          <w:rFonts w:hint="eastAsia"/>
        </w:rPr>
      </w:pPr>
      <w:r>
        <w:rPr>
          <w:rFonts w:hint="eastAsia"/>
        </w:rPr>
        <w:t>八、政府性基金预算支出情况表</w:t>
      </w:r>
    </w:p>
    <w:p>
      <w:pPr>
        <w:pStyle w:val="16"/>
        <w:jc w:val="left"/>
        <w:rPr>
          <w:rFonts w:hint="eastAsia"/>
        </w:rPr>
      </w:pPr>
      <w:r>
        <w:rPr>
          <w:rFonts w:hint="eastAsia"/>
        </w:rPr>
        <w:t>九、国有资本经营预算支出情况表</w:t>
      </w:r>
    </w:p>
    <w:p>
      <w:pPr>
        <w:pStyle w:val="16"/>
        <w:jc w:val="left"/>
        <w:rPr>
          <w:rFonts w:hint="eastAsia" w:eastAsia="宋体"/>
          <w:lang w:eastAsia="zh-CN"/>
        </w:rPr>
      </w:pPr>
      <w:r>
        <w:rPr>
          <w:rFonts w:hint="eastAsia"/>
        </w:rPr>
        <w:t>十、2024年度预算项目绩效目标公开表</w:t>
      </w:r>
    </w:p>
    <w:p>
      <w:pPr>
        <w:pStyle w:val="16"/>
        <w:ind w:left="0" w:leftChars="0" w:firstLine="320" w:firstLineChars="100"/>
        <w:jc w:val="left"/>
        <w:rPr>
          <w:rFonts w:hint="eastAsia" w:eastAsia="宋体"/>
          <w:lang w:eastAsia="zh-CN"/>
        </w:rPr>
        <w:sectPr>
          <w:footerReference r:id="rId3" w:type="default"/>
          <w:pgSz w:w="11900" w:h="16840"/>
          <w:pgMar w:top="1508" w:right="1674" w:bottom="1508" w:left="1851" w:header="0" w:footer="1077" w:gutter="0"/>
          <w:pgBorders>
            <w:top w:val="none" w:sz="0" w:space="0"/>
            <w:left w:val="none" w:sz="0" w:space="0"/>
            <w:bottom w:val="none" w:sz="0" w:space="0"/>
            <w:right w:val="none" w:sz="0" w:space="0"/>
          </w:pgBorders>
          <w:pgNumType w:fmt="decimal"/>
          <w:cols w:space="720" w:num="1"/>
          <w:docGrid w:linePitch="360" w:charSpace="0"/>
        </w:sectPr>
      </w:pPr>
      <w:r>
        <w:t>第四部分</w:t>
      </w:r>
      <w:r>
        <w:rPr>
          <w:rFonts w:hint="eastAsia"/>
          <w:lang w:eastAsia="zh-CN"/>
        </w:rPr>
        <w:t>：</w:t>
      </w:r>
      <w:r>
        <w:t>名词</w:t>
      </w:r>
      <w:r>
        <w:rPr>
          <w:rFonts w:hint="eastAsia"/>
          <w:lang w:val="en-US" w:eastAsia="zh-CN"/>
        </w:rPr>
        <w:t>解释</w:t>
      </w:r>
    </w:p>
    <w:p>
      <w:pPr>
        <w:pStyle w:val="12"/>
        <w:keepNext/>
        <w:keepLines/>
        <w:pageBreakBefore w:val="0"/>
        <w:widowControl w:val="0"/>
        <w:kinsoku/>
        <w:wordWrap/>
        <w:overflowPunct/>
        <w:topLinePunct w:val="0"/>
        <w:autoSpaceDE/>
        <w:autoSpaceDN/>
        <w:bidi w:val="0"/>
        <w:adjustRightInd/>
        <w:snapToGrid/>
        <w:spacing w:before="120" w:after="0" w:line="600" w:lineRule="exact"/>
        <w:jc w:val="both"/>
        <w:textAlignment w:val="auto"/>
        <w:rPr>
          <w:b/>
          <w:bCs/>
          <w:sz w:val="40"/>
          <w:szCs w:val="40"/>
        </w:rPr>
      </w:pPr>
      <w:bookmarkStart w:id="3" w:name="bookmark12"/>
      <w:bookmarkStart w:id="4" w:name="bookmark13"/>
      <w:bookmarkStart w:id="5" w:name="bookmark14"/>
      <w:r>
        <w:rPr>
          <w:b/>
          <w:bCs/>
          <w:sz w:val="40"/>
          <w:szCs w:val="40"/>
        </w:rPr>
        <w:t>第一部分</w:t>
      </w:r>
      <w:r>
        <w:rPr>
          <w:rFonts w:hint="eastAsia"/>
          <w:b/>
          <w:bCs/>
          <w:sz w:val="40"/>
          <w:szCs w:val="40"/>
          <w:lang w:eastAsia="zh-CN"/>
        </w:rPr>
        <w:t>：</w:t>
      </w:r>
      <w:r>
        <w:rPr>
          <w:b/>
          <w:sz w:val="40"/>
          <w:u w:color="auto"/>
        </w:rPr>
        <w:t>环江毛南族自治县职业技术学校</w:t>
      </w:r>
      <w:r>
        <w:rPr>
          <w:b/>
          <w:bCs/>
          <w:sz w:val="40"/>
          <w:szCs w:val="40"/>
        </w:rPr>
        <w:t>概况</w:t>
      </w:r>
      <w:bookmarkEnd w:id="3"/>
      <w:bookmarkEnd w:id="4"/>
      <w:bookmarkEnd w:id="5"/>
    </w:p>
    <w:p>
      <w:pPr>
        <w:pStyle w:val="16"/>
        <w:spacing w:after="0" w:line="619" w:lineRule="exact"/>
        <w:ind w:firstLine="620"/>
        <w:jc w:val="left"/>
        <w:rPr>
          <w:b/>
          <w:bCs/>
        </w:rPr>
      </w:pPr>
      <w:r>
        <w:rPr>
          <w:rFonts w:hint="eastAsia"/>
          <w:b/>
          <w:bCs/>
          <w:lang w:val="en-US" w:eastAsia="zh-CN"/>
        </w:rPr>
        <w:t>一、</w:t>
      </w:r>
      <w:r>
        <w:rPr>
          <w:b/>
          <w:bCs/>
        </w:rPr>
        <w:t>主要职责</w:t>
      </w:r>
    </w:p>
    <w:p>
      <w:pPr>
        <w:pStyle w:val="18"/>
        <w:spacing w:line="623" w:lineRule="exact"/>
        <w:ind w:left="0" w:leftChars="0" w:firstLine="560" w:firstLineChars="200"/>
        <w:jc w:val="left"/>
        <w:rPr>
          <w:rFonts w:hint="default"/>
          <w:highlight w:val="yellow"/>
          <w:lang w:val="en-US" w:eastAsia="zh-CN"/>
        </w:rPr>
      </w:pPr>
      <w:r>
        <w:rPr>
          <w:rFonts w:hint="eastAsia"/>
          <w:highlight w:val="none"/>
          <w:lang w:val="en-US" w:eastAsia="zh-CN"/>
        </w:rPr>
        <w:t>环江毛南族自治县职业技术学校的主要职能是：</w:t>
      </w:r>
    </w:p>
    <w:p>
      <w:pPr>
        <w:pStyle w:val="18"/>
        <w:spacing w:line="623" w:lineRule="exact"/>
        <w:ind w:left="0" w:leftChars="0" w:firstLine="560" w:firstLineChars="200"/>
        <w:jc w:val="left"/>
        <w:rPr>
          <w:rFonts w:hint="default"/>
          <w:highlight w:val="yellow"/>
          <w:lang w:val="en-US" w:eastAsia="zh-CN"/>
        </w:rPr>
      </w:pPr>
      <w:r>
        <w:rPr>
          <w:rFonts w:hint="eastAsia"/>
          <w:highlight w:val="none"/>
          <w:lang w:val="en-US" w:eastAsia="zh-CN"/>
        </w:rPr>
        <w:t>（一）宣传贯彻执行党和国家的教育方针、教育政策、教育法律和法规，贯彻执行上级教育行政部门的各项规章制度。</w:t>
      </w:r>
    </w:p>
    <w:p>
      <w:pPr>
        <w:pStyle w:val="18"/>
        <w:spacing w:line="623" w:lineRule="exact"/>
        <w:ind w:left="0" w:leftChars="0" w:firstLine="560" w:firstLineChars="200"/>
        <w:jc w:val="left"/>
        <w:rPr>
          <w:rFonts w:hint="default"/>
          <w:highlight w:val="yellow"/>
          <w:lang w:val="en-US" w:eastAsia="zh-CN"/>
        </w:rPr>
      </w:pPr>
      <w:r>
        <w:rPr>
          <w:rFonts w:hint="eastAsia"/>
          <w:highlight w:val="none"/>
          <w:lang w:val="en-US" w:eastAsia="zh-CN"/>
        </w:rPr>
        <w:t>（二）在政府和上级教育主管部门的领导下，争取资金改善办学条件，为师生的学习和工作提供优美和谐的环境。</w:t>
      </w:r>
    </w:p>
    <w:p>
      <w:pPr>
        <w:pStyle w:val="18"/>
        <w:spacing w:line="623" w:lineRule="exact"/>
        <w:ind w:left="0" w:leftChars="0" w:firstLine="560" w:firstLineChars="200"/>
        <w:jc w:val="left"/>
        <w:rPr>
          <w:rFonts w:hint="default"/>
          <w:highlight w:val="yellow"/>
          <w:lang w:val="en-US" w:eastAsia="zh-CN"/>
        </w:rPr>
      </w:pPr>
      <w:r>
        <w:rPr>
          <w:rFonts w:hint="eastAsia"/>
          <w:highlight w:val="none"/>
          <w:lang w:val="en-US" w:eastAsia="zh-CN"/>
        </w:rPr>
        <w:t>（三）根据县级人民政府制定的教育事业发展规划，结合实际制定并组织实施本校的教育事业发展规划。在政府的领导下，全面推进教育均衡发展和促进教育公平，组织教师动员适龄青少年就近入学。</w:t>
      </w:r>
    </w:p>
    <w:p>
      <w:pPr>
        <w:pStyle w:val="18"/>
        <w:spacing w:line="623" w:lineRule="exact"/>
        <w:ind w:left="0" w:leftChars="0" w:firstLine="560" w:firstLineChars="200"/>
        <w:jc w:val="left"/>
        <w:rPr>
          <w:rFonts w:hint="default"/>
          <w:highlight w:val="yellow"/>
          <w:lang w:val="en-US" w:eastAsia="zh-CN"/>
        </w:rPr>
      </w:pPr>
      <w:r>
        <w:rPr>
          <w:rFonts w:hint="eastAsia"/>
          <w:highlight w:val="none"/>
          <w:lang w:val="en-US" w:eastAsia="zh-CN"/>
        </w:rPr>
        <w:t>（四）按照干部和教师的职数、编制和管理权限，负责对本校的干部和教师进行管理，制定切实可行的学校工作规章制度，以提高教育教学质量为目的，对干部职工的工作开展客观公正的评价和考核。</w:t>
      </w:r>
    </w:p>
    <w:p>
      <w:pPr>
        <w:pStyle w:val="18"/>
        <w:spacing w:line="623" w:lineRule="exact"/>
        <w:ind w:left="0" w:leftChars="0" w:firstLine="560" w:firstLineChars="200"/>
        <w:jc w:val="left"/>
        <w:rPr>
          <w:rFonts w:hint="default"/>
          <w:highlight w:val="yellow"/>
          <w:lang w:val="en-US" w:eastAsia="zh-CN"/>
        </w:rPr>
      </w:pPr>
      <w:r>
        <w:rPr>
          <w:rFonts w:hint="eastAsia"/>
          <w:highlight w:val="none"/>
          <w:lang w:val="en-US" w:eastAsia="zh-CN"/>
        </w:rPr>
        <w:t>（五）按照上级有关部们的规定负责对本校的财务和项目建设进行管理，负责核算和发放教职工工资。</w:t>
      </w:r>
    </w:p>
    <w:p>
      <w:pPr>
        <w:pStyle w:val="18"/>
        <w:spacing w:line="623" w:lineRule="exact"/>
        <w:ind w:left="0" w:leftChars="0" w:firstLine="560" w:firstLineChars="200"/>
        <w:jc w:val="left"/>
        <w:rPr>
          <w:rFonts w:hint="default"/>
          <w:highlight w:val="yellow"/>
          <w:lang w:val="en-US" w:eastAsia="zh-CN"/>
        </w:rPr>
      </w:pPr>
      <w:r>
        <w:rPr>
          <w:rFonts w:hint="eastAsia"/>
          <w:highlight w:val="none"/>
          <w:lang w:val="en-US" w:eastAsia="zh-CN"/>
        </w:rPr>
        <w:t>（六）按照教育课程计划，开齐课程，开足课时，认真实施教育教学管理，全面推进素质教育，全面提高教育教学质量。</w:t>
      </w:r>
    </w:p>
    <w:p>
      <w:pPr>
        <w:pStyle w:val="18"/>
        <w:spacing w:line="623" w:lineRule="exact"/>
        <w:ind w:left="0" w:leftChars="0" w:firstLine="560" w:firstLineChars="200"/>
        <w:jc w:val="left"/>
        <w:rPr>
          <w:rFonts w:hint="default"/>
          <w:highlight w:val="yellow"/>
          <w:lang w:val="en-US" w:eastAsia="zh-CN"/>
        </w:rPr>
      </w:pPr>
      <w:r>
        <w:rPr>
          <w:rFonts w:hint="eastAsia"/>
          <w:highlight w:val="none"/>
          <w:lang w:val="en-US" w:eastAsia="zh-CN"/>
        </w:rPr>
        <w:t>（七）组织开展本校的教育教学科研和教育教学改革，以科学的发展观和以人为本的管理理念注重学生的全面发展。</w:t>
      </w:r>
    </w:p>
    <w:p>
      <w:pPr>
        <w:pStyle w:val="18"/>
        <w:spacing w:line="623" w:lineRule="exact"/>
        <w:ind w:left="0" w:leftChars="0" w:firstLine="560" w:firstLineChars="200"/>
        <w:jc w:val="left"/>
        <w:rPr>
          <w:rFonts w:hint="default"/>
          <w:highlight w:val="yellow"/>
          <w:lang w:val="en-US" w:eastAsia="zh-CN"/>
        </w:rPr>
      </w:pPr>
      <w:r>
        <w:rPr>
          <w:rFonts w:hint="eastAsia"/>
          <w:highlight w:val="none"/>
          <w:lang w:val="en-US" w:eastAsia="zh-CN"/>
        </w:rPr>
        <w:t>（八）负责指导全校学生资助管理工作。</w:t>
      </w:r>
    </w:p>
    <w:p>
      <w:pPr>
        <w:pStyle w:val="18"/>
        <w:spacing w:line="623" w:lineRule="exact"/>
        <w:ind w:left="0" w:leftChars="0" w:firstLine="560" w:firstLineChars="200"/>
        <w:jc w:val="left"/>
        <w:rPr>
          <w:rFonts w:hint="default"/>
          <w:highlight w:val="yellow"/>
          <w:lang w:val="en-US" w:eastAsia="zh-CN"/>
        </w:rPr>
      </w:pPr>
      <w:r>
        <w:rPr>
          <w:rFonts w:hint="eastAsia"/>
          <w:highlight w:val="none"/>
          <w:lang w:val="en-US" w:eastAsia="zh-CN"/>
        </w:rPr>
        <w:t>（九）负责语言文字和指导推广普通话工作。</w:t>
      </w:r>
    </w:p>
    <w:p>
      <w:pPr>
        <w:pStyle w:val="18"/>
        <w:spacing w:line="623" w:lineRule="exact"/>
        <w:ind w:left="0" w:leftChars="0" w:firstLine="560" w:firstLineChars="200"/>
        <w:jc w:val="left"/>
        <w:rPr>
          <w:rFonts w:hint="default"/>
          <w:highlight w:val="yellow"/>
          <w:lang w:val="en-US" w:eastAsia="zh-CN"/>
        </w:rPr>
      </w:pPr>
      <w:r>
        <w:rPr>
          <w:rFonts w:hint="eastAsia"/>
          <w:highlight w:val="none"/>
          <w:lang w:val="en-US" w:eastAsia="zh-CN"/>
        </w:rPr>
        <w:t>（十）学校以开展职业教育教学为基本职能，培养合格的毕业生及向高校输送优秀人才，为学生的终身发展奠定基础。</w:t>
      </w:r>
    </w:p>
    <w:p>
      <w:pPr>
        <w:pStyle w:val="18"/>
        <w:spacing w:line="623" w:lineRule="exact"/>
        <w:ind w:left="0" w:leftChars="0" w:firstLine="560" w:firstLineChars="200"/>
        <w:jc w:val="left"/>
        <w:rPr>
          <w:rFonts w:hint="default"/>
          <w:highlight w:val="yellow"/>
          <w:lang w:val="en-US" w:eastAsia="zh-CN"/>
        </w:rPr>
      </w:pPr>
      <w:r>
        <w:rPr>
          <w:rFonts w:hint="eastAsia"/>
          <w:highlight w:val="none"/>
          <w:lang w:val="en-US" w:eastAsia="zh-CN"/>
        </w:rPr>
        <w:t>（十一）完成自治县人民政府及上级教育部门交办的其他工作。</w:t>
      </w:r>
    </w:p>
    <w:p>
      <w:pPr>
        <w:pStyle w:val="16"/>
        <w:spacing w:after="0" w:line="619" w:lineRule="exact"/>
        <w:ind w:firstLine="620"/>
        <w:jc w:val="left"/>
        <w:rPr>
          <w:rFonts w:hint="eastAsia"/>
          <w:b/>
          <w:bCs/>
          <w:lang w:val="en-US" w:eastAsia="zh-CN"/>
        </w:rPr>
      </w:pPr>
      <w:bookmarkStart w:id="6" w:name="bookmark24"/>
      <w:r>
        <w:rPr>
          <w:rFonts w:hint="eastAsia"/>
          <w:b/>
          <w:bCs/>
          <w:lang w:val="en-US" w:eastAsia="zh-CN"/>
        </w:rPr>
        <w:t>二</w:t>
      </w:r>
      <w:bookmarkEnd w:id="6"/>
      <w:r>
        <w:rPr>
          <w:rFonts w:hint="eastAsia"/>
          <w:b/>
          <w:bCs/>
          <w:lang w:val="en-US" w:eastAsia="zh-CN"/>
        </w:rPr>
        <w:t>、机构设置情况</w:t>
      </w:r>
    </w:p>
    <w:p>
      <w:pPr>
        <w:pStyle w:val="18"/>
        <w:spacing w:line="623" w:lineRule="exact"/>
        <w:ind w:left="0" w:leftChars="0" w:firstLine="560" w:firstLineChars="200"/>
        <w:jc w:val="left"/>
        <w:rPr>
          <w:rFonts w:hint="default"/>
          <w:highlight w:val="yellow"/>
          <w:lang w:val="en-US" w:eastAsia="zh-CN"/>
        </w:rPr>
      </w:pPr>
      <w:r>
        <w:rPr>
          <w:rFonts w:hint="eastAsia"/>
          <w:highlight w:val="none"/>
          <w:lang w:val="en-US" w:eastAsia="zh-CN"/>
        </w:rPr>
        <w:t>本部门无下属单位，部门预算为校本级预算。</w:t>
      </w:r>
    </w:p>
    <w:p>
      <w:pPr>
        <w:pStyle w:val="18"/>
        <w:spacing w:line="623" w:lineRule="exact"/>
        <w:ind w:firstLine="1018" w:firstLineChars="0"/>
        <w:jc w:val="left"/>
        <w:rPr>
          <w:rFonts w:hint="eastAsia"/>
          <w:highlight w:val="none"/>
          <w:lang w:val="en-US" w:eastAsia="zh-CN"/>
        </w:rPr>
      </w:pPr>
    </w:p>
    <w:p>
      <w:pPr>
        <w:pStyle w:val="18"/>
        <w:spacing w:line="623" w:lineRule="exact"/>
        <w:ind w:firstLine="1018" w:firstLineChars="0"/>
        <w:jc w:val="left"/>
        <w:rPr>
          <w:rFonts w:hint="eastAsia"/>
          <w:highlight w:val="none"/>
          <w:lang w:val="en-US" w:eastAsia="zh-CN"/>
        </w:rPr>
      </w:pPr>
    </w:p>
    <w:p>
      <w:r>
        <w:br w:type="page"/>
      </w:r>
    </w:p>
    <w:p>
      <w:pPr>
        <w:pStyle w:val="12"/>
        <w:keepNext/>
        <w:keepLines/>
        <w:pageBreakBefore w:val="0"/>
        <w:widowControl w:val="0"/>
        <w:kinsoku/>
        <w:wordWrap/>
        <w:overflowPunct/>
        <w:topLinePunct w:val="0"/>
        <w:autoSpaceDE/>
        <w:autoSpaceDN/>
        <w:bidi w:val="0"/>
        <w:adjustRightInd/>
        <w:snapToGrid/>
        <w:spacing w:before="120" w:after="0" w:line="600" w:lineRule="exact"/>
        <w:jc w:val="center"/>
        <w:textAlignment w:val="auto"/>
        <w:rPr>
          <w:b/>
          <w:bCs/>
          <w:sz w:val="40"/>
          <w:szCs w:val="40"/>
        </w:rPr>
      </w:pPr>
      <w:bookmarkStart w:id="7" w:name="bookmark69"/>
      <w:bookmarkStart w:id="8" w:name="bookmark70"/>
      <w:bookmarkStart w:id="9" w:name="bookmark68"/>
      <w:bookmarkStart w:id="10" w:name="bookmark26"/>
      <w:bookmarkStart w:id="11" w:name="bookmark27"/>
      <w:bookmarkStart w:id="12" w:name="bookmark28"/>
      <w:r>
        <w:rPr>
          <w:b/>
          <w:bCs/>
          <w:sz w:val="40"/>
          <w:szCs w:val="40"/>
        </w:rPr>
        <w:t>第</w:t>
      </w:r>
      <w:r>
        <w:rPr>
          <w:rFonts w:hint="eastAsia"/>
          <w:b/>
          <w:bCs/>
          <w:sz w:val="40"/>
          <w:szCs w:val="40"/>
          <w:lang w:val="en-US" w:eastAsia="zh-CN"/>
        </w:rPr>
        <w:t>二</w:t>
      </w:r>
      <w:r>
        <w:rPr>
          <w:b/>
          <w:bCs/>
          <w:sz w:val="40"/>
          <w:szCs w:val="40"/>
        </w:rPr>
        <w:t>部分</w:t>
      </w:r>
      <w:r>
        <w:rPr>
          <w:rFonts w:hint="eastAsia"/>
          <w:b/>
          <w:bCs/>
          <w:sz w:val="40"/>
          <w:szCs w:val="40"/>
          <w:lang w:eastAsia="zh-CN"/>
        </w:rPr>
        <w:t>：</w:t>
      </w:r>
      <w:bookmarkEnd w:id="7"/>
      <w:bookmarkEnd w:id="8"/>
      <w:bookmarkEnd w:id="9"/>
      <w:r>
        <w:rPr>
          <w:rFonts w:hint="eastAsia"/>
          <w:b/>
          <w:bCs/>
          <w:sz w:val="40"/>
          <w:szCs w:val="40"/>
          <w:lang w:eastAsia="zh-CN"/>
        </w:rPr>
        <w:t>环江毛南族自治县职业技术学校</w:t>
      </w:r>
      <w:r>
        <w:rPr>
          <w:b/>
          <w:sz w:val="40"/>
          <w:u w:color="auto"/>
        </w:rPr>
        <w:t>2024年部门预算情况说明</w:t>
      </w:r>
    </w:p>
    <w:p>
      <w:pPr>
        <w:pStyle w:val="16"/>
        <w:keepNext w:val="0"/>
        <w:keepLines w:val="0"/>
        <w:pageBreakBefore w:val="0"/>
        <w:widowControl w:val="0"/>
        <w:kinsoku/>
        <w:wordWrap/>
        <w:overflowPunct/>
        <w:topLinePunct w:val="0"/>
        <w:autoSpaceDE/>
        <w:autoSpaceDN/>
        <w:bidi w:val="0"/>
        <w:adjustRightInd/>
        <w:snapToGrid/>
        <w:spacing w:before="120" w:after="0" w:line="600" w:lineRule="exact"/>
        <w:ind w:firstLine="618"/>
        <w:jc w:val="left"/>
        <w:textAlignment w:val="auto"/>
        <w:rPr>
          <w:rFonts w:hint="eastAsia"/>
          <w:b/>
          <w:bCs/>
          <w:lang w:val="en-US" w:eastAsia="zh-CN"/>
        </w:rPr>
      </w:pPr>
      <w:bookmarkStart w:id="13" w:name="bookmark71"/>
      <w:r>
        <w:rPr>
          <w:rFonts w:hint="eastAsia"/>
          <w:b/>
          <w:bCs/>
          <w:lang w:val="en-US" w:eastAsia="zh-CN"/>
        </w:rPr>
        <w:t>一</w:t>
      </w:r>
      <w:bookmarkEnd w:id="13"/>
      <w:r>
        <w:rPr>
          <w:rFonts w:hint="eastAsia"/>
          <w:b/>
          <w:bCs/>
          <w:lang w:val="en-US" w:eastAsia="zh-CN"/>
        </w:rPr>
        <w:t>、部门预算收支总体情况说明</w:t>
      </w:r>
    </w:p>
    <w:p>
      <w:pPr>
        <w:pStyle w:val="18"/>
        <w:keepNext w:val="0"/>
        <w:keepLines w:val="0"/>
        <w:pageBreakBefore w:val="0"/>
        <w:widowControl w:val="0"/>
        <w:kinsoku/>
        <w:wordWrap/>
        <w:overflowPunct/>
        <w:topLinePunct w:val="0"/>
        <w:autoSpaceDE/>
        <w:autoSpaceDN/>
        <w:bidi w:val="0"/>
        <w:adjustRightInd/>
        <w:snapToGrid/>
        <w:spacing w:line="600" w:lineRule="exact"/>
        <w:ind w:left="0" w:leftChars="0" w:firstLine="560" w:firstLineChars="200"/>
        <w:jc w:val="left"/>
        <w:textAlignment w:val="auto"/>
        <w:rPr>
          <w:rFonts w:ascii="Times New Roman" w:hAnsi="Times New Roman" w:cs="Times New Roman"/>
          <w:b/>
          <w:bCs/>
          <w:sz w:val="28"/>
          <w:szCs w:val="28"/>
          <w:lang w:val="en-US" w:eastAsia="zh-CN"/>
        </w:rPr>
      </w:pPr>
      <w:r>
        <w:rPr>
          <w:rFonts w:hint="eastAsia"/>
          <w:b w:val="0"/>
          <w:bCs w:val="0"/>
          <w:sz w:val="28"/>
          <w:szCs w:val="28"/>
        </w:rPr>
        <w:t>我部门总收入</w:t>
      </w:r>
      <w:r>
        <w:rPr>
          <w:rFonts w:hint="eastAsia"/>
          <w:sz w:val="28"/>
          <w:szCs w:val="28"/>
          <w:lang w:val="en-US" w:eastAsia="zh-CN"/>
        </w:rPr>
        <w:t>485.15</w:t>
      </w:r>
      <w:r>
        <w:rPr>
          <w:rFonts w:hint="eastAsia"/>
          <w:b w:val="0"/>
          <w:bCs w:val="0"/>
          <w:sz w:val="28"/>
          <w:szCs w:val="28"/>
        </w:rPr>
        <w:t>万元，总支出</w:t>
      </w:r>
      <w:r>
        <w:rPr>
          <w:rFonts w:hint="eastAsia"/>
          <w:sz w:val="28"/>
          <w:szCs w:val="28"/>
          <w:lang w:val="en-US" w:eastAsia="zh-CN"/>
        </w:rPr>
        <w:t>485.15</w:t>
      </w:r>
      <w:r>
        <w:rPr>
          <w:rFonts w:hint="eastAsia"/>
          <w:b w:val="0"/>
          <w:bCs w:val="0"/>
          <w:sz w:val="28"/>
          <w:szCs w:val="28"/>
        </w:rPr>
        <w:t>万元。总收入较2023年度预算数</w:t>
      </w:r>
      <w:r>
        <w:rPr>
          <w:rFonts w:hint="eastAsia"/>
          <w:sz w:val="28"/>
          <w:szCs w:val="28"/>
          <w:lang w:val="en-US" w:eastAsia="zh-CN"/>
        </w:rPr>
        <w:t>891.63</w:t>
      </w:r>
      <w:r>
        <w:rPr>
          <w:rFonts w:hint="eastAsia"/>
          <w:b w:val="0"/>
          <w:bCs w:val="0"/>
          <w:sz w:val="28"/>
          <w:szCs w:val="28"/>
        </w:rPr>
        <w:t>万元，</w:t>
      </w:r>
      <w:r>
        <w:rPr>
          <w:rFonts w:hint="eastAsia"/>
          <w:sz w:val="28"/>
          <w:szCs w:val="28"/>
        </w:rPr>
        <w:t>减少406.48</w:t>
      </w:r>
      <w:r>
        <w:rPr>
          <w:rFonts w:hint="eastAsia"/>
          <w:b w:val="0"/>
          <w:bCs w:val="0"/>
          <w:sz w:val="28"/>
          <w:szCs w:val="28"/>
        </w:rPr>
        <w:t>万元，</w:t>
      </w:r>
      <w:r>
        <w:rPr>
          <w:rFonts w:hint="eastAsia"/>
          <w:sz w:val="28"/>
          <w:szCs w:val="28"/>
        </w:rPr>
        <w:t>下降45.59%</w:t>
      </w:r>
      <w:r>
        <w:rPr>
          <w:rFonts w:hint="eastAsia"/>
          <w:b w:val="0"/>
          <w:bCs w:val="0"/>
          <w:sz w:val="28"/>
          <w:szCs w:val="28"/>
        </w:rPr>
        <w:t>，主要原因是</w:t>
      </w:r>
      <w:r>
        <w:rPr>
          <w:rFonts w:hint="eastAsia"/>
          <w:highlight w:val="none"/>
          <w:lang w:val="en-US" w:eastAsia="zh-CN"/>
        </w:rPr>
        <w:t>2024年学校在职教师24人，总人数较2023年48人减少24人，减少50%。其中20人调出本校，1人死亡，3人退休</w:t>
      </w:r>
      <w:r>
        <w:rPr>
          <w:rFonts w:hint="eastAsia"/>
          <w:b w:val="0"/>
          <w:bCs w:val="0"/>
          <w:sz w:val="28"/>
          <w:szCs w:val="28"/>
        </w:rPr>
        <w:t>。总支出较2023年度预算数</w:t>
      </w:r>
      <w:r>
        <w:rPr>
          <w:rFonts w:hint="eastAsia"/>
          <w:sz w:val="28"/>
          <w:szCs w:val="28"/>
          <w:lang w:val="en-US" w:eastAsia="zh-CN"/>
        </w:rPr>
        <w:t>891.63</w:t>
      </w:r>
      <w:r>
        <w:rPr>
          <w:rFonts w:hint="eastAsia"/>
          <w:b w:val="0"/>
          <w:bCs w:val="0"/>
          <w:sz w:val="28"/>
          <w:szCs w:val="28"/>
        </w:rPr>
        <w:t>万元，</w:t>
      </w:r>
      <w:r>
        <w:rPr>
          <w:rFonts w:hint="eastAsia"/>
          <w:sz w:val="28"/>
          <w:szCs w:val="28"/>
        </w:rPr>
        <w:t>减少406.48</w:t>
      </w:r>
      <w:r>
        <w:rPr>
          <w:rFonts w:hint="eastAsia"/>
          <w:b w:val="0"/>
          <w:bCs w:val="0"/>
          <w:sz w:val="28"/>
          <w:szCs w:val="28"/>
        </w:rPr>
        <w:t>万元，</w:t>
      </w:r>
      <w:r>
        <w:rPr>
          <w:rFonts w:hint="eastAsia"/>
          <w:sz w:val="28"/>
          <w:szCs w:val="28"/>
        </w:rPr>
        <w:t>下降45.59%</w:t>
      </w:r>
      <w:r>
        <w:rPr>
          <w:rFonts w:hint="eastAsia"/>
          <w:b w:val="0"/>
          <w:bCs w:val="0"/>
          <w:sz w:val="28"/>
          <w:szCs w:val="28"/>
        </w:rPr>
        <w:t>，主要原因是</w:t>
      </w:r>
      <w:r>
        <w:rPr>
          <w:rFonts w:hint="eastAsia"/>
          <w:highlight w:val="none"/>
          <w:lang w:val="en-US" w:eastAsia="zh-CN"/>
        </w:rPr>
        <w:t>由于在职教师的人数减少，学校在教育类支出和一般公共服务支出等方面的费用相对减少</w:t>
      </w:r>
      <w:r>
        <w:rPr>
          <w:rFonts w:hint="eastAsia"/>
          <w:b w:val="0"/>
          <w:bCs w:val="0"/>
          <w:sz w:val="28"/>
          <w:szCs w:val="28"/>
        </w:rPr>
        <w:t>。</w:t>
      </w:r>
    </w:p>
    <w:p>
      <w:pPr>
        <w:pStyle w:val="16"/>
        <w:keepNext w:val="0"/>
        <w:keepLines w:val="0"/>
        <w:pageBreakBefore w:val="0"/>
        <w:widowControl w:val="0"/>
        <w:kinsoku/>
        <w:wordWrap/>
        <w:overflowPunct/>
        <w:topLinePunct w:val="0"/>
        <w:autoSpaceDE/>
        <w:autoSpaceDN/>
        <w:bidi w:val="0"/>
        <w:adjustRightInd/>
        <w:snapToGrid/>
        <w:spacing w:before="120" w:after="0" w:line="600" w:lineRule="exact"/>
        <w:ind w:firstLine="618"/>
        <w:jc w:val="left"/>
        <w:textAlignment w:val="auto"/>
        <w:rPr>
          <w:rFonts w:hint="eastAsia"/>
          <w:b/>
          <w:bCs/>
          <w:lang w:val="en-US" w:eastAsia="zh-CN"/>
        </w:rPr>
      </w:pPr>
      <w:r>
        <w:rPr>
          <w:rFonts w:hint="eastAsia"/>
          <w:b/>
          <w:bCs/>
          <w:lang w:val="en-US" w:eastAsia="zh-CN"/>
        </w:rPr>
        <w:t>二、部门收入总体情况说明</w:t>
      </w:r>
    </w:p>
    <w:p>
      <w:pPr>
        <w:pStyle w:val="18"/>
        <w:spacing w:line="240" w:lineRule="auto"/>
        <w:ind w:firstLine="0"/>
        <w:jc w:val="left"/>
        <w:rPr>
          <w:rFonts w:ascii="Times New Roman" w:hAnsi="Times New Roman" w:cs="Times New Roman"/>
          <w:sz w:val="30"/>
          <w:szCs w:val="30"/>
          <w:lang w:val="en-US" w:eastAsia="zh-CN"/>
        </w:rPr>
      </w:pPr>
      <w:r>
        <w:rPr>
          <w:rFonts w:ascii="Times New Roman" w:hAnsi="Times New Roman" w:cs="Times New Roman"/>
          <w:sz w:val="30"/>
          <w:szCs w:val="30"/>
          <w:lang w:val="en-US" w:eastAsia="zh-CN"/>
        </w:rPr>
        <w:drawing>
          <wp:inline distT="0" distB="0" distL="114300" distR="114300">
            <wp:extent cx="4257040" cy="3139440"/>
            <wp:effectExtent l="4445" t="4445" r="5715" b="18415"/>
            <wp:docPr id="7474" name="图表 6" title="{{img_rs_table}}"/>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pStyle w:val="18"/>
        <w:keepNext w:val="0"/>
        <w:keepLines w:val="0"/>
        <w:pageBreakBefore w:val="0"/>
        <w:widowControl w:val="0"/>
        <w:kinsoku/>
        <w:wordWrap/>
        <w:overflowPunct/>
        <w:topLinePunct w:val="0"/>
        <w:autoSpaceDE/>
        <w:autoSpaceDN/>
        <w:bidi w:val="0"/>
        <w:adjustRightInd/>
        <w:snapToGrid/>
        <w:spacing w:line="600" w:lineRule="exact"/>
        <w:ind w:left="0" w:leftChars="0"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u w:color="auto"/>
          <w:lang w:eastAsia="zh-CN"/>
        </w:rPr>
        <w:t>2024</w:t>
      </w:r>
      <w:r>
        <w:rPr>
          <w:rFonts w:hint="eastAsia" w:ascii="宋体" w:hAnsi="宋体" w:eastAsia="宋体" w:cs="宋体"/>
          <w:sz w:val="28"/>
          <w:szCs w:val="28"/>
          <w:u w:color="auto"/>
        </w:rPr>
        <w:t>年我部门总收入</w:t>
      </w:r>
      <w:r>
        <w:rPr>
          <w:rFonts w:hint="eastAsia" w:ascii="宋体" w:hAnsi="宋体" w:eastAsia="宋体" w:cs="宋体"/>
          <w:sz w:val="28"/>
          <w:szCs w:val="28"/>
          <w:lang w:val="en-US" w:eastAsia="zh-CN"/>
        </w:rPr>
        <w:t>485.15</w:t>
      </w:r>
      <w:r>
        <w:rPr>
          <w:rFonts w:hint="eastAsia" w:ascii="宋体" w:hAnsi="宋体" w:eastAsia="宋体" w:cs="宋体"/>
          <w:sz w:val="28"/>
          <w:szCs w:val="28"/>
          <w:u w:color="auto"/>
        </w:rPr>
        <w:t>万元，较2023年度预算数</w:t>
      </w:r>
      <w:r>
        <w:rPr>
          <w:rFonts w:hint="eastAsia" w:ascii="宋体" w:hAnsi="宋体" w:eastAsia="宋体" w:cs="宋体"/>
          <w:sz w:val="28"/>
          <w:szCs w:val="28"/>
          <w:lang w:val="en-US" w:eastAsia="zh-CN"/>
        </w:rPr>
        <w:t>891.63</w:t>
      </w:r>
      <w:r>
        <w:rPr>
          <w:rFonts w:hint="eastAsia" w:ascii="宋体" w:hAnsi="宋体" w:eastAsia="宋体" w:cs="宋体"/>
          <w:sz w:val="28"/>
          <w:szCs w:val="28"/>
          <w:u w:color="auto"/>
        </w:rPr>
        <w:t>万元，</w:t>
      </w:r>
      <w:r>
        <w:rPr>
          <w:rFonts w:hint="eastAsia" w:ascii="宋体" w:hAnsi="宋体" w:eastAsia="宋体" w:cs="宋体"/>
          <w:sz w:val="28"/>
          <w:szCs w:val="28"/>
        </w:rPr>
        <w:t>减少406.48</w:t>
      </w:r>
      <w:r>
        <w:rPr>
          <w:rFonts w:hint="eastAsia" w:ascii="宋体" w:hAnsi="宋体" w:eastAsia="宋体" w:cs="宋体"/>
          <w:sz w:val="28"/>
          <w:szCs w:val="28"/>
          <w:u w:color="auto"/>
        </w:rPr>
        <w:t>万元，</w:t>
      </w:r>
      <w:r>
        <w:rPr>
          <w:rFonts w:hint="eastAsia" w:ascii="宋体" w:hAnsi="宋体" w:eastAsia="宋体" w:cs="宋体"/>
          <w:sz w:val="28"/>
          <w:szCs w:val="28"/>
        </w:rPr>
        <w:t>下降45.59%</w:t>
      </w:r>
      <w:r>
        <w:rPr>
          <w:rFonts w:hint="eastAsia" w:ascii="宋体" w:hAnsi="宋体" w:eastAsia="宋体" w:cs="宋体"/>
          <w:sz w:val="28"/>
          <w:szCs w:val="28"/>
          <w:u w:color="auto"/>
        </w:rPr>
        <w:t>，主要原因是</w:t>
      </w:r>
      <w:r>
        <w:rPr>
          <w:rFonts w:hint="eastAsia"/>
          <w:highlight w:val="none"/>
          <w:lang w:val="en-US" w:eastAsia="zh-CN"/>
        </w:rPr>
        <w:t>2024年学校在职教师24人，总人数较2023年48人减少24人，结合学校实际情况，调减人员费用的预算，响应国家开源节流的号召，牢固树立过紧日子的思想</w:t>
      </w:r>
      <w:r>
        <w:rPr>
          <w:rFonts w:hint="eastAsia" w:ascii="宋体" w:hAnsi="宋体" w:eastAsia="宋体" w:cs="宋体"/>
          <w:sz w:val="28"/>
          <w:szCs w:val="28"/>
          <w:u w:color="auto"/>
        </w:rPr>
        <w:t>。</w:t>
      </w:r>
    </w:p>
    <w:p>
      <w:pPr>
        <w:pStyle w:val="16"/>
        <w:keepNext w:val="0"/>
        <w:keepLines w:val="0"/>
        <w:pageBreakBefore w:val="0"/>
        <w:widowControl w:val="0"/>
        <w:kinsoku/>
        <w:wordWrap/>
        <w:overflowPunct/>
        <w:topLinePunct w:val="0"/>
        <w:autoSpaceDE/>
        <w:autoSpaceDN/>
        <w:bidi w:val="0"/>
        <w:adjustRightInd/>
        <w:snapToGrid/>
        <w:spacing w:before="120" w:after="0" w:line="600" w:lineRule="exact"/>
        <w:ind w:firstLine="618"/>
        <w:jc w:val="left"/>
        <w:textAlignment w:val="auto"/>
        <w:rPr>
          <w:rFonts w:hint="eastAsia"/>
          <w:b/>
          <w:bCs/>
          <w:lang w:val="en-US" w:eastAsia="zh-CN"/>
        </w:rPr>
      </w:pPr>
      <w:r>
        <w:rPr>
          <w:rFonts w:hint="eastAsia"/>
          <w:b/>
          <w:bCs/>
          <w:lang w:val="en-US" w:eastAsia="zh-CN"/>
        </w:rPr>
        <w:t>三、部门支出总体情况说明</w:t>
      </w:r>
    </w:p>
    <w:p>
      <w:pPr>
        <w:pStyle w:val="18"/>
        <w:spacing w:line="240" w:lineRule="auto"/>
        <w:ind w:firstLine="0"/>
        <w:jc w:val="left"/>
        <w:rPr>
          <w:rFonts w:ascii="Times New Roman" w:hAnsi="Times New Roman" w:eastAsia="Times New Roman" w:cs="Times New Roman"/>
          <w:sz w:val="30"/>
          <w:szCs w:val="30"/>
        </w:rPr>
      </w:pPr>
      <w:r>
        <w:rPr>
          <w:rFonts w:ascii="Times New Roman" w:hAnsi="Times New Roman" w:eastAsia="Times New Roman" w:cs="Times New Roman"/>
          <w:sz w:val="30"/>
          <w:szCs w:val="30"/>
        </w:rPr>
        <w:drawing>
          <wp:inline distT="0" distB="0" distL="114300" distR="114300">
            <wp:extent cx="5080000" cy="3810000"/>
            <wp:effectExtent l="4445" t="4445" r="20955" b="14605"/>
            <wp:docPr id="7475" name="图表 14" title="{{img_gnkm_zc_dat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pStyle w:val="18"/>
        <w:keepNext w:val="0"/>
        <w:keepLines w:val="0"/>
        <w:pageBreakBefore w:val="0"/>
        <w:widowControl w:val="0"/>
        <w:kinsoku/>
        <w:wordWrap/>
        <w:overflowPunct/>
        <w:topLinePunct w:val="0"/>
        <w:autoSpaceDE/>
        <w:autoSpaceDN/>
        <w:bidi w:val="0"/>
        <w:adjustRightInd/>
        <w:snapToGrid/>
        <w:spacing w:line="600" w:lineRule="exact"/>
        <w:ind w:left="0" w:leftChars="0" w:firstLine="560" w:firstLineChars="200"/>
        <w:jc w:val="left"/>
        <w:textAlignment w:val="auto"/>
        <w:rPr>
          <w:rFonts w:hint="eastAsia" w:ascii="Times New Roman" w:hAnsi="Times New Roman" w:cs="Times New Roman"/>
          <w:sz w:val="30"/>
          <w:szCs w:val="30"/>
          <w:lang w:eastAsia="zh-CN"/>
        </w:rPr>
      </w:pPr>
      <w:r>
        <w:rPr>
          <w:rFonts w:hint="eastAsia" w:ascii="宋体" w:hAnsi="宋体" w:eastAsia="宋体" w:cs="宋体"/>
          <w:sz w:val="28"/>
          <w:szCs w:val="28"/>
          <w:lang w:eastAsia="zh-CN"/>
        </w:rPr>
        <w:t>2024</w:t>
      </w:r>
      <w:r>
        <w:rPr>
          <w:rFonts w:ascii="宋体" w:hAnsi="宋体" w:eastAsia="宋体" w:cs="宋体"/>
          <w:sz w:val="28"/>
          <w:u w:color="auto"/>
        </w:rPr>
        <w:t>年我部门总支出</w:t>
      </w:r>
      <w:r>
        <w:rPr>
          <w:rFonts w:hint="eastAsia" w:ascii="宋体" w:hAnsi="宋体" w:eastAsia="宋体" w:cs="宋体"/>
          <w:sz w:val="28"/>
          <w:szCs w:val="28"/>
          <w:lang w:val="en-US" w:eastAsia="zh-CN"/>
        </w:rPr>
        <w:t>485.15</w:t>
      </w:r>
      <w:r>
        <w:rPr>
          <w:rFonts w:hint="eastAsia" w:ascii="宋体" w:hAnsi="宋体" w:eastAsia="宋体" w:cs="宋体"/>
          <w:sz w:val="28"/>
          <w:szCs w:val="28"/>
          <w:lang w:eastAsia="zh-CN"/>
        </w:rPr>
        <w:t>万元，较2023年度预算数</w:t>
      </w:r>
      <w:r>
        <w:rPr>
          <w:rFonts w:hint="eastAsia" w:ascii="宋体" w:hAnsi="宋体" w:eastAsia="宋体" w:cs="宋体"/>
          <w:sz w:val="28"/>
          <w:szCs w:val="28"/>
          <w:lang w:val="en-US" w:eastAsia="zh-CN"/>
        </w:rPr>
        <w:t>891.63</w:t>
      </w:r>
      <w:r>
        <w:rPr>
          <w:rFonts w:hint="eastAsia" w:ascii="宋体" w:hAnsi="宋体" w:eastAsia="宋体" w:cs="宋体"/>
          <w:sz w:val="28"/>
          <w:szCs w:val="28"/>
          <w:lang w:eastAsia="zh-CN"/>
        </w:rPr>
        <w:t>万元，</w:t>
      </w:r>
      <w:r>
        <w:rPr>
          <w:rFonts w:hint="eastAsia" w:ascii="宋体" w:hAnsi="宋体" w:eastAsia="宋体" w:cs="宋体"/>
          <w:sz w:val="28"/>
          <w:szCs w:val="28"/>
        </w:rPr>
        <w:t>减少406.48</w:t>
      </w:r>
      <w:r>
        <w:rPr>
          <w:rFonts w:hint="eastAsia" w:ascii="宋体" w:hAnsi="宋体" w:eastAsia="宋体" w:cs="宋体"/>
          <w:sz w:val="28"/>
          <w:szCs w:val="28"/>
          <w:lang w:eastAsia="zh-CN"/>
        </w:rPr>
        <w:t>万元，</w:t>
      </w:r>
      <w:r>
        <w:rPr>
          <w:rFonts w:hint="eastAsia" w:ascii="宋体" w:hAnsi="宋体" w:eastAsia="宋体" w:cs="宋体"/>
          <w:sz w:val="28"/>
          <w:szCs w:val="28"/>
        </w:rPr>
        <w:t>下降45.59%</w:t>
      </w:r>
      <w:r>
        <w:rPr>
          <w:rFonts w:hint="eastAsia" w:ascii="宋体" w:hAnsi="宋体" w:eastAsia="宋体" w:cs="宋体"/>
          <w:sz w:val="28"/>
          <w:szCs w:val="28"/>
          <w:lang w:eastAsia="zh-CN"/>
        </w:rPr>
        <w:t>，主要原因是</w:t>
      </w:r>
      <w:r>
        <w:rPr>
          <w:rFonts w:hint="eastAsia"/>
          <w:highlight w:val="none"/>
          <w:lang w:val="en-US" w:eastAsia="zh-CN"/>
        </w:rPr>
        <w:t>学校的主要支出项目是教育支出和一般公共服务支出。在职教师人员的减少，导致教育支出，包括学校人员工资，职业培训经费一般公共服务支出开支也相应减少</w:t>
      </w:r>
      <w:r>
        <w:rPr>
          <w:rFonts w:hint="eastAsia" w:ascii="Times New Roman" w:hAnsi="Times New Roman" w:cs="Times New Roman"/>
          <w:sz w:val="30"/>
          <w:szCs w:val="30"/>
          <w:lang w:eastAsia="zh-CN"/>
        </w:rPr>
        <w:t>。主要包括：</w:t>
      </w:r>
      <w:r>
        <w:rPr>
          <w:rFonts w:hint="eastAsia"/>
          <w:highlight w:val="none"/>
          <w:lang w:val="en-US" w:eastAsia="zh-CN"/>
        </w:rPr>
        <w:t>1、教育支出中的人员工资支出和职业教育的支出以及其他教育支出减少；</w:t>
      </w:r>
    </w:p>
    <w:p>
      <w:pPr>
        <w:pStyle w:val="18"/>
        <w:keepNext w:val="0"/>
        <w:keepLines w:val="0"/>
        <w:pageBreakBefore w:val="0"/>
        <w:widowControl w:val="0"/>
        <w:kinsoku/>
        <w:wordWrap/>
        <w:overflowPunct/>
        <w:topLinePunct w:val="0"/>
        <w:autoSpaceDE/>
        <w:autoSpaceDN/>
        <w:bidi w:val="0"/>
        <w:adjustRightInd/>
        <w:snapToGrid/>
        <w:spacing w:line="600" w:lineRule="exact"/>
        <w:ind w:left="0" w:leftChars="0" w:firstLine="560" w:firstLineChars="200"/>
        <w:jc w:val="left"/>
        <w:textAlignment w:val="auto"/>
        <w:rPr>
          <w:rFonts w:hint="eastAsia" w:ascii="Times New Roman" w:hAnsi="Times New Roman" w:cs="Times New Roman"/>
          <w:sz w:val="30"/>
          <w:szCs w:val="30"/>
          <w:lang w:eastAsia="zh-CN"/>
        </w:rPr>
      </w:pPr>
      <w:r>
        <w:rPr>
          <w:rFonts w:hint="eastAsia"/>
          <w:highlight w:val="none"/>
          <w:lang w:val="en-US" w:eastAsia="zh-CN"/>
        </w:rPr>
        <w:t>2、社会保障和就业支出中教师社会保险的经费支出减少；</w:t>
      </w:r>
    </w:p>
    <w:p>
      <w:pPr>
        <w:pStyle w:val="18"/>
        <w:keepNext w:val="0"/>
        <w:keepLines w:val="0"/>
        <w:pageBreakBefore w:val="0"/>
        <w:widowControl w:val="0"/>
        <w:kinsoku/>
        <w:wordWrap/>
        <w:overflowPunct/>
        <w:topLinePunct w:val="0"/>
        <w:autoSpaceDE/>
        <w:autoSpaceDN/>
        <w:bidi w:val="0"/>
        <w:adjustRightInd/>
        <w:snapToGrid/>
        <w:spacing w:line="600" w:lineRule="exact"/>
        <w:ind w:left="0" w:leftChars="0" w:firstLine="560" w:firstLineChars="200"/>
        <w:jc w:val="left"/>
        <w:textAlignment w:val="auto"/>
        <w:rPr>
          <w:rFonts w:hint="eastAsia" w:ascii="Times New Roman" w:hAnsi="Times New Roman" w:cs="Times New Roman"/>
          <w:sz w:val="30"/>
          <w:szCs w:val="30"/>
          <w:lang w:eastAsia="zh-CN"/>
        </w:rPr>
      </w:pPr>
      <w:r>
        <w:rPr>
          <w:rFonts w:hint="eastAsia"/>
          <w:highlight w:val="none"/>
          <w:lang w:val="en-US" w:eastAsia="zh-CN"/>
        </w:rPr>
        <w:t>3、住房保障支出中教师的公积金经费及职工宿舍租赁经费的减少；</w:t>
      </w:r>
    </w:p>
    <w:p>
      <w:pPr>
        <w:pStyle w:val="18"/>
        <w:keepNext w:val="0"/>
        <w:keepLines w:val="0"/>
        <w:pageBreakBefore w:val="0"/>
        <w:widowControl w:val="0"/>
        <w:kinsoku/>
        <w:wordWrap/>
        <w:overflowPunct/>
        <w:topLinePunct w:val="0"/>
        <w:autoSpaceDE/>
        <w:autoSpaceDN/>
        <w:bidi w:val="0"/>
        <w:adjustRightInd/>
        <w:snapToGrid/>
        <w:spacing w:line="600" w:lineRule="exact"/>
        <w:ind w:left="0" w:leftChars="0" w:firstLine="560" w:firstLineChars="200"/>
        <w:jc w:val="left"/>
        <w:textAlignment w:val="auto"/>
        <w:rPr>
          <w:rFonts w:hint="eastAsia" w:ascii="Times New Roman" w:hAnsi="Times New Roman" w:cs="Times New Roman"/>
          <w:sz w:val="30"/>
          <w:szCs w:val="30"/>
          <w:lang w:eastAsia="zh-CN"/>
        </w:rPr>
      </w:pPr>
      <w:r>
        <w:rPr>
          <w:rFonts w:hint="eastAsia"/>
          <w:highlight w:val="none"/>
          <w:lang w:val="en-US" w:eastAsia="zh-CN"/>
        </w:rPr>
        <w:t>4、一般公共服务支出中的办公经费的减少</w:t>
      </w:r>
      <w:r>
        <w:rPr>
          <w:rFonts w:hint="eastAsia" w:ascii="Times New Roman" w:hAnsi="Times New Roman" w:cs="Times New Roman"/>
          <w:sz w:val="30"/>
          <w:szCs w:val="30"/>
          <w:lang w:eastAsia="zh-CN"/>
        </w:rPr>
        <w:t>。</w:t>
      </w:r>
    </w:p>
    <w:p>
      <w:pPr>
        <w:pStyle w:val="18"/>
        <w:keepNext w:val="0"/>
        <w:keepLines w:val="0"/>
        <w:pageBreakBefore w:val="0"/>
        <w:widowControl w:val="0"/>
        <w:kinsoku/>
        <w:wordWrap/>
        <w:overflowPunct/>
        <w:topLinePunct w:val="0"/>
        <w:autoSpaceDE/>
        <w:autoSpaceDN/>
        <w:bidi w:val="0"/>
        <w:adjustRightInd/>
        <w:snapToGrid/>
        <w:spacing w:after="140" w:line="600" w:lineRule="exact"/>
        <w:ind w:firstLine="0"/>
        <w:jc w:val="left"/>
        <w:textAlignment w:val="auto"/>
      </w:pPr>
      <w:r>
        <w:t>（一）按支出功能分类科目划分，共分为</w:t>
      </w:r>
      <w:r>
        <w:rPr>
          <w:rFonts w:hint="eastAsia"/>
          <w:lang w:val="en-US" w:eastAsia="zh-CN"/>
        </w:rPr>
        <w:t>5</w:t>
      </w:r>
      <w:r>
        <w:t>类，其中:</w:t>
      </w:r>
    </w:p>
    <w:p>
      <w:pPr>
        <w:pStyle w:val="18"/>
        <w:keepNext w:val="0"/>
        <w:keepLines w:val="0"/>
        <w:pageBreakBefore w:val="0"/>
        <w:widowControl w:val="0"/>
        <w:kinsoku/>
        <w:wordWrap/>
        <w:overflowPunct/>
        <w:topLinePunct w:val="0"/>
        <w:autoSpaceDE/>
        <w:autoSpaceDN/>
        <w:bidi w:val="0"/>
        <w:adjustRightInd/>
        <w:snapToGrid/>
        <w:spacing w:line="600" w:lineRule="exact"/>
        <w:ind w:left="0" w:leftChars="0" w:firstLine="560" w:firstLineChars="200"/>
        <w:jc w:val="left"/>
        <w:textAlignment w:val="auto"/>
        <w:rPr>
          <w:rFonts w:hint="eastAsia"/>
        </w:rPr>
      </w:pPr>
      <w:r>
        <w:rPr>
          <w:rFonts w:hint="eastAsia"/>
        </w:rPr>
        <w:t>(</w:t>
      </w:r>
      <w:r>
        <w:rPr>
          <w:u w:color="auto"/>
        </w:rPr>
        <w:t>1)教育支出</w:t>
      </w:r>
      <w:r>
        <w:rPr>
          <w:rFonts w:hint="eastAsia"/>
          <w:lang w:val="en-US" w:eastAsia="zh-CN"/>
        </w:rPr>
        <w:t>397.82</w:t>
      </w:r>
      <w:r>
        <w:rPr>
          <w:rFonts w:hint="eastAsia"/>
        </w:rPr>
        <w:t>万元，占支出总预算</w:t>
      </w:r>
      <w:r>
        <w:rPr>
          <w:rFonts w:hint="eastAsia"/>
          <w:lang w:val="en-US" w:eastAsia="zh-CN"/>
        </w:rPr>
        <w:t>82.00%</w:t>
      </w:r>
      <w:r>
        <w:rPr>
          <w:rFonts w:hint="eastAsia"/>
        </w:rPr>
        <w:t>,比上年</w:t>
      </w:r>
      <w:r>
        <w:rPr>
          <w:rFonts w:hint="eastAsia"/>
          <w:lang w:val="en-US" w:eastAsia="zh-CN"/>
        </w:rPr>
        <w:t>减少386.69</w:t>
      </w:r>
      <w:r>
        <w:rPr>
          <w:rFonts w:hint="eastAsia"/>
        </w:rPr>
        <w:t>万元，</w:t>
      </w:r>
      <w:r>
        <w:rPr>
          <w:rFonts w:hint="eastAsia"/>
          <w:lang w:val="en-US" w:eastAsia="zh-CN"/>
        </w:rPr>
        <w:t>减少49.29%</w:t>
      </w:r>
      <w:r>
        <w:rPr>
          <w:rFonts w:hint="eastAsia"/>
        </w:rPr>
        <w:t>,</w:t>
      </w:r>
      <w:r>
        <w:rPr>
          <w:rFonts w:hint="eastAsia"/>
          <w:highlight w:val="none"/>
        </w:rPr>
        <w:t>主要原因是：</w:t>
      </w:r>
      <w:r>
        <w:rPr>
          <w:rFonts w:hint="eastAsia"/>
          <w:highlight w:val="none"/>
          <w:lang w:val="en-US" w:eastAsia="zh-CN"/>
        </w:rPr>
        <w:t>在职教师人员的减少，相应的人员工资和公用经费开支减少，且学校目前没有大型的修建校舍和购置大型教学设备的支出</w:t>
      </w:r>
      <w:r>
        <w:rPr>
          <w:rFonts w:hint="eastAsia"/>
          <w:highlight w:val="none"/>
        </w:rPr>
        <w:t>。</w:t>
      </w:r>
    </w:p>
    <w:p>
      <w:pPr>
        <w:pStyle w:val="18"/>
        <w:keepNext w:val="0"/>
        <w:keepLines w:val="0"/>
        <w:pageBreakBefore w:val="0"/>
        <w:widowControl w:val="0"/>
        <w:kinsoku/>
        <w:wordWrap/>
        <w:overflowPunct/>
        <w:topLinePunct w:val="0"/>
        <w:autoSpaceDE/>
        <w:autoSpaceDN/>
        <w:bidi w:val="0"/>
        <w:adjustRightInd/>
        <w:snapToGrid/>
        <w:spacing w:line="600" w:lineRule="exact"/>
        <w:ind w:left="0" w:leftChars="0" w:firstLine="560" w:firstLineChars="200"/>
        <w:jc w:val="left"/>
        <w:textAlignment w:val="auto"/>
        <w:rPr>
          <w:rFonts w:hint="eastAsia"/>
        </w:rPr>
      </w:pPr>
      <w:r>
        <w:rPr>
          <w:rFonts w:hint="eastAsia"/>
        </w:rPr>
        <w:t>(</w:t>
      </w:r>
      <w:r>
        <w:rPr>
          <w:u w:color="auto"/>
        </w:rPr>
        <w:t>2)城乡社区支出</w:t>
      </w:r>
      <w:r>
        <w:rPr>
          <w:rFonts w:hint="eastAsia"/>
          <w:lang w:val="en-US" w:eastAsia="zh-CN"/>
        </w:rPr>
        <w:t>0.93</w:t>
      </w:r>
      <w:r>
        <w:rPr>
          <w:rFonts w:hint="eastAsia"/>
        </w:rPr>
        <w:t>万元，占支出总预算</w:t>
      </w:r>
      <w:r>
        <w:rPr>
          <w:rFonts w:hint="eastAsia"/>
          <w:lang w:val="en-US" w:eastAsia="zh-CN"/>
        </w:rPr>
        <w:t>0.19%</w:t>
      </w:r>
      <w:r>
        <w:rPr>
          <w:rFonts w:hint="eastAsia"/>
        </w:rPr>
        <w:t>,比上年</w:t>
      </w:r>
      <w:r>
        <w:rPr>
          <w:rFonts w:hint="eastAsia"/>
          <w:lang w:val="en-US" w:eastAsia="zh-CN"/>
        </w:rPr>
        <w:t>增长0.93</w:t>
      </w:r>
      <w:r>
        <w:rPr>
          <w:rFonts w:hint="eastAsia"/>
        </w:rPr>
        <w:t>万元，</w:t>
      </w:r>
      <w:r>
        <w:rPr>
          <w:rFonts w:hint="eastAsia"/>
          <w:lang w:val="en-US" w:eastAsia="zh-CN"/>
        </w:rPr>
        <w:t>增长100%</w:t>
      </w:r>
      <w:r>
        <w:rPr>
          <w:rFonts w:hint="eastAsia"/>
        </w:rPr>
        <w:t>,</w:t>
      </w:r>
      <w:r>
        <w:rPr>
          <w:rFonts w:hint="eastAsia"/>
          <w:highlight w:val="none"/>
        </w:rPr>
        <w:t>主要原因是：</w:t>
      </w:r>
      <w:r>
        <w:rPr>
          <w:rFonts w:hint="eastAsia"/>
          <w:highlight w:val="none"/>
          <w:lang w:val="en-US" w:eastAsia="zh-CN"/>
        </w:rPr>
        <w:t>该支出是上级部门拨款的债务专项经费，用于解决学校债务问题，给相关供应商付款，保证学校项目正常运转，维护学校声誉，提升学生和教师的幸福感</w:t>
      </w:r>
      <w:r>
        <w:rPr>
          <w:rFonts w:hint="eastAsia"/>
          <w:highlight w:val="none"/>
        </w:rPr>
        <w:t>。</w:t>
      </w:r>
    </w:p>
    <w:p>
      <w:pPr>
        <w:pStyle w:val="18"/>
        <w:keepNext w:val="0"/>
        <w:keepLines w:val="0"/>
        <w:pageBreakBefore w:val="0"/>
        <w:widowControl w:val="0"/>
        <w:kinsoku/>
        <w:wordWrap/>
        <w:overflowPunct/>
        <w:topLinePunct w:val="0"/>
        <w:autoSpaceDE/>
        <w:autoSpaceDN/>
        <w:bidi w:val="0"/>
        <w:adjustRightInd/>
        <w:snapToGrid/>
        <w:spacing w:line="600" w:lineRule="exact"/>
        <w:ind w:left="0" w:leftChars="0" w:firstLine="560" w:firstLineChars="200"/>
        <w:jc w:val="left"/>
        <w:textAlignment w:val="auto"/>
        <w:rPr>
          <w:rFonts w:hint="eastAsia"/>
        </w:rPr>
      </w:pPr>
      <w:r>
        <w:rPr>
          <w:rFonts w:hint="eastAsia"/>
        </w:rPr>
        <w:t>(</w:t>
      </w:r>
      <w:r>
        <w:rPr>
          <w:u w:color="auto"/>
        </w:rPr>
        <w:t>3)一般公共服务支出</w:t>
      </w:r>
      <w:r>
        <w:rPr>
          <w:rFonts w:hint="eastAsia"/>
          <w:lang w:val="en-US" w:eastAsia="zh-CN"/>
        </w:rPr>
        <w:t>5.52</w:t>
      </w:r>
      <w:r>
        <w:rPr>
          <w:rFonts w:hint="eastAsia"/>
        </w:rPr>
        <w:t>万元，占支出总预算</w:t>
      </w:r>
      <w:r>
        <w:rPr>
          <w:rFonts w:hint="eastAsia"/>
          <w:lang w:val="en-US" w:eastAsia="zh-CN"/>
        </w:rPr>
        <w:t>1.14%</w:t>
      </w:r>
      <w:r>
        <w:rPr>
          <w:rFonts w:hint="eastAsia"/>
        </w:rPr>
        <w:t>,比上年</w:t>
      </w:r>
      <w:r>
        <w:rPr>
          <w:rFonts w:hint="eastAsia"/>
          <w:lang w:val="en-US" w:eastAsia="zh-CN"/>
        </w:rPr>
        <w:t>减少1.34</w:t>
      </w:r>
      <w:r>
        <w:rPr>
          <w:rFonts w:hint="eastAsia"/>
        </w:rPr>
        <w:t>万元，</w:t>
      </w:r>
      <w:r>
        <w:rPr>
          <w:rFonts w:hint="eastAsia"/>
          <w:lang w:val="en-US" w:eastAsia="zh-CN"/>
        </w:rPr>
        <w:t>减少19.53%</w:t>
      </w:r>
      <w:r>
        <w:rPr>
          <w:rFonts w:hint="eastAsia"/>
        </w:rPr>
        <w:t>,</w:t>
      </w:r>
      <w:r>
        <w:rPr>
          <w:rFonts w:hint="eastAsia"/>
          <w:highlight w:val="none"/>
        </w:rPr>
        <w:t>主要原因是：</w:t>
      </w:r>
      <w:r>
        <w:rPr>
          <w:rFonts w:hint="eastAsia"/>
          <w:highlight w:val="none"/>
          <w:lang w:val="en-US" w:eastAsia="zh-CN"/>
        </w:rPr>
        <w:t>一般公共服务支出主要用于确保学校正常运转的办公费、印刷费等日常公用经费支出。随着学校在职教师的减少，结合历年开支情况，本着节约的精神，学校办公费、水电费、培训费、差旅费、会议费等费用也应该相应下调</w:t>
      </w:r>
      <w:r>
        <w:rPr>
          <w:rFonts w:hint="eastAsia"/>
          <w:highlight w:val="none"/>
        </w:rPr>
        <w:t>。</w:t>
      </w:r>
    </w:p>
    <w:p>
      <w:pPr>
        <w:pStyle w:val="18"/>
        <w:keepNext w:val="0"/>
        <w:keepLines w:val="0"/>
        <w:pageBreakBefore w:val="0"/>
        <w:widowControl w:val="0"/>
        <w:kinsoku/>
        <w:wordWrap/>
        <w:overflowPunct/>
        <w:topLinePunct w:val="0"/>
        <w:autoSpaceDE/>
        <w:autoSpaceDN/>
        <w:bidi w:val="0"/>
        <w:adjustRightInd/>
        <w:snapToGrid/>
        <w:spacing w:line="600" w:lineRule="exact"/>
        <w:ind w:left="0" w:leftChars="0" w:firstLine="560" w:firstLineChars="200"/>
        <w:jc w:val="left"/>
        <w:textAlignment w:val="auto"/>
        <w:rPr>
          <w:rFonts w:hint="eastAsia"/>
        </w:rPr>
      </w:pPr>
      <w:r>
        <w:rPr>
          <w:rFonts w:hint="eastAsia"/>
        </w:rPr>
        <w:t>(</w:t>
      </w:r>
      <w:r>
        <w:rPr>
          <w:u w:color="auto"/>
        </w:rPr>
        <w:t>4)社会保障和就业支出</w:t>
      </w:r>
      <w:r>
        <w:rPr>
          <w:rFonts w:hint="eastAsia"/>
          <w:lang w:val="en-US" w:eastAsia="zh-CN"/>
        </w:rPr>
        <w:t>44.13</w:t>
      </w:r>
      <w:r>
        <w:rPr>
          <w:rFonts w:hint="eastAsia"/>
        </w:rPr>
        <w:t>万元，占支出总预算</w:t>
      </w:r>
      <w:r>
        <w:rPr>
          <w:rFonts w:hint="eastAsia"/>
          <w:lang w:val="en-US" w:eastAsia="zh-CN"/>
        </w:rPr>
        <w:t>9.10%</w:t>
      </w:r>
      <w:r>
        <w:rPr>
          <w:rFonts w:hint="eastAsia"/>
        </w:rPr>
        <w:t>,比上年</w:t>
      </w:r>
      <w:r>
        <w:rPr>
          <w:rFonts w:hint="eastAsia"/>
          <w:lang w:val="en-US" w:eastAsia="zh-CN"/>
        </w:rPr>
        <w:t>减少13.16</w:t>
      </w:r>
      <w:r>
        <w:rPr>
          <w:rFonts w:hint="eastAsia"/>
        </w:rPr>
        <w:t>万元，</w:t>
      </w:r>
      <w:r>
        <w:rPr>
          <w:rFonts w:hint="eastAsia"/>
          <w:lang w:val="en-US" w:eastAsia="zh-CN"/>
        </w:rPr>
        <w:t>减少22.97%</w:t>
      </w:r>
      <w:r>
        <w:rPr>
          <w:rFonts w:hint="eastAsia"/>
        </w:rPr>
        <w:t>,</w:t>
      </w:r>
      <w:r>
        <w:rPr>
          <w:rFonts w:hint="eastAsia"/>
          <w:highlight w:val="none"/>
        </w:rPr>
        <w:t>主要原因是：</w:t>
      </w:r>
      <w:r>
        <w:rPr>
          <w:rFonts w:hint="eastAsia"/>
          <w:highlight w:val="none"/>
          <w:lang w:val="en-US" w:eastAsia="zh-CN"/>
        </w:rPr>
        <w:t>用于保障职工的社保经费减少，在职教师人数减少</w:t>
      </w:r>
      <w:r>
        <w:rPr>
          <w:rFonts w:hint="eastAsia"/>
          <w:highlight w:val="none"/>
        </w:rPr>
        <w:t>。</w:t>
      </w:r>
    </w:p>
    <w:p>
      <w:pPr>
        <w:pStyle w:val="18"/>
        <w:keepNext w:val="0"/>
        <w:keepLines w:val="0"/>
        <w:pageBreakBefore w:val="0"/>
        <w:widowControl w:val="0"/>
        <w:kinsoku/>
        <w:wordWrap/>
        <w:overflowPunct/>
        <w:topLinePunct w:val="0"/>
        <w:autoSpaceDE/>
        <w:autoSpaceDN/>
        <w:bidi w:val="0"/>
        <w:adjustRightInd/>
        <w:snapToGrid/>
        <w:spacing w:line="600" w:lineRule="exact"/>
        <w:ind w:left="0" w:leftChars="0" w:firstLine="560" w:firstLineChars="200"/>
        <w:jc w:val="left"/>
        <w:textAlignment w:val="auto"/>
        <w:rPr>
          <w:rFonts w:hint="eastAsia"/>
        </w:rPr>
      </w:pPr>
      <w:r>
        <w:rPr>
          <w:rFonts w:hint="eastAsia"/>
        </w:rPr>
        <w:t>(</w:t>
      </w:r>
      <w:r>
        <w:rPr>
          <w:u w:color="auto"/>
        </w:rPr>
        <w:t>5)住房保障支出</w:t>
      </w:r>
      <w:r>
        <w:rPr>
          <w:rFonts w:hint="eastAsia"/>
          <w:lang w:val="en-US" w:eastAsia="zh-CN"/>
        </w:rPr>
        <w:t>36.76</w:t>
      </w:r>
      <w:r>
        <w:rPr>
          <w:rFonts w:hint="eastAsia"/>
        </w:rPr>
        <w:t>万元，占支出总预算</w:t>
      </w:r>
      <w:r>
        <w:rPr>
          <w:rFonts w:hint="eastAsia"/>
          <w:lang w:val="en-US" w:eastAsia="zh-CN"/>
        </w:rPr>
        <w:t>7.58%</w:t>
      </w:r>
      <w:r>
        <w:rPr>
          <w:rFonts w:hint="eastAsia"/>
        </w:rPr>
        <w:t>,比上年</w:t>
      </w:r>
      <w:r>
        <w:rPr>
          <w:rFonts w:hint="eastAsia"/>
          <w:lang w:val="en-US" w:eastAsia="zh-CN"/>
        </w:rPr>
        <w:t>减少6.21</w:t>
      </w:r>
      <w:r>
        <w:rPr>
          <w:rFonts w:hint="eastAsia"/>
        </w:rPr>
        <w:t>万元，</w:t>
      </w:r>
      <w:r>
        <w:rPr>
          <w:rFonts w:hint="eastAsia"/>
          <w:lang w:val="en-US" w:eastAsia="zh-CN"/>
        </w:rPr>
        <w:t>减少14.45%</w:t>
      </w:r>
      <w:r>
        <w:rPr>
          <w:rFonts w:hint="eastAsia"/>
        </w:rPr>
        <w:t>,</w:t>
      </w:r>
      <w:r>
        <w:rPr>
          <w:rFonts w:hint="eastAsia"/>
          <w:highlight w:val="none"/>
        </w:rPr>
        <w:t>主要原因是：</w:t>
      </w:r>
      <w:r>
        <w:rPr>
          <w:rFonts w:hint="eastAsia"/>
          <w:highlight w:val="none"/>
          <w:lang w:val="en-US" w:eastAsia="zh-CN"/>
        </w:rPr>
        <w:t>学校住房保障支出主要用于学校教职工公积金的支出，虽然上一年度住房公积金缴纳基数提高，但是学校职工人数减少，所以住房保障支出减少</w:t>
      </w:r>
      <w:r>
        <w:rPr>
          <w:rFonts w:hint="eastAsia"/>
          <w:highlight w:val="none"/>
        </w:rPr>
        <w:t>。</w:t>
      </w:r>
    </w:p>
    <w:p>
      <w:pPr>
        <w:pStyle w:val="18"/>
        <w:keepNext w:val="0"/>
        <w:keepLines w:val="0"/>
        <w:pageBreakBefore w:val="0"/>
        <w:widowControl w:val="0"/>
        <w:kinsoku/>
        <w:wordWrap/>
        <w:overflowPunct/>
        <w:topLinePunct w:val="0"/>
        <w:autoSpaceDE/>
        <w:autoSpaceDN/>
        <w:bidi w:val="0"/>
        <w:adjustRightInd/>
        <w:snapToGrid/>
        <w:spacing w:line="600" w:lineRule="exact"/>
        <w:ind w:firstLine="740"/>
        <w:jc w:val="left"/>
        <w:textAlignment w:val="auto"/>
      </w:pPr>
      <w:r>
        <w:t>(二)按支出结构分类划分，分为基本支出预算和项目支出预算。</w:t>
      </w:r>
    </w:p>
    <w:p>
      <w:pPr>
        <w:pStyle w:val="18"/>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560" w:firstLineChars="200"/>
        <w:jc w:val="left"/>
        <w:textAlignment w:val="auto"/>
      </w:pPr>
      <w:r>
        <w:t>基本支出预算。</w:t>
      </w:r>
    </w:p>
    <w:p>
      <w:pPr>
        <w:pStyle w:val="18"/>
        <w:keepNext w:val="0"/>
        <w:keepLines w:val="0"/>
        <w:pageBreakBefore w:val="0"/>
        <w:widowControl w:val="0"/>
        <w:kinsoku/>
        <w:wordWrap/>
        <w:overflowPunct/>
        <w:topLinePunct w:val="0"/>
        <w:autoSpaceDE/>
        <w:autoSpaceDN/>
        <w:bidi w:val="0"/>
        <w:adjustRightInd/>
        <w:snapToGrid/>
        <w:spacing w:line="600" w:lineRule="exact"/>
        <w:ind w:firstLine="600"/>
        <w:jc w:val="left"/>
        <w:textAlignment w:val="auto"/>
        <w:rPr>
          <w:rFonts w:hint="eastAsia"/>
          <w:lang w:val="en-US" w:eastAsia="zh-CN"/>
        </w:rPr>
      </w:pPr>
      <w:r>
        <w:rPr>
          <w:rFonts w:hint="eastAsia"/>
        </w:rPr>
        <w:t>基本支出预算</w:t>
      </w:r>
      <w:r>
        <w:rPr>
          <w:rFonts w:hint="eastAsia"/>
          <w:lang w:val="en-US" w:eastAsia="zh-CN"/>
        </w:rPr>
        <w:t>428.67</w:t>
      </w:r>
      <w:r>
        <w:rPr>
          <w:rFonts w:hint="eastAsia"/>
        </w:rPr>
        <w:t>万元，占支出预算</w:t>
      </w:r>
      <w:r>
        <w:rPr>
          <w:u w:color="auto"/>
        </w:rPr>
        <w:t>88.36%,比上年减少52.25万元，减少10.86%</w:t>
      </w:r>
      <w:r>
        <w:t>。</w:t>
      </w:r>
      <w:r>
        <w:rPr>
          <w:rFonts w:hint="eastAsia"/>
          <w:lang w:val="en-US" w:eastAsia="zh-CN"/>
        </w:rPr>
        <w:t>其中：</w:t>
      </w:r>
    </w:p>
    <w:p>
      <w:pPr>
        <w:pStyle w:val="30"/>
        <w:keepNext w:val="0"/>
        <w:keepLines w:val="0"/>
        <w:pageBreakBefore w:val="0"/>
        <w:widowControl w:val="0"/>
        <w:kinsoku/>
        <w:wordWrap/>
        <w:overflowPunct/>
        <w:topLinePunct w:val="0"/>
        <w:autoSpaceDE/>
        <w:autoSpaceDN/>
        <w:bidi w:val="0"/>
        <w:adjustRightInd/>
        <w:snapToGrid/>
        <w:spacing w:after="0" w:line="600" w:lineRule="exact"/>
        <w:ind w:firstLine="74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rPr>
        <w:t>(</w:t>
      </w:r>
      <w:r>
        <w:rPr>
          <w:rFonts w:ascii="宋体" w:hAnsi="宋体" w:eastAsia="宋体" w:cs="宋体"/>
          <w:sz w:val="28"/>
          <w:u w:color="auto"/>
        </w:rPr>
        <w:t>1)对个人和家庭的补助</w:t>
      </w:r>
      <w:r>
        <w:rPr>
          <w:rFonts w:hint="eastAsia" w:ascii="宋体" w:hAnsi="宋体" w:eastAsia="宋体" w:cs="宋体"/>
          <w:sz w:val="28"/>
          <w:szCs w:val="28"/>
          <w:lang w:val="en-US" w:eastAsia="zh-CN"/>
        </w:rPr>
        <w:t>49.04</w:t>
      </w:r>
      <w:r>
        <w:rPr>
          <w:rFonts w:hint="eastAsia" w:ascii="宋体" w:hAnsi="宋体" w:eastAsia="宋体" w:cs="宋体"/>
          <w:sz w:val="28"/>
          <w:szCs w:val="28"/>
        </w:rPr>
        <w:t>万</w:t>
      </w:r>
      <w:r>
        <w:rPr>
          <w:rFonts w:ascii="宋体" w:hAnsi="宋体" w:eastAsia="宋体" w:cs="宋体"/>
          <w:sz w:val="28"/>
          <w:szCs w:val="28"/>
        </w:rPr>
        <w:t>元，占基本</w:t>
      </w:r>
      <w:r>
        <w:rPr>
          <w:rFonts w:hint="eastAsia" w:ascii="宋体" w:hAnsi="宋体" w:eastAsia="宋体" w:cs="宋体"/>
          <w:sz w:val="28"/>
          <w:szCs w:val="28"/>
        </w:rPr>
        <w:t>支出总预算</w:t>
      </w:r>
      <w:r>
        <w:rPr>
          <w:rFonts w:hint="eastAsia" w:ascii="宋体" w:hAnsi="宋体" w:eastAsia="宋体" w:cs="宋体"/>
          <w:sz w:val="28"/>
          <w:szCs w:val="28"/>
          <w:lang w:val="en-US" w:eastAsia="zh-CN"/>
        </w:rPr>
        <w:t>11.44%</w:t>
      </w:r>
      <w:r>
        <w:rPr>
          <w:rFonts w:hint="eastAsia" w:ascii="宋体" w:hAnsi="宋体" w:eastAsia="宋体" w:cs="宋体"/>
          <w:sz w:val="28"/>
          <w:szCs w:val="28"/>
        </w:rPr>
        <w:t>,比上年</w:t>
      </w:r>
      <w:r>
        <w:rPr>
          <w:rFonts w:ascii="宋体" w:hAnsi="宋体" w:eastAsia="宋体" w:cs="宋体"/>
          <w:sz w:val="28"/>
          <w:u w:color="auto"/>
        </w:rPr>
        <w:t>增长13.47万元，增长37.87%,主要原因是：学校对个人和家庭的补助主要用于中等职业教育国家助学金补助，退休人员的补贴，独生子女保健费，2024年中等职业教育学生增加，所以对个人和家庭的补助支出也相应增加</w:t>
      </w:r>
      <w:r>
        <w:rPr>
          <w:rFonts w:hint="eastAsia" w:ascii="宋体" w:hAnsi="宋体" w:eastAsia="宋体" w:cs="宋体"/>
          <w:sz w:val="28"/>
          <w:szCs w:val="28"/>
          <w:lang w:val="en-US" w:eastAsia="zh-CN"/>
        </w:rPr>
        <w:t>。</w:t>
      </w:r>
    </w:p>
    <w:p>
      <w:pPr>
        <w:pStyle w:val="30"/>
        <w:keepNext w:val="0"/>
        <w:keepLines w:val="0"/>
        <w:pageBreakBefore w:val="0"/>
        <w:widowControl w:val="0"/>
        <w:kinsoku/>
        <w:wordWrap/>
        <w:overflowPunct/>
        <w:topLinePunct w:val="0"/>
        <w:autoSpaceDE/>
        <w:autoSpaceDN/>
        <w:bidi w:val="0"/>
        <w:adjustRightInd/>
        <w:snapToGrid/>
        <w:spacing w:after="0" w:line="600" w:lineRule="exact"/>
        <w:ind w:firstLine="74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rPr>
        <w:t>(</w:t>
      </w:r>
      <w:r>
        <w:rPr>
          <w:rFonts w:ascii="宋体" w:hAnsi="宋体" w:eastAsia="宋体" w:cs="宋体"/>
          <w:sz w:val="28"/>
          <w:u w:color="auto"/>
        </w:rPr>
        <w:t>2)商品和服务支出</w:t>
      </w:r>
      <w:r>
        <w:rPr>
          <w:rFonts w:hint="eastAsia" w:ascii="宋体" w:hAnsi="宋体" w:eastAsia="宋体" w:cs="宋体"/>
          <w:sz w:val="28"/>
          <w:szCs w:val="28"/>
          <w:lang w:val="en-US" w:eastAsia="zh-CN"/>
        </w:rPr>
        <w:t>5.52</w:t>
      </w:r>
      <w:r>
        <w:rPr>
          <w:rFonts w:hint="eastAsia" w:ascii="宋体" w:hAnsi="宋体" w:eastAsia="宋体" w:cs="宋体"/>
          <w:sz w:val="28"/>
          <w:szCs w:val="28"/>
        </w:rPr>
        <w:t>万</w:t>
      </w:r>
      <w:r>
        <w:rPr>
          <w:rFonts w:ascii="宋体" w:hAnsi="宋体" w:eastAsia="宋体" w:cs="宋体"/>
          <w:sz w:val="28"/>
          <w:szCs w:val="28"/>
        </w:rPr>
        <w:t>元，占基本</w:t>
      </w:r>
      <w:r>
        <w:rPr>
          <w:rFonts w:hint="eastAsia" w:ascii="宋体" w:hAnsi="宋体" w:eastAsia="宋体" w:cs="宋体"/>
          <w:sz w:val="28"/>
          <w:szCs w:val="28"/>
        </w:rPr>
        <w:t>支出总预算</w:t>
      </w:r>
      <w:r>
        <w:rPr>
          <w:rFonts w:hint="eastAsia" w:ascii="宋体" w:hAnsi="宋体" w:eastAsia="宋体" w:cs="宋体"/>
          <w:sz w:val="28"/>
          <w:szCs w:val="28"/>
          <w:lang w:val="en-US" w:eastAsia="zh-CN"/>
        </w:rPr>
        <w:t>1.29%</w:t>
      </w:r>
      <w:r>
        <w:rPr>
          <w:rFonts w:hint="eastAsia" w:ascii="宋体" w:hAnsi="宋体" w:eastAsia="宋体" w:cs="宋体"/>
          <w:sz w:val="28"/>
          <w:szCs w:val="28"/>
        </w:rPr>
        <w:t>,比上年</w:t>
      </w:r>
      <w:r>
        <w:rPr>
          <w:rFonts w:ascii="宋体" w:hAnsi="宋体" w:eastAsia="宋体" w:cs="宋体"/>
          <w:sz w:val="28"/>
          <w:u w:color="auto"/>
        </w:rPr>
        <w:t>减少8.85万元，减少61.59%,主要原因是：办公费、水电费、培训费、差旅费等费用的支出减少</w:t>
      </w:r>
      <w:r>
        <w:rPr>
          <w:rFonts w:hint="eastAsia" w:ascii="宋体" w:hAnsi="宋体" w:eastAsia="宋体" w:cs="宋体"/>
          <w:sz w:val="28"/>
          <w:szCs w:val="28"/>
          <w:lang w:val="en-US" w:eastAsia="zh-CN"/>
        </w:rPr>
        <w:t>。</w:t>
      </w:r>
    </w:p>
    <w:p>
      <w:pPr>
        <w:pStyle w:val="30"/>
        <w:keepNext w:val="0"/>
        <w:keepLines w:val="0"/>
        <w:pageBreakBefore w:val="0"/>
        <w:widowControl w:val="0"/>
        <w:kinsoku/>
        <w:wordWrap/>
        <w:overflowPunct/>
        <w:topLinePunct w:val="0"/>
        <w:autoSpaceDE/>
        <w:autoSpaceDN/>
        <w:bidi w:val="0"/>
        <w:adjustRightInd/>
        <w:snapToGrid/>
        <w:spacing w:after="0" w:line="600" w:lineRule="exact"/>
        <w:ind w:firstLine="74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rPr>
        <w:t>(</w:t>
      </w:r>
      <w:r>
        <w:rPr>
          <w:rFonts w:ascii="宋体" w:hAnsi="宋体" w:eastAsia="宋体" w:cs="宋体"/>
          <w:sz w:val="28"/>
          <w:u w:color="auto"/>
        </w:rPr>
        <w:t>3)工资福利支出</w:t>
      </w:r>
      <w:r>
        <w:rPr>
          <w:rFonts w:hint="eastAsia" w:ascii="宋体" w:hAnsi="宋体" w:eastAsia="宋体" w:cs="宋体"/>
          <w:sz w:val="28"/>
          <w:szCs w:val="28"/>
          <w:lang w:val="en-US" w:eastAsia="zh-CN"/>
        </w:rPr>
        <w:t>374.11</w:t>
      </w:r>
      <w:r>
        <w:rPr>
          <w:rFonts w:hint="eastAsia" w:ascii="宋体" w:hAnsi="宋体" w:eastAsia="宋体" w:cs="宋体"/>
          <w:sz w:val="28"/>
          <w:szCs w:val="28"/>
        </w:rPr>
        <w:t>万</w:t>
      </w:r>
      <w:r>
        <w:rPr>
          <w:rFonts w:ascii="宋体" w:hAnsi="宋体" w:eastAsia="宋体" w:cs="宋体"/>
          <w:sz w:val="28"/>
          <w:szCs w:val="28"/>
        </w:rPr>
        <w:t>元，占基本</w:t>
      </w:r>
      <w:r>
        <w:rPr>
          <w:rFonts w:hint="eastAsia" w:ascii="宋体" w:hAnsi="宋体" w:eastAsia="宋体" w:cs="宋体"/>
          <w:sz w:val="28"/>
          <w:szCs w:val="28"/>
        </w:rPr>
        <w:t>支出总预算</w:t>
      </w:r>
      <w:r>
        <w:rPr>
          <w:rFonts w:hint="eastAsia" w:ascii="宋体" w:hAnsi="宋体" w:eastAsia="宋体" w:cs="宋体"/>
          <w:sz w:val="28"/>
          <w:szCs w:val="28"/>
          <w:lang w:val="en-US" w:eastAsia="zh-CN"/>
        </w:rPr>
        <w:t>87.27%</w:t>
      </w:r>
      <w:r>
        <w:rPr>
          <w:rFonts w:hint="eastAsia" w:ascii="宋体" w:hAnsi="宋体" w:eastAsia="宋体" w:cs="宋体"/>
          <w:sz w:val="28"/>
          <w:szCs w:val="28"/>
        </w:rPr>
        <w:t>,比上年</w:t>
      </w:r>
      <w:r>
        <w:rPr>
          <w:rFonts w:ascii="宋体" w:hAnsi="宋体" w:eastAsia="宋体" w:cs="宋体"/>
          <w:sz w:val="28"/>
          <w:u w:color="auto"/>
        </w:rPr>
        <w:t>减少56.88万元，减少13.20%,主要原因是：2024年学校在职教师24人，总人数较2023年48人减少24人，减少50%。工资福利能保障教职工的日常生活，提升教职工生活质量。合理安排预算经费能保障教职工权益，所以人员减少相应的工资福利支出也应该减少</w:t>
      </w:r>
      <w:r>
        <w:rPr>
          <w:rFonts w:hint="eastAsia" w:ascii="宋体" w:hAnsi="宋体" w:eastAsia="宋体" w:cs="宋体"/>
          <w:sz w:val="28"/>
          <w:szCs w:val="28"/>
          <w:lang w:val="en-US" w:eastAsia="zh-CN"/>
        </w:rPr>
        <w:t>。</w:t>
      </w:r>
    </w:p>
    <w:p>
      <w:pPr>
        <w:pStyle w:val="18"/>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560" w:firstLineChars="200"/>
        <w:jc w:val="left"/>
        <w:textAlignment w:val="auto"/>
        <w:rPr>
          <w:rFonts w:hint="eastAsia" w:ascii="宋体" w:hAnsi="宋体" w:eastAsia="宋体" w:cs="宋体"/>
          <w:b w:val="0"/>
          <w:bCs w:val="0"/>
          <w:color w:val="000000"/>
          <w:sz w:val="28"/>
          <w:szCs w:val="28"/>
          <w:lang w:val="zh-TW" w:eastAsia="zh-TW" w:bidi="zh-TW"/>
        </w:rPr>
      </w:pPr>
      <w:r>
        <w:rPr>
          <w:rFonts w:hint="eastAsia" w:ascii="宋体" w:hAnsi="宋体" w:eastAsia="宋体" w:cs="宋体"/>
          <w:b w:val="0"/>
          <w:bCs w:val="0"/>
          <w:color w:val="000000"/>
          <w:sz w:val="28"/>
          <w:szCs w:val="28"/>
          <w:lang w:val="zh-TW" w:eastAsia="zh-TW" w:bidi="zh-TW"/>
        </w:rPr>
        <w:t>项目支出预算。</w:t>
      </w:r>
    </w:p>
    <w:p>
      <w:pPr>
        <w:pStyle w:val="18"/>
        <w:keepNext w:val="0"/>
        <w:keepLines w:val="0"/>
        <w:pageBreakBefore w:val="0"/>
        <w:widowControl w:val="0"/>
        <w:kinsoku/>
        <w:wordWrap/>
        <w:overflowPunct/>
        <w:topLinePunct w:val="0"/>
        <w:autoSpaceDE/>
        <w:autoSpaceDN/>
        <w:bidi w:val="0"/>
        <w:adjustRightInd/>
        <w:snapToGrid/>
        <w:spacing w:line="600" w:lineRule="exact"/>
        <w:ind w:firstLine="600"/>
        <w:jc w:val="left"/>
        <w:textAlignment w:val="auto"/>
        <w:rPr>
          <w:rFonts w:hint="eastAsia"/>
          <w:lang w:val="en-US" w:eastAsia="zh-CN"/>
        </w:rPr>
      </w:pPr>
      <w:r>
        <w:rPr>
          <w:rFonts w:hint="eastAsia"/>
        </w:rPr>
        <w:t>项目支出预算</w:t>
      </w:r>
      <w:r>
        <w:rPr>
          <w:rFonts w:hint="eastAsia"/>
          <w:lang w:val="en-US" w:eastAsia="zh-CN"/>
        </w:rPr>
        <w:t>56.49</w:t>
      </w:r>
      <w:r>
        <w:rPr>
          <w:rFonts w:hint="eastAsia"/>
        </w:rPr>
        <w:t>万元，占支出预算</w:t>
      </w:r>
      <w:r>
        <w:rPr>
          <w:u w:color="auto"/>
        </w:rPr>
        <w:t>11.64%</w:t>
      </w:r>
      <w:r>
        <w:rPr>
          <w:rFonts w:hint="eastAsia"/>
        </w:rPr>
        <w:t>,比上年</w:t>
      </w:r>
      <w:r>
        <w:rPr>
          <w:u w:color="auto"/>
        </w:rPr>
        <w:t>减少354.22</w:t>
      </w:r>
      <w:r>
        <w:rPr>
          <w:rFonts w:hint="eastAsia"/>
        </w:rPr>
        <w:t>万元，</w:t>
      </w:r>
      <w:r>
        <w:rPr>
          <w:u w:color="auto"/>
        </w:rPr>
        <w:t>减少86.25%</w:t>
      </w:r>
      <w:r>
        <w:t>。</w:t>
      </w:r>
      <w:r>
        <w:rPr>
          <w:rFonts w:hint="eastAsia"/>
          <w:lang w:val="en-US" w:eastAsia="zh-CN"/>
        </w:rPr>
        <w:t>其中：</w:t>
      </w:r>
    </w:p>
    <w:p>
      <w:pPr>
        <w:pStyle w:val="30"/>
        <w:keepNext w:val="0"/>
        <w:keepLines w:val="0"/>
        <w:pageBreakBefore w:val="0"/>
        <w:widowControl w:val="0"/>
        <w:kinsoku/>
        <w:wordWrap/>
        <w:overflowPunct/>
        <w:topLinePunct w:val="0"/>
        <w:autoSpaceDE/>
        <w:autoSpaceDN/>
        <w:bidi w:val="0"/>
        <w:adjustRightInd/>
        <w:snapToGrid/>
        <w:spacing w:after="0" w:line="600" w:lineRule="exact"/>
        <w:ind w:firstLine="740"/>
        <w:jc w:val="left"/>
        <w:textAlignment w:val="auto"/>
        <w:rPr>
          <w:rFonts w:hint="eastAsia" w:ascii="宋体" w:hAnsi="宋体" w:eastAsia="宋体" w:cs="宋体"/>
          <w:color w:val="000000"/>
          <w:sz w:val="28"/>
          <w:szCs w:val="28"/>
          <w:lang w:val="en-US" w:eastAsia="zh-CN" w:bidi="zh-TW"/>
        </w:rPr>
      </w:pPr>
      <w:r>
        <w:rPr>
          <w:rFonts w:hint="eastAsia" w:ascii="宋体" w:hAnsi="宋体" w:eastAsia="宋体" w:cs="宋体"/>
          <w:sz w:val="28"/>
          <w:szCs w:val="28"/>
        </w:rPr>
        <w:t>(</w:t>
      </w:r>
      <w:r>
        <w:rPr>
          <w:rFonts w:ascii="宋体" w:hAnsi="宋体" w:eastAsia="宋体" w:cs="宋体"/>
          <w:sz w:val="28"/>
          <w:u w:color="auto"/>
        </w:rPr>
        <w:t>1)对个人和家庭的补助</w:t>
      </w:r>
      <w:r>
        <w:rPr>
          <w:rFonts w:hint="eastAsia" w:ascii="宋体" w:hAnsi="宋体" w:eastAsia="宋体" w:cs="宋体"/>
          <w:sz w:val="28"/>
          <w:szCs w:val="28"/>
          <w:lang w:val="en-US" w:eastAsia="zh-CN"/>
        </w:rPr>
        <w:t>9.20</w:t>
      </w:r>
      <w:r>
        <w:rPr>
          <w:rFonts w:hint="eastAsia" w:ascii="宋体" w:hAnsi="宋体" w:eastAsia="宋体" w:cs="宋体"/>
          <w:sz w:val="28"/>
          <w:szCs w:val="28"/>
        </w:rPr>
        <w:t>万</w:t>
      </w:r>
      <w:r>
        <w:rPr>
          <w:rFonts w:ascii="宋体" w:hAnsi="宋体" w:eastAsia="宋体" w:cs="宋体"/>
          <w:sz w:val="28"/>
          <w:szCs w:val="28"/>
        </w:rPr>
        <w:t>元，占</w:t>
      </w:r>
      <w:r>
        <w:rPr>
          <w:rFonts w:hint="eastAsia"/>
        </w:rPr>
        <w:t>项</w:t>
      </w:r>
      <w:r>
        <w:rPr>
          <w:rFonts w:hint="eastAsia" w:ascii="宋体" w:hAnsi="宋体" w:eastAsia="宋体" w:cs="宋体"/>
          <w:color w:val="000000"/>
          <w:sz w:val="28"/>
          <w:szCs w:val="28"/>
          <w:lang w:val="zh-TW" w:eastAsia="zh-TW" w:bidi="zh-TW"/>
        </w:rPr>
        <w:t>目支出总预算</w:t>
      </w:r>
      <w:r>
        <w:rPr>
          <w:rFonts w:hint="eastAsia" w:ascii="宋体" w:hAnsi="宋体" w:eastAsia="宋体" w:cs="宋体"/>
          <w:color w:val="000000"/>
          <w:sz w:val="28"/>
          <w:szCs w:val="28"/>
          <w:lang w:val="en-US" w:eastAsia="zh-CN" w:bidi="zh-TW"/>
        </w:rPr>
        <w:t>16.29%</w:t>
      </w:r>
      <w:r>
        <w:rPr>
          <w:rFonts w:hint="eastAsia" w:ascii="宋体" w:hAnsi="宋体" w:eastAsia="宋体" w:cs="宋体"/>
          <w:color w:val="000000"/>
          <w:sz w:val="28"/>
          <w:szCs w:val="28"/>
          <w:lang w:val="zh-TW" w:eastAsia="zh-TW" w:bidi="zh-TW"/>
        </w:rPr>
        <w:t>,比上年</w:t>
      </w:r>
      <w:r>
        <w:rPr>
          <w:rFonts w:ascii="宋体" w:hAnsi="宋体" w:eastAsia="宋体" w:cs="宋体"/>
          <w:color w:val="000000"/>
          <w:sz w:val="28"/>
          <w:u w:color="auto"/>
        </w:rPr>
        <w:t>减少22.85万元，减少71.29%,主要原因是：学校对个人和家庭的补助主要用于中等职业教育国家助学金补助，退休人员的补贴，独生子女保健费等，由于2024年职业教育学校教师人数减少，所以对个人的家庭的补助减少</w:t>
      </w:r>
      <w:r>
        <w:rPr>
          <w:rFonts w:hint="eastAsia" w:ascii="宋体" w:hAnsi="宋体" w:eastAsia="宋体" w:cs="宋体"/>
          <w:color w:val="000000"/>
          <w:sz w:val="28"/>
          <w:szCs w:val="28"/>
          <w:lang w:val="en-US" w:eastAsia="zh-CN" w:bidi="zh-TW"/>
        </w:rPr>
        <w:t>。</w:t>
      </w:r>
    </w:p>
    <w:p>
      <w:pPr>
        <w:pStyle w:val="30"/>
        <w:keepNext w:val="0"/>
        <w:keepLines w:val="0"/>
        <w:pageBreakBefore w:val="0"/>
        <w:widowControl w:val="0"/>
        <w:kinsoku/>
        <w:wordWrap/>
        <w:overflowPunct/>
        <w:topLinePunct w:val="0"/>
        <w:autoSpaceDE/>
        <w:autoSpaceDN/>
        <w:bidi w:val="0"/>
        <w:adjustRightInd/>
        <w:snapToGrid/>
        <w:spacing w:after="0" w:line="600" w:lineRule="exact"/>
        <w:ind w:firstLine="740"/>
        <w:jc w:val="left"/>
        <w:textAlignment w:val="auto"/>
        <w:rPr>
          <w:rFonts w:hint="eastAsia" w:ascii="宋体" w:hAnsi="宋体" w:eastAsia="宋体" w:cs="宋体"/>
          <w:color w:val="000000"/>
          <w:sz w:val="28"/>
          <w:szCs w:val="28"/>
          <w:lang w:val="en-US" w:eastAsia="zh-CN" w:bidi="zh-TW"/>
        </w:rPr>
      </w:pPr>
      <w:r>
        <w:rPr>
          <w:rFonts w:hint="eastAsia" w:ascii="宋体" w:hAnsi="宋体" w:eastAsia="宋体" w:cs="宋体"/>
          <w:sz w:val="28"/>
          <w:szCs w:val="28"/>
        </w:rPr>
        <w:t>(</w:t>
      </w:r>
      <w:r>
        <w:rPr>
          <w:rFonts w:ascii="宋体" w:hAnsi="宋体" w:eastAsia="宋体" w:cs="宋体"/>
          <w:sz w:val="28"/>
          <w:u w:color="auto"/>
        </w:rPr>
        <w:t>2)资本性支出（基本建设）</w:t>
      </w:r>
      <w:r>
        <w:rPr>
          <w:rFonts w:hint="eastAsia" w:ascii="宋体" w:hAnsi="宋体" w:eastAsia="宋体" w:cs="宋体"/>
          <w:sz w:val="28"/>
          <w:szCs w:val="28"/>
          <w:lang w:val="en-US" w:eastAsia="zh-CN"/>
        </w:rPr>
        <w:t>0.93</w:t>
      </w:r>
      <w:r>
        <w:rPr>
          <w:rFonts w:hint="eastAsia" w:ascii="宋体" w:hAnsi="宋体" w:eastAsia="宋体" w:cs="宋体"/>
          <w:sz w:val="28"/>
          <w:szCs w:val="28"/>
        </w:rPr>
        <w:t>万</w:t>
      </w:r>
      <w:r>
        <w:rPr>
          <w:rFonts w:ascii="宋体" w:hAnsi="宋体" w:eastAsia="宋体" w:cs="宋体"/>
          <w:sz w:val="28"/>
          <w:szCs w:val="28"/>
        </w:rPr>
        <w:t>元，占</w:t>
      </w:r>
      <w:r>
        <w:rPr>
          <w:rFonts w:hint="eastAsia"/>
        </w:rPr>
        <w:t>项</w:t>
      </w:r>
      <w:r>
        <w:rPr>
          <w:rFonts w:hint="eastAsia" w:ascii="宋体" w:hAnsi="宋体" w:eastAsia="宋体" w:cs="宋体"/>
          <w:color w:val="000000"/>
          <w:sz w:val="28"/>
          <w:szCs w:val="28"/>
          <w:lang w:val="zh-TW" w:eastAsia="zh-TW" w:bidi="zh-TW"/>
        </w:rPr>
        <w:t>目支出总预算</w:t>
      </w:r>
      <w:r>
        <w:rPr>
          <w:rFonts w:hint="eastAsia" w:ascii="宋体" w:hAnsi="宋体" w:eastAsia="宋体" w:cs="宋体"/>
          <w:color w:val="000000"/>
          <w:sz w:val="28"/>
          <w:szCs w:val="28"/>
          <w:lang w:val="en-US" w:eastAsia="zh-CN" w:bidi="zh-TW"/>
        </w:rPr>
        <w:t>1.65%</w:t>
      </w:r>
      <w:r>
        <w:rPr>
          <w:rFonts w:hint="eastAsia" w:ascii="宋体" w:hAnsi="宋体" w:eastAsia="宋体" w:cs="宋体"/>
          <w:color w:val="000000"/>
          <w:sz w:val="28"/>
          <w:szCs w:val="28"/>
          <w:lang w:val="zh-TW" w:eastAsia="zh-TW" w:bidi="zh-TW"/>
        </w:rPr>
        <w:t>,比上年</w:t>
      </w:r>
      <w:r>
        <w:rPr>
          <w:rFonts w:ascii="宋体" w:hAnsi="宋体" w:eastAsia="宋体" w:cs="宋体"/>
          <w:color w:val="000000"/>
          <w:sz w:val="28"/>
          <w:u w:color="auto"/>
        </w:rPr>
        <w:t>增长0.93万元，增长100%,主要原因是：该支出是上级部门拨款的债务专项经费，用于解决学校债务问题，给相关供应商付款，保证学校项目正常运转，维护学校声誉</w:t>
      </w:r>
      <w:r>
        <w:rPr>
          <w:rFonts w:hint="eastAsia" w:ascii="宋体" w:hAnsi="宋体" w:eastAsia="宋体" w:cs="宋体"/>
          <w:color w:val="000000"/>
          <w:sz w:val="28"/>
          <w:szCs w:val="28"/>
          <w:lang w:val="en-US" w:eastAsia="zh-CN" w:bidi="zh-TW"/>
        </w:rPr>
        <w:t>。</w:t>
      </w:r>
    </w:p>
    <w:p>
      <w:pPr>
        <w:pStyle w:val="30"/>
        <w:keepNext w:val="0"/>
        <w:keepLines w:val="0"/>
        <w:pageBreakBefore w:val="0"/>
        <w:widowControl w:val="0"/>
        <w:kinsoku/>
        <w:wordWrap/>
        <w:overflowPunct/>
        <w:topLinePunct w:val="0"/>
        <w:autoSpaceDE/>
        <w:autoSpaceDN/>
        <w:bidi w:val="0"/>
        <w:adjustRightInd/>
        <w:snapToGrid/>
        <w:spacing w:after="0" w:line="600" w:lineRule="exact"/>
        <w:ind w:firstLine="740"/>
        <w:jc w:val="left"/>
        <w:textAlignment w:val="auto"/>
        <w:rPr>
          <w:rFonts w:hint="eastAsia" w:ascii="宋体" w:hAnsi="宋体" w:eastAsia="宋体" w:cs="宋体"/>
          <w:color w:val="000000"/>
          <w:sz w:val="28"/>
          <w:szCs w:val="28"/>
          <w:lang w:val="en-US" w:eastAsia="zh-CN" w:bidi="zh-TW"/>
        </w:rPr>
      </w:pPr>
      <w:r>
        <w:rPr>
          <w:rFonts w:hint="eastAsia" w:ascii="宋体" w:hAnsi="宋体" w:eastAsia="宋体" w:cs="宋体"/>
          <w:sz w:val="28"/>
          <w:szCs w:val="28"/>
        </w:rPr>
        <w:t>(</w:t>
      </w:r>
      <w:r>
        <w:rPr>
          <w:rFonts w:ascii="宋体" w:hAnsi="宋体" w:eastAsia="宋体" w:cs="宋体"/>
          <w:sz w:val="28"/>
          <w:u w:color="auto"/>
        </w:rPr>
        <w:t>3)商品和服务支出</w:t>
      </w:r>
      <w:r>
        <w:rPr>
          <w:rFonts w:hint="eastAsia" w:ascii="宋体" w:hAnsi="宋体" w:eastAsia="宋体" w:cs="宋体"/>
          <w:sz w:val="28"/>
          <w:szCs w:val="28"/>
          <w:lang w:val="en-US" w:eastAsia="zh-CN"/>
        </w:rPr>
        <w:t>21.24</w:t>
      </w:r>
      <w:r>
        <w:rPr>
          <w:rFonts w:hint="eastAsia" w:ascii="宋体" w:hAnsi="宋体" w:eastAsia="宋体" w:cs="宋体"/>
          <w:sz w:val="28"/>
          <w:szCs w:val="28"/>
        </w:rPr>
        <w:t>万</w:t>
      </w:r>
      <w:r>
        <w:rPr>
          <w:rFonts w:ascii="宋体" w:hAnsi="宋体" w:eastAsia="宋体" w:cs="宋体"/>
          <w:sz w:val="28"/>
          <w:szCs w:val="28"/>
        </w:rPr>
        <w:t>元，占</w:t>
      </w:r>
      <w:r>
        <w:rPr>
          <w:rFonts w:hint="eastAsia"/>
        </w:rPr>
        <w:t>项</w:t>
      </w:r>
      <w:r>
        <w:rPr>
          <w:rFonts w:hint="eastAsia" w:ascii="宋体" w:hAnsi="宋体" w:eastAsia="宋体" w:cs="宋体"/>
          <w:color w:val="000000"/>
          <w:sz w:val="28"/>
          <w:szCs w:val="28"/>
          <w:lang w:val="zh-TW" w:eastAsia="zh-TW" w:bidi="zh-TW"/>
        </w:rPr>
        <w:t>目支出总预算</w:t>
      </w:r>
      <w:r>
        <w:rPr>
          <w:rFonts w:hint="eastAsia" w:ascii="宋体" w:hAnsi="宋体" w:eastAsia="宋体" w:cs="宋体"/>
          <w:color w:val="000000"/>
          <w:sz w:val="28"/>
          <w:szCs w:val="28"/>
          <w:lang w:val="en-US" w:eastAsia="zh-CN" w:bidi="zh-TW"/>
        </w:rPr>
        <w:t>37.60%</w:t>
      </w:r>
      <w:r>
        <w:rPr>
          <w:rFonts w:hint="eastAsia" w:ascii="宋体" w:hAnsi="宋体" w:eastAsia="宋体" w:cs="宋体"/>
          <w:color w:val="000000"/>
          <w:sz w:val="28"/>
          <w:szCs w:val="28"/>
          <w:lang w:val="zh-TW" w:eastAsia="zh-TW" w:bidi="zh-TW"/>
        </w:rPr>
        <w:t>,比上年</w:t>
      </w:r>
      <w:r>
        <w:rPr>
          <w:rFonts w:ascii="宋体" w:hAnsi="宋体" w:eastAsia="宋体" w:cs="宋体"/>
          <w:color w:val="000000"/>
          <w:sz w:val="28"/>
          <w:u w:color="auto"/>
        </w:rPr>
        <w:t>减少250.68万元，减少92.19%,主要原因是：办公费、水电费、培训费、差旅费等费用的支出减少</w:t>
      </w:r>
      <w:r>
        <w:rPr>
          <w:rFonts w:hint="eastAsia" w:ascii="宋体" w:hAnsi="宋体" w:eastAsia="宋体" w:cs="宋体"/>
          <w:color w:val="000000"/>
          <w:sz w:val="28"/>
          <w:szCs w:val="28"/>
          <w:lang w:val="en-US" w:eastAsia="zh-CN" w:bidi="zh-TW"/>
        </w:rPr>
        <w:t>。</w:t>
      </w:r>
    </w:p>
    <w:p>
      <w:pPr>
        <w:pStyle w:val="30"/>
        <w:keepNext w:val="0"/>
        <w:keepLines w:val="0"/>
        <w:pageBreakBefore w:val="0"/>
        <w:widowControl w:val="0"/>
        <w:kinsoku/>
        <w:wordWrap/>
        <w:overflowPunct/>
        <w:topLinePunct w:val="0"/>
        <w:autoSpaceDE/>
        <w:autoSpaceDN/>
        <w:bidi w:val="0"/>
        <w:adjustRightInd/>
        <w:snapToGrid/>
        <w:spacing w:after="0" w:line="600" w:lineRule="exact"/>
        <w:ind w:firstLine="740"/>
        <w:jc w:val="left"/>
        <w:textAlignment w:val="auto"/>
        <w:rPr>
          <w:rFonts w:hint="eastAsia" w:ascii="宋体" w:hAnsi="宋体" w:eastAsia="宋体" w:cs="宋体"/>
          <w:color w:val="000000"/>
          <w:sz w:val="28"/>
          <w:szCs w:val="28"/>
          <w:lang w:val="en-US" w:eastAsia="zh-CN" w:bidi="zh-TW"/>
        </w:rPr>
      </w:pPr>
      <w:r>
        <w:rPr>
          <w:rFonts w:hint="eastAsia" w:ascii="宋体" w:hAnsi="宋体" w:eastAsia="宋体" w:cs="宋体"/>
          <w:sz w:val="28"/>
          <w:szCs w:val="28"/>
        </w:rPr>
        <w:t>(</w:t>
      </w:r>
      <w:r>
        <w:rPr>
          <w:rFonts w:ascii="宋体" w:hAnsi="宋体" w:eastAsia="宋体" w:cs="宋体"/>
          <w:sz w:val="28"/>
          <w:u w:color="auto"/>
        </w:rPr>
        <w:t>4)资本性支出</w:t>
      </w:r>
      <w:r>
        <w:rPr>
          <w:rFonts w:hint="eastAsia" w:ascii="宋体" w:hAnsi="宋体" w:eastAsia="宋体" w:cs="宋体"/>
          <w:sz w:val="28"/>
          <w:szCs w:val="28"/>
          <w:lang w:val="en-US" w:eastAsia="zh-CN"/>
        </w:rPr>
        <w:t>13.13</w:t>
      </w:r>
      <w:r>
        <w:rPr>
          <w:rFonts w:hint="eastAsia" w:ascii="宋体" w:hAnsi="宋体" w:eastAsia="宋体" w:cs="宋体"/>
          <w:sz w:val="28"/>
          <w:szCs w:val="28"/>
        </w:rPr>
        <w:t>万</w:t>
      </w:r>
      <w:r>
        <w:rPr>
          <w:rFonts w:ascii="宋体" w:hAnsi="宋体" w:eastAsia="宋体" w:cs="宋体"/>
          <w:sz w:val="28"/>
          <w:szCs w:val="28"/>
        </w:rPr>
        <w:t>元，占</w:t>
      </w:r>
      <w:r>
        <w:rPr>
          <w:rFonts w:hint="eastAsia"/>
        </w:rPr>
        <w:t>项</w:t>
      </w:r>
      <w:r>
        <w:rPr>
          <w:rFonts w:hint="eastAsia" w:ascii="宋体" w:hAnsi="宋体" w:eastAsia="宋体" w:cs="宋体"/>
          <w:color w:val="000000"/>
          <w:sz w:val="28"/>
          <w:szCs w:val="28"/>
          <w:lang w:val="zh-TW" w:eastAsia="zh-TW" w:bidi="zh-TW"/>
        </w:rPr>
        <w:t>目支出总预算</w:t>
      </w:r>
      <w:r>
        <w:rPr>
          <w:rFonts w:hint="eastAsia" w:ascii="宋体" w:hAnsi="宋体" w:eastAsia="宋体" w:cs="宋体"/>
          <w:color w:val="000000"/>
          <w:sz w:val="28"/>
          <w:szCs w:val="28"/>
          <w:lang w:val="en-US" w:eastAsia="zh-CN" w:bidi="zh-TW"/>
        </w:rPr>
        <w:t>23.24%</w:t>
      </w:r>
      <w:r>
        <w:rPr>
          <w:rFonts w:hint="eastAsia" w:ascii="宋体" w:hAnsi="宋体" w:eastAsia="宋体" w:cs="宋体"/>
          <w:color w:val="000000"/>
          <w:sz w:val="28"/>
          <w:szCs w:val="28"/>
          <w:lang w:val="zh-TW" w:eastAsia="zh-TW" w:bidi="zh-TW"/>
        </w:rPr>
        <w:t>,比上年</w:t>
      </w:r>
      <w:r>
        <w:rPr>
          <w:rFonts w:ascii="宋体" w:hAnsi="宋体" w:eastAsia="宋体" w:cs="宋体"/>
          <w:color w:val="000000"/>
          <w:sz w:val="28"/>
          <w:u w:color="auto"/>
        </w:rPr>
        <w:t>增长4.13万元，增长45.89%,主要原因是：增加用于发展中等职业教育的教学设备，完善教学设施</w:t>
      </w:r>
      <w:r>
        <w:rPr>
          <w:rFonts w:hint="eastAsia" w:ascii="宋体" w:hAnsi="宋体" w:eastAsia="宋体" w:cs="宋体"/>
          <w:color w:val="000000"/>
          <w:sz w:val="28"/>
          <w:szCs w:val="28"/>
          <w:lang w:val="en-US" w:eastAsia="zh-CN" w:bidi="zh-TW"/>
        </w:rPr>
        <w:t>。</w:t>
      </w:r>
    </w:p>
    <w:p>
      <w:pPr>
        <w:pStyle w:val="30"/>
        <w:keepNext w:val="0"/>
        <w:keepLines w:val="0"/>
        <w:pageBreakBefore w:val="0"/>
        <w:widowControl w:val="0"/>
        <w:kinsoku/>
        <w:wordWrap/>
        <w:overflowPunct/>
        <w:topLinePunct w:val="0"/>
        <w:autoSpaceDE/>
        <w:autoSpaceDN/>
        <w:bidi w:val="0"/>
        <w:adjustRightInd/>
        <w:snapToGrid/>
        <w:spacing w:after="0" w:line="600" w:lineRule="exact"/>
        <w:ind w:firstLine="740"/>
        <w:jc w:val="left"/>
        <w:textAlignment w:val="auto"/>
        <w:rPr>
          <w:rFonts w:hint="eastAsia" w:ascii="宋体" w:hAnsi="宋体" w:eastAsia="宋体" w:cs="宋体"/>
          <w:color w:val="000000"/>
          <w:sz w:val="28"/>
          <w:szCs w:val="28"/>
          <w:lang w:val="en-US" w:eastAsia="zh-CN" w:bidi="zh-TW"/>
        </w:rPr>
      </w:pPr>
      <w:r>
        <w:rPr>
          <w:rFonts w:hint="eastAsia" w:ascii="宋体" w:hAnsi="宋体" w:eastAsia="宋体" w:cs="宋体"/>
          <w:sz w:val="28"/>
          <w:szCs w:val="28"/>
        </w:rPr>
        <w:t>(</w:t>
      </w:r>
      <w:r>
        <w:rPr>
          <w:rFonts w:ascii="宋体" w:hAnsi="宋体" w:eastAsia="宋体" w:cs="宋体"/>
          <w:sz w:val="28"/>
          <w:u w:color="auto"/>
        </w:rPr>
        <w:t>5)工资福利支出</w:t>
      </w:r>
      <w:r>
        <w:rPr>
          <w:rFonts w:hint="eastAsia" w:ascii="宋体" w:hAnsi="宋体" w:eastAsia="宋体" w:cs="宋体"/>
          <w:sz w:val="28"/>
          <w:szCs w:val="28"/>
          <w:lang w:val="en-US" w:eastAsia="zh-CN"/>
        </w:rPr>
        <w:t>12.00</w:t>
      </w:r>
      <w:r>
        <w:rPr>
          <w:rFonts w:hint="eastAsia" w:ascii="宋体" w:hAnsi="宋体" w:eastAsia="宋体" w:cs="宋体"/>
          <w:sz w:val="28"/>
          <w:szCs w:val="28"/>
        </w:rPr>
        <w:t>万</w:t>
      </w:r>
      <w:r>
        <w:rPr>
          <w:rFonts w:ascii="宋体" w:hAnsi="宋体" w:eastAsia="宋体" w:cs="宋体"/>
          <w:sz w:val="28"/>
          <w:szCs w:val="28"/>
        </w:rPr>
        <w:t>元，占</w:t>
      </w:r>
      <w:r>
        <w:rPr>
          <w:rFonts w:hint="eastAsia"/>
        </w:rPr>
        <w:t>项</w:t>
      </w:r>
      <w:r>
        <w:rPr>
          <w:rFonts w:hint="eastAsia" w:ascii="宋体" w:hAnsi="宋体" w:eastAsia="宋体" w:cs="宋体"/>
          <w:color w:val="000000"/>
          <w:sz w:val="28"/>
          <w:szCs w:val="28"/>
          <w:lang w:val="zh-TW" w:eastAsia="zh-TW" w:bidi="zh-TW"/>
        </w:rPr>
        <w:t>目支出总预算</w:t>
      </w:r>
      <w:r>
        <w:rPr>
          <w:rFonts w:hint="eastAsia" w:ascii="宋体" w:hAnsi="宋体" w:eastAsia="宋体" w:cs="宋体"/>
          <w:color w:val="000000"/>
          <w:sz w:val="28"/>
          <w:szCs w:val="28"/>
          <w:lang w:val="en-US" w:eastAsia="zh-CN" w:bidi="zh-TW"/>
        </w:rPr>
        <w:t>21.24%</w:t>
      </w:r>
      <w:r>
        <w:rPr>
          <w:rFonts w:hint="eastAsia" w:ascii="宋体" w:hAnsi="宋体" w:eastAsia="宋体" w:cs="宋体"/>
          <w:color w:val="000000"/>
          <w:sz w:val="28"/>
          <w:szCs w:val="28"/>
          <w:lang w:val="zh-TW" w:eastAsia="zh-TW" w:bidi="zh-TW"/>
        </w:rPr>
        <w:t>,比上年</w:t>
      </w:r>
      <w:r>
        <w:rPr>
          <w:rFonts w:ascii="宋体" w:hAnsi="宋体" w:eastAsia="宋体" w:cs="宋体"/>
          <w:color w:val="000000"/>
          <w:sz w:val="28"/>
          <w:u w:color="auto"/>
        </w:rPr>
        <w:t>减少85.74万元，减少87.72%,主要原因是：2024年学校在职教师24人，总人数较2023年48人减少24人，减少50%。工资福利能保障教职工的日常生活，提升教职工生活质量。合理安排预算经费能保障教职工权益，所以人员减少相应的工资福利支出也应该减少</w:t>
      </w:r>
      <w:r>
        <w:rPr>
          <w:rFonts w:hint="eastAsia" w:ascii="宋体" w:hAnsi="宋体" w:eastAsia="宋体" w:cs="宋体"/>
          <w:color w:val="000000"/>
          <w:sz w:val="28"/>
          <w:szCs w:val="28"/>
          <w:lang w:val="en-US" w:eastAsia="zh-CN" w:bidi="zh-TW"/>
        </w:rPr>
        <w:t>。</w:t>
      </w:r>
    </w:p>
    <w:p>
      <w:pPr>
        <w:pStyle w:val="16"/>
        <w:spacing w:after="0" w:line="619" w:lineRule="exact"/>
        <w:ind w:firstLine="620"/>
        <w:jc w:val="left"/>
        <w:rPr>
          <w:rFonts w:hint="eastAsia"/>
          <w:b/>
          <w:bCs/>
          <w:lang w:val="en-US" w:eastAsia="zh-CN"/>
        </w:rPr>
      </w:pPr>
      <w:r>
        <w:rPr>
          <w:rFonts w:hint="eastAsia"/>
          <w:b/>
          <w:bCs/>
          <w:lang w:val="en-US" w:eastAsia="zh-CN"/>
        </w:rPr>
        <w:t>四、财政拨款收支总体情况说明</w:t>
      </w:r>
    </w:p>
    <w:p>
      <w:pPr>
        <w:pStyle w:val="18"/>
        <w:spacing w:line="240" w:lineRule="auto"/>
        <w:ind w:firstLine="0"/>
        <w:jc w:val="left"/>
        <w:rPr>
          <w:lang w:val="en-US" w:eastAsia="zh-CN"/>
        </w:rPr>
      </w:pPr>
      <w:r>
        <w:rPr>
          <w:rFonts w:hint="eastAsia"/>
          <w:lang w:val="en-US" w:eastAsia="zh-CN"/>
        </w:rPr>
        <w:drawing>
          <wp:inline distT="0" distB="0" distL="114300" distR="114300">
            <wp:extent cx="5080000" cy="3810000"/>
            <wp:effectExtent l="4445" t="4445" r="5715" b="10795"/>
            <wp:docPr id="7476" name="图表 13" title="{{img_sz_cb_dat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pStyle w:val="18"/>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hint="eastAsia"/>
          <w:sz w:val="28"/>
          <w:szCs w:val="28"/>
        </w:rPr>
      </w:pPr>
      <w:r>
        <w:rPr>
          <w:rFonts w:hint="eastAsia" w:ascii="宋体" w:hAnsi="宋体" w:eastAsia="宋体" w:cs="宋体"/>
          <w:sz w:val="28"/>
          <w:szCs w:val="28"/>
          <w:lang w:eastAsia="zh-CN"/>
        </w:rPr>
        <w:t>2024</w:t>
      </w:r>
      <w:r>
        <w:rPr>
          <w:rFonts w:hint="eastAsia" w:ascii="宋体" w:hAnsi="宋体" w:eastAsia="宋体" w:cs="宋体"/>
          <w:sz w:val="28"/>
          <w:szCs w:val="28"/>
          <w:u w:color="auto"/>
        </w:rPr>
        <w:t>年</w:t>
      </w:r>
      <w:r>
        <w:rPr>
          <w:rFonts w:hint="eastAsia" w:ascii="宋体" w:hAnsi="宋体" w:eastAsia="宋体" w:cs="宋体"/>
          <w:sz w:val="28"/>
          <w:szCs w:val="28"/>
        </w:rPr>
        <w:t>财政拨款收入我部门财政拨款总收入</w:t>
      </w:r>
      <w:r>
        <w:rPr>
          <w:rFonts w:hint="eastAsia" w:ascii="宋体" w:hAnsi="宋体" w:eastAsia="宋体" w:cs="宋体"/>
          <w:sz w:val="28"/>
          <w:szCs w:val="28"/>
          <w:lang w:val="en-US" w:eastAsia="zh-CN" w:bidi="en-US"/>
        </w:rPr>
        <w:t>453.15</w:t>
      </w:r>
      <w:r>
        <w:rPr>
          <w:rFonts w:hint="eastAsia" w:ascii="宋体" w:hAnsi="宋体" w:eastAsia="宋体" w:cs="宋体"/>
          <w:sz w:val="28"/>
          <w:szCs w:val="28"/>
        </w:rPr>
        <w:t>万元，总支出</w:t>
      </w:r>
      <w:r>
        <w:rPr>
          <w:rFonts w:hint="eastAsia" w:ascii="宋体" w:hAnsi="宋体" w:eastAsia="宋体" w:cs="宋体"/>
          <w:sz w:val="28"/>
          <w:szCs w:val="28"/>
          <w:lang w:val="en-US" w:eastAsia="zh-CN" w:bidi="en-US"/>
        </w:rPr>
        <w:t>453.15</w:t>
      </w:r>
      <w:r>
        <w:rPr>
          <w:rFonts w:hint="eastAsia" w:ascii="宋体" w:hAnsi="宋体" w:eastAsia="宋体" w:cs="宋体"/>
          <w:sz w:val="28"/>
          <w:szCs w:val="28"/>
        </w:rPr>
        <w:t>万元。财政拨款总收入较2023年度预算数</w:t>
      </w:r>
      <w:r>
        <w:rPr>
          <w:rFonts w:hint="eastAsia" w:ascii="宋体" w:hAnsi="宋体" w:eastAsia="宋体" w:cs="宋体"/>
          <w:sz w:val="28"/>
          <w:szCs w:val="28"/>
          <w:lang w:val="en-US" w:eastAsia="zh-CN" w:bidi="en-US"/>
        </w:rPr>
        <w:t>711.63</w:t>
      </w:r>
      <w:r>
        <w:rPr>
          <w:rFonts w:hint="eastAsia" w:ascii="宋体" w:hAnsi="宋体" w:eastAsia="宋体" w:cs="宋体"/>
          <w:sz w:val="28"/>
          <w:szCs w:val="28"/>
        </w:rPr>
        <w:t>万元，</w:t>
      </w:r>
      <w:r>
        <w:rPr>
          <w:rFonts w:hint="eastAsia" w:ascii="宋体" w:hAnsi="宋体" w:eastAsia="宋体" w:cs="宋体"/>
          <w:sz w:val="28"/>
          <w:szCs w:val="28"/>
          <w:lang w:val="en-US" w:eastAsia="zh-CN" w:bidi="en-US"/>
        </w:rPr>
        <w:t>减少258.48</w:t>
      </w:r>
      <w:r>
        <w:rPr>
          <w:rFonts w:hint="eastAsia" w:ascii="宋体" w:hAnsi="宋体" w:eastAsia="宋体" w:cs="宋体"/>
          <w:sz w:val="28"/>
          <w:szCs w:val="28"/>
        </w:rPr>
        <w:t>万元，</w:t>
      </w:r>
      <w:r>
        <w:rPr>
          <w:rFonts w:hint="eastAsia" w:ascii="宋体" w:hAnsi="宋体" w:eastAsia="宋体" w:cs="宋体"/>
          <w:sz w:val="28"/>
          <w:szCs w:val="28"/>
          <w:lang w:val="en-US" w:eastAsia="zh-CN" w:bidi="en-US"/>
        </w:rPr>
        <w:t>下降36.32%</w:t>
      </w:r>
      <w:r>
        <w:rPr>
          <w:rFonts w:hint="eastAsia" w:ascii="宋体" w:hAnsi="宋体" w:eastAsia="宋体" w:cs="宋体"/>
          <w:sz w:val="28"/>
          <w:szCs w:val="28"/>
        </w:rPr>
        <w:t>，主要原因是</w:t>
      </w:r>
      <w:r>
        <w:rPr>
          <w:rFonts w:hint="eastAsia"/>
          <w:highlight w:val="none"/>
          <w:lang w:val="en-US" w:eastAsia="zh-CN"/>
        </w:rPr>
        <w:t>1、按照党中央、国务院关于过紧日子的有关精神压缩经费，压缩预算；</w:t>
      </w:r>
    </w:p>
    <w:p>
      <w:pPr>
        <w:pStyle w:val="18"/>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hint="eastAsia"/>
          <w:sz w:val="28"/>
          <w:szCs w:val="28"/>
        </w:rPr>
      </w:pPr>
      <w:r>
        <w:rPr>
          <w:rFonts w:hint="eastAsia"/>
          <w:highlight w:val="none"/>
          <w:lang w:val="en-US" w:eastAsia="zh-CN"/>
        </w:rPr>
        <w:t>2、根据实际情况学校人员调动，人数减少</w:t>
      </w:r>
      <w:r>
        <w:rPr>
          <w:rFonts w:hint="eastAsia" w:ascii="宋体" w:hAnsi="宋体" w:eastAsia="宋体" w:cs="宋体"/>
          <w:sz w:val="28"/>
          <w:szCs w:val="28"/>
        </w:rPr>
        <w:t>。财政拨款总支出较2023年度预算数</w:t>
      </w:r>
      <w:r>
        <w:rPr>
          <w:rFonts w:hint="eastAsia" w:ascii="宋体" w:hAnsi="宋体" w:eastAsia="宋体" w:cs="宋体"/>
          <w:sz w:val="28"/>
          <w:szCs w:val="28"/>
          <w:lang w:val="en-US" w:eastAsia="zh-CN" w:bidi="en-US"/>
        </w:rPr>
        <w:t>711.63</w:t>
      </w:r>
      <w:r>
        <w:rPr>
          <w:rFonts w:hint="eastAsia" w:ascii="宋体" w:hAnsi="宋体" w:eastAsia="宋体" w:cs="宋体"/>
          <w:sz w:val="28"/>
          <w:szCs w:val="28"/>
        </w:rPr>
        <w:t>万元，</w:t>
      </w:r>
      <w:r>
        <w:rPr>
          <w:rFonts w:hint="eastAsia" w:ascii="宋体" w:hAnsi="宋体" w:eastAsia="宋体" w:cs="宋体"/>
          <w:sz w:val="28"/>
          <w:szCs w:val="28"/>
          <w:lang w:val="en-US" w:eastAsia="zh-CN" w:bidi="en-US"/>
        </w:rPr>
        <w:t>减少258.48</w:t>
      </w:r>
      <w:r>
        <w:rPr>
          <w:rFonts w:hint="eastAsia" w:ascii="宋体" w:hAnsi="宋体" w:eastAsia="宋体" w:cs="宋体"/>
          <w:sz w:val="28"/>
          <w:szCs w:val="28"/>
        </w:rPr>
        <w:t>万元，</w:t>
      </w:r>
      <w:r>
        <w:rPr>
          <w:rFonts w:hint="eastAsia" w:ascii="宋体" w:hAnsi="宋体" w:eastAsia="宋体" w:cs="宋体"/>
          <w:sz w:val="28"/>
          <w:szCs w:val="28"/>
          <w:lang w:val="en-US" w:eastAsia="zh-CN" w:bidi="en-US"/>
        </w:rPr>
        <w:t>下降36.32%</w:t>
      </w:r>
      <w:r>
        <w:rPr>
          <w:rFonts w:hint="eastAsia" w:ascii="宋体" w:hAnsi="宋体" w:eastAsia="宋体" w:cs="宋体"/>
          <w:sz w:val="28"/>
          <w:szCs w:val="28"/>
        </w:rPr>
        <w:t>，主要原因是</w:t>
      </w:r>
      <w:r>
        <w:rPr>
          <w:rFonts w:hint="eastAsia"/>
          <w:highlight w:val="none"/>
          <w:lang w:val="en-US" w:eastAsia="zh-CN"/>
        </w:rPr>
        <w:t>按照党中央、国务院关于过紧日子的有关精神压缩经费，压缩预算。并且根据学校的实际情况，2024年教职工人数减少了50%，因此总支出相应减少</w:t>
      </w:r>
      <w:r>
        <w:rPr>
          <w:rFonts w:hint="eastAsia" w:ascii="宋体" w:hAnsi="宋体" w:eastAsia="宋体" w:cs="宋体"/>
          <w:sz w:val="28"/>
          <w:szCs w:val="28"/>
        </w:rPr>
        <w:t>。</w:t>
      </w:r>
    </w:p>
    <w:p>
      <w:pPr>
        <w:pStyle w:val="16"/>
        <w:spacing w:after="0" w:line="619" w:lineRule="exact"/>
        <w:ind w:firstLine="620"/>
        <w:jc w:val="left"/>
        <w:rPr>
          <w:rFonts w:hint="eastAsia"/>
          <w:b/>
          <w:bCs/>
          <w:lang w:val="en-US" w:eastAsia="zh-CN"/>
        </w:rPr>
      </w:pPr>
      <w:r>
        <w:rPr>
          <w:rFonts w:hint="eastAsia"/>
          <w:b/>
          <w:bCs/>
          <w:lang w:val="en-US" w:eastAsia="zh-CN"/>
        </w:rPr>
        <w:t>五、一般公共预算支出情况说明</w:t>
      </w:r>
    </w:p>
    <w:p>
      <w:pPr>
        <w:pStyle w:val="18"/>
        <w:spacing w:line="240" w:lineRule="auto"/>
        <w:ind w:firstLine="0"/>
        <w:jc w:val="left"/>
        <w:rPr>
          <w:lang w:eastAsia="zh-CN"/>
        </w:rPr>
      </w:pPr>
      <w:r>
        <w:rPr>
          <w:lang w:eastAsia="zh-CN"/>
        </w:rPr>
        <w:drawing>
          <wp:inline distT="0" distB="0" distL="114300" distR="114300">
            <wp:extent cx="5080000" cy="3810000"/>
            <wp:effectExtent l="4445" t="4445" r="20955" b="14605"/>
            <wp:docPr id="7477" name="图表 10" title="{{img_zc_yb_dat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pPr>
        <w:pStyle w:val="18"/>
        <w:keepNext w:val="0"/>
        <w:keepLines w:val="0"/>
        <w:pageBreakBefore w:val="0"/>
        <w:widowControl w:val="0"/>
        <w:kinsoku/>
        <w:wordWrap/>
        <w:overflowPunct/>
        <w:topLinePunct w:val="0"/>
        <w:autoSpaceDE/>
        <w:autoSpaceDN/>
        <w:bidi w:val="0"/>
        <w:adjustRightInd/>
        <w:snapToGrid/>
        <w:spacing w:line="600" w:lineRule="exact"/>
        <w:ind w:left="0" w:leftChars="0"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lang w:eastAsia="zh-CN"/>
        </w:rPr>
        <w:t>2024</w:t>
      </w:r>
      <w:r>
        <w:rPr>
          <w:rFonts w:hint="eastAsia" w:ascii="宋体" w:hAnsi="宋体" w:eastAsia="宋体" w:cs="宋体"/>
          <w:sz w:val="28"/>
          <w:szCs w:val="28"/>
          <w:lang w:val="en-US" w:eastAsia="zh-CN"/>
        </w:rPr>
        <w:t>年</w:t>
      </w:r>
      <w:r>
        <w:rPr>
          <w:rFonts w:hint="eastAsia" w:ascii="宋体" w:hAnsi="宋体" w:eastAsia="宋体" w:cs="宋体"/>
          <w:sz w:val="28"/>
          <w:szCs w:val="28"/>
        </w:rPr>
        <w:t>一般公共预算支出共</w:t>
      </w:r>
      <w:r>
        <w:rPr>
          <w:rFonts w:hint="eastAsia" w:ascii="宋体" w:hAnsi="宋体" w:eastAsia="宋体" w:cs="宋体"/>
          <w:sz w:val="28"/>
          <w:szCs w:val="28"/>
          <w:lang w:val="en-US" w:eastAsia="zh-CN"/>
        </w:rPr>
        <w:t>452.23</w:t>
      </w:r>
      <w:r>
        <w:rPr>
          <w:rFonts w:hint="eastAsia" w:ascii="宋体" w:hAnsi="宋体" w:eastAsia="宋体" w:cs="宋体"/>
          <w:sz w:val="28"/>
          <w:szCs w:val="28"/>
        </w:rPr>
        <w:t>万元，较2023年度预算数</w:t>
      </w:r>
      <w:r>
        <w:rPr>
          <w:rFonts w:hint="eastAsia" w:ascii="宋体" w:hAnsi="宋体" w:eastAsia="宋体" w:cs="宋体"/>
          <w:sz w:val="28"/>
          <w:szCs w:val="28"/>
          <w:lang w:val="en-US" w:eastAsia="zh-CN"/>
        </w:rPr>
        <w:t>711.63</w:t>
      </w:r>
      <w:r>
        <w:rPr>
          <w:rFonts w:hint="eastAsia" w:ascii="宋体" w:hAnsi="宋体" w:eastAsia="宋体" w:cs="宋体"/>
          <w:sz w:val="28"/>
          <w:szCs w:val="28"/>
        </w:rPr>
        <w:t>万元，</w:t>
      </w:r>
      <w:r>
        <w:rPr>
          <w:rFonts w:hint="eastAsia" w:ascii="宋体" w:hAnsi="宋体" w:eastAsia="宋体" w:cs="宋体"/>
          <w:sz w:val="28"/>
          <w:szCs w:val="28"/>
          <w:lang w:val="en-US" w:eastAsia="zh-CN"/>
        </w:rPr>
        <w:t>减少259.40</w:t>
      </w:r>
      <w:r>
        <w:rPr>
          <w:rFonts w:hint="eastAsia" w:ascii="宋体" w:hAnsi="宋体" w:eastAsia="宋体" w:cs="宋体"/>
          <w:sz w:val="28"/>
          <w:szCs w:val="28"/>
        </w:rPr>
        <w:t>万元，</w:t>
      </w:r>
      <w:r>
        <w:rPr>
          <w:rFonts w:hint="eastAsia" w:ascii="宋体" w:hAnsi="宋体" w:eastAsia="宋体" w:cs="宋体"/>
          <w:sz w:val="28"/>
          <w:szCs w:val="28"/>
          <w:lang w:val="en-US" w:eastAsia="zh-CN"/>
        </w:rPr>
        <w:t>下降36.45%</w:t>
      </w:r>
      <w:r>
        <w:rPr>
          <w:rFonts w:hint="eastAsia" w:ascii="宋体" w:hAnsi="宋体" w:eastAsia="宋体" w:cs="宋体"/>
          <w:sz w:val="28"/>
          <w:szCs w:val="28"/>
        </w:rPr>
        <w:t>，主要原因是</w:t>
      </w:r>
      <w:r>
        <w:rPr>
          <w:rFonts w:hint="eastAsia"/>
          <w:highlight w:val="none"/>
          <w:lang w:val="en-US" w:eastAsia="zh-CN"/>
        </w:rPr>
        <w:t>一般公共预算支出主要用于确保学校正常运转的教育类支出，社会保障和就业支出等等。随着学校在职教师的减少，结合历年开支情况，本着节约的精神减少一般公共预算支出</w:t>
      </w:r>
      <w:r>
        <w:rPr>
          <w:rFonts w:hint="eastAsia" w:ascii="宋体" w:hAnsi="宋体" w:eastAsia="宋体" w:cs="宋体"/>
          <w:sz w:val="28"/>
          <w:szCs w:val="28"/>
        </w:rPr>
        <w:t>。中央提前下达2024年一般公共预算转移支付资金安排的支出</w:t>
      </w:r>
      <w:r>
        <w:rPr>
          <w:rFonts w:hint="eastAsia" w:ascii="宋体" w:hAnsi="宋体" w:eastAsia="宋体" w:cs="宋体"/>
          <w:sz w:val="28"/>
          <w:szCs w:val="28"/>
          <w:lang w:val="en-US" w:eastAsia="zh-CN"/>
        </w:rPr>
        <w:t>140.00</w:t>
      </w:r>
      <w:r>
        <w:rPr>
          <w:rFonts w:hint="eastAsia" w:ascii="宋体" w:hAnsi="宋体" w:eastAsia="宋体" w:cs="宋体"/>
          <w:sz w:val="28"/>
          <w:szCs w:val="28"/>
        </w:rPr>
        <w:t>万元。具体情况为：</w:t>
      </w:r>
    </w:p>
    <w:p>
      <w:pPr>
        <w:pStyle w:val="18"/>
        <w:keepNext w:val="0"/>
        <w:keepLines w:val="0"/>
        <w:pageBreakBefore w:val="0"/>
        <w:widowControl w:val="0"/>
        <w:kinsoku/>
        <w:wordWrap/>
        <w:overflowPunct/>
        <w:topLinePunct w:val="0"/>
        <w:autoSpaceDE/>
        <w:autoSpaceDN/>
        <w:bidi w:val="0"/>
        <w:adjustRightInd/>
        <w:snapToGrid/>
        <w:spacing w:line="600" w:lineRule="exact"/>
        <w:ind w:left="0" w:leftChars="0"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rPr>
        <w:t>一般公共服务支出（类）支出</w:t>
      </w:r>
      <w:r>
        <w:rPr>
          <w:rFonts w:ascii="宋体" w:hAnsi="宋体" w:eastAsia="宋体" w:cs="宋体"/>
          <w:sz w:val="28"/>
          <w:u w:color="auto"/>
        </w:rPr>
        <w:t>5.52</w:t>
      </w:r>
      <w:r>
        <w:rPr>
          <w:rFonts w:hint="eastAsia" w:ascii="宋体" w:hAnsi="宋体" w:eastAsia="宋体" w:cs="宋体"/>
          <w:sz w:val="28"/>
          <w:szCs w:val="28"/>
        </w:rPr>
        <w:t>万元，占支出总预算的</w:t>
      </w:r>
      <w:r>
        <w:rPr>
          <w:rFonts w:ascii="宋体" w:hAnsi="宋体" w:eastAsia="宋体" w:cs="宋体"/>
          <w:sz w:val="28"/>
          <w:u w:color="auto"/>
        </w:rPr>
        <w:t>1.22%</w:t>
      </w:r>
      <w:r>
        <w:rPr>
          <w:rFonts w:hint="eastAsia" w:ascii="宋体" w:hAnsi="宋体" w:eastAsia="宋体" w:cs="宋体"/>
          <w:sz w:val="28"/>
          <w:szCs w:val="28"/>
          <w:lang w:eastAsia="zh-CN"/>
        </w:rPr>
        <w:t>，</w:t>
      </w:r>
      <w:r>
        <w:rPr>
          <w:rFonts w:hint="eastAsia" w:ascii="宋体" w:hAnsi="宋体" w:eastAsia="宋体" w:cs="宋体"/>
          <w:sz w:val="28"/>
          <w:szCs w:val="28"/>
        </w:rPr>
        <w:t>较2023年度预算数</w:t>
      </w:r>
      <w:r>
        <w:rPr>
          <w:rFonts w:ascii="宋体" w:hAnsi="宋体" w:eastAsia="宋体" w:cs="宋体"/>
          <w:sz w:val="28"/>
          <w:u w:color="auto"/>
        </w:rPr>
        <w:t>6.86</w:t>
      </w:r>
      <w:r>
        <w:rPr>
          <w:rFonts w:hint="eastAsia" w:ascii="宋体" w:hAnsi="宋体" w:eastAsia="宋体" w:cs="宋体"/>
          <w:sz w:val="28"/>
          <w:szCs w:val="28"/>
        </w:rPr>
        <w:t>万元，</w:t>
      </w:r>
      <w:r>
        <w:rPr>
          <w:rFonts w:ascii="宋体" w:hAnsi="宋体" w:eastAsia="宋体" w:cs="宋体"/>
          <w:sz w:val="28"/>
          <w:u w:color="auto"/>
        </w:rPr>
        <w:t>减少1.34</w:t>
      </w:r>
      <w:r>
        <w:rPr>
          <w:rFonts w:hint="eastAsia" w:ascii="宋体" w:hAnsi="宋体" w:eastAsia="宋体" w:cs="宋体"/>
          <w:sz w:val="28"/>
          <w:szCs w:val="28"/>
        </w:rPr>
        <w:t>万元，</w:t>
      </w:r>
      <w:r>
        <w:rPr>
          <w:rFonts w:ascii="宋体" w:hAnsi="宋体" w:eastAsia="宋体" w:cs="宋体"/>
          <w:sz w:val="28"/>
          <w:u w:color="auto"/>
        </w:rPr>
        <w:t>减少19.53%</w:t>
      </w:r>
      <w:r>
        <w:rPr>
          <w:rFonts w:hint="eastAsia" w:ascii="宋体" w:hAnsi="宋体" w:eastAsia="宋体" w:cs="宋体"/>
          <w:sz w:val="28"/>
          <w:szCs w:val="28"/>
        </w:rPr>
        <w:t>，主要原因是：</w:t>
      </w:r>
      <w:r>
        <w:rPr>
          <w:rFonts w:hint="eastAsia"/>
          <w:highlight w:val="none"/>
        </w:rPr>
        <w:t>一般公共服务支出主要用于确保学校正常运转的办公费、印刷费等日常公用经费支出。随着学校在职教师的减少，结合历年开支情况，本着节约的精神，学校办公费、水电费、培训费、差旅费、会议费等费用也应该相应下调</w:t>
      </w:r>
      <w:r>
        <w:rPr>
          <w:rFonts w:hint="eastAsia" w:ascii="宋体" w:hAnsi="宋体" w:eastAsia="宋体" w:cs="宋体"/>
          <w:sz w:val="28"/>
          <w:szCs w:val="28"/>
        </w:rPr>
        <w:t>。</w:t>
      </w:r>
    </w:p>
    <w:p>
      <w:pPr>
        <w:pStyle w:val="18"/>
        <w:keepNext w:val="0"/>
        <w:keepLines w:val="0"/>
        <w:pageBreakBefore w:val="0"/>
        <w:widowControl w:val="0"/>
        <w:kinsoku/>
        <w:wordWrap/>
        <w:overflowPunct/>
        <w:topLinePunct w:val="0"/>
        <w:autoSpaceDE/>
        <w:autoSpaceDN/>
        <w:bidi w:val="0"/>
        <w:adjustRightInd/>
        <w:snapToGrid/>
        <w:spacing w:line="600" w:lineRule="exact"/>
        <w:ind w:left="0" w:leftChars="0"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rPr>
        <w:t>住房保障支出（类）支出</w:t>
      </w:r>
      <w:r>
        <w:rPr>
          <w:rFonts w:ascii="宋体" w:hAnsi="宋体" w:eastAsia="宋体" w:cs="宋体"/>
          <w:sz w:val="28"/>
          <w:u w:color="auto"/>
        </w:rPr>
        <w:t>36.76</w:t>
      </w:r>
      <w:r>
        <w:rPr>
          <w:rFonts w:hint="eastAsia" w:ascii="宋体" w:hAnsi="宋体" w:eastAsia="宋体" w:cs="宋体"/>
          <w:sz w:val="28"/>
          <w:szCs w:val="28"/>
        </w:rPr>
        <w:t>万元，占支出总预算的</w:t>
      </w:r>
      <w:r>
        <w:rPr>
          <w:rFonts w:ascii="宋体" w:hAnsi="宋体" w:eastAsia="宋体" w:cs="宋体"/>
          <w:sz w:val="28"/>
          <w:u w:color="auto"/>
        </w:rPr>
        <w:t>8.13%</w:t>
      </w:r>
      <w:r>
        <w:rPr>
          <w:rFonts w:hint="eastAsia" w:ascii="宋体" w:hAnsi="宋体" w:eastAsia="宋体" w:cs="宋体"/>
          <w:sz w:val="28"/>
          <w:szCs w:val="28"/>
          <w:lang w:eastAsia="zh-CN"/>
        </w:rPr>
        <w:t>，</w:t>
      </w:r>
      <w:r>
        <w:rPr>
          <w:rFonts w:hint="eastAsia" w:ascii="宋体" w:hAnsi="宋体" w:eastAsia="宋体" w:cs="宋体"/>
          <w:sz w:val="28"/>
          <w:szCs w:val="28"/>
        </w:rPr>
        <w:t>较2023年度预算数</w:t>
      </w:r>
      <w:r>
        <w:rPr>
          <w:rFonts w:ascii="宋体" w:hAnsi="宋体" w:eastAsia="宋体" w:cs="宋体"/>
          <w:sz w:val="28"/>
          <w:u w:color="auto"/>
        </w:rPr>
        <w:t>42.97</w:t>
      </w:r>
      <w:r>
        <w:rPr>
          <w:rFonts w:hint="eastAsia" w:ascii="宋体" w:hAnsi="宋体" w:eastAsia="宋体" w:cs="宋体"/>
          <w:sz w:val="28"/>
          <w:szCs w:val="28"/>
        </w:rPr>
        <w:t>万元，</w:t>
      </w:r>
      <w:r>
        <w:rPr>
          <w:rFonts w:ascii="宋体" w:hAnsi="宋体" w:eastAsia="宋体" w:cs="宋体"/>
          <w:sz w:val="28"/>
          <w:u w:color="auto"/>
        </w:rPr>
        <w:t>减少6.21</w:t>
      </w:r>
      <w:r>
        <w:rPr>
          <w:rFonts w:hint="eastAsia" w:ascii="宋体" w:hAnsi="宋体" w:eastAsia="宋体" w:cs="宋体"/>
          <w:sz w:val="28"/>
          <w:szCs w:val="28"/>
        </w:rPr>
        <w:t>万元，</w:t>
      </w:r>
      <w:r>
        <w:rPr>
          <w:rFonts w:ascii="宋体" w:hAnsi="宋体" w:eastAsia="宋体" w:cs="宋体"/>
          <w:sz w:val="28"/>
          <w:u w:color="auto"/>
        </w:rPr>
        <w:t>减少14.45%</w:t>
      </w:r>
      <w:r>
        <w:rPr>
          <w:rFonts w:hint="eastAsia" w:ascii="宋体" w:hAnsi="宋体" w:eastAsia="宋体" w:cs="宋体"/>
          <w:sz w:val="28"/>
          <w:szCs w:val="28"/>
        </w:rPr>
        <w:t>，主要原因是：</w:t>
      </w:r>
      <w:r>
        <w:rPr>
          <w:rFonts w:hint="eastAsia"/>
          <w:highlight w:val="none"/>
        </w:rPr>
        <w:t>学校住房保障支出主要用于学校教职工公积金的支出，虽然上一年度住房公积金缴纳基数提高，但是学校职工人数减少，所以住房保障支出减少</w:t>
      </w:r>
      <w:r>
        <w:rPr>
          <w:rFonts w:hint="eastAsia" w:ascii="宋体" w:hAnsi="宋体" w:eastAsia="宋体" w:cs="宋体"/>
          <w:sz w:val="28"/>
          <w:szCs w:val="28"/>
        </w:rPr>
        <w:t>。</w:t>
      </w:r>
    </w:p>
    <w:p>
      <w:pPr>
        <w:pStyle w:val="18"/>
        <w:keepNext w:val="0"/>
        <w:keepLines w:val="0"/>
        <w:pageBreakBefore w:val="0"/>
        <w:widowControl w:val="0"/>
        <w:kinsoku/>
        <w:wordWrap/>
        <w:overflowPunct/>
        <w:topLinePunct w:val="0"/>
        <w:autoSpaceDE/>
        <w:autoSpaceDN/>
        <w:bidi w:val="0"/>
        <w:adjustRightInd/>
        <w:snapToGrid/>
        <w:spacing w:line="600" w:lineRule="exact"/>
        <w:ind w:left="0" w:leftChars="0"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rPr>
        <w:t>教育支出（类）支出</w:t>
      </w:r>
      <w:r>
        <w:rPr>
          <w:rFonts w:ascii="宋体" w:hAnsi="宋体" w:eastAsia="宋体" w:cs="宋体"/>
          <w:sz w:val="28"/>
          <w:u w:color="auto"/>
        </w:rPr>
        <w:t>365.82</w:t>
      </w:r>
      <w:r>
        <w:rPr>
          <w:rFonts w:hint="eastAsia" w:ascii="宋体" w:hAnsi="宋体" w:eastAsia="宋体" w:cs="宋体"/>
          <w:sz w:val="28"/>
          <w:szCs w:val="28"/>
        </w:rPr>
        <w:t>万元，占支出总预算的</w:t>
      </w:r>
      <w:r>
        <w:rPr>
          <w:rFonts w:ascii="宋体" w:hAnsi="宋体" w:eastAsia="宋体" w:cs="宋体"/>
          <w:sz w:val="28"/>
          <w:u w:color="auto"/>
        </w:rPr>
        <w:t>80.89%</w:t>
      </w:r>
      <w:r>
        <w:rPr>
          <w:rFonts w:hint="eastAsia" w:ascii="宋体" w:hAnsi="宋体" w:eastAsia="宋体" w:cs="宋体"/>
          <w:sz w:val="28"/>
          <w:szCs w:val="28"/>
          <w:lang w:eastAsia="zh-CN"/>
        </w:rPr>
        <w:t>，</w:t>
      </w:r>
      <w:r>
        <w:rPr>
          <w:rFonts w:hint="eastAsia" w:ascii="宋体" w:hAnsi="宋体" w:eastAsia="宋体" w:cs="宋体"/>
          <w:sz w:val="28"/>
          <w:szCs w:val="28"/>
        </w:rPr>
        <w:t>较2023年度预算数</w:t>
      </w:r>
      <w:r>
        <w:rPr>
          <w:rFonts w:ascii="宋体" w:hAnsi="宋体" w:eastAsia="宋体" w:cs="宋体"/>
          <w:sz w:val="28"/>
          <w:u w:color="auto"/>
        </w:rPr>
        <w:t>604.51</w:t>
      </w:r>
      <w:r>
        <w:rPr>
          <w:rFonts w:hint="eastAsia" w:ascii="宋体" w:hAnsi="宋体" w:eastAsia="宋体" w:cs="宋体"/>
          <w:sz w:val="28"/>
          <w:szCs w:val="28"/>
        </w:rPr>
        <w:t>万元，</w:t>
      </w:r>
      <w:r>
        <w:rPr>
          <w:rFonts w:ascii="宋体" w:hAnsi="宋体" w:eastAsia="宋体" w:cs="宋体"/>
          <w:sz w:val="28"/>
          <w:u w:color="auto"/>
        </w:rPr>
        <w:t>减少238.69</w:t>
      </w:r>
      <w:r>
        <w:rPr>
          <w:rFonts w:hint="eastAsia" w:ascii="宋体" w:hAnsi="宋体" w:eastAsia="宋体" w:cs="宋体"/>
          <w:sz w:val="28"/>
          <w:szCs w:val="28"/>
        </w:rPr>
        <w:t>万元，</w:t>
      </w:r>
      <w:r>
        <w:rPr>
          <w:rFonts w:ascii="宋体" w:hAnsi="宋体" w:eastAsia="宋体" w:cs="宋体"/>
          <w:sz w:val="28"/>
          <w:u w:color="auto"/>
        </w:rPr>
        <w:t>减少39.48%</w:t>
      </w:r>
      <w:r>
        <w:rPr>
          <w:rFonts w:hint="eastAsia" w:ascii="宋体" w:hAnsi="宋体" w:eastAsia="宋体" w:cs="宋体"/>
          <w:sz w:val="28"/>
          <w:szCs w:val="28"/>
        </w:rPr>
        <w:t>，主要原因是：</w:t>
      </w:r>
      <w:r>
        <w:rPr>
          <w:rFonts w:hint="eastAsia"/>
          <w:highlight w:val="none"/>
        </w:rPr>
        <w:t>在职教师人员的减少，相应的人员工资和公用经费开支减少，且学校目前没有大型的修建校舍和购置大型教学设备的支出</w:t>
      </w:r>
      <w:r>
        <w:rPr>
          <w:rFonts w:hint="eastAsia" w:ascii="宋体" w:hAnsi="宋体" w:eastAsia="宋体" w:cs="宋体"/>
          <w:sz w:val="28"/>
          <w:szCs w:val="28"/>
        </w:rPr>
        <w:t>。</w:t>
      </w:r>
    </w:p>
    <w:p>
      <w:pPr>
        <w:pStyle w:val="18"/>
        <w:keepNext w:val="0"/>
        <w:keepLines w:val="0"/>
        <w:pageBreakBefore w:val="0"/>
        <w:widowControl w:val="0"/>
        <w:kinsoku/>
        <w:wordWrap/>
        <w:overflowPunct/>
        <w:topLinePunct w:val="0"/>
        <w:autoSpaceDE/>
        <w:autoSpaceDN/>
        <w:bidi w:val="0"/>
        <w:adjustRightInd/>
        <w:snapToGrid/>
        <w:spacing w:line="600" w:lineRule="exact"/>
        <w:ind w:left="0" w:leftChars="0"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rPr>
        <w:t>社会保障和就业支出（类）支出</w:t>
      </w:r>
      <w:r>
        <w:rPr>
          <w:rFonts w:ascii="宋体" w:hAnsi="宋体" w:eastAsia="宋体" w:cs="宋体"/>
          <w:sz w:val="28"/>
          <w:u w:color="auto"/>
        </w:rPr>
        <w:t>44.13</w:t>
      </w:r>
      <w:r>
        <w:rPr>
          <w:rFonts w:hint="eastAsia" w:ascii="宋体" w:hAnsi="宋体" w:eastAsia="宋体" w:cs="宋体"/>
          <w:sz w:val="28"/>
          <w:szCs w:val="28"/>
        </w:rPr>
        <w:t>万元，占支出总预算的</w:t>
      </w:r>
      <w:r>
        <w:rPr>
          <w:rFonts w:ascii="宋体" w:hAnsi="宋体" w:eastAsia="宋体" w:cs="宋体"/>
          <w:sz w:val="28"/>
          <w:u w:color="auto"/>
        </w:rPr>
        <w:t>9.76%</w:t>
      </w:r>
      <w:r>
        <w:rPr>
          <w:rFonts w:hint="eastAsia" w:ascii="宋体" w:hAnsi="宋体" w:eastAsia="宋体" w:cs="宋体"/>
          <w:sz w:val="28"/>
          <w:szCs w:val="28"/>
          <w:lang w:eastAsia="zh-CN"/>
        </w:rPr>
        <w:t>，</w:t>
      </w:r>
      <w:r>
        <w:rPr>
          <w:rFonts w:hint="eastAsia" w:ascii="宋体" w:hAnsi="宋体" w:eastAsia="宋体" w:cs="宋体"/>
          <w:sz w:val="28"/>
          <w:szCs w:val="28"/>
        </w:rPr>
        <w:t>较2023年度预算数</w:t>
      </w:r>
      <w:r>
        <w:rPr>
          <w:rFonts w:ascii="宋体" w:hAnsi="宋体" w:eastAsia="宋体" w:cs="宋体"/>
          <w:sz w:val="28"/>
          <w:u w:color="auto"/>
        </w:rPr>
        <w:t>57.29</w:t>
      </w:r>
      <w:r>
        <w:rPr>
          <w:rFonts w:hint="eastAsia" w:ascii="宋体" w:hAnsi="宋体" w:eastAsia="宋体" w:cs="宋体"/>
          <w:sz w:val="28"/>
          <w:szCs w:val="28"/>
        </w:rPr>
        <w:t>万元，</w:t>
      </w:r>
      <w:r>
        <w:rPr>
          <w:rFonts w:ascii="宋体" w:hAnsi="宋体" w:eastAsia="宋体" w:cs="宋体"/>
          <w:sz w:val="28"/>
          <w:u w:color="auto"/>
        </w:rPr>
        <w:t>减少13.16</w:t>
      </w:r>
      <w:r>
        <w:rPr>
          <w:rFonts w:hint="eastAsia" w:ascii="宋体" w:hAnsi="宋体" w:eastAsia="宋体" w:cs="宋体"/>
          <w:sz w:val="28"/>
          <w:szCs w:val="28"/>
        </w:rPr>
        <w:t>万元，</w:t>
      </w:r>
      <w:r>
        <w:rPr>
          <w:rFonts w:ascii="宋体" w:hAnsi="宋体" w:eastAsia="宋体" w:cs="宋体"/>
          <w:sz w:val="28"/>
          <w:u w:color="auto"/>
        </w:rPr>
        <w:t>减少22.97%</w:t>
      </w:r>
      <w:r>
        <w:rPr>
          <w:rFonts w:hint="eastAsia" w:ascii="宋体" w:hAnsi="宋体" w:eastAsia="宋体" w:cs="宋体"/>
          <w:sz w:val="28"/>
          <w:szCs w:val="28"/>
        </w:rPr>
        <w:t>，主要原因是：</w:t>
      </w:r>
      <w:r>
        <w:rPr>
          <w:rFonts w:hint="eastAsia"/>
          <w:highlight w:val="none"/>
        </w:rPr>
        <w:t>在职教师人数减少，用于保障职工的社保经费减少</w:t>
      </w:r>
      <w:r>
        <w:rPr>
          <w:rFonts w:hint="eastAsia" w:ascii="宋体" w:hAnsi="宋体" w:eastAsia="宋体" w:cs="宋体"/>
          <w:sz w:val="28"/>
          <w:szCs w:val="28"/>
        </w:rPr>
        <w:t>。</w:t>
      </w:r>
    </w:p>
    <w:p>
      <w:pPr>
        <w:pStyle w:val="16"/>
        <w:keepNext w:val="0"/>
        <w:keepLines w:val="0"/>
        <w:pageBreakBefore w:val="0"/>
        <w:widowControl w:val="0"/>
        <w:kinsoku/>
        <w:wordWrap/>
        <w:overflowPunct/>
        <w:topLinePunct w:val="0"/>
        <w:autoSpaceDE/>
        <w:autoSpaceDN/>
        <w:bidi w:val="0"/>
        <w:adjustRightInd/>
        <w:snapToGrid/>
        <w:spacing w:before="120" w:after="0" w:line="600" w:lineRule="exact"/>
        <w:ind w:firstLine="618"/>
        <w:jc w:val="left"/>
        <w:textAlignment w:val="auto"/>
        <w:rPr>
          <w:rFonts w:hint="eastAsia"/>
          <w:b/>
          <w:bCs/>
          <w:lang w:val="en-US" w:eastAsia="zh-CN"/>
        </w:rPr>
      </w:pPr>
      <w:r>
        <w:rPr>
          <w:rFonts w:hint="eastAsia"/>
          <w:b/>
          <w:bCs/>
          <w:lang w:val="en-US" w:eastAsia="zh-CN"/>
        </w:rPr>
        <w:t>六、一般公共预算基本支出情况说明</w:t>
      </w:r>
    </w:p>
    <w:p>
      <w:pPr>
        <w:pStyle w:val="16"/>
        <w:spacing w:after="0"/>
        <w:ind w:firstLine="0"/>
        <w:jc w:val="left"/>
        <w:rPr>
          <w:highlight w:val="yellow"/>
          <w:lang w:val="en-US" w:eastAsia="zh-CN"/>
        </w:rPr>
      </w:pPr>
      <w:r>
        <w:rPr>
          <w:highlight w:val="none"/>
          <w:lang w:val="en-US" w:eastAsia="zh-CN"/>
        </w:rPr>
        <w:drawing>
          <wp:inline distT="0" distB="0" distL="114300" distR="114300">
            <wp:extent cx="5080000" cy="3810000"/>
            <wp:effectExtent l="4445" t="4445" r="20955" b="14605"/>
            <wp:docPr id="7478" name="图表 3" title="{{rep6_yb_dat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pPr>
        <w:pStyle w:val="18"/>
        <w:keepNext w:val="0"/>
        <w:keepLines w:val="0"/>
        <w:pageBreakBefore w:val="0"/>
        <w:widowControl w:val="0"/>
        <w:kinsoku/>
        <w:wordWrap/>
        <w:overflowPunct/>
        <w:topLinePunct w:val="0"/>
        <w:autoSpaceDE/>
        <w:autoSpaceDN/>
        <w:bidi w:val="0"/>
        <w:adjustRightInd/>
        <w:snapToGrid/>
        <w:spacing w:line="600" w:lineRule="exact"/>
        <w:ind w:left="0" w:leftChars="0" w:firstLine="560" w:firstLineChars="200"/>
        <w:jc w:val="left"/>
        <w:textAlignment w:val="auto"/>
        <w:rPr>
          <w:rFonts w:hint="eastAsia"/>
          <w:lang w:val="en-US" w:eastAsia="zh-CN"/>
        </w:rPr>
      </w:pPr>
      <w:r>
        <w:rPr>
          <w:rFonts w:hint="eastAsia"/>
          <w:lang w:val="en-US" w:eastAsia="zh-CN"/>
        </w:rPr>
        <w:t>2024</w:t>
      </w:r>
      <w:r>
        <w:rPr>
          <w:u w:color="auto"/>
        </w:rPr>
        <w:t>年</w:t>
      </w:r>
      <w:r>
        <w:rPr>
          <w:rFonts w:hint="eastAsia"/>
        </w:rPr>
        <w:t>一般公共预算基本支出共</w:t>
      </w:r>
      <w:r>
        <w:rPr>
          <w:rFonts w:hint="eastAsia"/>
          <w:lang w:val="en-US" w:eastAsia="zh-CN"/>
        </w:rPr>
        <w:t>428.67</w:t>
      </w:r>
      <w:r>
        <w:rPr>
          <w:rFonts w:hint="eastAsia"/>
        </w:rPr>
        <w:t>万元，较2023年度预算数</w:t>
      </w:r>
      <w:r>
        <w:rPr>
          <w:rFonts w:hint="eastAsia"/>
          <w:lang w:val="en-US" w:eastAsia="zh-CN"/>
        </w:rPr>
        <w:t>480.92</w:t>
      </w:r>
      <w:r>
        <w:rPr>
          <w:rFonts w:hint="eastAsia"/>
        </w:rPr>
        <w:t>万元</w:t>
      </w:r>
      <w:r>
        <w:rPr>
          <w:rFonts w:hint="eastAsia"/>
          <w:lang w:val="en-US" w:eastAsia="zh-CN"/>
        </w:rPr>
        <w:t>,</w:t>
      </w:r>
      <w:r>
        <w:rPr>
          <w:u w:color="auto"/>
        </w:rPr>
        <w:t>减少52.25</w:t>
      </w:r>
      <w:r>
        <w:rPr>
          <w:rFonts w:hint="eastAsia"/>
        </w:rPr>
        <w:t>万元，</w:t>
      </w:r>
      <w:r>
        <w:rPr>
          <w:rFonts w:hint="eastAsia"/>
          <w:lang w:val="en-US" w:eastAsia="zh-CN"/>
        </w:rPr>
        <w:t>下降10.86%</w:t>
      </w:r>
      <w:r>
        <w:rPr>
          <w:rFonts w:hint="eastAsia"/>
        </w:rPr>
        <w:t>，主要原因是</w:t>
      </w:r>
      <w:r>
        <w:rPr>
          <w:rFonts w:hint="eastAsia"/>
          <w:highlight w:val="none"/>
          <w:lang w:val="en-US" w:eastAsia="zh-CN"/>
        </w:rPr>
        <w:t>由于学校人员的减少50%，所以相应的人员经费，如人员工资福利，社会保障，办公经费等也相应减少</w:t>
      </w:r>
      <w:r>
        <w:rPr>
          <w:rFonts w:hint="eastAsia"/>
        </w:rPr>
        <w:t>。具体情况为：</w:t>
      </w:r>
    </w:p>
    <w:p>
      <w:pPr>
        <w:pStyle w:val="18"/>
        <w:keepNext w:val="0"/>
        <w:keepLines w:val="0"/>
        <w:pageBreakBefore w:val="0"/>
        <w:widowControl w:val="0"/>
        <w:kinsoku/>
        <w:wordWrap/>
        <w:overflowPunct/>
        <w:topLinePunct w:val="0"/>
        <w:autoSpaceDE/>
        <w:autoSpaceDN/>
        <w:bidi w:val="0"/>
        <w:adjustRightInd/>
        <w:snapToGrid/>
        <w:spacing w:line="600" w:lineRule="exact"/>
        <w:ind w:firstLine="600"/>
        <w:jc w:val="left"/>
        <w:textAlignment w:val="auto"/>
        <w:rPr>
          <w:rFonts w:hint="default"/>
          <w:lang w:val="en-US" w:eastAsia="zh-CN"/>
        </w:rPr>
      </w:pPr>
      <w:r>
        <w:rPr>
          <w:rFonts w:hint="eastAsia"/>
          <w:lang w:val="en-US" w:eastAsia="zh-CN"/>
        </w:rPr>
        <w:t>对个人和家庭的补助</w:t>
      </w:r>
      <w:r>
        <w:rPr>
          <w:rFonts w:hint="eastAsia"/>
        </w:rPr>
        <w:t>支出预算</w:t>
      </w:r>
      <w:r>
        <w:rPr>
          <w:rFonts w:hint="eastAsia"/>
          <w:lang w:val="en-US" w:eastAsia="zh-CN"/>
        </w:rPr>
        <w:t>49.04</w:t>
      </w:r>
      <w:r>
        <w:t>万元</w:t>
      </w:r>
      <w:r>
        <w:rPr>
          <w:rFonts w:hint="eastAsia"/>
          <w:lang w:eastAsia="zh-CN"/>
        </w:rPr>
        <w:t>，</w:t>
      </w:r>
      <w:r>
        <w:rPr>
          <w:rFonts w:hint="eastAsia"/>
        </w:rPr>
        <w:t>占基本支出预算的</w:t>
      </w:r>
      <w:r>
        <w:rPr>
          <w:rFonts w:hint="eastAsia"/>
          <w:lang w:val="en-US" w:eastAsia="zh-CN"/>
        </w:rPr>
        <w:t>11.44%</w:t>
      </w:r>
      <w:r>
        <w:rPr>
          <w:rFonts w:hint="eastAsia"/>
        </w:rPr>
        <w:t>，较2023年度预算数</w:t>
      </w:r>
      <w:r>
        <w:rPr>
          <w:rFonts w:hint="eastAsia"/>
          <w:lang w:val="en-US" w:eastAsia="zh-CN"/>
        </w:rPr>
        <w:t>35.57</w:t>
      </w:r>
      <w:r>
        <w:rPr>
          <w:rFonts w:hint="eastAsia"/>
        </w:rPr>
        <w:t>万元，</w:t>
      </w:r>
      <w:r>
        <w:rPr>
          <w:rFonts w:hint="eastAsia"/>
          <w:lang w:val="en-US" w:eastAsia="zh-CN"/>
        </w:rPr>
        <w:t>增长13.47</w:t>
      </w:r>
      <w:r>
        <w:rPr>
          <w:rFonts w:hint="eastAsia"/>
        </w:rPr>
        <w:t>万元，</w:t>
      </w:r>
      <w:r>
        <w:rPr>
          <w:rFonts w:hint="eastAsia"/>
          <w:lang w:val="en-US" w:eastAsia="zh-CN"/>
        </w:rPr>
        <w:t>增长37.87%</w:t>
      </w:r>
      <w:r>
        <w:rPr>
          <w:rFonts w:hint="eastAsia"/>
        </w:rPr>
        <w:t>，主要原因是：</w:t>
      </w:r>
      <w:r>
        <w:rPr>
          <w:rFonts w:hint="eastAsia"/>
          <w:highlight w:val="none"/>
        </w:rPr>
        <w:t>学校对个人和家庭的补助主要用于中等职业教育国家助学金补助，退休人员的补贴，独生子女保健费，2024年中等职业教育学生增加，所以对个人和家庭的补助支出也相应增加</w:t>
      </w:r>
      <w:r>
        <w:rPr>
          <w:rFonts w:hint="eastAsia"/>
          <w:highlight w:val="none"/>
          <w:lang w:val="en-US" w:eastAsia="zh-CN"/>
        </w:rPr>
        <w:t>。</w:t>
      </w:r>
    </w:p>
    <w:p>
      <w:pPr>
        <w:pStyle w:val="18"/>
        <w:keepNext w:val="0"/>
        <w:keepLines w:val="0"/>
        <w:pageBreakBefore w:val="0"/>
        <w:widowControl w:val="0"/>
        <w:kinsoku/>
        <w:wordWrap/>
        <w:overflowPunct/>
        <w:topLinePunct w:val="0"/>
        <w:autoSpaceDE/>
        <w:autoSpaceDN/>
        <w:bidi w:val="0"/>
        <w:adjustRightInd/>
        <w:snapToGrid/>
        <w:spacing w:line="600" w:lineRule="exact"/>
        <w:ind w:firstLine="600"/>
        <w:jc w:val="left"/>
        <w:textAlignment w:val="auto"/>
        <w:rPr>
          <w:rFonts w:hint="default"/>
          <w:lang w:val="en-US" w:eastAsia="zh-CN"/>
        </w:rPr>
      </w:pPr>
      <w:r>
        <w:rPr>
          <w:rFonts w:hint="eastAsia"/>
          <w:lang w:val="en-US" w:eastAsia="zh-CN"/>
        </w:rPr>
        <w:t>商品和服务支出</w:t>
      </w:r>
      <w:r>
        <w:rPr>
          <w:rFonts w:hint="eastAsia"/>
        </w:rPr>
        <w:t>支出预算</w:t>
      </w:r>
      <w:r>
        <w:rPr>
          <w:rFonts w:hint="eastAsia"/>
          <w:lang w:val="en-US" w:eastAsia="zh-CN"/>
        </w:rPr>
        <w:t>5.52</w:t>
      </w:r>
      <w:r>
        <w:t>万元</w:t>
      </w:r>
      <w:r>
        <w:rPr>
          <w:rFonts w:hint="eastAsia"/>
          <w:lang w:eastAsia="zh-CN"/>
        </w:rPr>
        <w:t>，</w:t>
      </w:r>
      <w:r>
        <w:rPr>
          <w:rFonts w:hint="eastAsia"/>
        </w:rPr>
        <w:t>占基本支出预算的</w:t>
      </w:r>
      <w:r>
        <w:rPr>
          <w:rFonts w:hint="eastAsia"/>
          <w:lang w:val="en-US" w:eastAsia="zh-CN"/>
        </w:rPr>
        <w:t>1.29%</w:t>
      </w:r>
      <w:r>
        <w:rPr>
          <w:rFonts w:hint="eastAsia"/>
        </w:rPr>
        <w:t>，较2023年度预算数</w:t>
      </w:r>
      <w:r>
        <w:rPr>
          <w:rFonts w:hint="eastAsia"/>
          <w:lang w:val="en-US" w:eastAsia="zh-CN"/>
        </w:rPr>
        <w:t>14.37</w:t>
      </w:r>
      <w:r>
        <w:rPr>
          <w:rFonts w:hint="eastAsia"/>
        </w:rPr>
        <w:t>万元，</w:t>
      </w:r>
      <w:r>
        <w:rPr>
          <w:rFonts w:hint="eastAsia"/>
          <w:lang w:val="en-US" w:eastAsia="zh-CN"/>
        </w:rPr>
        <w:t>减少8.85</w:t>
      </w:r>
      <w:r>
        <w:rPr>
          <w:rFonts w:hint="eastAsia"/>
        </w:rPr>
        <w:t>万元，</w:t>
      </w:r>
      <w:r>
        <w:rPr>
          <w:rFonts w:hint="eastAsia"/>
          <w:lang w:val="en-US" w:eastAsia="zh-CN"/>
        </w:rPr>
        <w:t>减少61.59%</w:t>
      </w:r>
      <w:r>
        <w:rPr>
          <w:rFonts w:hint="eastAsia"/>
        </w:rPr>
        <w:t>，主要原因是：</w:t>
      </w:r>
      <w:r>
        <w:rPr>
          <w:rFonts w:hint="eastAsia"/>
          <w:highlight w:val="none"/>
        </w:rPr>
        <w:t>办公费、水电费、培训费、差旅费等费用的支出减少</w:t>
      </w:r>
      <w:r>
        <w:rPr>
          <w:rFonts w:hint="eastAsia"/>
          <w:highlight w:val="none"/>
          <w:lang w:val="en-US" w:eastAsia="zh-CN"/>
        </w:rPr>
        <w:t>。</w:t>
      </w:r>
    </w:p>
    <w:p>
      <w:pPr>
        <w:pStyle w:val="18"/>
        <w:keepNext w:val="0"/>
        <w:keepLines w:val="0"/>
        <w:pageBreakBefore w:val="0"/>
        <w:widowControl w:val="0"/>
        <w:kinsoku/>
        <w:wordWrap/>
        <w:overflowPunct/>
        <w:topLinePunct w:val="0"/>
        <w:autoSpaceDE/>
        <w:autoSpaceDN/>
        <w:bidi w:val="0"/>
        <w:adjustRightInd/>
        <w:snapToGrid/>
        <w:spacing w:line="600" w:lineRule="exact"/>
        <w:ind w:firstLine="600"/>
        <w:jc w:val="left"/>
        <w:textAlignment w:val="auto"/>
        <w:rPr>
          <w:rFonts w:hint="default"/>
          <w:lang w:val="en-US" w:eastAsia="zh-CN"/>
        </w:rPr>
      </w:pPr>
      <w:r>
        <w:rPr>
          <w:rFonts w:hint="eastAsia"/>
          <w:lang w:val="en-US" w:eastAsia="zh-CN"/>
        </w:rPr>
        <w:t>工资福利支出</w:t>
      </w:r>
      <w:r>
        <w:rPr>
          <w:rFonts w:hint="eastAsia"/>
        </w:rPr>
        <w:t>支出预算</w:t>
      </w:r>
      <w:r>
        <w:rPr>
          <w:rFonts w:hint="eastAsia"/>
          <w:lang w:val="en-US" w:eastAsia="zh-CN"/>
        </w:rPr>
        <w:t>374.11</w:t>
      </w:r>
      <w:r>
        <w:t>万元</w:t>
      </w:r>
      <w:r>
        <w:rPr>
          <w:rFonts w:hint="eastAsia"/>
          <w:lang w:eastAsia="zh-CN"/>
        </w:rPr>
        <w:t>，</w:t>
      </w:r>
      <w:r>
        <w:rPr>
          <w:rFonts w:hint="eastAsia"/>
        </w:rPr>
        <w:t>占基本支出预算的</w:t>
      </w:r>
      <w:r>
        <w:rPr>
          <w:rFonts w:hint="eastAsia"/>
          <w:lang w:val="en-US" w:eastAsia="zh-CN"/>
        </w:rPr>
        <w:t>87.27%</w:t>
      </w:r>
      <w:r>
        <w:rPr>
          <w:rFonts w:hint="eastAsia"/>
        </w:rPr>
        <w:t>，较2023年度预算数</w:t>
      </w:r>
      <w:r>
        <w:rPr>
          <w:rFonts w:hint="eastAsia"/>
          <w:lang w:val="en-US" w:eastAsia="zh-CN"/>
        </w:rPr>
        <w:t>430.99</w:t>
      </w:r>
      <w:r>
        <w:rPr>
          <w:rFonts w:hint="eastAsia"/>
        </w:rPr>
        <w:t>万元，</w:t>
      </w:r>
      <w:r>
        <w:rPr>
          <w:rFonts w:hint="eastAsia"/>
          <w:lang w:val="en-US" w:eastAsia="zh-CN"/>
        </w:rPr>
        <w:t>减少56.88</w:t>
      </w:r>
      <w:r>
        <w:rPr>
          <w:rFonts w:hint="eastAsia"/>
        </w:rPr>
        <w:t>万元，</w:t>
      </w:r>
      <w:r>
        <w:rPr>
          <w:rFonts w:hint="eastAsia"/>
          <w:lang w:val="en-US" w:eastAsia="zh-CN"/>
        </w:rPr>
        <w:t>减少13.20%</w:t>
      </w:r>
      <w:r>
        <w:rPr>
          <w:rFonts w:hint="eastAsia"/>
        </w:rPr>
        <w:t>，主要原因是：</w:t>
      </w:r>
      <w:r>
        <w:rPr>
          <w:rFonts w:hint="eastAsia"/>
          <w:highlight w:val="none"/>
        </w:rPr>
        <w:t>2024年学校在职教师24人，总人数较2023年48人减少24人，减少50%。工资福利能保障教职工的日常生活，提升教职工生活质量。合理安排预算经费能保障教职工权益，所以人员减少相应的工资福利支出也应该减少</w:t>
      </w:r>
      <w:r>
        <w:rPr>
          <w:rFonts w:hint="eastAsia"/>
          <w:highlight w:val="none"/>
          <w:lang w:val="en-US" w:eastAsia="zh-CN"/>
        </w:rPr>
        <w:t>。</w:t>
      </w:r>
    </w:p>
    <w:p>
      <w:pPr>
        <w:pStyle w:val="16"/>
        <w:spacing w:after="0" w:line="619" w:lineRule="exact"/>
        <w:ind w:firstLine="620"/>
        <w:jc w:val="left"/>
        <w:rPr>
          <w:rFonts w:hint="eastAsia"/>
          <w:b/>
          <w:bCs/>
        </w:rPr>
      </w:pPr>
      <w:r>
        <w:rPr>
          <w:rFonts w:hint="eastAsia"/>
          <w:b/>
          <w:bCs/>
          <w:lang w:val="en-US" w:eastAsia="zh-CN"/>
        </w:rPr>
        <w:t>七、一般公共预算</w:t>
      </w:r>
      <w:r>
        <w:rPr>
          <w:rFonts w:hint="eastAsia"/>
          <w:b/>
          <w:bCs/>
          <w:lang w:val="zh-CN" w:eastAsia="zh-CN"/>
        </w:rPr>
        <w:t>“三</w:t>
      </w:r>
      <w:r>
        <w:rPr>
          <w:rFonts w:hint="eastAsia"/>
          <w:b/>
          <w:bCs/>
          <w:lang w:val="en-US" w:eastAsia="zh-CN"/>
        </w:rPr>
        <w:t>公”经费支出情况说明</w:t>
      </w:r>
    </w:p>
    <w:p>
      <w:pPr>
        <w:pStyle w:val="16"/>
        <w:spacing w:after="0"/>
        <w:ind w:firstLine="0"/>
        <w:jc w:val="left"/>
        <w:rPr>
          <w:highlight w:val="yellow"/>
          <w:lang w:val="en-US" w:eastAsia="zh-CN"/>
        </w:rPr>
      </w:pPr>
      <w:r>
        <w:rPr>
          <w:rFonts w:hint="eastAsia"/>
          <w:highlight w:val="none"/>
          <w:lang w:val="en-US" w:eastAsia="zh-CN"/>
        </w:rPr>
        <w:drawing>
          <wp:inline distT="0" distB="0" distL="114300" distR="114300">
            <wp:extent cx="5080000" cy="3810000"/>
            <wp:effectExtent l="4445" t="4445" r="5715" b="10795"/>
            <wp:docPr id="7479" name="图表 23" title="{{img_sgzc_ys_dat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pPr>
        <w:pStyle w:val="16"/>
        <w:keepNext w:val="0"/>
        <w:keepLines w:val="0"/>
        <w:pageBreakBefore w:val="0"/>
        <w:widowControl w:val="0"/>
        <w:tabs>
          <w:tab w:val="left" w:pos="1253"/>
        </w:tabs>
        <w:kinsoku/>
        <w:wordWrap/>
        <w:overflowPunct/>
        <w:topLinePunct w:val="0"/>
        <w:autoSpaceDE/>
        <w:autoSpaceDN/>
        <w:bidi w:val="0"/>
        <w:adjustRightInd/>
        <w:snapToGrid/>
        <w:spacing w:after="0" w:line="600" w:lineRule="exact"/>
        <w:ind w:firstLine="601"/>
        <w:jc w:val="left"/>
        <w:textAlignment w:val="auto"/>
        <w:rPr>
          <w:rFonts w:hint="eastAsia"/>
          <w:b w:val="0"/>
          <w:bCs w:val="0"/>
          <w:sz w:val="28"/>
          <w:szCs w:val="28"/>
          <w:lang w:eastAsia="zh-CN"/>
        </w:rPr>
      </w:pPr>
      <w:bookmarkStart w:id="14" w:name="bookmark90"/>
      <w:r>
        <w:rPr>
          <w:rFonts w:hint="eastAsia"/>
          <w:b w:val="0"/>
          <w:bCs w:val="0"/>
          <w:sz w:val="28"/>
          <w:szCs w:val="28"/>
          <w:lang w:eastAsia="zh-CN"/>
        </w:rPr>
        <w:t>（</w:t>
      </w:r>
      <w:r>
        <w:rPr>
          <w:rFonts w:hint="eastAsia"/>
          <w:b w:val="0"/>
          <w:bCs w:val="0"/>
          <w:sz w:val="28"/>
          <w:szCs w:val="28"/>
          <w:lang w:val="en-US" w:eastAsia="zh-CN"/>
        </w:rPr>
        <w:t>一</w:t>
      </w:r>
      <w:r>
        <w:rPr>
          <w:rFonts w:hint="eastAsia"/>
          <w:b w:val="0"/>
          <w:bCs w:val="0"/>
          <w:sz w:val="28"/>
          <w:szCs w:val="28"/>
          <w:lang w:eastAsia="zh-CN"/>
        </w:rPr>
        <w:t>）</w:t>
      </w:r>
      <w:r>
        <w:rPr>
          <w:sz w:val="28"/>
          <w:u w:color="auto"/>
        </w:rPr>
        <w:t>2024年部门预算共安排</w:t>
      </w:r>
      <w:r>
        <w:rPr>
          <w:rFonts w:hint="eastAsia"/>
          <w:b w:val="0"/>
          <w:bCs w:val="0"/>
          <w:sz w:val="28"/>
          <w:szCs w:val="28"/>
          <w:lang w:val="zh-CN" w:eastAsia="zh-CN"/>
        </w:rPr>
        <w:t>“三公</w:t>
      </w:r>
      <w:r>
        <w:rPr>
          <w:rFonts w:hint="eastAsia"/>
          <w:b w:val="0"/>
          <w:bCs w:val="0"/>
          <w:sz w:val="28"/>
          <w:szCs w:val="28"/>
          <w:lang w:val="en-US" w:eastAsia="zh-CN"/>
        </w:rPr>
        <w:t>"</w:t>
      </w:r>
      <w:r>
        <w:rPr>
          <w:rFonts w:hint="eastAsia"/>
          <w:b w:val="0"/>
          <w:bCs w:val="0"/>
          <w:sz w:val="28"/>
          <w:szCs w:val="28"/>
          <w:lang w:eastAsia="zh-CN"/>
        </w:rPr>
        <w:t>经费支出预算</w:t>
      </w:r>
      <w:r>
        <w:rPr>
          <w:rFonts w:hint="eastAsia"/>
          <w:b w:val="0"/>
          <w:bCs w:val="0"/>
          <w:sz w:val="28"/>
          <w:szCs w:val="28"/>
          <w:lang w:val="en-US" w:eastAsia="zh-CN"/>
        </w:rPr>
        <w:t>0.00</w:t>
      </w:r>
      <w:r>
        <w:rPr>
          <w:rFonts w:hint="eastAsia"/>
          <w:b w:val="0"/>
          <w:bCs w:val="0"/>
          <w:sz w:val="28"/>
          <w:szCs w:val="28"/>
          <w:lang w:eastAsia="zh-CN"/>
        </w:rPr>
        <w:t>万元（全口径），其中：因公出国（境）经费支出预算</w:t>
      </w:r>
      <w:r>
        <w:rPr>
          <w:rFonts w:hint="eastAsia"/>
          <w:b w:val="0"/>
          <w:bCs w:val="0"/>
          <w:sz w:val="28"/>
          <w:szCs w:val="28"/>
          <w:lang w:val="en-US" w:eastAsia="zh-CN"/>
        </w:rPr>
        <w:t>0.00</w:t>
      </w:r>
      <w:r>
        <w:rPr>
          <w:rFonts w:hint="eastAsia"/>
          <w:b w:val="0"/>
          <w:bCs w:val="0"/>
          <w:sz w:val="28"/>
          <w:szCs w:val="28"/>
          <w:lang w:eastAsia="zh-CN"/>
        </w:rPr>
        <w:t>万元，公务接待费支出预算</w:t>
      </w:r>
      <w:r>
        <w:rPr>
          <w:rFonts w:hint="eastAsia"/>
          <w:b w:val="0"/>
          <w:bCs w:val="0"/>
          <w:sz w:val="28"/>
          <w:szCs w:val="28"/>
          <w:lang w:val="en-US" w:eastAsia="zh-CN"/>
        </w:rPr>
        <w:t>0.00</w:t>
      </w:r>
      <w:r>
        <w:rPr>
          <w:rFonts w:hint="eastAsia"/>
          <w:b w:val="0"/>
          <w:bCs w:val="0"/>
          <w:sz w:val="28"/>
          <w:szCs w:val="28"/>
          <w:lang w:eastAsia="zh-CN"/>
        </w:rPr>
        <w:t>万元，公务用车购置及运行费支出预算</w:t>
      </w:r>
      <w:r>
        <w:rPr>
          <w:rFonts w:hint="eastAsia"/>
          <w:b w:val="0"/>
          <w:bCs w:val="0"/>
          <w:sz w:val="28"/>
          <w:szCs w:val="28"/>
          <w:lang w:val="en-US" w:eastAsia="zh-CN"/>
        </w:rPr>
        <w:t>0.00</w:t>
      </w:r>
      <w:r>
        <w:rPr>
          <w:rFonts w:hint="eastAsia"/>
          <w:b w:val="0"/>
          <w:bCs w:val="0"/>
          <w:sz w:val="28"/>
          <w:szCs w:val="28"/>
          <w:lang w:eastAsia="zh-CN"/>
        </w:rPr>
        <w:t>万元（公务用车购置费</w:t>
      </w:r>
      <w:r>
        <w:rPr>
          <w:rFonts w:hint="eastAsia"/>
          <w:b w:val="0"/>
          <w:bCs w:val="0"/>
          <w:sz w:val="28"/>
          <w:szCs w:val="28"/>
          <w:lang w:val="en-US" w:eastAsia="zh-CN"/>
        </w:rPr>
        <w:t>0.00</w:t>
      </w:r>
      <w:r>
        <w:rPr>
          <w:rFonts w:hint="eastAsia"/>
          <w:b w:val="0"/>
          <w:bCs w:val="0"/>
          <w:sz w:val="28"/>
          <w:szCs w:val="28"/>
          <w:lang w:eastAsia="zh-CN"/>
        </w:rPr>
        <w:t>万元,公务用车运行维护费</w:t>
      </w:r>
      <w:r>
        <w:rPr>
          <w:rFonts w:hint="eastAsia"/>
          <w:b w:val="0"/>
          <w:bCs w:val="0"/>
          <w:sz w:val="28"/>
          <w:szCs w:val="28"/>
          <w:lang w:val="en-US" w:eastAsia="zh-CN"/>
        </w:rPr>
        <w:t>0.00</w:t>
      </w:r>
      <w:r>
        <w:rPr>
          <w:rFonts w:hint="eastAsia"/>
          <w:b w:val="0"/>
          <w:bCs w:val="0"/>
          <w:sz w:val="28"/>
          <w:szCs w:val="28"/>
          <w:lang w:eastAsia="zh-CN"/>
        </w:rPr>
        <w:t>万元）。</w:t>
      </w:r>
    </w:p>
    <w:p>
      <w:pPr>
        <w:pStyle w:val="16"/>
        <w:keepNext w:val="0"/>
        <w:keepLines w:val="0"/>
        <w:pageBreakBefore w:val="0"/>
        <w:widowControl w:val="0"/>
        <w:tabs>
          <w:tab w:val="left" w:pos="1253"/>
        </w:tabs>
        <w:kinsoku/>
        <w:wordWrap/>
        <w:overflowPunct/>
        <w:topLinePunct w:val="0"/>
        <w:autoSpaceDE/>
        <w:autoSpaceDN/>
        <w:bidi w:val="0"/>
        <w:adjustRightInd/>
        <w:snapToGrid/>
        <w:spacing w:after="0" w:line="600" w:lineRule="exact"/>
        <w:ind w:firstLine="601"/>
        <w:jc w:val="left"/>
        <w:textAlignment w:val="auto"/>
        <w:rPr>
          <w:rFonts w:hint="eastAsia"/>
          <w:b w:val="0"/>
          <w:bCs w:val="0"/>
          <w:sz w:val="28"/>
          <w:szCs w:val="28"/>
        </w:rPr>
      </w:pPr>
      <w:r>
        <w:rPr>
          <w:rFonts w:hint="eastAsia"/>
          <w:b w:val="0"/>
          <w:bCs w:val="0"/>
          <w:sz w:val="28"/>
          <w:szCs w:val="28"/>
          <w:lang w:eastAsia="zh-CN"/>
        </w:rPr>
        <w:t>（</w:t>
      </w:r>
      <w:r>
        <w:rPr>
          <w:rFonts w:hint="eastAsia"/>
          <w:b w:val="0"/>
          <w:bCs w:val="0"/>
          <w:sz w:val="28"/>
          <w:szCs w:val="28"/>
          <w:lang w:val="en-US" w:eastAsia="zh-CN"/>
        </w:rPr>
        <w:t>二</w:t>
      </w:r>
      <w:r>
        <w:rPr>
          <w:rFonts w:hint="eastAsia"/>
          <w:b w:val="0"/>
          <w:bCs w:val="0"/>
          <w:sz w:val="28"/>
          <w:szCs w:val="28"/>
          <w:lang w:eastAsia="zh-CN"/>
        </w:rPr>
        <w:t>）</w:t>
      </w:r>
      <w:r>
        <w:rPr>
          <w:sz w:val="28"/>
          <w:u w:color="auto"/>
        </w:rPr>
        <w:t>2024</w:t>
      </w:r>
      <w:r>
        <w:rPr>
          <w:rFonts w:hint="eastAsia"/>
          <w:b w:val="0"/>
          <w:bCs w:val="0"/>
          <w:sz w:val="28"/>
          <w:szCs w:val="28"/>
        </w:rPr>
        <w:t>年一般公共预算安排的“三公”经费支出预算</w:t>
      </w:r>
      <w:r>
        <w:rPr>
          <w:rFonts w:hint="eastAsia"/>
          <w:b w:val="0"/>
          <w:bCs w:val="0"/>
          <w:sz w:val="28"/>
          <w:szCs w:val="28"/>
          <w:lang w:val="en-US" w:eastAsia="zh-CN"/>
        </w:rPr>
        <w:t>0.00</w:t>
      </w:r>
      <w:r>
        <w:rPr>
          <w:rFonts w:hint="eastAsia"/>
          <w:b w:val="0"/>
          <w:bCs w:val="0"/>
          <w:sz w:val="28"/>
          <w:szCs w:val="28"/>
        </w:rPr>
        <w:t>万元，同口径较2023年度预算数</w:t>
      </w:r>
      <w:r>
        <w:rPr>
          <w:rFonts w:hint="eastAsia"/>
          <w:b w:val="0"/>
          <w:bCs w:val="0"/>
          <w:sz w:val="28"/>
          <w:szCs w:val="28"/>
          <w:lang w:val="en-US" w:eastAsia="zh-CN"/>
        </w:rPr>
        <w:t>0.00</w:t>
      </w:r>
      <w:r>
        <w:rPr>
          <w:rFonts w:hint="eastAsia"/>
          <w:b w:val="0"/>
          <w:bCs w:val="0"/>
          <w:sz w:val="28"/>
          <w:szCs w:val="28"/>
        </w:rPr>
        <w:t>万元，</w:t>
      </w:r>
      <w:r>
        <w:rPr>
          <w:rFonts w:hint="eastAsia"/>
          <w:b w:val="0"/>
          <w:bCs w:val="0"/>
          <w:sz w:val="28"/>
          <w:szCs w:val="28"/>
          <w:lang w:val="en-US" w:eastAsia="zh-CN"/>
        </w:rPr>
        <w:t>增长0.00</w:t>
      </w:r>
      <w:r>
        <w:rPr>
          <w:rFonts w:hint="eastAsia"/>
          <w:b w:val="0"/>
          <w:bCs w:val="0"/>
          <w:sz w:val="28"/>
          <w:szCs w:val="28"/>
        </w:rPr>
        <w:t>万元，</w:t>
      </w:r>
      <w:r>
        <w:rPr>
          <w:rFonts w:hint="eastAsia"/>
          <w:b w:val="0"/>
          <w:bCs w:val="0"/>
          <w:sz w:val="28"/>
          <w:szCs w:val="28"/>
          <w:lang w:val="en-US" w:eastAsia="zh-CN"/>
        </w:rPr>
        <w:t>增长0%</w:t>
      </w:r>
      <w:r>
        <w:rPr>
          <w:rFonts w:hint="eastAsia"/>
          <w:b w:val="0"/>
          <w:bCs w:val="0"/>
          <w:sz w:val="28"/>
          <w:szCs w:val="28"/>
        </w:rPr>
        <w:t>，具体如下：</w:t>
      </w:r>
    </w:p>
    <w:p>
      <w:pPr>
        <w:pStyle w:val="16"/>
        <w:keepNext w:val="0"/>
        <w:keepLines w:val="0"/>
        <w:pageBreakBefore w:val="0"/>
        <w:widowControl w:val="0"/>
        <w:tabs>
          <w:tab w:val="left" w:pos="1253"/>
        </w:tabs>
        <w:kinsoku/>
        <w:wordWrap/>
        <w:overflowPunct/>
        <w:topLinePunct w:val="0"/>
        <w:autoSpaceDE/>
        <w:autoSpaceDN/>
        <w:bidi w:val="0"/>
        <w:adjustRightInd/>
        <w:snapToGrid/>
        <w:spacing w:after="0" w:line="600" w:lineRule="exact"/>
        <w:ind w:firstLine="601"/>
        <w:jc w:val="left"/>
        <w:textAlignment w:val="auto"/>
        <w:rPr>
          <w:rFonts w:hint="eastAsia" w:eastAsia="宋体"/>
          <w:b w:val="0"/>
          <w:bCs w:val="0"/>
          <w:sz w:val="28"/>
          <w:szCs w:val="28"/>
          <w:lang w:eastAsia="zh-CN"/>
        </w:rPr>
      </w:pPr>
      <w:r>
        <w:rPr>
          <w:rFonts w:hint="eastAsia"/>
          <w:b w:val="0"/>
          <w:bCs w:val="0"/>
          <w:sz w:val="28"/>
          <w:szCs w:val="28"/>
        </w:rPr>
        <w:t>1.因公出国（境）费</w:t>
      </w:r>
      <w:r>
        <w:rPr>
          <w:rFonts w:hint="eastAsia"/>
          <w:b w:val="0"/>
          <w:bCs w:val="0"/>
          <w:sz w:val="28"/>
          <w:szCs w:val="28"/>
          <w:lang w:eastAsia="zh-CN"/>
        </w:rPr>
        <w:t>2024</w:t>
      </w:r>
      <w:r>
        <w:rPr>
          <w:rFonts w:hint="eastAsia"/>
          <w:b w:val="0"/>
          <w:bCs w:val="0"/>
          <w:sz w:val="28"/>
          <w:szCs w:val="28"/>
        </w:rPr>
        <w:t>年预算安排</w:t>
      </w:r>
      <w:r>
        <w:rPr>
          <w:sz w:val="28"/>
          <w:u w:color="auto"/>
        </w:rPr>
        <w:t>0.00</w:t>
      </w:r>
      <w:r>
        <w:rPr>
          <w:rFonts w:hint="eastAsia"/>
          <w:b w:val="0"/>
          <w:bCs w:val="0"/>
          <w:sz w:val="28"/>
          <w:szCs w:val="28"/>
        </w:rPr>
        <w:t>万元，较2023年度预算数</w:t>
      </w:r>
      <w:r>
        <w:rPr>
          <w:sz w:val="28"/>
          <w:u w:color="auto"/>
        </w:rPr>
        <w:t>0.00</w:t>
      </w:r>
      <w:r>
        <w:rPr>
          <w:rFonts w:hint="eastAsia"/>
          <w:b w:val="0"/>
          <w:bCs w:val="0"/>
          <w:sz w:val="28"/>
          <w:szCs w:val="28"/>
        </w:rPr>
        <w:t>万元，</w:t>
      </w:r>
      <w:r>
        <w:rPr>
          <w:sz w:val="28"/>
          <w:u w:color="auto"/>
        </w:rPr>
        <w:t>增长0.00</w:t>
      </w:r>
      <w:r>
        <w:rPr>
          <w:rFonts w:hint="eastAsia"/>
          <w:b w:val="0"/>
          <w:bCs w:val="0"/>
          <w:sz w:val="28"/>
          <w:szCs w:val="28"/>
        </w:rPr>
        <w:t>万元，增长0%，主要原因是</w:t>
      </w:r>
      <w:r>
        <w:rPr>
          <w:rFonts w:hint="eastAsia"/>
          <w:sz w:val="28"/>
          <w:szCs w:val="28"/>
          <w:highlight w:val="none"/>
          <w:lang w:val="en-US" w:eastAsia="zh-CN"/>
        </w:rPr>
        <w:t>本学校无因公出国（境）费</w:t>
      </w:r>
      <w:r>
        <w:rPr>
          <w:rFonts w:hint="eastAsia"/>
          <w:b w:val="0"/>
          <w:bCs w:val="0"/>
          <w:sz w:val="28"/>
          <w:szCs w:val="28"/>
        </w:rPr>
        <w:t>。</w:t>
      </w:r>
    </w:p>
    <w:p>
      <w:pPr>
        <w:pStyle w:val="16"/>
        <w:keepNext w:val="0"/>
        <w:keepLines w:val="0"/>
        <w:pageBreakBefore w:val="0"/>
        <w:widowControl w:val="0"/>
        <w:tabs>
          <w:tab w:val="left" w:pos="1253"/>
        </w:tabs>
        <w:kinsoku/>
        <w:wordWrap/>
        <w:overflowPunct/>
        <w:topLinePunct w:val="0"/>
        <w:autoSpaceDE/>
        <w:autoSpaceDN/>
        <w:bidi w:val="0"/>
        <w:adjustRightInd/>
        <w:snapToGrid/>
        <w:spacing w:after="0" w:line="600" w:lineRule="exact"/>
        <w:ind w:firstLine="601"/>
        <w:jc w:val="left"/>
        <w:textAlignment w:val="auto"/>
        <w:rPr>
          <w:rFonts w:hint="eastAsia" w:eastAsia="宋体"/>
          <w:b w:val="0"/>
          <w:bCs w:val="0"/>
          <w:sz w:val="28"/>
          <w:szCs w:val="28"/>
          <w:lang w:eastAsia="zh-CN"/>
        </w:rPr>
      </w:pPr>
      <w:r>
        <w:rPr>
          <w:rFonts w:hint="eastAsia"/>
          <w:b w:val="0"/>
          <w:bCs w:val="0"/>
          <w:sz w:val="28"/>
          <w:szCs w:val="28"/>
        </w:rPr>
        <w:t>2.公务接待费</w:t>
      </w:r>
      <w:r>
        <w:rPr>
          <w:rFonts w:hint="eastAsia"/>
          <w:b w:val="0"/>
          <w:bCs w:val="0"/>
          <w:sz w:val="28"/>
          <w:szCs w:val="28"/>
          <w:lang w:eastAsia="zh-CN"/>
        </w:rPr>
        <w:t>2024</w:t>
      </w:r>
      <w:r>
        <w:rPr>
          <w:rFonts w:hint="eastAsia"/>
          <w:b w:val="0"/>
          <w:bCs w:val="0"/>
          <w:sz w:val="28"/>
          <w:szCs w:val="28"/>
        </w:rPr>
        <w:t>年预算安排</w:t>
      </w:r>
      <w:r>
        <w:rPr>
          <w:sz w:val="28"/>
          <w:u w:color="auto"/>
        </w:rPr>
        <w:t>0.00</w:t>
      </w:r>
      <w:r>
        <w:rPr>
          <w:rFonts w:hint="eastAsia"/>
          <w:b w:val="0"/>
          <w:bCs w:val="0"/>
          <w:sz w:val="28"/>
          <w:szCs w:val="28"/>
        </w:rPr>
        <w:t>万元，较2023年度预算数</w:t>
      </w:r>
      <w:r>
        <w:rPr>
          <w:sz w:val="28"/>
          <w:u w:color="auto"/>
        </w:rPr>
        <w:t>0.00</w:t>
      </w:r>
      <w:r>
        <w:rPr>
          <w:rFonts w:hint="eastAsia"/>
          <w:b w:val="0"/>
          <w:bCs w:val="0"/>
          <w:sz w:val="28"/>
          <w:szCs w:val="28"/>
        </w:rPr>
        <w:t>万元，</w:t>
      </w:r>
      <w:r>
        <w:rPr>
          <w:sz w:val="28"/>
          <w:u w:color="auto"/>
        </w:rPr>
        <w:t>增长0.00</w:t>
      </w:r>
      <w:r>
        <w:rPr>
          <w:rFonts w:hint="eastAsia"/>
          <w:b w:val="0"/>
          <w:bCs w:val="0"/>
          <w:sz w:val="28"/>
          <w:szCs w:val="28"/>
        </w:rPr>
        <w:t>万元，</w:t>
      </w:r>
      <w:r>
        <w:rPr>
          <w:sz w:val="28"/>
          <w:u w:color="auto"/>
        </w:rPr>
        <w:t>增长0%</w:t>
      </w:r>
      <w:r>
        <w:rPr>
          <w:rFonts w:hint="eastAsia"/>
          <w:b w:val="0"/>
          <w:bCs w:val="0"/>
          <w:sz w:val="28"/>
          <w:szCs w:val="28"/>
        </w:rPr>
        <w:t>，主要原因是</w:t>
      </w:r>
      <w:r>
        <w:rPr>
          <w:rFonts w:hint="eastAsia"/>
          <w:sz w:val="28"/>
          <w:szCs w:val="28"/>
          <w:highlight w:val="none"/>
          <w:lang w:val="en-US" w:eastAsia="zh-CN"/>
        </w:rPr>
        <w:t>本学校无公务接待费</w:t>
      </w:r>
      <w:r>
        <w:rPr>
          <w:rFonts w:hint="eastAsia"/>
          <w:b w:val="0"/>
          <w:bCs w:val="0"/>
          <w:sz w:val="28"/>
          <w:szCs w:val="28"/>
        </w:rPr>
        <w:t>。</w:t>
      </w:r>
    </w:p>
    <w:p>
      <w:pPr>
        <w:pStyle w:val="16"/>
        <w:keepNext w:val="0"/>
        <w:keepLines w:val="0"/>
        <w:pageBreakBefore w:val="0"/>
        <w:widowControl w:val="0"/>
        <w:tabs>
          <w:tab w:val="left" w:pos="1253"/>
        </w:tabs>
        <w:kinsoku/>
        <w:wordWrap/>
        <w:overflowPunct/>
        <w:topLinePunct w:val="0"/>
        <w:autoSpaceDE/>
        <w:autoSpaceDN/>
        <w:bidi w:val="0"/>
        <w:adjustRightInd/>
        <w:snapToGrid/>
        <w:spacing w:after="0" w:line="600" w:lineRule="exact"/>
        <w:ind w:firstLine="601"/>
        <w:jc w:val="left"/>
        <w:textAlignment w:val="auto"/>
        <w:rPr>
          <w:rFonts w:hint="eastAsia"/>
          <w:b w:val="0"/>
          <w:bCs w:val="0"/>
          <w:sz w:val="28"/>
          <w:szCs w:val="28"/>
        </w:rPr>
      </w:pPr>
      <w:r>
        <w:rPr>
          <w:rFonts w:hint="eastAsia"/>
          <w:b w:val="0"/>
          <w:bCs w:val="0"/>
          <w:sz w:val="28"/>
          <w:szCs w:val="28"/>
        </w:rPr>
        <w:t>3.公务用车购置及运行费</w:t>
      </w:r>
      <w:r>
        <w:rPr>
          <w:rFonts w:hint="eastAsia"/>
          <w:b w:val="0"/>
          <w:bCs w:val="0"/>
          <w:sz w:val="28"/>
          <w:szCs w:val="28"/>
          <w:lang w:eastAsia="zh-CN"/>
        </w:rPr>
        <w:t>2024</w:t>
      </w:r>
      <w:r>
        <w:rPr>
          <w:rFonts w:hint="eastAsia"/>
          <w:b w:val="0"/>
          <w:bCs w:val="0"/>
          <w:sz w:val="28"/>
          <w:szCs w:val="28"/>
        </w:rPr>
        <w:t>年预算安排</w:t>
      </w:r>
      <w:r>
        <w:rPr>
          <w:sz w:val="28"/>
          <w:u w:color="auto"/>
        </w:rPr>
        <w:t>0.00</w:t>
      </w:r>
      <w:r>
        <w:rPr>
          <w:rFonts w:hint="eastAsia"/>
          <w:b w:val="0"/>
          <w:bCs w:val="0"/>
          <w:sz w:val="28"/>
          <w:szCs w:val="28"/>
        </w:rPr>
        <w:t>万元，较2023年度预算数</w:t>
      </w:r>
      <w:r>
        <w:rPr>
          <w:sz w:val="28"/>
          <w:u w:color="auto"/>
        </w:rPr>
        <w:t>0.00</w:t>
      </w:r>
      <w:r>
        <w:rPr>
          <w:rFonts w:hint="eastAsia"/>
          <w:b w:val="0"/>
          <w:bCs w:val="0"/>
          <w:sz w:val="28"/>
          <w:szCs w:val="28"/>
        </w:rPr>
        <w:t>万元，</w:t>
      </w:r>
      <w:r>
        <w:rPr>
          <w:sz w:val="28"/>
          <w:u w:color="auto"/>
        </w:rPr>
        <w:t>增长0.00</w:t>
      </w:r>
      <w:r>
        <w:rPr>
          <w:rFonts w:hint="eastAsia"/>
          <w:b w:val="0"/>
          <w:bCs w:val="0"/>
          <w:sz w:val="28"/>
          <w:szCs w:val="28"/>
        </w:rPr>
        <w:t>万元，</w:t>
      </w:r>
      <w:r>
        <w:rPr>
          <w:sz w:val="28"/>
          <w:u w:color="auto"/>
        </w:rPr>
        <w:t>增长0%</w:t>
      </w:r>
      <w:r>
        <w:rPr>
          <w:rFonts w:hint="eastAsia"/>
          <w:b w:val="0"/>
          <w:bCs w:val="0"/>
          <w:sz w:val="28"/>
          <w:szCs w:val="28"/>
        </w:rPr>
        <w:t>，其中：</w:t>
      </w:r>
    </w:p>
    <w:p>
      <w:pPr>
        <w:pStyle w:val="16"/>
        <w:keepNext w:val="0"/>
        <w:keepLines w:val="0"/>
        <w:pageBreakBefore w:val="0"/>
        <w:widowControl w:val="0"/>
        <w:tabs>
          <w:tab w:val="left" w:pos="1253"/>
        </w:tabs>
        <w:kinsoku/>
        <w:wordWrap/>
        <w:overflowPunct/>
        <w:topLinePunct w:val="0"/>
        <w:autoSpaceDE/>
        <w:autoSpaceDN/>
        <w:bidi w:val="0"/>
        <w:adjustRightInd/>
        <w:snapToGrid/>
        <w:spacing w:after="0" w:line="600" w:lineRule="exact"/>
        <w:ind w:firstLine="601"/>
        <w:jc w:val="left"/>
        <w:textAlignment w:val="auto"/>
        <w:rPr>
          <w:rFonts w:hint="eastAsia" w:eastAsia="宋体"/>
          <w:b w:val="0"/>
          <w:bCs w:val="0"/>
          <w:sz w:val="28"/>
          <w:szCs w:val="28"/>
          <w:lang w:eastAsia="zh-CN"/>
        </w:rPr>
      </w:pPr>
      <w:r>
        <w:rPr>
          <w:rFonts w:hint="eastAsia"/>
          <w:b w:val="0"/>
          <w:bCs w:val="0"/>
          <w:sz w:val="28"/>
          <w:szCs w:val="28"/>
        </w:rPr>
        <w:t>公务用车购置费</w:t>
      </w:r>
      <w:r>
        <w:rPr>
          <w:rFonts w:hint="eastAsia"/>
          <w:b w:val="0"/>
          <w:bCs w:val="0"/>
          <w:sz w:val="28"/>
          <w:szCs w:val="28"/>
          <w:lang w:eastAsia="zh-CN"/>
        </w:rPr>
        <w:t>2024</w:t>
      </w:r>
      <w:r>
        <w:rPr>
          <w:rFonts w:hint="eastAsia"/>
          <w:b w:val="0"/>
          <w:bCs w:val="0"/>
          <w:sz w:val="28"/>
          <w:szCs w:val="28"/>
        </w:rPr>
        <w:t>年预算安排</w:t>
      </w:r>
      <w:r>
        <w:rPr>
          <w:sz w:val="28"/>
          <w:u w:color="auto"/>
        </w:rPr>
        <w:t>0.00</w:t>
      </w:r>
      <w:r>
        <w:rPr>
          <w:rFonts w:hint="eastAsia"/>
          <w:b w:val="0"/>
          <w:bCs w:val="0"/>
          <w:sz w:val="28"/>
          <w:szCs w:val="28"/>
        </w:rPr>
        <w:t>万元，较2023年度预算数</w:t>
      </w:r>
      <w:r>
        <w:rPr>
          <w:sz w:val="28"/>
          <w:u w:color="auto"/>
        </w:rPr>
        <w:t>0.00</w:t>
      </w:r>
      <w:r>
        <w:rPr>
          <w:rFonts w:hint="eastAsia"/>
          <w:b w:val="0"/>
          <w:bCs w:val="0"/>
          <w:sz w:val="28"/>
          <w:szCs w:val="28"/>
        </w:rPr>
        <w:t>万元，</w:t>
      </w:r>
      <w:r>
        <w:rPr>
          <w:sz w:val="28"/>
          <w:u w:color="auto"/>
        </w:rPr>
        <w:t>增长0.00</w:t>
      </w:r>
      <w:r>
        <w:rPr>
          <w:rFonts w:hint="eastAsia"/>
          <w:b w:val="0"/>
          <w:bCs w:val="0"/>
          <w:sz w:val="28"/>
          <w:szCs w:val="28"/>
        </w:rPr>
        <w:t>万元，</w:t>
      </w:r>
      <w:r>
        <w:rPr>
          <w:sz w:val="28"/>
          <w:u w:color="auto"/>
        </w:rPr>
        <w:t>增长0%</w:t>
      </w:r>
      <w:r>
        <w:rPr>
          <w:rFonts w:hint="eastAsia"/>
          <w:b w:val="0"/>
          <w:bCs w:val="0"/>
          <w:sz w:val="28"/>
          <w:szCs w:val="28"/>
        </w:rPr>
        <w:t>，主要原因是</w:t>
      </w:r>
      <w:r>
        <w:rPr>
          <w:rFonts w:hint="eastAsia"/>
          <w:sz w:val="28"/>
          <w:szCs w:val="28"/>
          <w:highlight w:val="none"/>
          <w:lang w:val="en-US" w:eastAsia="zh-CN"/>
        </w:rPr>
        <w:t>实行公务用车管理制度改革后，单位不能再购置公务用车，所以本学校无公务车购置费</w:t>
      </w:r>
      <w:r>
        <w:rPr>
          <w:rFonts w:hint="eastAsia"/>
          <w:b w:val="0"/>
          <w:bCs w:val="0"/>
          <w:sz w:val="28"/>
          <w:szCs w:val="28"/>
        </w:rPr>
        <w:t>。</w:t>
      </w:r>
    </w:p>
    <w:p>
      <w:pPr>
        <w:pStyle w:val="16"/>
        <w:keepNext w:val="0"/>
        <w:keepLines w:val="0"/>
        <w:pageBreakBefore w:val="0"/>
        <w:widowControl w:val="0"/>
        <w:tabs>
          <w:tab w:val="left" w:pos="1253"/>
        </w:tabs>
        <w:kinsoku/>
        <w:wordWrap/>
        <w:overflowPunct/>
        <w:topLinePunct w:val="0"/>
        <w:autoSpaceDE/>
        <w:autoSpaceDN/>
        <w:bidi w:val="0"/>
        <w:adjustRightInd/>
        <w:snapToGrid/>
        <w:spacing w:after="0" w:line="600" w:lineRule="exact"/>
        <w:ind w:firstLine="601"/>
        <w:jc w:val="left"/>
        <w:textAlignment w:val="auto"/>
        <w:rPr>
          <w:rFonts w:hint="eastAsia"/>
          <w:b w:val="0"/>
          <w:bCs w:val="0"/>
          <w:sz w:val="28"/>
          <w:szCs w:val="28"/>
        </w:rPr>
      </w:pPr>
      <w:r>
        <w:rPr>
          <w:rFonts w:hint="eastAsia"/>
          <w:b w:val="0"/>
          <w:bCs w:val="0"/>
          <w:sz w:val="28"/>
          <w:szCs w:val="28"/>
        </w:rPr>
        <w:t>公务用车运行维护费</w:t>
      </w:r>
      <w:r>
        <w:rPr>
          <w:rFonts w:hint="eastAsia"/>
          <w:b w:val="0"/>
          <w:bCs w:val="0"/>
          <w:sz w:val="28"/>
          <w:szCs w:val="28"/>
          <w:lang w:eastAsia="zh-CN"/>
        </w:rPr>
        <w:t>2024</w:t>
      </w:r>
      <w:r>
        <w:rPr>
          <w:rFonts w:hint="eastAsia"/>
          <w:b w:val="0"/>
          <w:bCs w:val="0"/>
          <w:sz w:val="28"/>
          <w:szCs w:val="28"/>
        </w:rPr>
        <w:t>年预算安排</w:t>
      </w:r>
      <w:r>
        <w:rPr>
          <w:sz w:val="28"/>
          <w:u w:color="auto"/>
        </w:rPr>
        <w:t>0.00</w:t>
      </w:r>
      <w:r>
        <w:rPr>
          <w:rFonts w:hint="eastAsia"/>
          <w:b w:val="0"/>
          <w:bCs w:val="0"/>
          <w:sz w:val="28"/>
          <w:szCs w:val="28"/>
        </w:rPr>
        <w:t>万元，较2023年度预算数</w:t>
      </w:r>
      <w:r>
        <w:rPr>
          <w:sz w:val="28"/>
          <w:u w:color="auto"/>
        </w:rPr>
        <w:t>0.00</w:t>
      </w:r>
      <w:r>
        <w:rPr>
          <w:rFonts w:hint="eastAsia"/>
          <w:b w:val="0"/>
          <w:bCs w:val="0"/>
          <w:sz w:val="28"/>
          <w:szCs w:val="28"/>
        </w:rPr>
        <w:t>万元，</w:t>
      </w:r>
      <w:r>
        <w:rPr>
          <w:sz w:val="28"/>
          <w:u w:color="auto"/>
        </w:rPr>
        <w:t>增长0.00</w:t>
      </w:r>
      <w:r>
        <w:rPr>
          <w:rFonts w:hint="eastAsia"/>
          <w:b w:val="0"/>
          <w:bCs w:val="0"/>
          <w:sz w:val="28"/>
          <w:szCs w:val="28"/>
        </w:rPr>
        <w:t>万元，</w:t>
      </w:r>
      <w:r>
        <w:rPr>
          <w:sz w:val="28"/>
          <w:u w:color="auto"/>
        </w:rPr>
        <w:t>增长0%</w:t>
      </w:r>
      <w:r>
        <w:rPr>
          <w:rFonts w:hint="eastAsia"/>
          <w:b w:val="0"/>
          <w:bCs w:val="0"/>
          <w:sz w:val="28"/>
          <w:szCs w:val="28"/>
        </w:rPr>
        <w:t>，主要原因是</w:t>
      </w:r>
      <w:r>
        <w:rPr>
          <w:rFonts w:hint="eastAsia"/>
          <w:sz w:val="28"/>
          <w:szCs w:val="28"/>
          <w:highlight w:val="none"/>
          <w:lang w:val="en-US" w:eastAsia="zh-CN"/>
        </w:rPr>
        <w:t>我校无公务用车，2024年无公务用车运行维护支出预算</w:t>
      </w:r>
      <w:r>
        <w:rPr>
          <w:rFonts w:hint="eastAsia"/>
          <w:b w:val="0"/>
          <w:bCs w:val="0"/>
          <w:sz w:val="28"/>
          <w:szCs w:val="28"/>
        </w:rPr>
        <w:t>。</w:t>
      </w:r>
    </w:p>
    <w:p>
      <w:pPr>
        <w:pStyle w:val="16"/>
        <w:keepNext w:val="0"/>
        <w:keepLines w:val="0"/>
        <w:pageBreakBefore w:val="0"/>
        <w:widowControl w:val="0"/>
        <w:kinsoku/>
        <w:wordWrap/>
        <w:overflowPunct/>
        <w:topLinePunct w:val="0"/>
        <w:autoSpaceDE/>
        <w:autoSpaceDN/>
        <w:bidi w:val="0"/>
        <w:adjustRightInd/>
        <w:snapToGrid/>
        <w:spacing w:before="120" w:after="0" w:line="600" w:lineRule="exact"/>
        <w:ind w:firstLine="618"/>
        <w:jc w:val="left"/>
        <w:textAlignment w:val="auto"/>
        <w:rPr>
          <w:rFonts w:hint="eastAsia"/>
          <w:b/>
          <w:bCs/>
          <w:lang w:val="en-US" w:eastAsia="zh-CN"/>
        </w:rPr>
      </w:pPr>
      <w:r>
        <w:rPr>
          <w:rFonts w:hint="eastAsia"/>
          <w:b/>
          <w:bCs/>
          <w:lang w:val="en-US" w:eastAsia="zh-CN"/>
        </w:rPr>
        <w:t>八</w:t>
      </w:r>
      <w:bookmarkEnd w:id="14"/>
      <w:r>
        <w:rPr>
          <w:rFonts w:hint="eastAsia"/>
          <w:b/>
          <w:bCs/>
          <w:lang w:val="en-US" w:eastAsia="zh-CN"/>
        </w:rPr>
        <w:t>、政府性基金预算支出情况说明</w:t>
      </w:r>
    </w:p>
    <w:p>
      <w:pPr>
        <w:pStyle w:val="18"/>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hint="eastAsia" w:eastAsia="宋体"/>
          <w:sz w:val="28"/>
          <w:szCs w:val="28"/>
          <w:lang w:eastAsia="zh-CN"/>
        </w:rPr>
      </w:pPr>
      <w:r>
        <w:rPr>
          <w:rFonts w:hint="eastAsia"/>
          <w:sz w:val="28"/>
          <w:szCs w:val="28"/>
        </w:rPr>
        <w:t>我部门</w:t>
      </w:r>
      <w:r>
        <w:rPr>
          <w:rFonts w:hint="eastAsia"/>
          <w:b w:val="0"/>
          <w:bCs w:val="0"/>
          <w:sz w:val="28"/>
          <w:szCs w:val="28"/>
          <w:lang w:eastAsia="zh-CN"/>
        </w:rPr>
        <w:t>2024</w:t>
      </w:r>
      <w:r>
        <w:rPr>
          <w:rFonts w:hint="eastAsia"/>
          <w:sz w:val="28"/>
          <w:szCs w:val="28"/>
        </w:rPr>
        <w:t>年政府性基金预算支出共</w:t>
      </w:r>
      <w:r>
        <w:rPr>
          <w:rFonts w:hint="eastAsia"/>
          <w:b w:val="0"/>
          <w:bCs w:val="0"/>
          <w:sz w:val="28"/>
          <w:szCs w:val="28"/>
          <w:lang w:eastAsia="zh-CN"/>
        </w:rPr>
        <w:t>0.93</w:t>
      </w:r>
      <w:r>
        <w:rPr>
          <w:rFonts w:hint="eastAsia"/>
          <w:sz w:val="28"/>
          <w:szCs w:val="28"/>
        </w:rPr>
        <w:t>万元，较2023年度预算数</w:t>
      </w:r>
      <w:r>
        <w:rPr>
          <w:rFonts w:hint="eastAsia"/>
          <w:b w:val="0"/>
          <w:bCs w:val="0"/>
          <w:sz w:val="28"/>
          <w:szCs w:val="28"/>
          <w:lang w:eastAsia="zh-CN"/>
        </w:rPr>
        <w:t>0.00</w:t>
      </w:r>
      <w:r>
        <w:rPr>
          <w:rFonts w:hint="eastAsia"/>
          <w:sz w:val="28"/>
          <w:szCs w:val="28"/>
        </w:rPr>
        <w:t>万元，</w:t>
      </w:r>
      <w:r>
        <w:rPr>
          <w:rFonts w:hint="eastAsia"/>
          <w:b w:val="0"/>
          <w:bCs w:val="0"/>
          <w:sz w:val="28"/>
          <w:szCs w:val="28"/>
          <w:lang w:eastAsia="zh-CN"/>
        </w:rPr>
        <w:t>增加0.93</w:t>
      </w:r>
      <w:r>
        <w:rPr>
          <w:rFonts w:hint="eastAsia"/>
          <w:sz w:val="28"/>
          <w:szCs w:val="28"/>
        </w:rPr>
        <w:t>万元，</w:t>
      </w:r>
      <w:r>
        <w:rPr>
          <w:rFonts w:hint="eastAsia"/>
          <w:b w:val="0"/>
          <w:bCs w:val="0"/>
          <w:sz w:val="28"/>
          <w:szCs w:val="28"/>
          <w:lang w:eastAsia="zh-CN"/>
        </w:rPr>
        <w:t>增长100%</w:t>
      </w:r>
      <w:r>
        <w:rPr>
          <w:rFonts w:hint="eastAsia"/>
          <w:sz w:val="28"/>
          <w:szCs w:val="28"/>
        </w:rPr>
        <w:t>，主要原因是</w:t>
      </w:r>
      <w:r>
        <w:rPr>
          <w:rFonts w:hint="eastAsia"/>
          <w:sz w:val="28"/>
          <w:szCs w:val="28"/>
          <w:highlight w:val="none"/>
          <w:lang w:val="en-US" w:eastAsia="zh-CN"/>
        </w:rPr>
        <w:t>政府性基金预算支出是上级部门对学校拨款的债务专项经费，用于解决学校债务问题，给相关供应商付款，保证学校项目正常运转，维护学校声誉，提升学生和教师的幸福感</w:t>
      </w:r>
      <w:r>
        <w:rPr>
          <w:rFonts w:hint="eastAsia"/>
          <w:sz w:val="28"/>
          <w:szCs w:val="28"/>
        </w:rPr>
        <w:t>。</w:t>
      </w:r>
    </w:p>
    <w:p>
      <w:pPr>
        <w:pStyle w:val="16"/>
        <w:keepNext w:val="0"/>
        <w:keepLines w:val="0"/>
        <w:pageBreakBefore w:val="0"/>
        <w:widowControl w:val="0"/>
        <w:kinsoku/>
        <w:wordWrap/>
        <w:overflowPunct/>
        <w:topLinePunct w:val="0"/>
        <w:autoSpaceDE/>
        <w:autoSpaceDN/>
        <w:bidi w:val="0"/>
        <w:adjustRightInd/>
        <w:snapToGrid/>
        <w:spacing w:before="120" w:after="0" w:line="600" w:lineRule="exact"/>
        <w:ind w:firstLine="618"/>
        <w:jc w:val="left"/>
        <w:textAlignment w:val="auto"/>
        <w:rPr>
          <w:rFonts w:hint="eastAsia"/>
          <w:b/>
          <w:bCs/>
          <w:lang w:val="en-US" w:eastAsia="zh-CN"/>
        </w:rPr>
      </w:pPr>
      <w:bookmarkStart w:id="15" w:name="bookmark91"/>
      <w:r>
        <w:rPr>
          <w:rFonts w:hint="eastAsia"/>
          <w:b/>
          <w:bCs/>
          <w:lang w:val="en-US" w:eastAsia="zh-CN"/>
        </w:rPr>
        <w:t>九</w:t>
      </w:r>
      <w:bookmarkEnd w:id="15"/>
      <w:r>
        <w:rPr>
          <w:rFonts w:hint="eastAsia"/>
          <w:b/>
          <w:bCs/>
          <w:lang w:val="en-US" w:eastAsia="zh-CN"/>
        </w:rPr>
        <w:t>、国有资本经营预算支出情况说明</w:t>
      </w:r>
    </w:p>
    <w:p>
      <w:pPr>
        <w:pStyle w:val="18"/>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hint="eastAsia" w:eastAsia="宋体"/>
          <w:sz w:val="28"/>
          <w:szCs w:val="28"/>
          <w:lang w:eastAsia="zh-CN"/>
        </w:rPr>
      </w:pPr>
      <w:r>
        <w:rPr>
          <w:rFonts w:hint="eastAsia"/>
          <w:sz w:val="28"/>
          <w:szCs w:val="28"/>
        </w:rPr>
        <w:t>我部门</w:t>
      </w:r>
      <w:r>
        <w:rPr>
          <w:rFonts w:hint="eastAsia"/>
          <w:sz w:val="28"/>
          <w:szCs w:val="28"/>
          <w:lang w:eastAsia="zh-CN"/>
        </w:rPr>
        <w:t>2024</w:t>
      </w:r>
      <w:r>
        <w:rPr>
          <w:rFonts w:hint="eastAsia"/>
          <w:sz w:val="28"/>
          <w:szCs w:val="28"/>
        </w:rPr>
        <w:t>年国有资本经营预算支出共</w:t>
      </w:r>
      <w:r>
        <w:rPr>
          <w:rFonts w:hint="eastAsia"/>
          <w:sz w:val="28"/>
          <w:szCs w:val="28"/>
          <w:lang w:eastAsia="zh-CN"/>
        </w:rPr>
        <w:t>0.00</w:t>
      </w:r>
      <w:r>
        <w:rPr>
          <w:rFonts w:hint="eastAsia"/>
          <w:sz w:val="28"/>
          <w:szCs w:val="28"/>
        </w:rPr>
        <w:t>万元，较2023年度预算数</w:t>
      </w:r>
      <w:r>
        <w:rPr>
          <w:rFonts w:hint="eastAsia"/>
          <w:sz w:val="28"/>
          <w:szCs w:val="28"/>
          <w:lang w:eastAsia="zh-CN"/>
        </w:rPr>
        <w:t>0.00</w:t>
      </w:r>
      <w:r>
        <w:rPr>
          <w:rFonts w:hint="eastAsia"/>
          <w:sz w:val="28"/>
          <w:szCs w:val="28"/>
        </w:rPr>
        <w:t>万元，</w:t>
      </w:r>
      <w:r>
        <w:rPr>
          <w:rFonts w:hint="eastAsia"/>
          <w:sz w:val="28"/>
          <w:szCs w:val="28"/>
          <w:lang w:eastAsia="zh-CN"/>
        </w:rPr>
        <w:t>增加0.00</w:t>
      </w:r>
      <w:r>
        <w:rPr>
          <w:rFonts w:hint="eastAsia"/>
          <w:sz w:val="28"/>
          <w:szCs w:val="28"/>
        </w:rPr>
        <w:t>万元，</w:t>
      </w:r>
      <w:r>
        <w:rPr>
          <w:rFonts w:hint="eastAsia"/>
          <w:sz w:val="28"/>
          <w:szCs w:val="28"/>
          <w:lang w:eastAsia="zh-CN"/>
        </w:rPr>
        <w:t>增长0%</w:t>
      </w:r>
      <w:r>
        <w:rPr>
          <w:rFonts w:hint="eastAsia"/>
          <w:sz w:val="28"/>
          <w:szCs w:val="28"/>
        </w:rPr>
        <w:t>，主要原因是</w:t>
      </w:r>
      <w:r>
        <w:rPr>
          <w:rFonts w:hint="eastAsia"/>
          <w:sz w:val="28"/>
          <w:szCs w:val="28"/>
          <w:lang w:val="en-US" w:eastAsia="zh-CN"/>
        </w:rPr>
        <w:t>我部门无2024年国有资本经营预算支出</w:t>
      </w:r>
      <w:r>
        <w:rPr>
          <w:rFonts w:hint="eastAsia"/>
          <w:sz w:val="28"/>
          <w:szCs w:val="28"/>
        </w:rPr>
        <w:t>。</w:t>
      </w:r>
    </w:p>
    <w:p>
      <w:pPr>
        <w:pStyle w:val="16"/>
        <w:keepNext w:val="0"/>
        <w:keepLines w:val="0"/>
        <w:pageBreakBefore w:val="0"/>
        <w:widowControl w:val="0"/>
        <w:tabs>
          <w:tab w:val="left" w:pos="1235"/>
        </w:tabs>
        <w:kinsoku/>
        <w:wordWrap/>
        <w:overflowPunct/>
        <w:topLinePunct w:val="0"/>
        <w:autoSpaceDE/>
        <w:autoSpaceDN/>
        <w:bidi w:val="0"/>
        <w:adjustRightInd/>
        <w:snapToGrid/>
        <w:spacing w:before="120" w:after="0" w:line="600" w:lineRule="exact"/>
        <w:ind w:firstLine="578"/>
        <w:jc w:val="left"/>
        <w:textAlignment w:val="auto"/>
        <w:rPr>
          <w:b/>
          <w:bCs/>
        </w:rPr>
      </w:pPr>
      <w:r>
        <w:rPr>
          <w:b/>
          <w:bCs/>
        </w:rPr>
        <w:t>十、其他重要事项</w:t>
      </w:r>
      <w:r>
        <w:rPr>
          <w:rFonts w:hint="eastAsia"/>
          <w:b/>
          <w:bCs/>
          <w:lang w:val="en-US" w:eastAsia="zh-CN"/>
        </w:rPr>
        <w:t>情况</w:t>
      </w:r>
      <w:r>
        <w:rPr>
          <w:b/>
          <w:bCs/>
        </w:rPr>
        <w:t>说明</w:t>
      </w:r>
    </w:p>
    <w:p>
      <w:pPr>
        <w:pStyle w:val="18"/>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（一）事业单位相关运行经费安排情况说明：本部门相关运行经费安排主要用于维护学校正常运转的办公经费、印刷费，水电费、日常零星维修费、一般设备购置费等。</w:t>
      </w:r>
    </w:p>
    <w:p>
      <w:pPr>
        <w:pStyle w:val="18"/>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2024</w:t>
      </w:r>
      <w:r>
        <w:rPr>
          <w:rFonts w:ascii="宋体" w:hAnsi="宋体" w:eastAsia="宋体" w:cs="宋体"/>
          <w:sz w:val="28"/>
          <w:u w:color="auto"/>
        </w:rPr>
        <w:t>年本部门机关运行经费预算</w:t>
      </w:r>
      <w:r>
        <w:rPr>
          <w:rFonts w:hint="eastAsia" w:ascii="宋体" w:hAnsi="宋体" w:eastAsia="宋体" w:cs="宋体"/>
          <w:sz w:val="28"/>
          <w:szCs w:val="28"/>
          <w:lang w:val="en-US" w:eastAsia="zh-CN"/>
        </w:rPr>
        <w:t>5.52</w:t>
      </w:r>
      <w:r>
        <w:rPr>
          <w:rFonts w:hint="eastAsia" w:ascii="宋体" w:hAnsi="宋体" w:eastAsia="宋体" w:cs="宋体"/>
          <w:sz w:val="28"/>
          <w:szCs w:val="28"/>
          <w:lang w:eastAsia="zh-CN"/>
        </w:rPr>
        <w:t>万元，较2023年度预算数</w:t>
      </w:r>
      <w:r>
        <w:rPr>
          <w:rFonts w:hint="eastAsia" w:ascii="宋体" w:hAnsi="宋体" w:eastAsia="宋体" w:cs="宋体"/>
          <w:sz w:val="28"/>
          <w:szCs w:val="28"/>
          <w:lang w:val="en-US" w:eastAsia="zh-CN"/>
        </w:rPr>
        <w:t>6.86</w:t>
      </w:r>
      <w:r>
        <w:rPr>
          <w:rFonts w:hint="eastAsia" w:ascii="宋体" w:hAnsi="宋体" w:eastAsia="宋体" w:cs="宋体"/>
          <w:sz w:val="28"/>
          <w:szCs w:val="28"/>
          <w:lang w:eastAsia="zh-CN"/>
        </w:rPr>
        <w:t>万元，</w:t>
      </w:r>
      <w:r>
        <w:rPr>
          <w:rFonts w:hint="eastAsia" w:ascii="宋体" w:hAnsi="宋体" w:eastAsia="宋体" w:cs="宋体"/>
          <w:sz w:val="28"/>
          <w:szCs w:val="28"/>
          <w:lang w:val="en-US" w:eastAsia="zh-CN"/>
        </w:rPr>
        <w:t>减少1.34</w:t>
      </w:r>
      <w:r>
        <w:rPr>
          <w:rFonts w:hint="eastAsia" w:ascii="宋体" w:hAnsi="宋体" w:eastAsia="宋体" w:cs="宋体"/>
          <w:sz w:val="28"/>
          <w:szCs w:val="28"/>
          <w:lang w:eastAsia="zh-CN"/>
        </w:rPr>
        <w:t>万元，</w:t>
      </w:r>
      <w:r>
        <w:rPr>
          <w:rFonts w:hint="eastAsia" w:ascii="宋体" w:hAnsi="宋体" w:eastAsia="宋体" w:cs="宋体"/>
          <w:sz w:val="28"/>
          <w:szCs w:val="28"/>
          <w:lang w:val="en-US" w:eastAsia="zh-CN"/>
        </w:rPr>
        <w:t>下降19.53%</w:t>
      </w:r>
      <w:r>
        <w:rPr>
          <w:rFonts w:hint="eastAsia" w:ascii="宋体" w:hAnsi="宋体" w:eastAsia="宋体" w:cs="宋体"/>
          <w:sz w:val="28"/>
          <w:szCs w:val="28"/>
          <w:lang w:eastAsia="zh-CN"/>
        </w:rPr>
        <w:t>，主要原因是：</w:t>
      </w:r>
      <w:r>
        <w:rPr>
          <w:rFonts w:hint="eastAsia" w:ascii="宋体" w:hAnsi="宋体" w:eastAsia="宋体" w:cs="宋体"/>
          <w:sz w:val="28"/>
          <w:szCs w:val="28"/>
          <w:lang w:val="en-US" w:eastAsia="zh-CN"/>
        </w:rPr>
        <w:t>学校在职教师的减少，结合历年开支情况，本着节约的精神，学校办公费、水电费、培训费、差旅费、会议费等费用也应该相应下调</w:t>
      </w:r>
      <w:r>
        <w:rPr>
          <w:rFonts w:hint="eastAsia" w:ascii="宋体" w:hAnsi="宋体" w:eastAsia="宋体" w:cs="宋体"/>
          <w:sz w:val="28"/>
          <w:szCs w:val="28"/>
          <w:lang w:eastAsia="zh-CN"/>
        </w:rPr>
        <w:t>。</w:t>
      </w:r>
    </w:p>
    <w:p>
      <w:pPr>
        <w:pStyle w:val="18"/>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（二）政府采购预算安排情况说明</w:t>
      </w:r>
    </w:p>
    <w:p>
      <w:pPr>
        <w:pStyle w:val="18"/>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eastAsia="zh-CN"/>
        </w:rPr>
        <w:t>我部门2024年政府采购预算总金额</w:t>
      </w:r>
      <w:r>
        <w:rPr>
          <w:rFonts w:hint="eastAsia" w:ascii="宋体" w:hAnsi="宋体" w:eastAsia="宋体" w:cs="宋体"/>
          <w:sz w:val="28"/>
          <w:szCs w:val="28"/>
          <w:lang w:val="en-US" w:eastAsia="zh-CN"/>
        </w:rPr>
        <w:t>200</w:t>
      </w:r>
      <w:r>
        <w:rPr>
          <w:rFonts w:hint="eastAsia" w:ascii="宋体" w:hAnsi="宋体" w:eastAsia="宋体" w:cs="宋体"/>
          <w:sz w:val="28"/>
          <w:szCs w:val="28"/>
          <w:lang w:eastAsia="zh-CN"/>
        </w:rPr>
        <w:t>万元。其中：货物类采购</w:t>
      </w:r>
      <w:r>
        <w:rPr>
          <w:rFonts w:hint="eastAsia" w:ascii="宋体" w:hAnsi="宋体" w:eastAsia="宋体" w:cs="宋体"/>
          <w:sz w:val="28"/>
          <w:szCs w:val="28"/>
          <w:lang w:val="en-US" w:eastAsia="zh-CN"/>
        </w:rPr>
        <w:t>200</w:t>
      </w:r>
      <w:r>
        <w:rPr>
          <w:rFonts w:hint="eastAsia" w:ascii="宋体" w:hAnsi="宋体" w:eastAsia="宋体" w:cs="宋体"/>
          <w:sz w:val="28"/>
          <w:szCs w:val="28"/>
          <w:lang w:eastAsia="zh-CN"/>
        </w:rPr>
        <w:t>万元、工程类采购</w:t>
      </w:r>
      <w:r>
        <w:rPr>
          <w:rFonts w:hint="eastAsia" w:ascii="宋体" w:hAnsi="宋体" w:eastAsia="宋体" w:cs="宋体"/>
          <w:sz w:val="28"/>
          <w:szCs w:val="28"/>
          <w:lang w:val="en-US" w:eastAsia="zh-CN"/>
        </w:rPr>
        <w:t>0</w:t>
      </w:r>
      <w:r>
        <w:rPr>
          <w:rFonts w:hint="eastAsia" w:ascii="宋体" w:hAnsi="宋体" w:eastAsia="宋体" w:cs="宋体"/>
          <w:sz w:val="28"/>
          <w:szCs w:val="28"/>
          <w:lang w:eastAsia="zh-CN"/>
        </w:rPr>
        <w:t>万元、服务类采购</w:t>
      </w:r>
      <w:r>
        <w:rPr>
          <w:rFonts w:hint="eastAsia" w:ascii="宋体" w:hAnsi="宋体" w:eastAsia="宋体" w:cs="宋体"/>
          <w:sz w:val="28"/>
          <w:szCs w:val="28"/>
          <w:lang w:val="en-US" w:eastAsia="zh-CN"/>
        </w:rPr>
        <w:t>0</w:t>
      </w:r>
      <w:r>
        <w:rPr>
          <w:rFonts w:hint="eastAsia" w:ascii="宋体" w:hAnsi="宋体" w:eastAsia="宋体" w:cs="宋体"/>
          <w:sz w:val="28"/>
          <w:szCs w:val="28"/>
          <w:lang w:eastAsia="zh-CN"/>
        </w:rPr>
        <w:t>万元。</w:t>
      </w:r>
      <w:r>
        <w:rPr>
          <w:rFonts w:hint="eastAsia" w:ascii="宋体" w:hAnsi="宋体" w:eastAsia="宋体" w:cs="宋体"/>
          <w:sz w:val="28"/>
          <w:szCs w:val="28"/>
          <w:lang w:val="en-US" w:eastAsia="zh-CN"/>
        </w:rPr>
        <w:t>主要用于：中等职业学校购买教学设备，提升现代教育质量。</w:t>
      </w:r>
    </w:p>
    <w:p>
      <w:pPr>
        <w:pStyle w:val="18"/>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（三）国有资产占用情况说明</w:t>
      </w:r>
    </w:p>
    <w:p>
      <w:pPr>
        <w:pStyle w:val="18"/>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截至2023年12月31日，本部门共有车辆</w:t>
      </w:r>
      <w:r>
        <w:rPr>
          <w:rFonts w:hint="eastAsia"/>
          <w:sz w:val="28"/>
          <w:szCs w:val="28"/>
          <w:highlight w:val="none"/>
          <w:lang w:val="en-US" w:eastAsia="zh-CN"/>
        </w:rPr>
        <w:t>0</w:t>
      </w:r>
      <w:r>
        <w:rPr>
          <w:rFonts w:hint="eastAsia" w:ascii="宋体" w:hAnsi="宋体" w:eastAsia="宋体" w:cs="宋体"/>
          <w:sz w:val="28"/>
          <w:szCs w:val="28"/>
          <w:lang w:eastAsia="zh-CN"/>
        </w:rPr>
        <w:t>辆，其中，应急机要通信用车</w:t>
      </w:r>
      <w:r>
        <w:rPr>
          <w:rFonts w:hint="eastAsia"/>
          <w:sz w:val="28"/>
          <w:szCs w:val="28"/>
          <w:highlight w:val="none"/>
          <w:lang w:val="en-US" w:eastAsia="zh-CN"/>
        </w:rPr>
        <w:t>0</w:t>
      </w:r>
      <w:r>
        <w:rPr>
          <w:rFonts w:hint="eastAsia" w:ascii="宋体" w:hAnsi="宋体" w:eastAsia="宋体" w:cs="宋体"/>
          <w:sz w:val="28"/>
          <w:szCs w:val="28"/>
          <w:lang w:eastAsia="zh-CN"/>
        </w:rPr>
        <w:t>辆、一般执法执勤用车</w:t>
      </w:r>
      <w:r>
        <w:rPr>
          <w:rFonts w:hint="eastAsia"/>
          <w:sz w:val="28"/>
          <w:szCs w:val="28"/>
          <w:highlight w:val="none"/>
          <w:lang w:val="en-US" w:eastAsia="zh-CN"/>
        </w:rPr>
        <w:t>0</w:t>
      </w:r>
      <w:r>
        <w:rPr>
          <w:rFonts w:hint="eastAsia" w:ascii="宋体" w:hAnsi="宋体" w:eastAsia="宋体" w:cs="宋体"/>
          <w:sz w:val="28"/>
          <w:szCs w:val="28"/>
          <w:lang w:eastAsia="zh-CN"/>
        </w:rPr>
        <w:t>辆、特种专业技术用车</w:t>
      </w:r>
      <w:r>
        <w:rPr>
          <w:rFonts w:hint="eastAsia"/>
          <w:sz w:val="28"/>
          <w:szCs w:val="28"/>
          <w:highlight w:val="none"/>
          <w:lang w:val="en-US" w:eastAsia="zh-CN"/>
        </w:rPr>
        <w:t>0</w:t>
      </w:r>
      <w:r>
        <w:rPr>
          <w:rFonts w:hint="eastAsia" w:ascii="宋体" w:hAnsi="宋体" w:eastAsia="宋体" w:cs="宋体"/>
          <w:sz w:val="28"/>
          <w:szCs w:val="28"/>
          <w:lang w:eastAsia="zh-CN"/>
        </w:rPr>
        <w:t>辆、其他用车</w:t>
      </w:r>
      <w:r>
        <w:rPr>
          <w:rFonts w:hint="eastAsia"/>
          <w:sz w:val="28"/>
          <w:szCs w:val="28"/>
          <w:highlight w:val="none"/>
          <w:lang w:val="en-US" w:eastAsia="zh-CN"/>
        </w:rPr>
        <w:t>0</w:t>
      </w:r>
      <w:r>
        <w:rPr>
          <w:rFonts w:hint="eastAsia" w:ascii="宋体" w:hAnsi="宋体" w:eastAsia="宋体" w:cs="宋体"/>
          <w:sz w:val="28"/>
          <w:szCs w:val="28"/>
          <w:lang w:eastAsia="zh-CN"/>
        </w:rPr>
        <w:t>辆，单位价值200万元以上大型设备</w:t>
      </w:r>
      <w:r>
        <w:rPr>
          <w:rFonts w:hint="eastAsia"/>
          <w:sz w:val="28"/>
          <w:szCs w:val="28"/>
          <w:highlight w:val="none"/>
          <w:lang w:val="en-US" w:eastAsia="zh-CN"/>
        </w:rPr>
        <w:t>0</w:t>
      </w:r>
      <w:r>
        <w:rPr>
          <w:rFonts w:hint="eastAsia" w:ascii="宋体" w:hAnsi="宋体" w:eastAsia="宋体" w:cs="宋体"/>
          <w:sz w:val="28"/>
          <w:szCs w:val="28"/>
          <w:lang w:eastAsia="zh-CN"/>
        </w:rPr>
        <w:t>台（套）。</w:t>
      </w:r>
    </w:p>
    <w:p>
      <w:pPr>
        <w:pStyle w:val="18"/>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（四）预算绩效目标情况说明</w:t>
      </w:r>
    </w:p>
    <w:p>
      <w:pPr>
        <w:pStyle w:val="18"/>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1.我部门2024年所有项目支出全面实施绩效目标管理，涉及项目</w:t>
      </w:r>
      <w:r>
        <w:rPr>
          <w:rFonts w:hint="eastAsia"/>
          <w:sz w:val="28"/>
          <w:szCs w:val="28"/>
          <w:highlight w:val="none"/>
          <w:lang w:val="en-US" w:eastAsia="zh-CN"/>
        </w:rPr>
        <w:t>5</w:t>
      </w:r>
      <w:r>
        <w:rPr>
          <w:rFonts w:hint="eastAsia" w:ascii="宋体" w:hAnsi="宋体" w:eastAsia="宋体" w:cs="宋体"/>
          <w:sz w:val="28"/>
          <w:szCs w:val="28"/>
          <w:lang w:eastAsia="zh-CN"/>
        </w:rPr>
        <w:t>个，预算资金</w:t>
      </w:r>
      <w:r>
        <w:rPr>
          <w:rFonts w:hint="eastAsia"/>
          <w:sz w:val="28"/>
          <w:szCs w:val="28"/>
          <w:highlight w:val="none"/>
          <w:lang w:val="en-US" w:eastAsia="zh-CN"/>
        </w:rPr>
        <w:t>24.5</w:t>
      </w:r>
      <w:r>
        <w:rPr>
          <w:rFonts w:hint="eastAsia" w:ascii="宋体" w:hAnsi="宋体" w:eastAsia="宋体" w:cs="宋体"/>
          <w:sz w:val="28"/>
          <w:szCs w:val="28"/>
          <w:lang w:eastAsia="zh-CN"/>
        </w:rPr>
        <w:t>万元。绩效目标情况详见报表（日常运转类项目、工资类人员经费项目和涉密项目等除外）。</w:t>
      </w:r>
    </w:p>
    <w:p>
      <w:pPr>
        <w:pStyle w:val="18"/>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2.重点项目预算绩效目标说明。</w:t>
      </w:r>
    </w:p>
    <w:p>
      <w:pPr>
        <w:pStyle w:val="18"/>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hint="eastAsia"/>
          <w:sz w:val="28"/>
          <w:szCs w:val="28"/>
          <w:highlight w:val="none"/>
          <w:lang w:val="en-US" w:eastAsia="zh-CN"/>
        </w:rPr>
      </w:pPr>
      <w:r>
        <w:rPr>
          <w:rFonts w:hint="eastAsia"/>
          <w:sz w:val="28"/>
          <w:szCs w:val="28"/>
          <w:highlight w:val="none"/>
          <w:lang w:val="en-US" w:eastAsia="zh-CN"/>
        </w:rPr>
        <w:t>1、重点项目一：项目名称：中等职业学校免学费上级补助资金，预算资金1.24万元。2024年度绩效目标为：巩固脱贫攻坚成果，确保教育资助落实到位，减轻学生家庭经济负担，确保顺利完成职业教育，为就业夯实基础，实现家庭经济的稳步增长。设置1条数量指标：学生人数=551人；设置1条质量指标：项目完成率定性为合规；设置1条时效指标：及时发放=2学期；设置1条成本指标：项目成本≤1.24元；设置1条社会效益指标：减轻学生家庭负担定性为效果明显；设置1条可持续影响指标：可持续影响定性为效果明显；设置1条满意度指标：问卷调查满意度≥98%。</w:t>
      </w:r>
    </w:p>
    <w:p>
      <w:pPr>
        <w:pStyle w:val="18"/>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hint="eastAsia"/>
          <w:sz w:val="28"/>
          <w:szCs w:val="28"/>
          <w:highlight w:val="none"/>
          <w:lang w:val="en-US" w:eastAsia="zh-CN"/>
        </w:rPr>
      </w:pPr>
      <w:r>
        <w:rPr>
          <w:rFonts w:hint="eastAsia"/>
          <w:sz w:val="28"/>
          <w:szCs w:val="28"/>
          <w:highlight w:val="none"/>
          <w:lang w:val="en-US" w:eastAsia="zh-CN"/>
        </w:rPr>
        <w:t>2、重点项目二：项目名称：现代职业教育质量提升计划经费，预算资金13.13万元。2024年度绩效目标为：提升现代职业教育质量，改善教学环境和教学条件。设置1条数量指标：总指标=1所；设置1条质量指标：项目完成率定性为合规；设置1条时效指标：及时安排资金=1年；设置1条成本指标：项目成本≤13.13万元；设置1条社会效益指标：减轻学生家庭负担定性为效果明显；设置1条可持续影响指标：保障学校正常运转定性为效果明显；设置1条满意度指标：问卷调查满意度≥98%。</w:t>
      </w:r>
    </w:p>
    <w:p>
      <w:pPr>
        <w:pStyle w:val="18"/>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hint="eastAsia"/>
          <w:sz w:val="28"/>
          <w:szCs w:val="28"/>
          <w:highlight w:val="none"/>
          <w:lang w:val="en-US" w:eastAsia="zh-CN"/>
        </w:rPr>
      </w:pPr>
      <w:r>
        <w:rPr>
          <w:rFonts w:hint="eastAsia"/>
          <w:sz w:val="28"/>
          <w:szCs w:val="28"/>
          <w:highlight w:val="none"/>
          <w:lang w:val="en-US" w:eastAsia="zh-CN"/>
        </w:rPr>
        <w:t>3、重点项目三：项目名称：中等职业教育国家助学金中央补助资金，预算资金7.94万元。2024年度绩效目标为：减轻学生家庭经济负担，改善生活条件。设置1条数量指标：学生人数=383人；设置1条质量指标：补助资金的合规性定性为合规；设置1条时效指标：按学期发放=2学期；设置1条成本指标：国家助学金补助总成本≤7.94万元；设置1条社会效益指标：提高生活水平定性为效果明显；设置1条可持续影响指标：为学生提供长期保障定性为效果明显；设置1条满意度指标：学生及家长满意度≥98%。</w:t>
      </w:r>
    </w:p>
    <w:p>
      <w:pPr>
        <w:pStyle w:val="18"/>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hint="eastAsia"/>
          <w:sz w:val="28"/>
          <w:szCs w:val="28"/>
          <w:highlight w:val="none"/>
          <w:lang w:val="en-US" w:eastAsia="zh-CN"/>
        </w:rPr>
      </w:pPr>
      <w:r>
        <w:rPr>
          <w:rFonts w:hint="eastAsia"/>
          <w:sz w:val="28"/>
          <w:szCs w:val="28"/>
          <w:highlight w:val="none"/>
          <w:lang w:val="en-US" w:eastAsia="zh-CN"/>
        </w:rPr>
        <w:t>4、重点项目四：项目名称：债务专项经费，预算资金0.93万元。2024年度绩效目标为：通过债务专项经费，解决学校债务问题，给相关供应商付款，保证学校正常运转。设置1条数量指标：债务数量=3个；设置1条质量指标：质量合规性定性为合规；设置1条时效指标：及时支付定性为效果明显；设置1条成本指标：项目总成本≤0.93万元；设置1条社会效益指标：提高社会知名度定性为效果明显；设置1条可持续影响指标：学校长期发展定性为效果明显；设置1条满意度指标：提高师生满意度≥98%。</w:t>
      </w:r>
    </w:p>
    <w:p>
      <w:pPr>
        <w:pStyle w:val="18"/>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hint="eastAsia"/>
          <w:sz w:val="28"/>
          <w:szCs w:val="28"/>
          <w:highlight w:val="none"/>
          <w:lang w:val="en-US" w:eastAsia="zh-CN"/>
        </w:rPr>
      </w:pPr>
      <w:r>
        <w:rPr>
          <w:rFonts w:hint="eastAsia"/>
          <w:sz w:val="28"/>
          <w:szCs w:val="28"/>
          <w:highlight w:val="none"/>
          <w:lang w:val="en-US" w:eastAsia="zh-CN"/>
        </w:rPr>
        <w:t>5、重点项目五：项目名称：中等职业教育国家助学金自治区补助资金，预算资金1.26万元。2024年度绩效目标为：减轻学生家庭负担，改善教学生活条件。设置1条数量指标：学生人数=383人；设置1条质量指标：资金支出合规性定性为合规；设置1条时效指标：按学期发放=2学期；设置1条成本指标：项目成本≤1.26万元；设置1条社会效益指标：提高社会效益定性为效果明显；设置1条可持续影响指标：可持续影响定性为效果明显；设置1条满意度指标：问卷调查满意度≥98%。</w:t>
      </w:r>
    </w:p>
    <w:p>
      <w:pPr>
        <w:pStyle w:val="18"/>
        <w:spacing w:line="624" w:lineRule="exact"/>
        <w:ind w:firstLine="600"/>
        <w:jc w:val="left"/>
        <w:rPr>
          <w:rFonts w:hint="eastAsia"/>
          <w:sz w:val="28"/>
          <w:szCs w:val="28"/>
          <w:highlight w:val="none"/>
          <w:lang w:val="en-US" w:eastAsia="zh-CN"/>
        </w:rPr>
      </w:pPr>
    </w:p>
    <w:p>
      <w:pPr>
        <w:pStyle w:val="18"/>
        <w:spacing w:line="624" w:lineRule="exact"/>
        <w:jc w:val="left"/>
        <w:rPr>
          <w:rFonts w:hint="default"/>
          <w:sz w:val="28"/>
          <w:szCs w:val="28"/>
          <w:highlight w:val="none"/>
          <w:lang w:val="en-US" w:eastAsia="zh-CN"/>
        </w:rPr>
        <w:sectPr>
          <w:headerReference r:id="rId4" w:type="default"/>
          <w:footerReference r:id="rId5" w:type="default"/>
          <w:pgSz w:w="11900" w:h="16840"/>
          <w:pgMar w:top="1440" w:right="1800" w:bottom="1440" w:left="1800" w:header="0" w:footer="1077" w:gutter="0"/>
          <w:pgBorders>
            <w:top w:val="none" w:sz="0" w:space="0"/>
            <w:left w:val="none" w:sz="0" w:space="0"/>
            <w:bottom w:val="none" w:sz="0" w:space="0"/>
            <w:right w:val="none" w:sz="0" w:space="0"/>
          </w:pgBorders>
          <w:pgNumType w:fmt="decimal"/>
          <w:cols w:space="720" w:num="1"/>
          <w:docGrid w:linePitch="360" w:charSpace="0"/>
        </w:sectPr>
      </w:pPr>
    </w:p>
    <w:bookmarkEnd w:id="10"/>
    <w:bookmarkEnd w:id="11"/>
    <w:bookmarkEnd w:id="12"/>
    <w:p>
      <w:pPr>
        <w:pStyle w:val="12"/>
        <w:keepNext/>
        <w:keepLines/>
        <w:spacing w:after="980"/>
        <w:jc w:val="center"/>
        <w:rPr>
          <w:rFonts w:hint="eastAsia" w:ascii="宋体" w:hAnsi="宋体" w:eastAsia="宋体" w:cs="宋体"/>
          <w:b/>
          <w:bCs/>
          <w:sz w:val="36"/>
          <w:szCs w:val="36"/>
        </w:rPr>
      </w:pPr>
      <w:r>
        <w:rPr>
          <w:rFonts w:hint="eastAsia" w:ascii="宋体" w:hAnsi="宋体" w:eastAsia="宋体" w:cs="宋体"/>
          <w:b/>
          <w:bCs/>
          <w:sz w:val="36"/>
          <w:szCs w:val="36"/>
        </w:rPr>
        <w:t>第</w:t>
      </w:r>
      <w:r>
        <w:rPr>
          <w:rFonts w:hint="eastAsia" w:ascii="宋体" w:hAnsi="宋体" w:eastAsia="宋体" w:cs="宋体"/>
          <w:b/>
          <w:bCs/>
          <w:sz w:val="36"/>
          <w:szCs w:val="36"/>
          <w:lang w:val="en-US" w:eastAsia="zh-CN"/>
        </w:rPr>
        <w:t>三</w:t>
      </w:r>
      <w:r>
        <w:rPr>
          <w:rFonts w:hint="eastAsia" w:ascii="宋体" w:hAnsi="宋体" w:eastAsia="宋体" w:cs="宋体"/>
          <w:b/>
          <w:bCs/>
          <w:sz w:val="36"/>
          <w:szCs w:val="36"/>
        </w:rPr>
        <w:t>部分</w:t>
      </w:r>
      <w:r>
        <w:rPr>
          <w:rFonts w:hint="eastAsia" w:ascii="宋体" w:hAnsi="宋体" w:eastAsia="宋体" w:cs="宋体"/>
          <w:b/>
          <w:bCs/>
          <w:sz w:val="36"/>
          <w:szCs w:val="36"/>
          <w:lang w:eastAsia="zh-CN"/>
        </w:rPr>
        <w:t>环江毛南族自治县职业技术学校</w:t>
      </w:r>
      <w:r>
        <w:rPr>
          <w:rFonts w:ascii="宋体" w:hAnsi="宋体" w:eastAsia="宋体" w:cs="宋体"/>
          <w:b/>
          <w:sz w:val="36"/>
          <w:u w:color="auto"/>
        </w:rPr>
        <w:t>2024年</w:t>
      </w:r>
      <w:r>
        <w:rPr>
          <w:rFonts w:hint="eastAsia" w:ascii="宋体" w:hAnsi="宋体" w:eastAsia="宋体" w:cs="宋体"/>
          <w:b/>
          <w:bCs/>
          <w:sz w:val="36"/>
          <w:szCs w:val="36"/>
        </w:rPr>
        <w:t>部门预算表</w:t>
      </w:r>
    </w:p>
    <w:p>
      <w:pPr>
        <w:pStyle w:val="22"/>
        <w:keepNext/>
        <w:keepLines/>
        <w:spacing w:after="240"/>
        <w:jc w:val="center"/>
      </w:pPr>
      <w:bookmarkStart w:id="16" w:name="bookmark31"/>
      <w:bookmarkStart w:id="17" w:name="bookmark30"/>
      <w:bookmarkStart w:id="18" w:name="bookmark29"/>
      <w:r>
        <w:t>收支总体情况表</w:t>
      </w:r>
      <w:bookmarkEnd w:id="16"/>
      <w:bookmarkEnd w:id="17"/>
      <w:bookmarkEnd w:id="18"/>
    </w:p>
    <w:tbl>
      <w:tblPr>
        <w:tblStyle w:val="4"/>
        <w:tblW w:w="0" w:type="auto"/>
        <w:tblInd w:w="0" w:type="dxa"/>
        <w:tblLayout w:type="fixed"/>
        <w:tblCellMar>
          <w:top w:w="0" w:type="dxa"/>
          <w:left w:w="10" w:type="dxa"/>
          <w:bottom w:w="0" w:type="dxa"/>
          <w:right w:w="10" w:type="dxa"/>
        </w:tblCellMar>
      </w:tblPr>
      <w:tblGrid>
        <w:gridCol w:w="3339"/>
        <w:gridCol w:w="3760"/>
        <w:gridCol w:w="3542"/>
        <w:gridCol w:w="3571"/>
      </w:tblGrid>
      <w:tr>
        <w:tblPrEx>
          <w:tblCellMar>
            <w:top w:w="0" w:type="dxa"/>
            <w:left w:w="10" w:type="dxa"/>
            <w:bottom w:w="0" w:type="dxa"/>
            <w:right w:w="10" w:type="dxa"/>
          </w:tblCellMar>
        </w:tblPrEx>
        <w:trPr>
          <w:trHeight w:val="331" w:hRule="exact"/>
        </w:trPr>
        <w:tc>
          <w:tcPr>
            <w:tcW w:w="10641" w:type="dxa"/>
            <w:gridSpan w:val="3"/>
            <w:tcBorders>
              <w:bottom w:val="single" w:color="auto" w:sz="4" w:space="0"/>
            </w:tcBorders>
            <w:shd w:val="clear" w:color="auto" w:fill="FFFFFF"/>
          </w:tcPr>
          <w:p>
            <w:pPr>
              <w:pStyle w:val="24"/>
              <w:spacing w:line="240" w:lineRule="auto"/>
              <w:ind w:firstLine="0"/>
              <w:jc w:val="left"/>
              <w:rPr>
                <w:sz w:val="17"/>
                <w:szCs w:val="17"/>
              </w:rPr>
            </w:pPr>
            <w:r>
              <w:rPr>
                <w:sz w:val="17"/>
                <w:szCs w:val="17"/>
              </w:rPr>
              <w:t>单位名称：</w:t>
            </w:r>
            <w:r>
              <w:rPr>
                <w:rFonts w:hint="eastAsia"/>
                <w:sz w:val="17"/>
                <w:szCs w:val="17"/>
                <w:lang w:eastAsia="zh-CN"/>
              </w:rPr>
              <w:t>环江毛南族自治县职业技术学校</w:t>
            </w:r>
          </w:p>
        </w:tc>
        <w:tc>
          <w:tcPr>
            <w:tcW w:w="3571" w:type="dxa"/>
            <w:tcBorders>
              <w:bottom w:val="single" w:color="auto" w:sz="4" w:space="0"/>
            </w:tcBorders>
            <w:shd w:val="clear" w:color="auto" w:fill="FFFFFF"/>
          </w:tcPr>
          <w:p>
            <w:pPr>
              <w:pStyle w:val="24"/>
              <w:spacing w:line="240" w:lineRule="auto"/>
              <w:ind w:firstLine="2380" w:firstLineChars="1400"/>
              <w:jc w:val="left"/>
              <w:rPr>
                <w:sz w:val="17"/>
                <w:szCs w:val="17"/>
              </w:rPr>
            </w:pPr>
            <w:r>
              <w:rPr>
                <w:sz w:val="17"/>
                <w:szCs w:val="17"/>
              </w:rPr>
              <w:t>单位：万元</w:t>
            </w:r>
          </w:p>
        </w:tc>
      </w:tr>
      <w:tr>
        <w:tblPrEx>
          <w:tblCellMar>
            <w:top w:w="0" w:type="dxa"/>
            <w:left w:w="10" w:type="dxa"/>
            <w:bottom w:w="0" w:type="dxa"/>
            <w:right w:w="10" w:type="dxa"/>
          </w:tblCellMar>
        </w:tblPrEx>
        <w:trPr>
          <w:trHeight w:val="456" w:hRule="exact"/>
        </w:trPr>
        <w:tc>
          <w:tcPr>
            <w:tcW w:w="70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2890" w:firstLineChars="1700"/>
              <w:jc w:val="both"/>
              <w:rPr>
                <w:sz w:val="17"/>
                <w:szCs w:val="17"/>
              </w:rPr>
            </w:pPr>
            <w:r>
              <w:rPr>
                <w:sz w:val="17"/>
                <w:szCs w:val="17"/>
              </w:rPr>
              <w:t>收入</w:t>
            </w:r>
          </w:p>
        </w:tc>
        <w:tc>
          <w:tcPr>
            <w:tcW w:w="71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right="340" w:firstLine="2890" w:firstLineChars="1700"/>
              <w:jc w:val="both"/>
              <w:rPr>
                <w:sz w:val="17"/>
                <w:szCs w:val="17"/>
              </w:rPr>
            </w:pPr>
            <w:r>
              <w:rPr>
                <w:sz w:val="17"/>
                <w:szCs w:val="17"/>
              </w:rPr>
              <w:t>支出</w:t>
            </w:r>
          </w:p>
        </w:tc>
      </w:tr>
      <w:tr>
        <w:tblPrEx>
          <w:tblCellMar>
            <w:top w:w="0" w:type="dxa"/>
            <w:left w:w="10" w:type="dxa"/>
            <w:bottom w:w="0" w:type="dxa"/>
            <w:right w:w="10" w:type="dxa"/>
          </w:tblCellMar>
        </w:tblPrEx>
        <w:trPr>
          <w:trHeight w:val="432"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sz w:val="17"/>
                <w:szCs w:val="17"/>
              </w:rPr>
            </w:pPr>
            <w:r>
              <w:rPr>
                <w:sz w:val="17"/>
                <w:szCs w:val="17"/>
              </w:rPr>
              <w:t>项目</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sz w:val="17"/>
                <w:szCs w:val="17"/>
              </w:rPr>
            </w:pPr>
            <w:r>
              <w:rPr>
                <w:sz w:val="17"/>
                <w:szCs w:val="17"/>
              </w:rPr>
              <w:t>预算数</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tabs>
                <w:tab w:val="left" w:pos="894"/>
              </w:tabs>
              <w:spacing w:line="240" w:lineRule="auto"/>
              <w:jc w:val="left"/>
              <w:rPr>
                <w:sz w:val="17"/>
                <w:szCs w:val="17"/>
              </w:rPr>
            </w:pPr>
            <w:r>
              <w:rPr>
                <w:sz w:val="17"/>
                <w:szCs w:val="17"/>
              </w:rPr>
              <w:t>项</w:t>
            </w:r>
            <w:r>
              <w:rPr>
                <w:sz w:val="17"/>
                <w:szCs w:val="17"/>
              </w:rPr>
              <w:tab/>
            </w:r>
            <w:r>
              <w:rPr>
                <w:sz w:val="17"/>
                <w:szCs w:val="17"/>
              </w:rPr>
              <w:t>目（按支出功能科目分类）</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sz w:val="17"/>
                <w:szCs w:val="17"/>
              </w:rPr>
            </w:pPr>
            <w:r>
              <w:rPr>
                <w:sz w:val="17"/>
                <w:szCs w:val="17"/>
              </w:rPr>
              <w:t>预算数</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一、一般公共预算拨款</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428.67</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一、一般公共服务支出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5.52</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 xml:space="preserve">     1、上级补助</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140.00</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二、外交支出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 xml:space="preserve">     2、本级</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288.67</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三、国防支出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二、政府性基金预算拨款</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四、公共安全支出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 xml:space="preserve">     1、上级补助</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五、教育支出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397.82</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 xml:space="preserve">     2、本级</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六、科学技术支出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三、国有资本经营预算拨款</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七、文化旅游体育与传媒支出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1、上级补助</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八、社会保障和就业支出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44.13</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2、本级</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九、卫生健康支出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四、财政专户管理资金收入</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32.00</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十、节能环保支出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五、事业收入</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十一、城乡社区支出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0.93</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六、事业单位经营收入</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十二、农林水支出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七、上级补助收入</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十三、交通运输支出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八、附属单位上缴收入</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十四、资源勘探工业信息等支出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九、其他收入</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十五、商业服务业等支出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十六、金融支出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十七、援助其他地区支出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十八、自然资源海洋气象等支出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十九、住房保障支出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36.76</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二十、粮油物资储备支出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二十一、国有资本经营预算支出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二十二、灾害防治及应急管理支出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二十三、其他支出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二十四、债务还本支出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二十五、债务付息支出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二十六、债务发行费用支出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本年收入合计</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460.67</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本年支出合计</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485.15</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上年结转结余</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24.49</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结转下年支出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收入总计</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485.15</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支出总计</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485.15</w:t>
            </w:r>
          </w:p>
        </w:tc>
      </w:tr>
    </w:tbl>
    <w:p>
      <w:pPr>
        <w:pStyle w:val="26"/>
        <w:ind w:left="101"/>
        <w:jc w:val="left"/>
      </w:pPr>
      <w:r>
        <w:t>注：报表金额单位转换时可能存在四舍五入尾数误差。</w:t>
      </w:r>
    </w:p>
    <w:p>
      <w:pPr>
        <w:tabs>
          <w:tab w:val="left" w:pos="859"/>
        </w:tabs>
        <w:jc w:val="left"/>
        <w:rPr>
          <w:rFonts w:eastAsia="宋体"/>
          <w:lang w:eastAsia="zh-CN"/>
        </w:rPr>
      </w:pPr>
    </w:p>
    <w:p>
      <w:pPr>
        <w:tabs>
          <w:tab w:val="left" w:pos="859"/>
        </w:tabs>
        <w:jc w:val="left"/>
        <w:rPr>
          <w:rFonts w:eastAsia="宋体"/>
          <w:lang w:eastAsia="zh-CN"/>
        </w:rPr>
      </w:pPr>
    </w:p>
    <w:p>
      <w:pPr>
        <w:tabs>
          <w:tab w:val="left" w:pos="859"/>
        </w:tabs>
        <w:jc w:val="left"/>
        <w:rPr>
          <w:rFonts w:eastAsia="宋体"/>
          <w:lang w:eastAsia="zh-CN"/>
        </w:rPr>
      </w:pPr>
    </w:p>
    <w:p>
      <w:pPr>
        <w:tabs>
          <w:tab w:val="left" w:pos="859"/>
        </w:tabs>
        <w:jc w:val="left"/>
        <w:rPr>
          <w:rFonts w:eastAsia="宋体"/>
          <w:lang w:eastAsia="zh-CN"/>
        </w:rPr>
        <w:sectPr>
          <w:headerReference r:id="rId6" w:type="default"/>
          <w:footerReference r:id="rId7" w:type="default"/>
          <w:pgSz w:w="16840" w:h="11900" w:orient="landscape"/>
          <w:pgMar w:top="2397" w:right="761" w:bottom="1966" w:left="739" w:header="0" w:footer="1474" w:gutter="0"/>
          <w:pgBorders>
            <w:top w:val="none" w:sz="0" w:space="0"/>
            <w:left w:val="none" w:sz="0" w:space="0"/>
            <w:bottom w:val="none" w:sz="0" w:space="0"/>
            <w:right w:val="none" w:sz="0" w:space="0"/>
          </w:pgBorders>
          <w:pgNumType w:fmt="decimal"/>
          <w:cols w:space="720" w:num="1"/>
          <w:docGrid w:linePitch="360" w:charSpace="0"/>
        </w:sectPr>
      </w:pPr>
    </w:p>
    <w:p>
      <w:pPr>
        <w:tabs>
          <w:tab w:val="left" w:pos="859"/>
        </w:tabs>
        <w:jc w:val="left"/>
        <w:rPr>
          <w:rFonts w:eastAsia="宋体"/>
          <w:lang w:eastAsia="zh-CN"/>
        </w:rPr>
      </w:pPr>
    </w:p>
    <w:p>
      <w:pPr>
        <w:tabs>
          <w:tab w:val="left" w:pos="859"/>
        </w:tabs>
        <w:jc w:val="center"/>
        <w:rPr>
          <w:rFonts w:hint="eastAsia" w:eastAsia="宋体"/>
          <w:lang w:val="en-US" w:eastAsia="zh-CN"/>
        </w:rPr>
      </w:pPr>
    </w:p>
    <w:p>
      <w:pPr>
        <w:tabs>
          <w:tab w:val="left" w:pos="859"/>
        </w:tabs>
        <w:jc w:val="center"/>
        <w:rPr>
          <w:rFonts w:hint="eastAsia" w:eastAsia="宋体"/>
          <w:lang w:val="en-US" w:eastAsia="zh-CN"/>
        </w:rPr>
      </w:pPr>
      <w:r>
        <w:rPr>
          <w:rFonts w:hint="eastAsia" w:eastAsia="宋体"/>
          <w:lang w:val="en-US" w:eastAsia="zh-CN"/>
        </w:rPr>
        <w:t>收入总体情况表</w:t>
      </w:r>
    </w:p>
    <w:p>
      <w:pPr>
        <w:tabs>
          <w:tab w:val="left" w:pos="859"/>
        </w:tabs>
        <w:jc w:val="center"/>
        <w:rPr>
          <w:rFonts w:hint="eastAsia" w:eastAsia="宋体"/>
          <w:lang w:val="en-US" w:eastAsia="zh-CN"/>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6"/>
        <w:gridCol w:w="1279"/>
        <w:gridCol w:w="990"/>
        <w:gridCol w:w="926"/>
        <w:gridCol w:w="909"/>
        <w:gridCol w:w="1161"/>
        <w:gridCol w:w="1031"/>
        <w:gridCol w:w="844"/>
        <w:gridCol w:w="856"/>
        <w:gridCol w:w="1035"/>
        <w:gridCol w:w="1011"/>
        <w:gridCol w:w="859"/>
        <w:gridCol w:w="944"/>
        <w:gridCol w:w="150"/>
        <w:gridCol w:w="872"/>
        <w:gridCol w:w="10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3481" w:type="dxa"/>
            <w:gridSpan w:val="13"/>
            <w:tcBorders>
              <w:top w:val="nil"/>
              <w:left w:val="nil"/>
              <w:right w:val="nil"/>
            </w:tcBorders>
          </w:tcPr>
          <w:p>
            <w:pPr>
              <w:pStyle w:val="26"/>
              <w:jc w:val="both"/>
              <w:rPr>
                <w:rFonts w:hint="eastAsia"/>
                <w:lang w:val="en-US" w:eastAsia="zh-CN"/>
              </w:rPr>
            </w:pPr>
            <w:r>
              <w:rPr>
                <w:sz w:val="17"/>
                <w:szCs w:val="17"/>
              </w:rPr>
              <w:t>单位名称：</w:t>
            </w:r>
            <w:r>
              <w:rPr>
                <w:rFonts w:hint="eastAsia"/>
                <w:sz w:val="17"/>
                <w:szCs w:val="17"/>
                <w:lang w:eastAsia="zh-CN"/>
              </w:rPr>
              <w:t>环江毛南族自治县职业技术学校</w:t>
            </w:r>
            <w:r>
              <w:rPr>
                <w:rFonts w:hint="eastAsia"/>
                <w:lang w:val="en-US" w:eastAsia="zh-CN"/>
              </w:rPr>
              <w:t xml:space="preserve">                                                                                  </w:t>
            </w:r>
          </w:p>
        </w:tc>
        <w:tc>
          <w:tcPr>
            <w:tcW w:w="2076" w:type="dxa"/>
            <w:gridSpan w:val="3"/>
            <w:tcBorders>
              <w:top w:val="nil"/>
              <w:left w:val="nil"/>
              <w:right w:val="nil"/>
            </w:tcBorders>
          </w:tcPr>
          <w:p>
            <w:pPr>
              <w:pStyle w:val="26"/>
              <w:ind w:firstLine="340" w:firstLineChars="200"/>
              <w:jc w:val="left"/>
              <w:rPr>
                <w:rFonts w:hint="eastAsia"/>
                <w:lang w:val="en-US" w:eastAsia="zh-CN"/>
              </w:rPr>
            </w:pPr>
            <w:r>
              <w:rPr>
                <w:sz w:val="17"/>
                <w:szCs w:val="17"/>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6" w:type="dxa"/>
            <w:vMerge w:val="restart"/>
          </w:tcPr>
          <w:p>
            <w:pPr>
              <w:tabs>
                <w:tab w:val="left" w:pos="859"/>
              </w:tabs>
              <w:jc w:val="both"/>
              <w:rPr>
                <w:rFonts w:hint="eastAsia" w:eastAsia="宋体"/>
                <w:vertAlign w:val="baseline"/>
                <w:lang w:val="en-US" w:eastAsia="zh-CN"/>
              </w:rPr>
            </w:pPr>
            <w:r>
              <w:rPr>
                <w:sz w:val="17"/>
                <w:szCs w:val="17"/>
              </w:rPr>
              <w:t>部门（单位）代码</w:t>
            </w:r>
          </w:p>
        </w:tc>
        <w:tc>
          <w:tcPr>
            <w:tcW w:w="1279" w:type="dxa"/>
            <w:vMerge w:val="restart"/>
          </w:tcPr>
          <w:p>
            <w:pPr>
              <w:tabs>
                <w:tab w:val="left" w:pos="859"/>
              </w:tabs>
              <w:jc w:val="both"/>
              <w:rPr>
                <w:rFonts w:hint="eastAsia" w:eastAsia="宋体"/>
                <w:vertAlign w:val="baseline"/>
                <w:lang w:val="en-US" w:eastAsia="zh-CN"/>
              </w:rPr>
            </w:pPr>
            <w:r>
              <w:rPr>
                <w:sz w:val="17"/>
                <w:szCs w:val="17"/>
              </w:rPr>
              <w:t>部门（单位）名称</w:t>
            </w:r>
          </w:p>
        </w:tc>
        <w:tc>
          <w:tcPr>
            <w:tcW w:w="990" w:type="dxa"/>
            <w:vMerge w:val="restart"/>
          </w:tcPr>
          <w:p>
            <w:pPr>
              <w:pStyle w:val="24"/>
              <w:spacing w:line="240" w:lineRule="auto"/>
              <w:ind w:firstLine="300" w:firstLineChars="0"/>
              <w:jc w:val="left"/>
              <w:rPr>
                <w:rFonts w:hint="eastAsia" w:eastAsia="宋体"/>
                <w:vertAlign w:val="baseline"/>
                <w:lang w:val="en-US" w:eastAsia="zh-CN"/>
              </w:rPr>
            </w:pPr>
            <w:r>
              <w:rPr>
                <w:rFonts w:hint="eastAsia"/>
                <w:sz w:val="17"/>
                <w:szCs w:val="17"/>
                <w:lang w:val="en-US" w:eastAsia="zh-CN"/>
              </w:rPr>
              <w:t>合</w:t>
            </w:r>
            <w:r>
              <w:rPr>
                <w:sz w:val="17"/>
                <w:szCs w:val="17"/>
              </w:rPr>
              <w:t>计</w:t>
            </w:r>
          </w:p>
        </w:tc>
        <w:tc>
          <w:tcPr>
            <w:tcW w:w="4871" w:type="dxa"/>
            <w:gridSpan w:val="5"/>
          </w:tcPr>
          <w:p>
            <w:pPr>
              <w:tabs>
                <w:tab w:val="left" w:pos="859"/>
              </w:tabs>
              <w:jc w:val="both"/>
              <w:rPr>
                <w:rFonts w:hint="eastAsia" w:eastAsia="宋体"/>
                <w:vertAlign w:val="baseline"/>
                <w:lang w:val="en-US" w:eastAsia="zh-CN"/>
              </w:rPr>
            </w:pPr>
            <w:r>
              <w:rPr>
                <w:sz w:val="17"/>
                <w:szCs w:val="17"/>
              </w:rPr>
              <w:t>本年收入</w:t>
            </w:r>
          </w:p>
        </w:tc>
        <w:tc>
          <w:tcPr>
            <w:tcW w:w="6781" w:type="dxa"/>
            <w:gridSpan w:val="8"/>
          </w:tcPr>
          <w:p>
            <w:pPr>
              <w:tabs>
                <w:tab w:val="left" w:pos="859"/>
              </w:tabs>
              <w:jc w:val="both"/>
              <w:rPr>
                <w:rFonts w:hint="eastAsia" w:eastAsia="宋体"/>
                <w:vertAlign w:val="baseline"/>
                <w:lang w:val="en-US" w:eastAsia="zh-CN"/>
              </w:rPr>
            </w:pPr>
            <w:r>
              <w:rPr>
                <w:sz w:val="17"/>
                <w:szCs w:val="17"/>
              </w:rPr>
              <w:t>上年结转结余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trPr>
        <w:tc>
          <w:tcPr>
            <w:tcW w:w="1636" w:type="dxa"/>
            <w:vMerge w:val="continue"/>
          </w:tcPr>
          <w:p>
            <w:pPr>
              <w:tabs>
                <w:tab w:val="left" w:pos="859"/>
              </w:tabs>
              <w:jc w:val="both"/>
              <w:rPr>
                <w:rFonts w:hint="eastAsia" w:eastAsia="宋体"/>
                <w:vertAlign w:val="baseline"/>
                <w:lang w:val="en-US" w:eastAsia="zh-CN"/>
              </w:rPr>
            </w:pPr>
          </w:p>
        </w:tc>
        <w:tc>
          <w:tcPr>
            <w:tcW w:w="1279" w:type="dxa"/>
            <w:vMerge w:val="continue"/>
          </w:tcPr>
          <w:p>
            <w:pPr>
              <w:tabs>
                <w:tab w:val="left" w:pos="859"/>
              </w:tabs>
              <w:jc w:val="both"/>
              <w:rPr>
                <w:rFonts w:hint="eastAsia" w:eastAsia="宋体"/>
                <w:vertAlign w:val="baseline"/>
                <w:lang w:val="en-US" w:eastAsia="zh-CN"/>
              </w:rPr>
            </w:pPr>
          </w:p>
        </w:tc>
        <w:tc>
          <w:tcPr>
            <w:tcW w:w="990" w:type="dxa"/>
            <w:vMerge w:val="continue"/>
            <w:vAlign w:val="center"/>
          </w:tcPr>
          <w:p>
            <w:pPr>
              <w:pStyle w:val="24"/>
              <w:spacing w:line="240" w:lineRule="auto"/>
              <w:ind w:firstLine="300" w:firstLineChars="0"/>
              <w:jc w:val="left"/>
              <w:rPr>
                <w:rFonts w:hint="eastAsia" w:eastAsia="宋体"/>
                <w:vertAlign w:val="baseline"/>
                <w:lang w:val="en-US" w:eastAsia="zh-CN"/>
              </w:rPr>
            </w:pPr>
          </w:p>
        </w:tc>
        <w:tc>
          <w:tcPr>
            <w:tcW w:w="926" w:type="dxa"/>
            <w:vAlign w:val="center"/>
          </w:tcPr>
          <w:p>
            <w:pPr>
              <w:pStyle w:val="24"/>
              <w:spacing w:line="240" w:lineRule="auto"/>
              <w:ind w:firstLine="300" w:firstLineChars="0"/>
              <w:jc w:val="left"/>
              <w:rPr>
                <w:rFonts w:hint="eastAsia" w:eastAsia="宋体"/>
                <w:vertAlign w:val="baseline"/>
                <w:lang w:val="en-US" w:eastAsia="zh-CN"/>
              </w:rPr>
            </w:pPr>
            <w:r>
              <w:rPr>
                <w:sz w:val="17"/>
                <w:szCs w:val="17"/>
              </w:rPr>
              <w:t>小计</w:t>
            </w:r>
          </w:p>
        </w:tc>
        <w:tc>
          <w:tcPr>
            <w:tcW w:w="909" w:type="dxa"/>
            <w:vAlign w:val="center"/>
          </w:tcPr>
          <w:p>
            <w:pPr>
              <w:pStyle w:val="24"/>
              <w:spacing w:line="317" w:lineRule="exact"/>
              <w:ind w:firstLine="0" w:firstLineChars="0"/>
              <w:jc w:val="left"/>
              <w:rPr>
                <w:rFonts w:hint="eastAsia" w:eastAsia="宋体"/>
                <w:vertAlign w:val="baseline"/>
                <w:lang w:val="en-US" w:eastAsia="zh-CN"/>
              </w:rPr>
            </w:pPr>
            <w:r>
              <w:rPr>
                <w:sz w:val="17"/>
                <w:szCs w:val="17"/>
              </w:rPr>
              <w:t>一般公共预算</w:t>
            </w:r>
          </w:p>
        </w:tc>
        <w:tc>
          <w:tcPr>
            <w:tcW w:w="1161" w:type="dxa"/>
            <w:vAlign w:val="center"/>
          </w:tcPr>
          <w:p>
            <w:pPr>
              <w:pStyle w:val="24"/>
              <w:spacing w:line="317" w:lineRule="exact"/>
              <w:ind w:firstLine="0" w:firstLineChars="0"/>
              <w:jc w:val="left"/>
              <w:rPr>
                <w:rFonts w:hint="eastAsia" w:eastAsia="宋体"/>
                <w:vertAlign w:val="baseline"/>
                <w:lang w:val="en-US" w:eastAsia="zh-CN"/>
              </w:rPr>
            </w:pPr>
            <w:r>
              <w:rPr>
                <w:sz w:val="17"/>
                <w:szCs w:val="17"/>
              </w:rPr>
              <w:t>政府性基金预算</w:t>
            </w:r>
          </w:p>
        </w:tc>
        <w:tc>
          <w:tcPr>
            <w:tcW w:w="1031" w:type="dxa"/>
            <w:vAlign w:val="center"/>
          </w:tcPr>
          <w:p>
            <w:pPr>
              <w:pStyle w:val="24"/>
              <w:spacing w:line="317" w:lineRule="exact"/>
              <w:ind w:firstLine="0" w:firstLineChars="0"/>
              <w:jc w:val="left"/>
              <w:rPr>
                <w:rFonts w:hint="eastAsia" w:eastAsia="宋体"/>
                <w:vertAlign w:val="baseline"/>
                <w:lang w:val="en-US" w:eastAsia="zh-CN"/>
              </w:rPr>
            </w:pPr>
            <w:r>
              <w:rPr>
                <w:sz w:val="17"/>
                <w:szCs w:val="17"/>
              </w:rPr>
              <w:t>国有资本经营预算</w:t>
            </w:r>
          </w:p>
        </w:tc>
        <w:tc>
          <w:tcPr>
            <w:tcW w:w="844" w:type="dxa"/>
          </w:tcPr>
          <w:p>
            <w:pPr>
              <w:pStyle w:val="24"/>
              <w:spacing w:line="312" w:lineRule="exact"/>
              <w:ind w:firstLine="0"/>
              <w:jc w:val="left"/>
              <w:rPr>
                <w:sz w:val="17"/>
                <w:szCs w:val="17"/>
              </w:rPr>
            </w:pPr>
            <w:r>
              <w:rPr>
                <w:sz w:val="17"/>
                <w:szCs w:val="17"/>
              </w:rPr>
              <w:t>财政专户管理资金</w:t>
            </w:r>
          </w:p>
          <w:p>
            <w:pPr>
              <w:pStyle w:val="24"/>
              <w:spacing w:line="312" w:lineRule="exact"/>
              <w:ind w:firstLine="0" w:firstLineChars="0"/>
              <w:jc w:val="left"/>
              <w:rPr>
                <w:rFonts w:hint="eastAsia" w:eastAsia="宋体"/>
                <w:vertAlign w:val="baseline"/>
                <w:lang w:val="en-US" w:eastAsia="zh-CN"/>
              </w:rPr>
            </w:pPr>
            <w:r>
              <w:rPr>
                <w:sz w:val="17"/>
                <w:szCs w:val="17"/>
              </w:rPr>
              <w:t>收入</w:t>
            </w:r>
          </w:p>
        </w:tc>
        <w:tc>
          <w:tcPr>
            <w:tcW w:w="856" w:type="dxa"/>
            <w:vAlign w:val="center"/>
          </w:tcPr>
          <w:p>
            <w:pPr>
              <w:pStyle w:val="24"/>
              <w:spacing w:line="240" w:lineRule="auto"/>
              <w:ind w:firstLine="0" w:firstLineChars="0"/>
              <w:jc w:val="left"/>
              <w:rPr>
                <w:rFonts w:hint="eastAsia" w:eastAsia="宋体"/>
                <w:vertAlign w:val="baseline"/>
                <w:lang w:val="en-US" w:eastAsia="zh-CN"/>
              </w:rPr>
            </w:pPr>
            <w:r>
              <w:rPr>
                <w:sz w:val="17"/>
                <w:szCs w:val="17"/>
              </w:rPr>
              <w:t>单位资金</w:t>
            </w:r>
          </w:p>
        </w:tc>
        <w:tc>
          <w:tcPr>
            <w:tcW w:w="1035" w:type="dxa"/>
            <w:vAlign w:val="center"/>
          </w:tcPr>
          <w:p>
            <w:pPr>
              <w:pStyle w:val="24"/>
              <w:spacing w:line="240" w:lineRule="auto"/>
              <w:ind w:firstLine="300" w:firstLineChars="0"/>
              <w:jc w:val="left"/>
              <w:rPr>
                <w:rFonts w:hint="eastAsia" w:eastAsia="宋体"/>
                <w:vertAlign w:val="baseline"/>
                <w:lang w:val="en-US" w:eastAsia="zh-CN"/>
              </w:rPr>
            </w:pPr>
            <w:r>
              <w:rPr>
                <w:sz w:val="17"/>
                <w:szCs w:val="17"/>
              </w:rPr>
              <w:t>小计</w:t>
            </w:r>
          </w:p>
        </w:tc>
        <w:tc>
          <w:tcPr>
            <w:tcW w:w="1011" w:type="dxa"/>
            <w:vAlign w:val="center"/>
          </w:tcPr>
          <w:p>
            <w:pPr>
              <w:pStyle w:val="24"/>
              <w:spacing w:line="317" w:lineRule="exact"/>
              <w:ind w:firstLine="0" w:firstLineChars="0"/>
              <w:jc w:val="left"/>
              <w:rPr>
                <w:rFonts w:hint="eastAsia" w:eastAsia="宋体"/>
                <w:vertAlign w:val="baseline"/>
                <w:lang w:val="en-US" w:eastAsia="zh-CN"/>
              </w:rPr>
            </w:pPr>
            <w:r>
              <w:rPr>
                <w:sz w:val="17"/>
                <w:szCs w:val="17"/>
              </w:rPr>
              <w:t>一般公共预算</w:t>
            </w:r>
          </w:p>
        </w:tc>
        <w:tc>
          <w:tcPr>
            <w:tcW w:w="859" w:type="dxa"/>
            <w:vAlign w:val="center"/>
          </w:tcPr>
          <w:p>
            <w:pPr>
              <w:pStyle w:val="24"/>
              <w:spacing w:line="317" w:lineRule="exact"/>
              <w:ind w:firstLine="0" w:firstLineChars="0"/>
              <w:jc w:val="left"/>
              <w:rPr>
                <w:rFonts w:hint="eastAsia" w:eastAsia="宋体"/>
                <w:vertAlign w:val="baseline"/>
                <w:lang w:val="en-US" w:eastAsia="zh-CN"/>
              </w:rPr>
            </w:pPr>
            <w:r>
              <w:rPr>
                <w:sz w:val="17"/>
                <w:szCs w:val="17"/>
              </w:rPr>
              <w:t>政府性基金预算</w:t>
            </w:r>
          </w:p>
        </w:tc>
        <w:tc>
          <w:tcPr>
            <w:tcW w:w="1094" w:type="dxa"/>
            <w:gridSpan w:val="2"/>
            <w:vAlign w:val="center"/>
          </w:tcPr>
          <w:p>
            <w:pPr>
              <w:pStyle w:val="24"/>
              <w:spacing w:line="317" w:lineRule="exact"/>
              <w:ind w:firstLine="0" w:firstLineChars="0"/>
              <w:jc w:val="left"/>
              <w:rPr>
                <w:rFonts w:hint="eastAsia" w:eastAsia="宋体"/>
                <w:vertAlign w:val="baseline"/>
                <w:lang w:val="en-US" w:eastAsia="zh-CN"/>
              </w:rPr>
            </w:pPr>
            <w:r>
              <w:rPr>
                <w:sz w:val="17"/>
                <w:szCs w:val="17"/>
              </w:rPr>
              <w:t>国有资本经营预算</w:t>
            </w:r>
          </w:p>
        </w:tc>
        <w:tc>
          <w:tcPr>
            <w:tcW w:w="872" w:type="dxa"/>
          </w:tcPr>
          <w:p>
            <w:pPr>
              <w:pStyle w:val="24"/>
              <w:spacing w:line="312" w:lineRule="exact"/>
              <w:ind w:firstLine="0"/>
              <w:jc w:val="left"/>
              <w:rPr>
                <w:sz w:val="17"/>
                <w:szCs w:val="17"/>
              </w:rPr>
            </w:pPr>
            <w:r>
              <w:rPr>
                <w:sz w:val="17"/>
                <w:szCs w:val="17"/>
              </w:rPr>
              <w:t>财政专户管理资金</w:t>
            </w:r>
          </w:p>
          <w:p>
            <w:pPr>
              <w:pStyle w:val="24"/>
              <w:spacing w:line="312" w:lineRule="exact"/>
              <w:ind w:right="280" w:rightChars="0" w:firstLine="0" w:firstLineChars="0"/>
              <w:jc w:val="left"/>
              <w:rPr>
                <w:rFonts w:hint="eastAsia" w:eastAsia="宋体"/>
                <w:vertAlign w:val="baseline"/>
                <w:lang w:val="en-US" w:eastAsia="zh-CN"/>
              </w:rPr>
            </w:pPr>
            <w:r>
              <w:rPr>
                <w:sz w:val="17"/>
                <w:szCs w:val="17"/>
              </w:rPr>
              <w:t>收入</w:t>
            </w:r>
          </w:p>
        </w:tc>
        <w:tc>
          <w:tcPr>
            <w:tcW w:w="1054" w:type="dxa"/>
            <w:vAlign w:val="center"/>
          </w:tcPr>
          <w:p>
            <w:pPr>
              <w:pStyle w:val="24"/>
              <w:spacing w:line="240" w:lineRule="auto"/>
              <w:ind w:firstLine="140" w:firstLineChars="0"/>
              <w:jc w:val="left"/>
              <w:rPr>
                <w:rFonts w:hint="eastAsia" w:eastAsia="宋体"/>
                <w:vertAlign w:val="baseline"/>
                <w:lang w:val="en-US" w:eastAsia="zh-CN"/>
              </w:rPr>
            </w:pPr>
            <w:r>
              <w:rPr>
                <w:sz w:val="17"/>
                <w:szCs w:val="17"/>
              </w:rPr>
              <w:t>单位资金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6" w:type="dxa"/>
          </w:tcPr>
          <w:p>
            <w:pPr>
              <w:tabs>
                <w:tab w:val="left" w:pos="859"/>
              </w:tabs>
              <w:jc w:val="both"/>
              <w:rPr>
                <w:rFonts w:hint="eastAsia" w:eastAsia="宋体"/>
                <w:vertAlign w:val="baseline"/>
                <w:lang w:val="en-US" w:eastAsia="zh-CN"/>
              </w:rPr>
            </w:pPr>
          </w:p>
        </w:tc>
        <w:tc>
          <w:tcPr>
            <w:tcW w:w="1279" w:type="dxa"/>
          </w:tcPr>
          <w:p>
            <w:pPr>
              <w:tabs>
                <w:tab w:val="left" w:pos="859"/>
              </w:tabs>
              <w:jc w:val="both"/>
              <w:rPr>
                <w:rFonts w:hint="eastAsia" w:eastAsia="宋体"/>
                <w:vertAlign w:val="baseline"/>
                <w:lang w:val="en-US" w:eastAsia="zh-CN"/>
              </w:rPr>
            </w:pPr>
          </w:p>
        </w:tc>
        <w:tc>
          <w:tcPr>
            <w:tcW w:w="990" w:type="dxa"/>
            <w:vAlign w:val="center"/>
          </w:tcPr>
          <w:p>
            <w:pPr>
              <w:pStyle w:val="24"/>
              <w:spacing w:line="240" w:lineRule="auto"/>
              <w:ind w:firstLine="0" w:firstLineChars="0"/>
              <w:jc w:val="left"/>
              <w:rPr>
                <w:rFonts w:hint="eastAsia" w:eastAsia="宋体"/>
                <w:vertAlign w:val="baseline"/>
                <w:lang w:val="en-US" w:eastAsia="zh-CN"/>
              </w:rPr>
            </w:pPr>
            <w:r>
              <w:rPr>
                <w:rFonts w:ascii="Times New Roman" w:hAnsi="Times New Roman" w:eastAsia="Times New Roman" w:cs="Times New Roman"/>
                <w:b/>
                <w:bCs/>
                <w:sz w:val="17"/>
                <w:szCs w:val="17"/>
              </w:rPr>
              <w:t>1</w:t>
            </w:r>
          </w:p>
        </w:tc>
        <w:tc>
          <w:tcPr>
            <w:tcW w:w="926" w:type="dxa"/>
            <w:vAlign w:val="center"/>
          </w:tcPr>
          <w:p>
            <w:pPr>
              <w:pStyle w:val="24"/>
              <w:spacing w:line="240" w:lineRule="auto"/>
              <w:ind w:firstLine="0" w:firstLineChars="0"/>
              <w:jc w:val="left"/>
              <w:rPr>
                <w:rFonts w:hint="eastAsia" w:eastAsia="宋体"/>
                <w:vertAlign w:val="baseline"/>
                <w:lang w:val="en-US" w:eastAsia="zh-CN"/>
              </w:rPr>
            </w:pPr>
            <w:r>
              <w:rPr>
                <w:rFonts w:ascii="Times New Roman" w:hAnsi="Times New Roman" w:eastAsia="Times New Roman" w:cs="Times New Roman"/>
                <w:b/>
                <w:bCs/>
                <w:sz w:val="17"/>
                <w:szCs w:val="17"/>
              </w:rPr>
              <w:t>2</w:t>
            </w:r>
          </w:p>
        </w:tc>
        <w:tc>
          <w:tcPr>
            <w:tcW w:w="909" w:type="dxa"/>
            <w:vAlign w:val="center"/>
          </w:tcPr>
          <w:p>
            <w:pPr>
              <w:pStyle w:val="24"/>
              <w:spacing w:line="240" w:lineRule="auto"/>
              <w:ind w:firstLine="0" w:firstLineChars="0"/>
              <w:jc w:val="left"/>
              <w:rPr>
                <w:rFonts w:hint="eastAsia" w:eastAsia="宋体"/>
                <w:vertAlign w:val="baseline"/>
                <w:lang w:val="en-US" w:eastAsia="zh-CN"/>
              </w:rPr>
            </w:pPr>
            <w:r>
              <w:rPr>
                <w:rFonts w:ascii="Times New Roman" w:hAnsi="Times New Roman" w:eastAsia="Times New Roman" w:cs="Times New Roman"/>
                <w:b/>
                <w:bCs/>
                <w:sz w:val="17"/>
                <w:szCs w:val="17"/>
              </w:rPr>
              <w:t>3</w:t>
            </w:r>
          </w:p>
        </w:tc>
        <w:tc>
          <w:tcPr>
            <w:tcW w:w="1161" w:type="dxa"/>
            <w:vAlign w:val="center"/>
          </w:tcPr>
          <w:p>
            <w:pPr>
              <w:pStyle w:val="24"/>
              <w:spacing w:line="240" w:lineRule="auto"/>
              <w:ind w:firstLine="440" w:firstLineChars="0"/>
              <w:jc w:val="left"/>
              <w:rPr>
                <w:rFonts w:hint="eastAsia" w:eastAsia="宋体"/>
                <w:vertAlign w:val="baseline"/>
                <w:lang w:val="en-US" w:eastAsia="zh-CN"/>
              </w:rPr>
            </w:pPr>
            <w:r>
              <w:rPr>
                <w:rFonts w:ascii="Times New Roman" w:hAnsi="Times New Roman" w:eastAsia="Times New Roman" w:cs="Times New Roman"/>
                <w:b/>
                <w:bCs/>
                <w:sz w:val="17"/>
                <w:szCs w:val="17"/>
              </w:rPr>
              <w:t>4</w:t>
            </w:r>
          </w:p>
        </w:tc>
        <w:tc>
          <w:tcPr>
            <w:tcW w:w="1031" w:type="dxa"/>
            <w:vAlign w:val="center"/>
          </w:tcPr>
          <w:p>
            <w:pPr>
              <w:pStyle w:val="24"/>
              <w:spacing w:line="240" w:lineRule="auto"/>
              <w:ind w:firstLine="420" w:firstLineChars="0"/>
              <w:jc w:val="left"/>
              <w:rPr>
                <w:rFonts w:hint="eastAsia" w:eastAsia="宋体"/>
                <w:vertAlign w:val="baseline"/>
                <w:lang w:val="en-US" w:eastAsia="zh-CN"/>
              </w:rPr>
            </w:pPr>
            <w:r>
              <w:rPr>
                <w:rFonts w:ascii="Times New Roman" w:hAnsi="Times New Roman" w:eastAsia="Times New Roman" w:cs="Times New Roman"/>
                <w:b/>
                <w:bCs/>
                <w:sz w:val="17"/>
                <w:szCs w:val="17"/>
              </w:rPr>
              <w:t>5</w:t>
            </w:r>
          </w:p>
        </w:tc>
        <w:tc>
          <w:tcPr>
            <w:tcW w:w="844" w:type="dxa"/>
            <w:vAlign w:val="center"/>
          </w:tcPr>
          <w:p>
            <w:pPr>
              <w:pStyle w:val="24"/>
              <w:spacing w:line="240" w:lineRule="auto"/>
              <w:ind w:firstLine="420" w:firstLineChars="0"/>
              <w:jc w:val="left"/>
              <w:rPr>
                <w:rFonts w:hint="eastAsia" w:eastAsia="宋体"/>
                <w:vertAlign w:val="baseline"/>
                <w:lang w:val="en-US" w:eastAsia="zh-CN"/>
              </w:rPr>
            </w:pPr>
            <w:r>
              <w:rPr>
                <w:rFonts w:ascii="Times New Roman" w:hAnsi="Times New Roman" w:eastAsia="Times New Roman" w:cs="Times New Roman"/>
                <w:b/>
                <w:bCs/>
                <w:sz w:val="17"/>
                <w:szCs w:val="17"/>
              </w:rPr>
              <w:t>6</w:t>
            </w:r>
          </w:p>
        </w:tc>
        <w:tc>
          <w:tcPr>
            <w:tcW w:w="856" w:type="dxa"/>
            <w:vAlign w:val="center"/>
          </w:tcPr>
          <w:p>
            <w:pPr>
              <w:pStyle w:val="24"/>
              <w:spacing w:line="240" w:lineRule="auto"/>
              <w:ind w:firstLine="440" w:firstLineChars="0"/>
              <w:jc w:val="left"/>
              <w:rPr>
                <w:rFonts w:hint="eastAsia" w:eastAsia="宋体"/>
                <w:vertAlign w:val="baseline"/>
                <w:lang w:val="en-US" w:eastAsia="zh-CN"/>
              </w:rPr>
            </w:pPr>
            <w:r>
              <w:rPr>
                <w:rFonts w:ascii="Times New Roman" w:hAnsi="Times New Roman" w:eastAsia="Times New Roman" w:cs="Times New Roman"/>
                <w:b/>
                <w:bCs/>
                <w:sz w:val="17"/>
                <w:szCs w:val="17"/>
              </w:rPr>
              <w:t>7</w:t>
            </w:r>
          </w:p>
        </w:tc>
        <w:tc>
          <w:tcPr>
            <w:tcW w:w="1035" w:type="dxa"/>
            <w:vAlign w:val="center"/>
          </w:tcPr>
          <w:p>
            <w:pPr>
              <w:pStyle w:val="24"/>
              <w:spacing w:line="240" w:lineRule="auto"/>
              <w:ind w:firstLine="440" w:firstLineChars="0"/>
              <w:jc w:val="left"/>
              <w:rPr>
                <w:rFonts w:hint="eastAsia" w:eastAsia="宋体"/>
                <w:vertAlign w:val="baseline"/>
                <w:lang w:val="en-US" w:eastAsia="zh-CN"/>
              </w:rPr>
            </w:pPr>
            <w:r>
              <w:rPr>
                <w:rFonts w:ascii="Times New Roman" w:hAnsi="Times New Roman" w:eastAsia="Times New Roman" w:cs="Times New Roman"/>
                <w:b/>
                <w:bCs/>
                <w:sz w:val="17"/>
                <w:szCs w:val="17"/>
              </w:rPr>
              <w:t>8</w:t>
            </w:r>
          </w:p>
        </w:tc>
        <w:tc>
          <w:tcPr>
            <w:tcW w:w="1011" w:type="dxa"/>
            <w:vAlign w:val="center"/>
          </w:tcPr>
          <w:p>
            <w:pPr>
              <w:pStyle w:val="24"/>
              <w:spacing w:line="240" w:lineRule="auto"/>
              <w:ind w:firstLine="420" w:firstLineChars="0"/>
              <w:jc w:val="left"/>
              <w:rPr>
                <w:rFonts w:hint="eastAsia" w:eastAsia="宋体"/>
                <w:vertAlign w:val="baseline"/>
                <w:lang w:val="en-US" w:eastAsia="zh-CN"/>
              </w:rPr>
            </w:pPr>
            <w:r>
              <w:rPr>
                <w:rFonts w:ascii="Times New Roman" w:hAnsi="Times New Roman" w:eastAsia="Times New Roman" w:cs="Times New Roman"/>
                <w:b/>
                <w:bCs/>
                <w:sz w:val="17"/>
                <w:szCs w:val="17"/>
              </w:rPr>
              <w:t>9</w:t>
            </w:r>
          </w:p>
        </w:tc>
        <w:tc>
          <w:tcPr>
            <w:tcW w:w="859" w:type="dxa"/>
            <w:vAlign w:val="center"/>
          </w:tcPr>
          <w:p>
            <w:pPr>
              <w:pStyle w:val="24"/>
              <w:spacing w:line="240" w:lineRule="auto"/>
              <w:ind w:right="360" w:rightChars="0" w:firstLine="0" w:firstLineChars="0"/>
              <w:jc w:val="left"/>
              <w:rPr>
                <w:rFonts w:hint="eastAsia" w:eastAsia="宋体"/>
                <w:vertAlign w:val="baseline"/>
                <w:lang w:val="en-US" w:eastAsia="zh-CN"/>
              </w:rPr>
            </w:pPr>
            <w:r>
              <w:rPr>
                <w:rFonts w:ascii="Times New Roman" w:hAnsi="Times New Roman" w:eastAsia="Times New Roman" w:cs="Times New Roman"/>
                <w:b/>
                <w:bCs/>
                <w:sz w:val="17"/>
                <w:szCs w:val="17"/>
              </w:rPr>
              <w:t>10</w:t>
            </w:r>
          </w:p>
        </w:tc>
        <w:tc>
          <w:tcPr>
            <w:tcW w:w="1094" w:type="dxa"/>
            <w:gridSpan w:val="2"/>
            <w:vAlign w:val="center"/>
          </w:tcPr>
          <w:p>
            <w:pPr>
              <w:pStyle w:val="24"/>
              <w:spacing w:line="240" w:lineRule="auto"/>
              <w:ind w:firstLine="440" w:firstLineChars="0"/>
              <w:jc w:val="left"/>
              <w:rPr>
                <w:rFonts w:hint="eastAsia" w:eastAsia="宋体"/>
                <w:vertAlign w:val="baseline"/>
                <w:lang w:val="en-US" w:eastAsia="zh-CN"/>
              </w:rPr>
            </w:pPr>
            <w:r>
              <w:rPr>
                <w:rFonts w:ascii="Times New Roman" w:hAnsi="Times New Roman" w:eastAsia="Times New Roman" w:cs="Times New Roman"/>
                <w:b/>
                <w:bCs/>
                <w:sz w:val="17"/>
                <w:szCs w:val="17"/>
              </w:rPr>
              <w:t>11</w:t>
            </w:r>
          </w:p>
        </w:tc>
        <w:tc>
          <w:tcPr>
            <w:tcW w:w="872" w:type="dxa"/>
            <w:vAlign w:val="center"/>
          </w:tcPr>
          <w:p>
            <w:pPr>
              <w:pStyle w:val="24"/>
              <w:spacing w:line="240" w:lineRule="auto"/>
              <w:ind w:right="380" w:rightChars="0" w:firstLine="0" w:firstLineChars="0"/>
              <w:jc w:val="left"/>
              <w:rPr>
                <w:rFonts w:hint="eastAsia" w:eastAsia="宋体"/>
                <w:vertAlign w:val="baseline"/>
                <w:lang w:val="en-US" w:eastAsia="zh-CN"/>
              </w:rPr>
            </w:pPr>
            <w:r>
              <w:rPr>
                <w:rFonts w:ascii="Times New Roman" w:hAnsi="Times New Roman" w:eastAsia="Times New Roman" w:cs="Times New Roman"/>
                <w:b/>
                <w:bCs/>
                <w:sz w:val="17"/>
                <w:szCs w:val="17"/>
              </w:rPr>
              <w:t>12</w:t>
            </w:r>
          </w:p>
        </w:tc>
        <w:tc>
          <w:tcPr>
            <w:tcW w:w="1054" w:type="dxa"/>
            <w:vAlign w:val="center"/>
          </w:tcPr>
          <w:p>
            <w:pPr>
              <w:pStyle w:val="24"/>
              <w:spacing w:line="240" w:lineRule="auto"/>
              <w:ind w:right="420" w:rightChars="0" w:firstLine="0" w:firstLineChars="0"/>
              <w:jc w:val="left"/>
              <w:rPr>
                <w:rFonts w:hint="eastAsia" w:eastAsia="宋体"/>
                <w:vertAlign w:val="baseline"/>
                <w:lang w:val="en-US" w:eastAsia="zh-CN"/>
              </w:rPr>
            </w:pPr>
            <w:r>
              <w:rPr>
                <w:rFonts w:ascii="Times New Roman" w:hAnsi="Times New Roman" w:eastAsia="Times New Roman" w:cs="Times New Roman"/>
                <w:b/>
                <w:bCs/>
                <w:sz w:val="17"/>
                <w:szCs w:val="17"/>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6" w:type="dxa"/>
            <w:vAlign w:val="center"/>
          </w:tcPr>
          <w:p>
            <w:pPr>
              <w:pStyle w:val="24"/>
              <w:spacing w:line="240" w:lineRule="auto"/>
              <w:ind w:firstLine="0" w:firstLineChars="0"/>
              <w:jc w:val="left"/>
              <w:rPr>
                <w:rFonts w:hint="eastAsia" w:eastAsia="宋体"/>
                <w:vertAlign w:val="baseline"/>
                <w:lang w:val="en-US" w:eastAsia="zh-CN"/>
              </w:rPr>
            </w:pPr>
            <w:r>
              <w:rPr>
                <w:rFonts w:hint="eastAsia" w:ascii="Times New Roman" w:hAnsi="Times New Roman" w:cs="Times New Roman"/>
                <w:b/>
                <w:bCs/>
                <w:sz w:val="17"/>
                <w:szCs w:val="17"/>
                <w:lang w:val="en-US" w:eastAsia="zh-CN"/>
              </w:rPr>
              <w:t xml:space="preserve"> </w:t>
            </w:r>
          </w:p>
        </w:tc>
        <w:tc>
          <w:tcPr>
            <w:tcW w:w="1279" w:type="dxa"/>
          </w:tcPr>
          <w:p>
            <w:pPr>
              <w:pStyle w:val="24"/>
              <w:spacing w:line="326" w:lineRule="exact"/>
              <w:ind w:firstLine="0" w:firstLineChars="0"/>
              <w:jc w:val="left"/>
              <w:rPr>
                <w:rFonts w:hint="eastAsia" w:eastAsia="宋体"/>
                <w:vertAlign w:val="baseline"/>
                <w:lang w:val="en-US" w:eastAsia="zh-CN"/>
              </w:rPr>
            </w:pPr>
            <w:r>
              <w:rPr>
                <w:rFonts w:hint="eastAsia"/>
                <w:sz w:val="17"/>
                <w:szCs w:val="17"/>
                <w:lang w:val="en-US" w:eastAsia="zh-CN"/>
              </w:rPr>
              <w:t>合计</w:t>
            </w:r>
          </w:p>
        </w:tc>
        <w:tc>
          <w:tcPr>
            <w:tcW w:w="990" w:type="dxa"/>
            <w:vAlign w:val="center"/>
          </w:tcPr>
          <w:p>
            <w:pPr>
              <w:pStyle w:val="24"/>
              <w:spacing w:line="240" w:lineRule="auto"/>
              <w:ind w:firstLine="480" w:firstLineChars="0"/>
              <w:jc w:val="left"/>
              <w:rPr>
                <w:rFonts w:hint="eastAsia" w:eastAsia="宋体"/>
                <w:vertAlign w:val="baseline"/>
                <w:lang w:val="en-US" w:eastAsia="zh-CN"/>
              </w:rPr>
            </w:pPr>
            <w:r>
              <w:rPr>
                <w:rFonts w:hint="eastAsia" w:ascii="Times New Roman" w:hAnsi="Times New Roman" w:cs="Times New Roman"/>
                <w:b/>
                <w:bCs/>
                <w:sz w:val="17"/>
                <w:szCs w:val="17"/>
                <w:lang w:val="en-US" w:eastAsia="zh-CN" w:bidi="en-US"/>
              </w:rPr>
              <w:t>485.15</w:t>
            </w:r>
          </w:p>
        </w:tc>
        <w:tc>
          <w:tcPr>
            <w:tcW w:w="926" w:type="dxa"/>
            <w:vAlign w:val="center"/>
          </w:tcPr>
          <w:p>
            <w:pPr>
              <w:pStyle w:val="24"/>
              <w:spacing w:line="240" w:lineRule="auto"/>
              <w:ind w:firstLine="300" w:firstLineChars="0"/>
              <w:jc w:val="left"/>
              <w:rPr>
                <w:rFonts w:hint="eastAsia" w:eastAsia="宋体"/>
                <w:vertAlign w:val="baseline"/>
                <w:lang w:val="en-US" w:eastAsia="zh-CN"/>
              </w:rPr>
            </w:pPr>
            <w:r>
              <w:rPr>
                <w:rFonts w:hint="eastAsia"/>
                <w:sz w:val="17"/>
                <w:szCs w:val="17"/>
                <w:lang w:val="en-US" w:eastAsia="zh-CN"/>
              </w:rPr>
              <w:t>485.15</w:t>
            </w:r>
          </w:p>
        </w:tc>
        <w:tc>
          <w:tcPr>
            <w:tcW w:w="909" w:type="dxa"/>
            <w:vAlign w:val="center"/>
          </w:tcPr>
          <w:p>
            <w:pPr>
              <w:pStyle w:val="24"/>
              <w:spacing w:line="240" w:lineRule="auto"/>
              <w:ind w:firstLine="280" w:firstLineChars="0"/>
              <w:jc w:val="left"/>
              <w:rPr>
                <w:rFonts w:hint="eastAsia" w:eastAsia="宋体"/>
                <w:vertAlign w:val="baseline"/>
                <w:lang w:val="en-US" w:eastAsia="zh-CN"/>
              </w:rPr>
            </w:pPr>
            <w:r>
              <w:rPr>
                <w:rFonts w:hint="eastAsia" w:ascii="Times New Roman" w:hAnsi="Times New Roman" w:cs="Times New Roman"/>
                <w:b/>
                <w:bCs/>
                <w:sz w:val="17"/>
                <w:szCs w:val="17"/>
                <w:lang w:val="en-US" w:eastAsia="zh-CN" w:bidi="en-US"/>
              </w:rPr>
              <w:t>452.23</w:t>
            </w:r>
          </w:p>
        </w:tc>
        <w:tc>
          <w:tcPr>
            <w:tcW w:w="1161" w:type="dxa"/>
            <w:vAlign w:val="center"/>
          </w:tcPr>
          <w:p>
            <w:pPr>
              <w:pStyle w:val="24"/>
              <w:spacing w:line="240" w:lineRule="auto"/>
              <w:ind w:firstLine="520" w:firstLineChars="0"/>
              <w:jc w:val="left"/>
              <w:rPr>
                <w:rFonts w:hint="eastAsia" w:eastAsia="宋体"/>
                <w:vertAlign w:val="baseline"/>
                <w:lang w:val="en-US" w:eastAsia="zh-CN"/>
              </w:rPr>
            </w:pPr>
            <w:r>
              <w:rPr>
                <w:rFonts w:hint="eastAsia"/>
                <w:sz w:val="17"/>
                <w:szCs w:val="17"/>
                <w:lang w:val="en-US" w:eastAsia="zh-CN"/>
              </w:rPr>
              <w:t>0.93</w:t>
            </w:r>
          </w:p>
        </w:tc>
        <w:tc>
          <w:tcPr>
            <w:tcW w:w="1031" w:type="dxa"/>
            <w:vAlign w:val="center"/>
          </w:tcPr>
          <w:p>
            <w:pPr>
              <w:pStyle w:val="24"/>
              <w:spacing w:line="240" w:lineRule="auto"/>
              <w:ind w:firstLine="480" w:firstLineChars="0"/>
              <w:jc w:val="left"/>
              <w:rPr>
                <w:rFonts w:hint="eastAsia" w:eastAsia="宋体"/>
                <w:vertAlign w:val="baseline"/>
                <w:lang w:val="en-US" w:eastAsia="zh-CN"/>
              </w:rPr>
            </w:pPr>
            <w:r>
              <w:rPr>
                <w:rFonts w:hint="eastAsia" w:ascii="Times New Roman" w:hAnsi="Times New Roman" w:cs="Times New Roman"/>
                <w:b/>
                <w:bCs/>
                <w:sz w:val="17"/>
                <w:szCs w:val="17"/>
                <w:lang w:val="en-US" w:eastAsia="zh-CN" w:bidi="en-US"/>
              </w:rPr>
              <w:t>0.00</w:t>
            </w:r>
          </w:p>
        </w:tc>
        <w:tc>
          <w:tcPr>
            <w:tcW w:w="844" w:type="dxa"/>
            <w:vAlign w:val="center"/>
          </w:tcPr>
          <w:p>
            <w:pPr>
              <w:pStyle w:val="24"/>
              <w:spacing w:line="240" w:lineRule="auto"/>
              <w:ind w:firstLine="0" w:firstLineChars="0"/>
              <w:jc w:val="left"/>
              <w:rPr>
                <w:rFonts w:hint="eastAsia" w:eastAsia="宋体"/>
                <w:vertAlign w:val="baseline"/>
                <w:lang w:val="en-US" w:eastAsia="zh-CN"/>
              </w:rPr>
            </w:pPr>
            <w:r>
              <w:rPr>
                <w:rFonts w:hint="eastAsia" w:ascii="Times New Roman" w:hAnsi="Times New Roman" w:cs="Times New Roman"/>
                <w:b/>
                <w:bCs/>
                <w:sz w:val="17"/>
                <w:szCs w:val="17"/>
                <w:lang w:val="en-US" w:eastAsia="zh-CN" w:bidi="en-US"/>
              </w:rPr>
              <w:t>32.00</w:t>
            </w:r>
          </w:p>
        </w:tc>
        <w:tc>
          <w:tcPr>
            <w:tcW w:w="856" w:type="dxa"/>
            <w:vAlign w:val="center"/>
          </w:tcPr>
          <w:p>
            <w:pPr>
              <w:pStyle w:val="24"/>
              <w:spacing w:line="240" w:lineRule="auto"/>
              <w:ind w:firstLine="0" w:firstLineChars="0"/>
              <w:jc w:val="left"/>
              <w:rPr>
                <w:rFonts w:hint="eastAsia" w:eastAsia="宋体"/>
                <w:vertAlign w:val="baseline"/>
                <w:lang w:val="en-US" w:eastAsia="zh-CN"/>
              </w:rPr>
            </w:pPr>
            <w:r>
              <w:rPr>
                <w:rFonts w:hint="eastAsia" w:ascii="Times New Roman" w:hAnsi="Times New Roman" w:cs="Times New Roman"/>
                <w:b/>
                <w:bCs/>
                <w:sz w:val="17"/>
                <w:szCs w:val="17"/>
                <w:lang w:val="en-US" w:eastAsia="zh-CN" w:bidi="en-US"/>
              </w:rPr>
              <w:t>0.00</w:t>
            </w:r>
          </w:p>
        </w:tc>
        <w:tc>
          <w:tcPr>
            <w:tcW w:w="1035" w:type="dxa"/>
            <w:vAlign w:val="center"/>
          </w:tcPr>
          <w:p>
            <w:pPr>
              <w:pStyle w:val="24"/>
              <w:spacing w:line="240" w:lineRule="auto"/>
              <w:ind w:firstLine="520" w:firstLineChars="0"/>
              <w:jc w:val="left"/>
              <w:rPr>
                <w:rFonts w:hint="eastAsia" w:eastAsia="宋体"/>
                <w:vertAlign w:val="baseline"/>
                <w:lang w:val="en-US" w:eastAsia="zh-CN"/>
              </w:rPr>
            </w:pPr>
            <w:r>
              <w:rPr>
                <w:rFonts w:ascii="Times New Roman" w:hAnsi="Times New Roman" w:eastAsia="Times New Roman" w:cs="Times New Roman"/>
                <w:b/>
                <w:bCs/>
                <w:sz w:val="17"/>
                <w:szCs w:val="17"/>
                <w:lang w:val="en-US" w:eastAsia="en-US" w:bidi="en-US"/>
              </w:rPr>
              <w:t>0.</w:t>
            </w:r>
            <w:r>
              <w:rPr>
                <w:rFonts w:ascii="Times New Roman" w:hAnsi="Times New Roman" w:eastAsia="Times New Roman" w:cs="Times New Roman"/>
                <w:b/>
                <w:bCs/>
                <w:sz w:val="17"/>
                <w:szCs w:val="17"/>
              </w:rPr>
              <w:t>00</w:t>
            </w:r>
          </w:p>
        </w:tc>
        <w:tc>
          <w:tcPr>
            <w:tcW w:w="1011" w:type="dxa"/>
            <w:vAlign w:val="center"/>
          </w:tcPr>
          <w:p>
            <w:pPr>
              <w:pStyle w:val="24"/>
              <w:spacing w:line="240" w:lineRule="auto"/>
              <w:ind w:firstLine="480" w:firstLineChars="0"/>
              <w:jc w:val="left"/>
              <w:rPr>
                <w:rFonts w:hint="eastAsia" w:eastAsia="宋体"/>
                <w:vertAlign w:val="baseline"/>
                <w:lang w:val="en-US" w:eastAsia="zh-CN"/>
              </w:rPr>
            </w:pPr>
            <w:r>
              <w:rPr>
                <w:rFonts w:ascii="Times New Roman" w:hAnsi="Times New Roman" w:eastAsia="Times New Roman" w:cs="Times New Roman"/>
                <w:b/>
                <w:bCs/>
                <w:sz w:val="17"/>
                <w:szCs w:val="17"/>
                <w:lang w:val="en-US" w:eastAsia="en-US" w:bidi="en-US"/>
              </w:rPr>
              <w:t>0.</w:t>
            </w:r>
            <w:r>
              <w:rPr>
                <w:rFonts w:ascii="Times New Roman" w:hAnsi="Times New Roman" w:eastAsia="Times New Roman" w:cs="Times New Roman"/>
                <w:b/>
                <w:bCs/>
                <w:sz w:val="17"/>
                <w:szCs w:val="17"/>
              </w:rPr>
              <w:t>00</w:t>
            </w:r>
          </w:p>
        </w:tc>
        <w:tc>
          <w:tcPr>
            <w:tcW w:w="859" w:type="dxa"/>
            <w:vAlign w:val="center"/>
          </w:tcPr>
          <w:p>
            <w:pPr>
              <w:pStyle w:val="24"/>
              <w:spacing w:line="240" w:lineRule="auto"/>
              <w:ind w:firstLine="0" w:firstLineChars="0"/>
              <w:jc w:val="left"/>
              <w:rPr>
                <w:rFonts w:hint="eastAsia" w:eastAsia="宋体"/>
                <w:vertAlign w:val="baseline"/>
                <w:lang w:val="en-US" w:eastAsia="zh-CN"/>
              </w:rPr>
            </w:pPr>
            <w:r>
              <w:rPr>
                <w:rFonts w:ascii="Times New Roman" w:hAnsi="Times New Roman" w:eastAsia="Times New Roman" w:cs="Times New Roman"/>
                <w:b/>
                <w:bCs/>
                <w:sz w:val="17"/>
                <w:szCs w:val="17"/>
                <w:lang w:val="en-US" w:eastAsia="en-US" w:bidi="en-US"/>
              </w:rPr>
              <w:t>0.</w:t>
            </w:r>
            <w:r>
              <w:rPr>
                <w:rFonts w:ascii="Times New Roman" w:hAnsi="Times New Roman" w:eastAsia="Times New Roman" w:cs="Times New Roman"/>
                <w:b/>
                <w:bCs/>
                <w:sz w:val="17"/>
                <w:szCs w:val="17"/>
              </w:rPr>
              <w:t>00</w:t>
            </w:r>
          </w:p>
        </w:tc>
        <w:tc>
          <w:tcPr>
            <w:tcW w:w="1094" w:type="dxa"/>
            <w:gridSpan w:val="2"/>
            <w:vAlign w:val="center"/>
          </w:tcPr>
          <w:p>
            <w:pPr>
              <w:pStyle w:val="24"/>
              <w:spacing w:line="240" w:lineRule="auto"/>
              <w:ind w:firstLine="580" w:firstLineChars="0"/>
              <w:jc w:val="left"/>
              <w:rPr>
                <w:rFonts w:hint="eastAsia" w:eastAsia="宋体"/>
                <w:vertAlign w:val="baseline"/>
                <w:lang w:val="en-US" w:eastAsia="zh-CN"/>
              </w:rPr>
            </w:pPr>
            <w:r>
              <w:rPr>
                <w:rFonts w:ascii="Times New Roman" w:hAnsi="Times New Roman" w:eastAsia="Times New Roman" w:cs="Times New Roman"/>
                <w:b/>
                <w:bCs/>
                <w:sz w:val="17"/>
                <w:szCs w:val="17"/>
                <w:lang w:val="en-US" w:eastAsia="en-US" w:bidi="en-US"/>
              </w:rPr>
              <w:t>0.</w:t>
            </w:r>
            <w:r>
              <w:rPr>
                <w:rFonts w:ascii="Times New Roman" w:hAnsi="Times New Roman" w:eastAsia="Times New Roman" w:cs="Times New Roman"/>
                <w:b/>
                <w:bCs/>
                <w:sz w:val="17"/>
                <w:szCs w:val="17"/>
              </w:rPr>
              <w:t>00</w:t>
            </w:r>
          </w:p>
        </w:tc>
        <w:tc>
          <w:tcPr>
            <w:tcW w:w="872" w:type="dxa"/>
            <w:vAlign w:val="center"/>
          </w:tcPr>
          <w:p>
            <w:pPr>
              <w:pStyle w:val="24"/>
              <w:spacing w:line="240" w:lineRule="auto"/>
              <w:ind w:firstLine="0" w:firstLineChars="0"/>
              <w:jc w:val="left"/>
              <w:rPr>
                <w:rFonts w:hint="eastAsia" w:eastAsia="宋体"/>
                <w:vertAlign w:val="baseline"/>
                <w:lang w:val="en-US" w:eastAsia="zh-CN"/>
              </w:rPr>
            </w:pPr>
            <w:r>
              <w:rPr>
                <w:rFonts w:ascii="Times New Roman" w:hAnsi="Times New Roman" w:eastAsia="Times New Roman" w:cs="Times New Roman"/>
                <w:b/>
                <w:bCs/>
                <w:sz w:val="17"/>
                <w:szCs w:val="17"/>
                <w:lang w:val="en-US" w:eastAsia="en-US" w:bidi="en-US"/>
              </w:rPr>
              <w:t>0.</w:t>
            </w:r>
            <w:r>
              <w:rPr>
                <w:rFonts w:ascii="Times New Roman" w:hAnsi="Times New Roman" w:eastAsia="Times New Roman" w:cs="Times New Roman"/>
                <w:b/>
                <w:bCs/>
                <w:sz w:val="17"/>
                <w:szCs w:val="17"/>
              </w:rPr>
              <w:t>00</w:t>
            </w:r>
          </w:p>
        </w:tc>
        <w:tc>
          <w:tcPr>
            <w:tcW w:w="1054" w:type="dxa"/>
            <w:vAlign w:val="center"/>
          </w:tcPr>
          <w:p>
            <w:pPr>
              <w:pStyle w:val="24"/>
              <w:spacing w:line="240" w:lineRule="auto"/>
              <w:ind w:firstLine="540" w:firstLineChars="0"/>
              <w:jc w:val="left"/>
              <w:rPr>
                <w:rFonts w:hint="eastAsia" w:eastAsia="宋体"/>
                <w:vertAlign w:val="baseline"/>
                <w:lang w:val="en-US" w:eastAsia="zh-CN"/>
              </w:rPr>
            </w:pPr>
            <w:r>
              <w:rPr>
                <w:rFonts w:ascii="Times New Roman" w:hAnsi="Times New Roman" w:eastAsia="Times New Roman" w:cs="Times New Roman"/>
                <w:b/>
                <w:bCs/>
                <w:sz w:val="17"/>
                <w:szCs w:val="17"/>
                <w:lang w:val="en-US" w:eastAsia="en-US" w:bidi="en-US"/>
              </w:rPr>
              <w:t>0.</w:t>
            </w:r>
            <w:r>
              <w:rPr>
                <w:rFonts w:ascii="Times New Roman" w:hAnsi="Times New Roman" w:eastAsia="Times New Roman" w:cs="Times New Roman"/>
                <w:b/>
                <w:bCs/>
                <w:sz w:val="17"/>
                <w:szCs w:val="17"/>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6" w:type="dxa"/>
            <w:vAlign w:val="center"/>
          </w:tcPr>
          <w:p>
            <w:pPr>
              <w:pStyle w:val="24"/>
              <w:spacing w:line="240" w:lineRule="auto"/>
              <w:ind w:firstLine="0" w:firstLineChars="0"/>
              <w:jc w:val="left"/>
              <w:rPr>
                <w:rFonts w:hint="eastAsia" w:eastAsia="宋体"/>
                <w:vertAlign w:val="baseline"/>
                <w:lang w:val="en-US" w:eastAsia="zh-CN"/>
              </w:rPr>
            </w:pPr>
            <w:r>
              <w:rPr>
                <w:rFonts w:hint="eastAsia" w:ascii="Times New Roman" w:hAnsi="Times New Roman" w:cs="Times New Roman"/>
                <w:b/>
                <w:bCs/>
                <w:sz w:val="17"/>
                <w:szCs w:val="17"/>
                <w:lang w:val="en-US" w:eastAsia="zh-CN"/>
              </w:rPr>
              <w:t>201051</w:t>
            </w:r>
          </w:p>
        </w:tc>
        <w:tc>
          <w:tcPr>
            <w:tcW w:w="1279" w:type="dxa"/>
          </w:tcPr>
          <w:p>
            <w:pPr>
              <w:pStyle w:val="24"/>
              <w:spacing w:line="326" w:lineRule="exact"/>
              <w:ind w:firstLine="0" w:firstLineChars="0"/>
              <w:jc w:val="left"/>
              <w:rPr>
                <w:rFonts w:hint="eastAsia" w:eastAsia="宋体"/>
                <w:vertAlign w:val="baseline"/>
                <w:lang w:val="en-US" w:eastAsia="zh-CN"/>
              </w:rPr>
            </w:pPr>
          </w:p>
        </w:tc>
        <w:tc>
          <w:tcPr>
            <w:tcW w:w="990" w:type="dxa"/>
            <w:vAlign w:val="center"/>
          </w:tcPr>
          <w:p>
            <w:pPr>
              <w:pStyle w:val="24"/>
              <w:spacing w:line="240" w:lineRule="auto"/>
              <w:ind w:firstLine="480" w:firstLineChars="0"/>
              <w:jc w:val="left"/>
              <w:rPr>
                <w:rFonts w:hint="eastAsia" w:eastAsia="宋体"/>
                <w:vertAlign w:val="baseline"/>
                <w:lang w:val="en-US" w:eastAsia="zh-CN"/>
              </w:rPr>
            </w:pPr>
            <w:r>
              <w:rPr>
                <w:rFonts w:hint="eastAsia" w:ascii="Times New Roman" w:hAnsi="Times New Roman" w:cs="Times New Roman"/>
                <w:b/>
                <w:bCs/>
                <w:sz w:val="17"/>
                <w:szCs w:val="17"/>
                <w:lang w:val="en-US" w:eastAsia="zh-CN" w:bidi="en-US"/>
              </w:rPr>
              <w:t>485.15</w:t>
            </w:r>
          </w:p>
        </w:tc>
        <w:tc>
          <w:tcPr>
            <w:tcW w:w="926" w:type="dxa"/>
            <w:vAlign w:val="center"/>
          </w:tcPr>
          <w:p>
            <w:pPr>
              <w:pStyle w:val="24"/>
              <w:spacing w:line="240" w:lineRule="auto"/>
              <w:ind w:firstLine="300" w:firstLineChars="0"/>
              <w:jc w:val="left"/>
              <w:rPr>
                <w:rFonts w:hint="eastAsia" w:eastAsia="宋体"/>
                <w:vertAlign w:val="baseline"/>
                <w:lang w:val="en-US" w:eastAsia="zh-CN"/>
              </w:rPr>
            </w:pPr>
            <w:r>
              <w:rPr>
                <w:rFonts w:hint="eastAsia"/>
                <w:sz w:val="17"/>
                <w:szCs w:val="17"/>
                <w:lang w:val="en-US" w:eastAsia="zh-CN"/>
              </w:rPr>
              <w:t>485.15</w:t>
            </w:r>
          </w:p>
        </w:tc>
        <w:tc>
          <w:tcPr>
            <w:tcW w:w="909" w:type="dxa"/>
            <w:vAlign w:val="center"/>
          </w:tcPr>
          <w:p>
            <w:pPr>
              <w:pStyle w:val="24"/>
              <w:spacing w:line="240" w:lineRule="auto"/>
              <w:ind w:firstLine="280" w:firstLineChars="0"/>
              <w:jc w:val="left"/>
              <w:rPr>
                <w:rFonts w:hint="eastAsia" w:eastAsia="宋体"/>
                <w:vertAlign w:val="baseline"/>
                <w:lang w:val="en-US" w:eastAsia="zh-CN"/>
              </w:rPr>
            </w:pPr>
            <w:r>
              <w:rPr>
                <w:rFonts w:hint="eastAsia" w:ascii="Times New Roman" w:hAnsi="Times New Roman" w:cs="Times New Roman"/>
                <w:b/>
                <w:bCs/>
                <w:sz w:val="17"/>
                <w:szCs w:val="17"/>
                <w:lang w:val="en-US" w:eastAsia="zh-CN" w:bidi="en-US"/>
              </w:rPr>
              <w:t>452.23</w:t>
            </w:r>
          </w:p>
        </w:tc>
        <w:tc>
          <w:tcPr>
            <w:tcW w:w="1161" w:type="dxa"/>
            <w:vAlign w:val="center"/>
          </w:tcPr>
          <w:p>
            <w:pPr>
              <w:pStyle w:val="24"/>
              <w:spacing w:line="240" w:lineRule="auto"/>
              <w:ind w:firstLine="520" w:firstLineChars="0"/>
              <w:jc w:val="left"/>
              <w:rPr>
                <w:rFonts w:hint="eastAsia" w:eastAsia="宋体"/>
                <w:vertAlign w:val="baseline"/>
                <w:lang w:val="en-US" w:eastAsia="zh-CN"/>
              </w:rPr>
            </w:pPr>
            <w:r>
              <w:rPr>
                <w:rFonts w:hint="eastAsia"/>
                <w:sz w:val="17"/>
                <w:szCs w:val="17"/>
                <w:lang w:val="en-US" w:eastAsia="zh-CN"/>
              </w:rPr>
              <w:t>0.93</w:t>
            </w:r>
          </w:p>
        </w:tc>
        <w:tc>
          <w:tcPr>
            <w:tcW w:w="1031" w:type="dxa"/>
            <w:vAlign w:val="center"/>
          </w:tcPr>
          <w:p>
            <w:pPr>
              <w:pStyle w:val="24"/>
              <w:spacing w:line="240" w:lineRule="auto"/>
              <w:ind w:firstLine="480" w:firstLineChars="0"/>
              <w:jc w:val="left"/>
              <w:rPr>
                <w:rFonts w:hint="eastAsia" w:eastAsia="宋体"/>
                <w:vertAlign w:val="baseline"/>
                <w:lang w:val="en-US" w:eastAsia="zh-CN"/>
              </w:rPr>
            </w:pPr>
            <w:r>
              <w:rPr>
                <w:rFonts w:hint="eastAsia" w:ascii="Times New Roman" w:hAnsi="Times New Roman" w:cs="Times New Roman"/>
                <w:b/>
                <w:bCs/>
                <w:sz w:val="17"/>
                <w:szCs w:val="17"/>
                <w:lang w:val="en-US" w:eastAsia="zh-CN" w:bidi="en-US"/>
              </w:rPr>
              <w:t>0.00</w:t>
            </w:r>
          </w:p>
        </w:tc>
        <w:tc>
          <w:tcPr>
            <w:tcW w:w="844" w:type="dxa"/>
            <w:vAlign w:val="center"/>
          </w:tcPr>
          <w:p>
            <w:pPr>
              <w:pStyle w:val="24"/>
              <w:spacing w:line="240" w:lineRule="auto"/>
              <w:ind w:firstLine="0" w:firstLineChars="0"/>
              <w:jc w:val="left"/>
              <w:rPr>
                <w:rFonts w:hint="eastAsia" w:eastAsia="宋体"/>
                <w:vertAlign w:val="baseline"/>
                <w:lang w:val="en-US" w:eastAsia="zh-CN"/>
              </w:rPr>
            </w:pPr>
            <w:r>
              <w:rPr>
                <w:rFonts w:hint="eastAsia" w:ascii="Times New Roman" w:hAnsi="Times New Roman" w:cs="Times New Roman"/>
                <w:b/>
                <w:bCs/>
                <w:sz w:val="17"/>
                <w:szCs w:val="17"/>
                <w:lang w:val="en-US" w:eastAsia="zh-CN" w:bidi="en-US"/>
              </w:rPr>
              <w:t>32.00</w:t>
            </w:r>
          </w:p>
        </w:tc>
        <w:tc>
          <w:tcPr>
            <w:tcW w:w="856" w:type="dxa"/>
            <w:vAlign w:val="center"/>
          </w:tcPr>
          <w:p>
            <w:pPr>
              <w:pStyle w:val="24"/>
              <w:spacing w:line="240" w:lineRule="auto"/>
              <w:ind w:firstLine="0" w:firstLineChars="0"/>
              <w:jc w:val="left"/>
              <w:rPr>
                <w:rFonts w:hint="eastAsia" w:eastAsia="宋体"/>
                <w:vertAlign w:val="baseline"/>
                <w:lang w:val="en-US" w:eastAsia="zh-CN"/>
              </w:rPr>
            </w:pPr>
            <w:r>
              <w:rPr>
                <w:rFonts w:hint="eastAsia" w:ascii="Times New Roman" w:hAnsi="Times New Roman" w:cs="Times New Roman"/>
                <w:b/>
                <w:bCs/>
                <w:sz w:val="17"/>
                <w:szCs w:val="17"/>
                <w:lang w:val="en-US" w:eastAsia="zh-CN" w:bidi="en-US"/>
              </w:rPr>
              <w:t>0.00</w:t>
            </w:r>
          </w:p>
        </w:tc>
        <w:tc>
          <w:tcPr>
            <w:tcW w:w="1035" w:type="dxa"/>
            <w:vAlign w:val="center"/>
          </w:tcPr>
          <w:p>
            <w:pPr>
              <w:pStyle w:val="24"/>
              <w:spacing w:line="240" w:lineRule="auto"/>
              <w:ind w:firstLine="520" w:firstLineChars="0"/>
              <w:jc w:val="left"/>
              <w:rPr>
                <w:rFonts w:hint="eastAsia" w:eastAsia="宋体"/>
                <w:vertAlign w:val="baseline"/>
                <w:lang w:val="en-US" w:eastAsia="zh-CN"/>
              </w:rPr>
            </w:pPr>
            <w:r>
              <w:rPr>
                <w:rFonts w:ascii="Times New Roman" w:hAnsi="Times New Roman" w:eastAsia="Times New Roman" w:cs="Times New Roman"/>
                <w:b/>
                <w:bCs/>
                <w:sz w:val="17"/>
                <w:szCs w:val="17"/>
                <w:lang w:val="en-US" w:eastAsia="en-US" w:bidi="en-US"/>
              </w:rPr>
              <w:t>0.</w:t>
            </w:r>
            <w:r>
              <w:rPr>
                <w:rFonts w:ascii="Times New Roman" w:hAnsi="Times New Roman" w:eastAsia="Times New Roman" w:cs="Times New Roman"/>
                <w:b/>
                <w:bCs/>
                <w:sz w:val="17"/>
                <w:szCs w:val="17"/>
              </w:rPr>
              <w:t>00</w:t>
            </w:r>
          </w:p>
        </w:tc>
        <w:tc>
          <w:tcPr>
            <w:tcW w:w="1011" w:type="dxa"/>
            <w:vAlign w:val="center"/>
          </w:tcPr>
          <w:p>
            <w:pPr>
              <w:pStyle w:val="24"/>
              <w:spacing w:line="240" w:lineRule="auto"/>
              <w:ind w:firstLine="480" w:firstLineChars="0"/>
              <w:jc w:val="left"/>
              <w:rPr>
                <w:rFonts w:hint="eastAsia" w:eastAsia="宋体"/>
                <w:vertAlign w:val="baseline"/>
                <w:lang w:val="en-US" w:eastAsia="zh-CN"/>
              </w:rPr>
            </w:pPr>
            <w:r>
              <w:rPr>
                <w:rFonts w:ascii="Times New Roman" w:hAnsi="Times New Roman" w:eastAsia="Times New Roman" w:cs="Times New Roman"/>
                <w:b/>
                <w:bCs/>
                <w:sz w:val="17"/>
                <w:szCs w:val="17"/>
                <w:lang w:val="en-US" w:eastAsia="en-US" w:bidi="en-US"/>
              </w:rPr>
              <w:t>0.</w:t>
            </w:r>
            <w:r>
              <w:rPr>
                <w:rFonts w:ascii="Times New Roman" w:hAnsi="Times New Roman" w:eastAsia="Times New Roman" w:cs="Times New Roman"/>
                <w:b/>
                <w:bCs/>
                <w:sz w:val="17"/>
                <w:szCs w:val="17"/>
              </w:rPr>
              <w:t>00</w:t>
            </w:r>
          </w:p>
        </w:tc>
        <w:tc>
          <w:tcPr>
            <w:tcW w:w="859" w:type="dxa"/>
            <w:vAlign w:val="center"/>
          </w:tcPr>
          <w:p>
            <w:pPr>
              <w:pStyle w:val="24"/>
              <w:spacing w:line="240" w:lineRule="auto"/>
              <w:ind w:firstLine="0" w:firstLineChars="0"/>
              <w:jc w:val="left"/>
              <w:rPr>
                <w:rFonts w:hint="eastAsia" w:eastAsia="宋体"/>
                <w:vertAlign w:val="baseline"/>
                <w:lang w:val="en-US" w:eastAsia="zh-CN"/>
              </w:rPr>
            </w:pPr>
            <w:r>
              <w:rPr>
                <w:rFonts w:ascii="Times New Roman" w:hAnsi="Times New Roman" w:eastAsia="Times New Roman" w:cs="Times New Roman"/>
                <w:b/>
                <w:bCs/>
                <w:sz w:val="17"/>
                <w:szCs w:val="17"/>
                <w:lang w:val="en-US" w:eastAsia="en-US" w:bidi="en-US"/>
              </w:rPr>
              <w:t>0.</w:t>
            </w:r>
            <w:r>
              <w:rPr>
                <w:rFonts w:ascii="Times New Roman" w:hAnsi="Times New Roman" w:eastAsia="Times New Roman" w:cs="Times New Roman"/>
                <w:b/>
                <w:bCs/>
                <w:sz w:val="17"/>
                <w:szCs w:val="17"/>
              </w:rPr>
              <w:t>00</w:t>
            </w:r>
          </w:p>
        </w:tc>
        <w:tc>
          <w:tcPr>
            <w:tcW w:w="1094" w:type="dxa"/>
            <w:gridSpan w:val="2"/>
            <w:vAlign w:val="center"/>
          </w:tcPr>
          <w:p>
            <w:pPr>
              <w:pStyle w:val="24"/>
              <w:spacing w:line="240" w:lineRule="auto"/>
              <w:ind w:firstLine="580" w:firstLineChars="0"/>
              <w:jc w:val="left"/>
              <w:rPr>
                <w:rFonts w:hint="eastAsia" w:eastAsia="宋体"/>
                <w:vertAlign w:val="baseline"/>
                <w:lang w:val="en-US" w:eastAsia="zh-CN"/>
              </w:rPr>
            </w:pPr>
            <w:r>
              <w:rPr>
                <w:rFonts w:ascii="Times New Roman" w:hAnsi="Times New Roman" w:eastAsia="Times New Roman" w:cs="Times New Roman"/>
                <w:b/>
                <w:bCs/>
                <w:sz w:val="17"/>
                <w:szCs w:val="17"/>
                <w:lang w:val="en-US" w:eastAsia="en-US" w:bidi="en-US"/>
              </w:rPr>
              <w:t>0.</w:t>
            </w:r>
            <w:r>
              <w:rPr>
                <w:rFonts w:ascii="Times New Roman" w:hAnsi="Times New Roman" w:eastAsia="Times New Roman" w:cs="Times New Roman"/>
                <w:b/>
                <w:bCs/>
                <w:sz w:val="17"/>
                <w:szCs w:val="17"/>
              </w:rPr>
              <w:t>00</w:t>
            </w:r>
          </w:p>
        </w:tc>
        <w:tc>
          <w:tcPr>
            <w:tcW w:w="872" w:type="dxa"/>
            <w:vAlign w:val="center"/>
          </w:tcPr>
          <w:p>
            <w:pPr>
              <w:pStyle w:val="24"/>
              <w:spacing w:line="240" w:lineRule="auto"/>
              <w:ind w:firstLine="0" w:firstLineChars="0"/>
              <w:jc w:val="left"/>
              <w:rPr>
                <w:rFonts w:hint="eastAsia" w:eastAsia="宋体"/>
                <w:vertAlign w:val="baseline"/>
                <w:lang w:val="en-US" w:eastAsia="zh-CN"/>
              </w:rPr>
            </w:pPr>
            <w:r>
              <w:rPr>
                <w:rFonts w:ascii="Times New Roman" w:hAnsi="Times New Roman" w:eastAsia="Times New Roman" w:cs="Times New Roman"/>
                <w:b/>
                <w:bCs/>
                <w:sz w:val="17"/>
                <w:szCs w:val="17"/>
                <w:lang w:val="en-US" w:eastAsia="en-US" w:bidi="en-US"/>
              </w:rPr>
              <w:t>0.</w:t>
            </w:r>
            <w:r>
              <w:rPr>
                <w:rFonts w:ascii="Times New Roman" w:hAnsi="Times New Roman" w:eastAsia="Times New Roman" w:cs="Times New Roman"/>
                <w:b/>
                <w:bCs/>
                <w:sz w:val="17"/>
                <w:szCs w:val="17"/>
              </w:rPr>
              <w:t>00</w:t>
            </w:r>
          </w:p>
        </w:tc>
        <w:tc>
          <w:tcPr>
            <w:tcW w:w="1054" w:type="dxa"/>
            <w:vAlign w:val="center"/>
          </w:tcPr>
          <w:p>
            <w:pPr>
              <w:pStyle w:val="24"/>
              <w:spacing w:line="240" w:lineRule="auto"/>
              <w:ind w:firstLine="540" w:firstLineChars="0"/>
              <w:jc w:val="left"/>
              <w:rPr>
                <w:rFonts w:hint="eastAsia" w:eastAsia="宋体"/>
                <w:vertAlign w:val="baseline"/>
                <w:lang w:val="en-US" w:eastAsia="zh-CN"/>
              </w:rPr>
            </w:pPr>
            <w:r>
              <w:rPr>
                <w:rFonts w:ascii="Times New Roman" w:hAnsi="Times New Roman" w:eastAsia="Times New Roman" w:cs="Times New Roman"/>
                <w:b/>
                <w:bCs/>
                <w:sz w:val="17"/>
                <w:szCs w:val="17"/>
                <w:lang w:val="en-US" w:eastAsia="en-US" w:bidi="en-US"/>
              </w:rPr>
              <w:t>0.</w:t>
            </w:r>
            <w:r>
              <w:rPr>
                <w:rFonts w:ascii="Times New Roman" w:hAnsi="Times New Roman" w:eastAsia="Times New Roman" w:cs="Times New Roman"/>
                <w:b/>
                <w:bCs/>
                <w:sz w:val="17"/>
                <w:szCs w:val="17"/>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7" w:type="dxa"/>
            <w:gridSpan w:val="16"/>
            <w:tcBorders>
              <w:left w:val="nil"/>
              <w:bottom w:val="nil"/>
              <w:right w:val="nil"/>
            </w:tcBorders>
          </w:tcPr>
          <w:p>
            <w:pPr>
              <w:pStyle w:val="26"/>
              <w:jc w:val="left"/>
              <w:rPr>
                <w:rFonts w:hint="eastAsia" w:eastAsia="宋体"/>
                <w:vertAlign w:val="baseline"/>
                <w:lang w:val="en-US" w:eastAsia="zh-CN"/>
              </w:rPr>
            </w:pPr>
            <w:r>
              <w:t>注：本报表金额单位转换时可能存在四舍五入尾数误差。</w:t>
            </w:r>
          </w:p>
        </w:tc>
      </w:tr>
    </w:tbl>
    <w:p>
      <w:pPr>
        <w:tabs>
          <w:tab w:val="left" w:pos="859"/>
        </w:tabs>
        <w:jc w:val="both"/>
        <w:rPr>
          <w:rFonts w:hint="eastAsia" w:eastAsia="宋体"/>
          <w:lang w:val="en-US" w:eastAsia="zh-CN"/>
        </w:rPr>
      </w:pPr>
    </w:p>
    <w:p>
      <w:pPr>
        <w:tabs>
          <w:tab w:val="left" w:pos="859"/>
        </w:tabs>
        <w:jc w:val="center"/>
        <w:rPr>
          <w:rFonts w:hint="eastAsia" w:eastAsia="宋体"/>
          <w:lang w:val="en-US" w:eastAsia="zh-CN"/>
        </w:rPr>
      </w:pPr>
    </w:p>
    <w:p>
      <w:pPr>
        <w:tabs>
          <w:tab w:val="left" w:pos="859"/>
        </w:tabs>
        <w:jc w:val="both"/>
        <w:rPr>
          <w:rFonts w:hint="eastAsia" w:eastAsia="宋体"/>
          <w:lang w:val="en-US" w:eastAsia="zh-CN"/>
        </w:rPr>
      </w:pPr>
    </w:p>
    <w:p>
      <w:pPr>
        <w:spacing w:line="1" w:lineRule="exact"/>
        <w:jc w:val="left"/>
        <w:rPr>
          <w:lang w:eastAsia="zh-CN"/>
        </w:rPr>
        <w:sectPr>
          <w:headerReference r:id="rId8" w:type="default"/>
          <w:footerReference r:id="rId9" w:type="default"/>
          <w:pgSz w:w="16840" w:h="11900" w:orient="landscape"/>
          <w:pgMar w:top="2709" w:right="764" w:bottom="2709" w:left="735" w:header="2281" w:footer="1474" w:gutter="0"/>
          <w:pgBorders>
            <w:top w:val="none" w:sz="0" w:space="0"/>
            <w:left w:val="none" w:sz="0" w:space="0"/>
            <w:bottom w:val="none" w:sz="0" w:space="0"/>
            <w:right w:val="none" w:sz="0" w:space="0"/>
          </w:pgBorders>
          <w:pgNumType w:fmt="decimal"/>
          <w:cols w:space="720" w:num="1"/>
          <w:docGrid w:linePitch="360" w:charSpace="0"/>
        </w:sectPr>
      </w:pPr>
    </w:p>
    <w:p>
      <w:pPr>
        <w:pStyle w:val="22"/>
        <w:keepNext/>
        <w:keepLines/>
        <w:spacing w:after="240"/>
        <w:jc w:val="center"/>
      </w:pPr>
      <w:bookmarkStart w:id="19" w:name="bookmark43"/>
      <w:bookmarkStart w:id="20" w:name="bookmark41"/>
      <w:bookmarkStart w:id="21" w:name="bookmark42"/>
      <w:r>
        <w:t>支出总体情况表</w:t>
      </w:r>
      <w:bookmarkEnd w:id="19"/>
      <w:bookmarkEnd w:id="20"/>
      <w:bookmarkEnd w:id="21"/>
    </w:p>
    <w:tbl>
      <w:tblPr>
        <w:tblStyle w:val="4"/>
        <w:tblW w:w="0" w:type="auto"/>
        <w:tblInd w:w="0" w:type="dxa"/>
        <w:tblLayout w:type="fixed"/>
        <w:tblCellMar>
          <w:top w:w="0" w:type="dxa"/>
          <w:left w:w="10" w:type="dxa"/>
          <w:bottom w:w="0" w:type="dxa"/>
          <w:right w:w="10" w:type="dxa"/>
        </w:tblCellMar>
      </w:tblPr>
      <w:tblGrid>
        <w:gridCol w:w="1843"/>
        <w:gridCol w:w="1934"/>
        <w:gridCol w:w="2390"/>
        <w:gridCol w:w="2280"/>
        <w:gridCol w:w="2299"/>
        <w:gridCol w:w="2222"/>
        <w:gridCol w:w="2371"/>
      </w:tblGrid>
      <w:tr>
        <w:tblPrEx>
          <w:tblCellMar>
            <w:top w:w="0" w:type="dxa"/>
            <w:left w:w="10" w:type="dxa"/>
            <w:bottom w:w="0" w:type="dxa"/>
            <w:right w:w="10" w:type="dxa"/>
          </w:tblCellMar>
        </w:tblPrEx>
        <w:trPr>
          <w:trHeight w:val="346" w:hRule="exact"/>
        </w:trPr>
        <w:tc>
          <w:tcPr>
            <w:tcW w:w="12968" w:type="dxa"/>
            <w:gridSpan w:val="6"/>
            <w:shd w:val="clear" w:color="auto" w:fill="FFFFFF"/>
          </w:tcPr>
          <w:p>
            <w:pPr>
              <w:pStyle w:val="24"/>
              <w:spacing w:line="240" w:lineRule="auto"/>
              <w:ind w:firstLine="0"/>
              <w:jc w:val="left"/>
              <w:rPr>
                <w:sz w:val="17"/>
                <w:szCs w:val="17"/>
              </w:rPr>
            </w:pPr>
            <w:r>
              <w:rPr>
                <w:sz w:val="17"/>
                <w:szCs w:val="17"/>
              </w:rPr>
              <w:t>单位名称：</w:t>
            </w:r>
            <w:r>
              <w:rPr>
                <w:rFonts w:hint="eastAsia"/>
                <w:sz w:val="17"/>
                <w:szCs w:val="17"/>
                <w:lang w:eastAsia="zh-CN"/>
              </w:rPr>
              <w:t>环江毛南族自治县职业技术学校</w:t>
            </w:r>
          </w:p>
        </w:tc>
        <w:tc>
          <w:tcPr>
            <w:tcW w:w="2371" w:type="dxa"/>
            <w:shd w:val="clear" w:color="auto" w:fill="FFFFFF"/>
          </w:tcPr>
          <w:p>
            <w:pPr>
              <w:pStyle w:val="24"/>
              <w:spacing w:line="240" w:lineRule="auto"/>
              <w:ind w:firstLine="1190" w:firstLineChars="700"/>
              <w:jc w:val="left"/>
              <w:rPr>
                <w:sz w:val="17"/>
                <w:szCs w:val="17"/>
              </w:rPr>
            </w:pPr>
            <w:r>
              <w:rPr>
                <w:sz w:val="17"/>
                <w:szCs w:val="17"/>
              </w:rPr>
              <w:t>单位：万元</w:t>
            </w:r>
          </w:p>
        </w:tc>
      </w:tr>
      <w:tr>
        <w:tblPrEx>
          <w:tblCellMar>
            <w:top w:w="0" w:type="dxa"/>
            <w:left w:w="10" w:type="dxa"/>
            <w:bottom w:w="0" w:type="dxa"/>
            <w:right w:w="10" w:type="dxa"/>
          </w:tblCellMar>
        </w:tblPrEx>
        <w:trPr>
          <w:trHeight w:val="854" w:hRule="exact"/>
        </w:trPr>
        <w:tc>
          <w:tcPr>
            <w:tcW w:w="1843"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0"/>
              <w:jc w:val="left"/>
              <w:rPr>
                <w:sz w:val="17"/>
                <w:szCs w:val="17"/>
              </w:rPr>
            </w:pPr>
            <w:r>
              <w:rPr>
                <w:sz w:val="17"/>
                <w:szCs w:val="17"/>
              </w:rPr>
              <w:t>科目编码</w:t>
            </w:r>
          </w:p>
        </w:tc>
        <w:tc>
          <w:tcPr>
            <w:tcW w:w="1934"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40"/>
              <w:jc w:val="left"/>
              <w:rPr>
                <w:sz w:val="17"/>
                <w:szCs w:val="17"/>
              </w:rPr>
            </w:pPr>
            <w:r>
              <w:rPr>
                <w:sz w:val="17"/>
                <w:szCs w:val="17"/>
              </w:rPr>
              <w:t>部门（单位）代码</w:t>
            </w:r>
          </w:p>
        </w:tc>
        <w:tc>
          <w:tcPr>
            <w:tcW w:w="2390" w:type="dxa"/>
            <w:tcBorders>
              <w:top w:val="single" w:color="auto" w:sz="4" w:space="0"/>
              <w:left w:val="single" w:color="auto" w:sz="4" w:space="0"/>
              <w:bottom w:val="single" w:color="auto" w:sz="4" w:space="0"/>
            </w:tcBorders>
            <w:shd w:val="clear" w:color="auto" w:fill="FFFFFF"/>
            <w:vAlign w:val="center"/>
          </w:tcPr>
          <w:p>
            <w:pPr>
              <w:pStyle w:val="24"/>
              <w:spacing w:after="120" w:line="240" w:lineRule="auto"/>
              <w:ind w:firstLine="0"/>
              <w:jc w:val="left"/>
              <w:rPr>
                <w:sz w:val="17"/>
                <w:szCs w:val="17"/>
              </w:rPr>
            </w:pPr>
            <w:r>
              <w:rPr>
                <w:sz w:val="17"/>
                <w:szCs w:val="17"/>
              </w:rPr>
              <w:t>部门（单位）名称</w:t>
            </w:r>
          </w:p>
          <w:p>
            <w:pPr>
              <w:pStyle w:val="24"/>
              <w:spacing w:line="240" w:lineRule="auto"/>
              <w:ind w:firstLine="0"/>
              <w:jc w:val="left"/>
              <w:rPr>
                <w:sz w:val="17"/>
                <w:szCs w:val="17"/>
              </w:rPr>
            </w:pPr>
            <w:r>
              <w:rPr>
                <w:sz w:val="17"/>
                <w:szCs w:val="17"/>
              </w:rPr>
              <w:t>（功能分类科目名称）</w:t>
            </w:r>
          </w:p>
        </w:tc>
        <w:tc>
          <w:tcPr>
            <w:tcW w:w="228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0"/>
              <w:jc w:val="left"/>
              <w:rPr>
                <w:sz w:val="17"/>
                <w:szCs w:val="17"/>
              </w:rPr>
            </w:pPr>
            <w:r>
              <w:rPr>
                <w:sz w:val="17"/>
                <w:szCs w:val="17"/>
              </w:rPr>
              <w:t>合计</w:t>
            </w:r>
          </w:p>
        </w:tc>
        <w:tc>
          <w:tcPr>
            <w:tcW w:w="2299"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0"/>
              <w:jc w:val="left"/>
              <w:rPr>
                <w:sz w:val="17"/>
                <w:szCs w:val="17"/>
              </w:rPr>
            </w:pPr>
            <w:r>
              <w:rPr>
                <w:sz w:val="17"/>
                <w:szCs w:val="17"/>
              </w:rPr>
              <w:t>基本支出</w:t>
            </w:r>
          </w:p>
        </w:tc>
        <w:tc>
          <w:tcPr>
            <w:tcW w:w="2222"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0"/>
              <w:jc w:val="left"/>
              <w:rPr>
                <w:sz w:val="17"/>
                <w:szCs w:val="17"/>
              </w:rPr>
            </w:pPr>
            <w:r>
              <w:rPr>
                <w:sz w:val="17"/>
                <w:szCs w:val="17"/>
              </w:rPr>
              <w:t>项目支出</w:t>
            </w:r>
          </w:p>
        </w:tc>
        <w:tc>
          <w:tcPr>
            <w:tcW w:w="237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sz w:val="17"/>
                <w:szCs w:val="17"/>
              </w:rPr>
            </w:pPr>
            <w:r>
              <w:rPr>
                <w:sz w:val="17"/>
                <w:szCs w:val="17"/>
              </w:rPr>
              <w:t>结转下年支出</w:t>
            </w:r>
          </w:p>
        </w:tc>
      </w:tr>
      <w:tr>
        <w:tblPrEx>
          <w:tblCellMar>
            <w:top w:w="0" w:type="dxa"/>
            <w:left w:w="10" w:type="dxa"/>
            <w:bottom w:w="0" w:type="dxa"/>
            <w:right w:w="10" w:type="dxa"/>
          </w:tblCellMar>
        </w:tblPrEx>
        <w:trPr>
          <w:trHeight w:val="437" w:hRule="exact"/>
        </w:trPr>
        <w:tc>
          <w:tcPr>
            <w:tcW w:w="1843"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 xml:space="preserve"> </w:t>
            </w:r>
          </w:p>
        </w:tc>
        <w:tc>
          <w:tcPr>
            <w:tcW w:w="1934"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 xml:space="preserve"> </w:t>
            </w:r>
          </w:p>
        </w:tc>
        <w:tc>
          <w:tcPr>
            <w:tcW w:w="239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合计</w:t>
            </w:r>
          </w:p>
        </w:tc>
        <w:tc>
          <w:tcPr>
            <w:tcW w:w="228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485.15</w:t>
            </w:r>
          </w:p>
        </w:tc>
        <w:tc>
          <w:tcPr>
            <w:tcW w:w="229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428.67</w:t>
            </w:r>
          </w:p>
        </w:tc>
        <w:tc>
          <w:tcPr>
            <w:tcW w:w="222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56.49</w:t>
            </w:r>
          </w:p>
        </w:tc>
        <w:tc>
          <w:tcPr>
            <w:tcW w:w="237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w:t>
            </w:r>
          </w:p>
        </w:tc>
      </w:tr>
      <w:tr>
        <w:tblPrEx>
          <w:tblCellMar>
            <w:top w:w="0" w:type="dxa"/>
            <w:left w:w="10" w:type="dxa"/>
            <w:bottom w:w="0" w:type="dxa"/>
            <w:right w:w="10" w:type="dxa"/>
          </w:tblCellMar>
        </w:tblPrEx>
        <w:trPr>
          <w:trHeight w:val="437" w:hRule="exact"/>
        </w:trPr>
        <w:tc>
          <w:tcPr>
            <w:tcW w:w="1843"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default" w:ascii="Times New Roman" w:hAnsi="Times New Roman" w:eastAsia="Times New Roman" w:cs="Times New Roman"/>
                <w:b/>
                <w:bCs/>
                <w:sz w:val="17"/>
                <w:szCs w:val="17"/>
                <w:lang w:val="en-US" w:eastAsia="zh-CN"/>
              </w:rPr>
            </w:pPr>
          </w:p>
        </w:tc>
        <w:tc>
          <w:tcPr>
            <w:tcW w:w="1934"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201051</w:t>
            </w:r>
          </w:p>
        </w:tc>
        <w:tc>
          <w:tcPr>
            <w:tcW w:w="239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p>
        </w:tc>
        <w:tc>
          <w:tcPr>
            <w:tcW w:w="228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485.15</w:t>
            </w:r>
          </w:p>
        </w:tc>
        <w:tc>
          <w:tcPr>
            <w:tcW w:w="229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428.67</w:t>
            </w:r>
          </w:p>
        </w:tc>
        <w:tc>
          <w:tcPr>
            <w:tcW w:w="222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56.49</w:t>
            </w:r>
          </w:p>
        </w:tc>
        <w:tc>
          <w:tcPr>
            <w:tcW w:w="237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w:t>
            </w:r>
          </w:p>
        </w:tc>
      </w:tr>
      <w:tr>
        <w:tblPrEx>
          <w:tblCellMar>
            <w:top w:w="0" w:type="dxa"/>
            <w:left w:w="10" w:type="dxa"/>
            <w:bottom w:w="0" w:type="dxa"/>
            <w:right w:w="10" w:type="dxa"/>
          </w:tblCellMar>
        </w:tblPrEx>
        <w:trPr>
          <w:trHeight w:val="437" w:hRule="exact"/>
        </w:trPr>
        <w:tc>
          <w:tcPr>
            <w:tcW w:w="1843"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2012999</w:t>
            </w:r>
          </w:p>
        </w:tc>
        <w:tc>
          <w:tcPr>
            <w:tcW w:w="1934"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default" w:ascii="Times New Roman" w:hAnsi="Times New Roman" w:eastAsia="Times New Roman" w:cs="Times New Roman"/>
                <w:b/>
                <w:bCs/>
                <w:sz w:val="17"/>
                <w:szCs w:val="17"/>
                <w:lang w:val="en-US" w:eastAsia="zh-CN"/>
              </w:rPr>
            </w:pPr>
          </w:p>
        </w:tc>
        <w:tc>
          <w:tcPr>
            <w:tcW w:w="239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其他群众团体事务支出</w:t>
            </w:r>
          </w:p>
        </w:tc>
        <w:tc>
          <w:tcPr>
            <w:tcW w:w="228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5.52</w:t>
            </w:r>
          </w:p>
        </w:tc>
        <w:tc>
          <w:tcPr>
            <w:tcW w:w="229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5.52</w:t>
            </w:r>
          </w:p>
        </w:tc>
        <w:tc>
          <w:tcPr>
            <w:tcW w:w="222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0.00</w:t>
            </w:r>
          </w:p>
        </w:tc>
        <w:tc>
          <w:tcPr>
            <w:tcW w:w="237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w:t>
            </w:r>
          </w:p>
        </w:tc>
      </w:tr>
      <w:tr>
        <w:tblPrEx>
          <w:tblCellMar>
            <w:top w:w="0" w:type="dxa"/>
            <w:left w:w="10" w:type="dxa"/>
            <w:bottom w:w="0" w:type="dxa"/>
            <w:right w:w="10" w:type="dxa"/>
          </w:tblCellMar>
        </w:tblPrEx>
        <w:trPr>
          <w:trHeight w:val="437" w:hRule="exact"/>
        </w:trPr>
        <w:tc>
          <w:tcPr>
            <w:tcW w:w="1843"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2050302</w:t>
            </w:r>
          </w:p>
        </w:tc>
        <w:tc>
          <w:tcPr>
            <w:tcW w:w="1934"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default" w:ascii="Times New Roman" w:hAnsi="Times New Roman" w:eastAsia="Times New Roman" w:cs="Times New Roman"/>
                <w:b/>
                <w:bCs/>
                <w:sz w:val="17"/>
                <w:szCs w:val="17"/>
                <w:lang w:val="en-US" w:eastAsia="zh-CN"/>
              </w:rPr>
            </w:pPr>
          </w:p>
        </w:tc>
        <w:tc>
          <w:tcPr>
            <w:tcW w:w="239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中等职业教育</w:t>
            </w:r>
          </w:p>
        </w:tc>
        <w:tc>
          <w:tcPr>
            <w:tcW w:w="228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397.82</w:t>
            </w:r>
          </w:p>
        </w:tc>
        <w:tc>
          <w:tcPr>
            <w:tcW w:w="229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342.26</w:t>
            </w:r>
          </w:p>
        </w:tc>
        <w:tc>
          <w:tcPr>
            <w:tcW w:w="222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55.56</w:t>
            </w:r>
          </w:p>
        </w:tc>
        <w:tc>
          <w:tcPr>
            <w:tcW w:w="237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w:t>
            </w:r>
          </w:p>
        </w:tc>
      </w:tr>
      <w:tr>
        <w:tblPrEx>
          <w:tblCellMar>
            <w:top w:w="0" w:type="dxa"/>
            <w:left w:w="10" w:type="dxa"/>
            <w:bottom w:w="0" w:type="dxa"/>
            <w:right w:w="10" w:type="dxa"/>
          </w:tblCellMar>
        </w:tblPrEx>
        <w:trPr>
          <w:trHeight w:val="437" w:hRule="exact"/>
        </w:trPr>
        <w:tc>
          <w:tcPr>
            <w:tcW w:w="1843"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2080505</w:t>
            </w:r>
          </w:p>
        </w:tc>
        <w:tc>
          <w:tcPr>
            <w:tcW w:w="1934"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default" w:ascii="Times New Roman" w:hAnsi="Times New Roman" w:eastAsia="Times New Roman" w:cs="Times New Roman"/>
                <w:b/>
                <w:bCs/>
                <w:sz w:val="17"/>
                <w:szCs w:val="17"/>
                <w:lang w:val="en-US" w:eastAsia="zh-CN"/>
              </w:rPr>
            </w:pPr>
          </w:p>
        </w:tc>
        <w:tc>
          <w:tcPr>
            <w:tcW w:w="239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机关事业单位基本养老保险缴费支出</w:t>
            </w:r>
          </w:p>
        </w:tc>
        <w:tc>
          <w:tcPr>
            <w:tcW w:w="228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44.13</w:t>
            </w:r>
          </w:p>
        </w:tc>
        <w:tc>
          <w:tcPr>
            <w:tcW w:w="229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44.13</w:t>
            </w:r>
          </w:p>
        </w:tc>
        <w:tc>
          <w:tcPr>
            <w:tcW w:w="222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0.00</w:t>
            </w:r>
          </w:p>
        </w:tc>
        <w:tc>
          <w:tcPr>
            <w:tcW w:w="237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w:t>
            </w:r>
          </w:p>
        </w:tc>
      </w:tr>
      <w:tr>
        <w:tblPrEx>
          <w:tblCellMar>
            <w:top w:w="0" w:type="dxa"/>
            <w:left w:w="10" w:type="dxa"/>
            <w:bottom w:w="0" w:type="dxa"/>
            <w:right w:w="10" w:type="dxa"/>
          </w:tblCellMar>
        </w:tblPrEx>
        <w:trPr>
          <w:trHeight w:val="437" w:hRule="exact"/>
        </w:trPr>
        <w:tc>
          <w:tcPr>
            <w:tcW w:w="1843"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2121903</w:t>
            </w:r>
          </w:p>
        </w:tc>
        <w:tc>
          <w:tcPr>
            <w:tcW w:w="1934"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default" w:ascii="Times New Roman" w:hAnsi="Times New Roman" w:eastAsia="Times New Roman" w:cs="Times New Roman"/>
                <w:b/>
                <w:bCs/>
                <w:sz w:val="17"/>
                <w:szCs w:val="17"/>
                <w:lang w:val="en-US" w:eastAsia="zh-CN"/>
              </w:rPr>
            </w:pPr>
          </w:p>
        </w:tc>
        <w:tc>
          <w:tcPr>
            <w:tcW w:w="239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城市建设支出</w:t>
            </w:r>
          </w:p>
        </w:tc>
        <w:tc>
          <w:tcPr>
            <w:tcW w:w="228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0.93</w:t>
            </w:r>
          </w:p>
        </w:tc>
        <w:tc>
          <w:tcPr>
            <w:tcW w:w="229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0.00</w:t>
            </w:r>
          </w:p>
        </w:tc>
        <w:tc>
          <w:tcPr>
            <w:tcW w:w="222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0.93</w:t>
            </w:r>
          </w:p>
        </w:tc>
        <w:tc>
          <w:tcPr>
            <w:tcW w:w="237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w:t>
            </w:r>
          </w:p>
        </w:tc>
      </w:tr>
      <w:tr>
        <w:tblPrEx>
          <w:tblCellMar>
            <w:top w:w="0" w:type="dxa"/>
            <w:left w:w="10" w:type="dxa"/>
            <w:bottom w:w="0" w:type="dxa"/>
            <w:right w:w="10" w:type="dxa"/>
          </w:tblCellMar>
        </w:tblPrEx>
        <w:trPr>
          <w:trHeight w:val="437" w:hRule="exact"/>
        </w:trPr>
        <w:tc>
          <w:tcPr>
            <w:tcW w:w="1843"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2210201</w:t>
            </w:r>
          </w:p>
        </w:tc>
        <w:tc>
          <w:tcPr>
            <w:tcW w:w="1934"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default" w:ascii="Times New Roman" w:hAnsi="Times New Roman" w:eastAsia="Times New Roman" w:cs="Times New Roman"/>
                <w:b/>
                <w:bCs/>
                <w:sz w:val="17"/>
                <w:szCs w:val="17"/>
                <w:lang w:val="en-US" w:eastAsia="zh-CN"/>
              </w:rPr>
            </w:pPr>
          </w:p>
        </w:tc>
        <w:tc>
          <w:tcPr>
            <w:tcW w:w="239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住房公积金</w:t>
            </w:r>
          </w:p>
        </w:tc>
        <w:tc>
          <w:tcPr>
            <w:tcW w:w="228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36.76</w:t>
            </w:r>
          </w:p>
        </w:tc>
        <w:tc>
          <w:tcPr>
            <w:tcW w:w="229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36.76</w:t>
            </w:r>
          </w:p>
        </w:tc>
        <w:tc>
          <w:tcPr>
            <w:tcW w:w="222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0.00</w:t>
            </w:r>
          </w:p>
        </w:tc>
        <w:tc>
          <w:tcPr>
            <w:tcW w:w="237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w:t>
            </w:r>
          </w:p>
        </w:tc>
      </w:tr>
    </w:tbl>
    <w:p>
      <w:pPr>
        <w:pStyle w:val="26"/>
        <w:ind w:left="672"/>
        <w:jc w:val="left"/>
      </w:pPr>
      <w:r>
        <w:t>注：本报表金额单位转换时可能存在四舍五入尾数误差。</w:t>
      </w:r>
      <w:r>
        <w:br w:type="page"/>
      </w:r>
    </w:p>
    <w:p>
      <w:pPr>
        <w:pStyle w:val="22"/>
        <w:keepNext/>
        <w:keepLines/>
        <w:spacing w:after="240"/>
        <w:jc w:val="center"/>
      </w:pPr>
      <w:bookmarkStart w:id="22" w:name="bookmark46"/>
      <w:bookmarkStart w:id="23" w:name="bookmark45"/>
      <w:bookmarkStart w:id="24" w:name="bookmark44"/>
      <w:r>
        <w:t>财政拨款收支总体情况表</w:t>
      </w:r>
      <w:bookmarkEnd w:id="22"/>
      <w:bookmarkEnd w:id="23"/>
      <w:bookmarkEnd w:id="24"/>
    </w:p>
    <w:tbl>
      <w:tblPr>
        <w:tblStyle w:val="4"/>
        <w:tblW w:w="0" w:type="auto"/>
        <w:tblInd w:w="0" w:type="dxa"/>
        <w:tblLayout w:type="fixed"/>
        <w:tblCellMar>
          <w:top w:w="0" w:type="dxa"/>
          <w:left w:w="10" w:type="dxa"/>
          <w:bottom w:w="0" w:type="dxa"/>
          <w:right w:w="10" w:type="dxa"/>
        </w:tblCellMar>
      </w:tblPr>
      <w:tblGrid>
        <w:gridCol w:w="2885"/>
        <w:gridCol w:w="955"/>
        <w:gridCol w:w="3830"/>
        <w:gridCol w:w="3826"/>
        <w:gridCol w:w="3845"/>
        <w:gridCol w:w="1"/>
      </w:tblGrid>
      <w:tr>
        <w:tblPrEx>
          <w:tblCellMar>
            <w:top w:w="0" w:type="dxa"/>
            <w:left w:w="10" w:type="dxa"/>
            <w:bottom w:w="0" w:type="dxa"/>
            <w:right w:w="10" w:type="dxa"/>
          </w:tblCellMar>
        </w:tblPrEx>
        <w:trPr>
          <w:gridAfter w:val="1"/>
          <w:wAfter w:w="1" w:type="dxa"/>
          <w:trHeight w:val="346" w:hRule="exact"/>
        </w:trPr>
        <w:tc>
          <w:tcPr>
            <w:tcW w:w="11496" w:type="dxa"/>
            <w:gridSpan w:val="4"/>
            <w:shd w:val="clear" w:color="auto" w:fill="FFFFFF"/>
          </w:tcPr>
          <w:p>
            <w:pPr>
              <w:pStyle w:val="24"/>
              <w:spacing w:line="240" w:lineRule="auto"/>
              <w:ind w:firstLine="0"/>
              <w:jc w:val="left"/>
              <w:rPr>
                <w:rFonts w:hint="default"/>
                <w:sz w:val="17"/>
                <w:szCs w:val="17"/>
                <w:lang w:val="en-US"/>
              </w:rPr>
            </w:pPr>
            <w:r>
              <w:rPr>
                <w:sz w:val="17"/>
                <w:szCs w:val="17"/>
              </w:rPr>
              <w:t>单位名称：</w:t>
            </w:r>
            <w:r>
              <w:rPr>
                <w:rFonts w:hint="eastAsia"/>
                <w:sz w:val="17"/>
                <w:szCs w:val="17"/>
                <w:lang w:eastAsia="zh-CN"/>
              </w:rPr>
              <w:t>环江毛南族自治县职业技术学校</w:t>
            </w:r>
            <w:r>
              <w:rPr>
                <w:rFonts w:hint="eastAsia"/>
                <w:sz w:val="17"/>
                <w:szCs w:val="17"/>
                <w:lang w:val="en-US" w:eastAsia="zh-CN"/>
              </w:rPr>
              <w:t xml:space="preserve">                         </w:t>
            </w:r>
          </w:p>
        </w:tc>
        <w:tc>
          <w:tcPr>
            <w:tcW w:w="3845" w:type="dxa"/>
            <w:shd w:val="clear" w:color="auto" w:fill="FFFFFF"/>
          </w:tcPr>
          <w:p>
            <w:pPr>
              <w:pStyle w:val="24"/>
              <w:spacing w:line="240" w:lineRule="auto"/>
              <w:jc w:val="left"/>
              <w:rPr>
                <w:sz w:val="17"/>
                <w:szCs w:val="17"/>
              </w:rPr>
            </w:pPr>
            <w:r>
              <w:rPr>
                <w:sz w:val="17"/>
                <w:szCs w:val="17"/>
              </w:rPr>
              <w:t>单位：万元</w:t>
            </w:r>
          </w:p>
        </w:tc>
      </w:tr>
      <w:tr>
        <w:tblPrEx>
          <w:tblCellMar>
            <w:top w:w="0" w:type="dxa"/>
            <w:left w:w="10" w:type="dxa"/>
            <w:bottom w:w="0" w:type="dxa"/>
            <w:right w:w="10" w:type="dxa"/>
          </w:tblCellMar>
        </w:tblPrEx>
        <w:trPr>
          <w:gridAfter w:val="1"/>
          <w:wAfter w:w="1" w:type="dxa"/>
          <w:trHeight w:val="437" w:hRule="exact"/>
        </w:trPr>
        <w:tc>
          <w:tcPr>
            <w:tcW w:w="2885" w:type="dxa"/>
            <w:tcBorders>
              <w:top w:val="single" w:color="auto" w:sz="4" w:space="0"/>
              <w:left w:val="single" w:color="auto" w:sz="4" w:space="0"/>
            </w:tcBorders>
            <w:shd w:val="clear" w:color="auto" w:fill="FFFFFF"/>
          </w:tcPr>
          <w:p>
            <w:pPr>
              <w:jc w:val="left"/>
              <w:rPr>
                <w:sz w:val="10"/>
                <w:szCs w:val="10"/>
              </w:rPr>
            </w:pPr>
          </w:p>
        </w:tc>
        <w:tc>
          <w:tcPr>
            <w:tcW w:w="955" w:type="dxa"/>
            <w:tcBorders>
              <w:top w:val="single" w:color="auto" w:sz="4" w:space="0"/>
            </w:tcBorders>
            <w:shd w:val="clear" w:color="auto" w:fill="FFFFFF"/>
            <w:vAlign w:val="center"/>
          </w:tcPr>
          <w:p>
            <w:pPr>
              <w:pStyle w:val="24"/>
              <w:spacing w:line="240" w:lineRule="auto"/>
              <w:ind w:firstLine="0"/>
              <w:jc w:val="left"/>
              <w:rPr>
                <w:sz w:val="17"/>
                <w:szCs w:val="17"/>
              </w:rPr>
            </w:pPr>
            <w:r>
              <w:rPr>
                <w:sz w:val="17"/>
                <w:szCs w:val="17"/>
              </w:rPr>
              <w:t>收</w:t>
            </w:r>
          </w:p>
        </w:tc>
        <w:tc>
          <w:tcPr>
            <w:tcW w:w="3830" w:type="dxa"/>
            <w:tcBorders>
              <w:top w:val="single" w:color="auto" w:sz="4" w:space="0"/>
            </w:tcBorders>
            <w:shd w:val="clear" w:color="auto" w:fill="FFFFFF"/>
            <w:vAlign w:val="center"/>
          </w:tcPr>
          <w:p>
            <w:pPr>
              <w:pStyle w:val="24"/>
              <w:spacing w:line="240" w:lineRule="auto"/>
              <w:ind w:firstLine="340"/>
              <w:jc w:val="left"/>
              <w:rPr>
                <w:sz w:val="17"/>
                <w:szCs w:val="17"/>
              </w:rPr>
            </w:pPr>
            <w:r>
              <w:rPr>
                <w:sz w:val="17"/>
                <w:szCs w:val="17"/>
              </w:rPr>
              <w:t>入</w:t>
            </w:r>
          </w:p>
        </w:tc>
        <w:tc>
          <w:tcPr>
            <w:tcW w:w="3826" w:type="dxa"/>
            <w:tcBorders>
              <w:top w:val="single" w:color="auto" w:sz="4" w:space="0"/>
              <w:left w:val="single" w:color="auto" w:sz="4" w:space="0"/>
            </w:tcBorders>
            <w:shd w:val="clear" w:color="auto" w:fill="FFFFFF"/>
            <w:vAlign w:val="center"/>
          </w:tcPr>
          <w:p>
            <w:pPr>
              <w:pStyle w:val="24"/>
              <w:spacing w:line="240" w:lineRule="auto"/>
              <w:ind w:right="340" w:firstLine="2720" w:firstLineChars="1600"/>
              <w:jc w:val="left"/>
              <w:rPr>
                <w:sz w:val="17"/>
                <w:szCs w:val="17"/>
              </w:rPr>
            </w:pPr>
            <w:r>
              <w:rPr>
                <w:sz w:val="17"/>
                <w:szCs w:val="17"/>
              </w:rPr>
              <w:t>支</w:t>
            </w:r>
          </w:p>
        </w:tc>
        <w:tc>
          <w:tcPr>
            <w:tcW w:w="3845" w:type="dxa"/>
            <w:tcBorders>
              <w:top w:val="single" w:color="auto" w:sz="4" w:space="0"/>
              <w:right w:val="single" w:color="auto" w:sz="4" w:space="0"/>
            </w:tcBorders>
            <w:shd w:val="clear" w:color="auto" w:fill="FFFFFF"/>
            <w:vAlign w:val="center"/>
          </w:tcPr>
          <w:p>
            <w:pPr>
              <w:pStyle w:val="24"/>
              <w:spacing w:line="240" w:lineRule="auto"/>
              <w:ind w:firstLine="935" w:firstLineChars="550"/>
              <w:jc w:val="left"/>
              <w:rPr>
                <w:sz w:val="17"/>
                <w:szCs w:val="17"/>
              </w:rPr>
            </w:pPr>
            <w:r>
              <w:rPr>
                <w:sz w:val="17"/>
                <w:szCs w:val="17"/>
              </w:rPr>
              <w:t>出</w:t>
            </w:r>
          </w:p>
        </w:tc>
      </w:tr>
      <w:tr>
        <w:tblPrEx>
          <w:tblCellMar>
            <w:top w:w="0" w:type="dxa"/>
            <w:left w:w="10" w:type="dxa"/>
            <w:bottom w:w="0" w:type="dxa"/>
            <w:right w:w="10" w:type="dxa"/>
          </w:tblCellMar>
        </w:tblPrEx>
        <w:trPr>
          <w:gridAfter w:val="1"/>
          <w:wAfter w:w="1" w:type="dxa"/>
          <w:trHeight w:val="451" w:hRule="exact"/>
        </w:trPr>
        <w:tc>
          <w:tcPr>
            <w:tcW w:w="3840" w:type="dxa"/>
            <w:gridSpan w:val="2"/>
            <w:tcBorders>
              <w:top w:val="single" w:color="auto" w:sz="4" w:space="0"/>
              <w:left w:val="single" w:color="auto" w:sz="4" w:space="0"/>
            </w:tcBorders>
            <w:shd w:val="clear" w:color="auto" w:fill="FFFFFF"/>
            <w:vAlign w:val="center"/>
          </w:tcPr>
          <w:p>
            <w:pPr>
              <w:pStyle w:val="24"/>
              <w:spacing w:line="240" w:lineRule="auto"/>
              <w:ind w:firstLine="0"/>
              <w:jc w:val="center"/>
              <w:rPr>
                <w:sz w:val="17"/>
                <w:szCs w:val="17"/>
              </w:rPr>
            </w:pPr>
            <w:r>
              <w:rPr>
                <w:sz w:val="17"/>
                <w:szCs w:val="17"/>
              </w:rPr>
              <w:t>项目</w:t>
            </w:r>
          </w:p>
        </w:tc>
        <w:tc>
          <w:tcPr>
            <w:tcW w:w="3830" w:type="dxa"/>
            <w:tcBorders>
              <w:top w:val="single" w:color="auto" w:sz="4" w:space="0"/>
              <w:left w:val="single" w:color="auto" w:sz="4" w:space="0"/>
            </w:tcBorders>
            <w:shd w:val="clear" w:color="auto" w:fill="FFFFFF"/>
            <w:vAlign w:val="center"/>
          </w:tcPr>
          <w:p>
            <w:pPr>
              <w:pStyle w:val="24"/>
              <w:spacing w:line="240" w:lineRule="auto"/>
              <w:ind w:firstLine="0"/>
              <w:jc w:val="center"/>
              <w:rPr>
                <w:sz w:val="17"/>
                <w:szCs w:val="17"/>
              </w:rPr>
            </w:pPr>
            <w:r>
              <w:rPr>
                <w:sz w:val="17"/>
                <w:szCs w:val="17"/>
              </w:rPr>
              <w:t>预算数</w:t>
            </w:r>
          </w:p>
        </w:tc>
        <w:tc>
          <w:tcPr>
            <w:tcW w:w="3826" w:type="dxa"/>
            <w:tcBorders>
              <w:top w:val="single" w:color="auto" w:sz="4" w:space="0"/>
              <w:left w:val="single" w:color="auto" w:sz="4" w:space="0"/>
            </w:tcBorders>
            <w:shd w:val="clear" w:color="auto" w:fill="FFFFFF"/>
            <w:vAlign w:val="center"/>
          </w:tcPr>
          <w:p>
            <w:pPr>
              <w:pStyle w:val="24"/>
              <w:tabs>
                <w:tab w:val="left" w:pos="1034"/>
              </w:tabs>
              <w:spacing w:line="240" w:lineRule="auto"/>
              <w:ind w:firstLine="540"/>
              <w:jc w:val="center"/>
              <w:rPr>
                <w:sz w:val="17"/>
                <w:szCs w:val="17"/>
              </w:rPr>
            </w:pPr>
            <w:r>
              <w:rPr>
                <w:sz w:val="17"/>
                <w:szCs w:val="17"/>
              </w:rPr>
              <w:t>项</w:t>
            </w:r>
            <w:r>
              <w:rPr>
                <w:sz w:val="17"/>
                <w:szCs w:val="17"/>
              </w:rPr>
              <w:tab/>
            </w:r>
            <w:r>
              <w:rPr>
                <w:sz w:val="17"/>
                <w:szCs w:val="17"/>
              </w:rPr>
              <w:t>目（按支出功能科目分类）</w:t>
            </w:r>
          </w:p>
        </w:tc>
        <w:tc>
          <w:tcPr>
            <w:tcW w:w="3845" w:type="dxa"/>
            <w:tcBorders>
              <w:top w:val="single" w:color="auto" w:sz="4" w:space="0"/>
              <w:left w:val="single" w:color="auto" w:sz="4" w:space="0"/>
              <w:right w:val="single" w:color="auto" w:sz="4" w:space="0"/>
            </w:tcBorders>
            <w:shd w:val="clear" w:color="auto" w:fill="FFFFFF"/>
            <w:vAlign w:val="center"/>
          </w:tcPr>
          <w:p>
            <w:pPr>
              <w:pStyle w:val="24"/>
              <w:spacing w:line="240" w:lineRule="auto"/>
              <w:ind w:firstLine="0"/>
              <w:jc w:val="center"/>
              <w:rPr>
                <w:sz w:val="17"/>
                <w:szCs w:val="17"/>
              </w:rPr>
            </w:pPr>
            <w:r>
              <w:rPr>
                <w:sz w:val="17"/>
                <w:szCs w:val="17"/>
              </w:rPr>
              <w:t>预算数</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一、一般公共预算拨款</w:t>
            </w: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428.67</w:t>
            </w: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一、一般公共服务支出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5.52</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 xml:space="preserve">     1、上级补助</w:t>
            </w: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140.00</w:t>
            </w: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二、外交支出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 xml:space="preserve">     2、本级</w:t>
            </w: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288.67</w:t>
            </w: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三、国防支出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二、政府性基金预算拨款</w:t>
            </w: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四、公共安全支出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 xml:space="preserve">     1、上级补助</w:t>
            </w: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五、教育支出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365.82</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 xml:space="preserve">     2、本级</w:t>
            </w: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六、科学技术支出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三、国有资本经营预算拨款</w:t>
            </w: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七、文化旅游体育与传媒支出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1、上级补助</w:t>
            </w: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八、社会保障和就业支出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44.13</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2、本级</w:t>
            </w: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九、卫生健康支出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十、节能环保支出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十一、城乡社区支出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0.93</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十二、农林水支出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十三、交通运输支出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十四、资源勘探工业信息等支出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十五、商业服务业等支出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十六、金融支出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十七、援助其他地区支出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十八、自然资源海洋气象等支出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十九、住房保障支出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36.76</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二十、粮油物资储备支出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二十一、国有资本经营预算支出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二十二、灾害防治及应急管理支出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二十三、其他支出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二十四、债务还本支出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二十五、债务付息支出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二十六、债务发行费用支出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本年收入合计</w:t>
            </w: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428.67</w:t>
            </w: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本年支出合计</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453.15</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上年结转结余</w:t>
            </w: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24.49</w:t>
            </w: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结转下年支出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收入总计</w:t>
            </w: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453.15</w:t>
            </w: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支出总计</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453.15</w:t>
            </w:r>
          </w:p>
        </w:tc>
      </w:tr>
      <w:tr>
        <w:tblPrEx>
          <w:tblCellMar>
            <w:top w:w="0" w:type="dxa"/>
            <w:left w:w="10" w:type="dxa"/>
            <w:bottom w:w="0" w:type="dxa"/>
            <w:right w:w="10" w:type="dxa"/>
          </w:tblCellMar>
        </w:tblPrEx>
        <w:trPr>
          <w:trHeight w:val="352" w:hRule="exact"/>
        </w:trPr>
        <w:tc>
          <w:tcPr>
            <w:tcW w:w="15342" w:type="dxa"/>
            <w:gridSpan w:val="6"/>
            <w:tcBorders>
              <w:top w:val="single" w:color="auto" w:sz="4" w:space="0"/>
            </w:tcBorders>
            <w:shd w:val="clear" w:color="auto" w:fill="FFFFFF"/>
          </w:tcPr>
          <w:p>
            <w:pPr>
              <w:jc w:val="left"/>
              <w:rPr>
                <w:sz w:val="10"/>
                <w:szCs w:val="10"/>
                <w:lang w:eastAsia="zh-CN"/>
              </w:rPr>
            </w:pPr>
            <w:r>
              <w:rPr>
                <w:sz w:val="17"/>
                <w:szCs w:val="17"/>
              </w:rPr>
              <w:t>注：表中功能分类科目，根据各部门实际预算编制情况编列。</w:t>
            </w:r>
          </w:p>
        </w:tc>
      </w:tr>
      <w:tr>
        <w:tblPrEx>
          <w:tblCellMar>
            <w:top w:w="0" w:type="dxa"/>
            <w:left w:w="10" w:type="dxa"/>
            <w:bottom w:w="0" w:type="dxa"/>
            <w:right w:w="10" w:type="dxa"/>
          </w:tblCellMar>
        </w:tblPrEx>
        <w:trPr>
          <w:trHeight w:val="274" w:hRule="exact"/>
        </w:trPr>
        <w:tc>
          <w:tcPr>
            <w:tcW w:w="15342" w:type="dxa"/>
            <w:gridSpan w:val="6"/>
            <w:shd w:val="clear" w:color="auto" w:fill="FFFFFF"/>
            <w:vAlign w:val="bottom"/>
          </w:tcPr>
          <w:p>
            <w:pPr>
              <w:jc w:val="left"/>
              <w:rPr>
                <w:sz w:val="10"/>
                <w:szCs w:val="10"/>
                <w:lang w:eastAsia="zh-CN"/>
              </w:rPr>
            </w:pPr>
            <w:r>
              <w:rPr>
                <w:sz w:val="17"/>
                <w:szCs w:val="17"/>
              </w:rPr>
              <w:t>报表金额单位转换时可能存在四舍五入尾数误差。</w:t>
            </w:r>
          </w:p>
        </w:tc>
      </w:tr>
    </w:tbl>
    <w:p>
      <w:pPr>
        <w:jc w:val="left"/>
        <w:rPr>
          <w:lang w:eastAsia="zh-CN"/>
        </w:rPr>
      </w:pPr>
      <w:r>
        <w:br w:type="page"/>
      </w:r>
    </w:p>
    <w:p>
      <w:pPr>
        <w:jc w:val="center"/>
        <w:rPr>
          <w:rFonts w:hint="eastAsia"/>
          <w:lang w:eastAsia="zh-CN"/>
        </w:rPr>
      </w:pPr>
      <w:r>
        <w:rPr>
          <w:rFonts w:hint="eastAsia"/>
          <w:lang w:eastAsia="zh-CN"/>
        </w:rPr>
        <w:t>一般公共预算支出情况表</w:t>
      </w:r>
    </w:p>
    <w:p>
      <w:pPr>
        <w:jc w:val="center"/>
        <w:rPr>
          <w:rFonts w:hint="eastAsia"/>
          <w:lang w:eastAsia="zh-CN"/>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5"/>
        <w:gridCol w:w="1602"/>
        <w:gridCol w:w="1576"/>
        <w:gridCol w:w="1744"/>
        <w:gridCol w:w="2050"/>
        <w:gridCol w:w="1804"/>
        <w:gridCol w:w="1706"/>
        <w:gridCol w:w="71"/>
        <w:gridCol w:w="1679"/>
        <w:gridCol w:w="1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96" w:type="dxa"/>
            <w:gridSpan w:val="7"/>
            <w:tcBorders>
              <w:top w:val="nil"/>
              <w:left w:val="nil"/>
              <w:right w:val="nil"/>
            </w:tcBorders>
          </w:tcPr>
          <w:p>
            <w:pPr>
              <w:jc w:val="left"/>
              <w:rPr>
                <w:rFonts w:hint="eastAsia"/>
                <w:vertAlign w:val="baseline"/>
                <w:lang w:eastAsia="zh-CN"/>
              </w:rPr>
            </w:pPr>
            <w:r>
              <w:rPr>
                <w:rFonts w:hint="eastAsia" w:ascii="宋体" w:hAnsi="宋体" w:eastAsia="宋体" w:cs="宋体"/>
                <w:sz w:val="16"/>
                <w:szCs w:val="16"/>
                <w:vertAlign w:val="baseline"/>
                <w:lang w:eastAsia="zh-CN"/>
              </w:rPr>
              <w:t>单位名称：</w:t>
            </w:r>
            <w:r>
              <w:rPr>
                <w:rFonts w:ascii="宋体" w:hAnsi="宋体" w:eastAsia="宋体" w:cs="宋体"/>
                <w:sz w:val="16"/>
                <w:u w:color="auto"/>
              </w:rPr>
              <w:t xml:space="preserve">环江毛南族自治县职业技术学校                                                            </w:t>
            </w:r>
            <w:r>
              <w:rPr>
                <w:rFonts w:hint="eastAsia" w:ascii="宋体" w:hAnsi="宋体" w:eastAsia="宋体" w:cs="宋体"/>
                <w:sz w:val="16"/>
                <w:szCs w:val="16"/>
                <w:vertAlign w:val="baseline"/>
                <w:lang w:val="en-US" w:eastAsia="zh-CN"/>
              </w:rPr>
              <w:t xml:space="preserve">                    </w:t>
            </w:r>
            <w:r>
              <w:rPr>
                <w:rFonts w:hint="eastAsia" w:ascii="宋体" w:hAnsi="宋体" w:eastAsia="宋体" w:cs="宋体"/>
                <w:sz w:val="16"/>
                <w:szCs w:val="16"/>
                <w:vertAlign w:val="baseline"/>
                <w:lang w:eastAsia="zh-CN"/>
              </w:rPr>
              <w:t xml:space="preserve">                                                                  </w:t>
            </w:r>
          </w:p>
        </w:tc>
        <w:tc>
          <w:tcPr>
            <w:tcW w:w="3461" w:type="dxa"/>
            <w:gridSpan w:val="3"/>
            <w:tcBorders>
              <w:top w:val="nil"/>
              <w:left w:val="nil"/>
              <w:right w:val="nil"/>
            </w:tcBorders>
          </w:tcPr>
          <w:p>
            <w:pPr>
              <w:ind w:firstLine="1760" w:firstLineChars="1100"/>
              <w:jc w:val="left"/>
              <w:rPr>
                <w:rFonts w:hint="eastAsia"/>
                <w:vertAlign w:val="baseline"/>
                <w:lang w:eastAsia="zh-CN"/>
              </w:rPr>
            </w:pPr>
            <w:r>
              <w:rPr>
                <w:rFonts w:hint="eastAsia" w:ascii="宋体" w:hAnsi="宋体" w:eastAsia="宋体" w:cs="宋体"/>
                <w:sz w:val="16"/>
                <w:szCs w:val="16"/>
                <w:vertAlign w:val="baseline"/>
                <w:lang w:eastAsia="zh-CN"/>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5" w:type="dxa"/>
            <w:vMerge w:val="restart"/>
          </w:tcPr>
          <w:p>
            <w:pPr>
              <w:jc w:val="center"/>
              <w:rPr>
                <w:rFonts w:hint="eastAsia"/>
                <w:vertAlign w:val="baseline"/>
                <w:lang w:eastAsia="zh-CN"/>
              </w:rPr>
            </w:pPr>
            <w:r>
              <w:rPr>
                <w:sz w:val="17"/>
                <w:szCs w:val="17"/>
              </w:rPr>
              <w:t>科目编码</w:t>
            </w:r>
          </w:p>
        </w:tc>
        <w:tc>
          <w:tcPr>
            <w:tcW w:w="1676" w:type="dxa"/>
            <w:vMerge w:val="restart"/>
          </w:tcPr>
          <w:p>
            <w:pPr>
              <w:jc w:val="center"/>
              <w:rPr>
                <w:rFonts w:hint="eastAsia"/>
                <w:vertAlign w:val="baseline"/>
                <w:lang w:eastAsia="zh-CN"/>
              </w:rPr>
            </w:pPr>
            <w:r>
              <w:rPr>
                <w:sz w:val="17"/>
                <w:szCs w:val="17"/>
              </w:rPr>
              <w:t>部门（单位）代码</w:t>
            </w:r>
          </w:p>
        </w:tc>
        <w:tc>
          <w:tcPr>
            <w:tcW w:w="1662" w:type="dxa"/>
            <w:vMerge w:val="restart"/>
          </w:tcPr>
          <w:p>
            <w:pPr>
              <w:pStyle w:val="24"/>
              <w:spacing w:after="120" w:line="240" w:lineRule="auto"/>
              <w:ind w:firstLine="0"/>
              <w:jc w:val="center"/>
              <w:rPr>
                <w:sz w:val="17"/>
                <w:szCs w:val="17"/>
              </w:rPr>
            </w:pPr>
            <w:r>
              <w:rPr>
                <w:sz w:val="17"/>
                <w:szCs w:val="17"/>
              </w:rPr>
              <w:t>部门（单位）名称</w:t>
            </w:r>
          </w:p>
          <w:p>
            <w:pPr>
              <w:jc w:val="center"/>
              <w:rPr>
                <w:rFonts w:hint="eastAsia"/>
                <w:vertAlign w:val="baseline"/>
                <w:lang w:eastAsia="zh-CN"/>
              </w:rPr>
            </w:pPr>
            <w:r>
              <w:rPr>
                <w:sz w:val="17"/>
                <w:szCs w:val="17"/>
              </w:rPr>
              <w:t>（功能分类科目名称）</w:t>
            </w:r>
          </w:p>
        </w:tc>
        <w:tc>
          <w:tcPr>
            <w:tcW w:w="1717" w:type="dxa"/>
            <w:vMerge w:val="restart"/>
          </w:tcPr>
          <w:p>
            <w:pPr>
              <w:jc w:val="center"/>
              <w:rPr>
                <w:rFonts w:hint="eastAsia"/>
                <w:vertAlign w:val="baseline"/>
                <w:lang w:eastAsia="zh-CN"/>
              </w:rPr>
            </w:pPr>
            <w:r>
              <w:rPr>
                <w:sz w:val="17"/>
                <w:szCs w:val="17"/>
              </w:rPr>
              <w:t>合计</w:t>
            </w:r>
          </w:p>
        </w:tc>
        <w:tc>
          <w:tcPr>
            <w:tcW w:w="5398" w:type="dxa"/>
            <w:gridSpan w:val="4"/>
          </w:tcPr>
          <w:p>
            <w:pPr>
              <w:jc w:val="center"/>
              <w:rPr>
                <w:rFonts w:hint="eastAsia"/>
                <w:vertAlign w:val="baseline"/>
                <w:lang w:eastAsia="zh-CN"/>
              </w:rPr>
            </w:pPr>
            <w:r>
              <w:rPr>
                <w:sz w:val="17"/>
                <w:szCs w:val="17"/>
              </w:rPr>
              <w:t>基本支出</w:t>
            </w:r>
          </w:p>
        </w:tc>
        <w:tc>
          <w:tcPr>
            <w:tcW w:w="1694" w:type="dxa"/>
            <w:vMerge w:val="restart"/>
          </w:tcPr>
          <w:p>
            <w:pPr>
              <w:jc w:val="center"/>
              <w:rPr>
                <w:rFonts w:hint="eastAsia"/>
                <w:vertAlign w:val="baseline"/>
                <w:lang w:eastAsia="zh-CN"/>
              </w:rPr>
            </w:pPr>
            <w:r>
              <w:rPr>
                <w:sz w:val="17"/>
                <w:szCs w:val="17"/>
              </w:rPr>
              <w:t>项目支出</w:t>
            </w:r>
          </w:p>
        </w:tc>
        <w:tc>
          <w:tcPr>
            <w:tcW w:w="1695" w:type="dxa"/>
            <w:vMerge w:val="restart"/>
          </w:tcPr>
          <w:p>
            <w:pPr>
              <w:jc w:val="center"/>
              <w:rPr>
                <w:rFonts w:hint="eastAsia"/>
                <w:vertAlign w:val="baseline"/>
                <w:lang w:eastAsia="zh-CN"/>
              </w:rPr>
            </w:pPr>
            <w:r>
              <w:rPr>
                <w:sz w:val="17"/>
                <w:szCs w:val="17"/>
              </w:rPr>
              <w:t>结转下年支出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5" w:type="dxa"/>
            <w:vMerge w:val="continue"/>
          </w:tcPr>
          <w:p>
            <w:pPr>
              <w:jc w:val="center"/>
              <w:rPr>
                <w:rFonts w:hint="eastAsia"/>
                <w:vertAlign w:val="baseline"/>
                <w:lang w:eastAsia="zh-CN"/>
              </w:rPr>
            </w:pPr>
          </w:p>
        </w:tc>
        <w:tc>
          <w:tcPr>
            <w:tcW w:w="1676" w:type="dxa"/>
            <w:vMerge w:val="continue"/>
          </w:tcPr>
          <w:p>
            <w:pPr>
              <w:jc w:val="center"/>
              <w:rPr>
                <w:rFonts w:hint="eastAsia"/>
                <w:vertAlign w:val="baseline"/>
                <w:lang w:eastAsia="zh-CN"/>
              </w:rPr>
            </w:pPr>
          </w:p>
        </w:tc>
        <w:tc>
          <w:tcPr>
            <w:tcW w:w="1662" w:type="dxa"/>
            <w:vMerge w:val="continue"/>
          </w:tcPr>
          <w:p>
            <w:pPr>
              <w:jc w:val="center"/>
              <w:rPr>
                <w:rFonts w:hint="eastAsia"/>
                <w:vertAlign w:val="baseline"/>
                <w:lang w:eastAsia="zh-CN"/>
              </w:rPr>
            </w:pPr>
          </w:p>
        </w:tc>
        <w:tc>
          <w:tcPr>
            <w:tcW w:w="1717" w:type="dxa"/>
            <w:vMerge w:val="continue"/>
          </w:tcPr>
          <w:p>
            <w:pPr>
              <w:jc w:val="center"/>
              <w:rPr>
                <w:rFonts w:hint="eastAsia"/>
                <w:vertAlign w:val="baseline"/>
                <w:lang w:eastAsia="zh-CN"/>
              </w:rPr>
            </w:pPr>
          </w:p>
        </w:tc>
        <w:tc>
          <w:tcPr>
            <w:tcW w:w="1879" w:type="dxa"/>
            <w:vAlign w:val="center"/>
          </w:tcPr>
          <w:p>
            <w:pPr>
              <w:pStyle w:val="24"/>
              <w:spacing w:line="240" w:lineRule="auto"/>
              <w:ind w:firstLine="0" w:firstLineChars="0"/>
              <w:jc w:val="center"/>
              <w:rPr>
                <w:rFonts w:hint="eastAsia"/>
                <w:vertAlign w:val="baseline"/>
                <w:lang w:eastAsia="zh-CN"/>
              </w:rPr>
            </w:pPr>
            <w:r>
              <w:rPr>
                <w:sz w:val="17"/>
                <w:szCs w:val="17"/>
              </w:rPr>
              <w:t>小计</w:t>
            </w:r>
          </w:p>
        </w:tc>
        <w:tc>
          <w:tcPr>
            <w:tcW w:w="1729" w:type="dxa"/>
            <w:vAlign w:val="center"/>
          </w:tcPr>
          <w:p>
            <w:pPr>
              <w:pStyle w:val="24"/>
              <w:spacing w:line="240" w:lineRule="auto"/>
              <w:ind w:firstLine="0" w:firstLineChars="0"/>
              <w:jc w:val="center"/>
              <w:rPr>
                <w:rFonts w:hint="eastAsia"/>
                <w:vertAlign w:val="baseline"/>
                <w:lang w:eastAsia="zh-CN"/>
              </w:rPr>
            </w:pPr>
            <w:r>
              <w:rPr>
                <w:sz w:val="17"/>
                <w:szCs w:val="17"/>
              </w:rPr>
              <w:t>人员经费</w:t>
            </w:r>
          </w:p>
        </w:tc>
        <w:tc>
          <w:tcPr>
            <w:tcW w:w="1790" w:type="dxa"/>
            <w:gridSpan w:val="2"/>
            <w:vAlign w:val="center"/>
          </w:tcPr>
          <w:p>
            <w:pPr>
              <w:pStyle w:val="24"/>
              <w:spacing w:line="240" w:lineRule="auto"/>
              <w:ind w:firstLine="440" w:firstLineChars="0"/>
              <w:jc w:val="center"/>
              <w:rPr>
                <w:rFonts w:hint="eastAsia"/>
                <w:vertAlign w:val="baseline"/>
                <w:lang w:eastAsia="zh-CN"/>
              </w:rPr>
            </w:pPr>
            <w:r>
              <w:rPr>
                <w:sz w:val="17"/>
                <w:szCs w:val="17"/>
              </w:rPr>
              <w:t>公用经费</w:t>
            </w:r>
          </w:p>
        </w:tc>
        <w:tc>
          <w:tcPr>
            <w:tcW w:w="1694" w:type="dxa"/>
            <w:vMerge w:val="continue"/>
          </w:tcPr>
          <w:p>
            <w:pPr>
              <w:jc w:val="center"/>
              <w:rPr>
                <w:rFonts w:hint="eastAsia"/>
                <w:vertAlign w:val="baseline"/>
                <w:lang w:eastAsia="zh-CN"/>
              </w:rPr>
            </w:pPr>
          </w:p>
        </w:tc>
        <w:tc>
          <w:tcPr>
            <w:tcW w:w="1695" w:type="dxa"/>
            <w:vMerge w:val="continue"/>
          </w:tcPr>
          <w:p>
            <w:pPr>
              <w:jc w:val="center"/>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5" w:type="dxa"/>
            <w:vAlign w:val="center"/>
          </w:tcPr>
          <w:p>
            <w:pPr>
              <w:jc w:val="center"/>
              <w:rPr>
                <w:rFonts w:hint="eastAsia"/>
                <w:vertAlign w:val="baseline"/>
                <w:lang w:eastAsia="zh-CN"/>
              </w:rPr>
            </w:pPr>
          </w:p>
        </w:tc>
        <w:tc>
          <w:tcPr>
            <w:tcW w:w="1676" w:type="dxa"/>
            <w:vAlign w:val="center"/>
          </w:tcPr>
          <w:p>
            <w:pPr>
              <w:jc w:val="center"/>
              <w:rPr>
                <w:rFonts w:hint="eastAsia"/>
                <w:vertAlign w:val="baseline"/>
                <w:lang w:eastAsia="zh-CN"/>
              </w:rPr>
            </w:pPr>
          </w:p>
        </w:tc>
        <w:tc>
          <w:tcPr>
            <w:tcW w:w="1662" w:type="dxa"/>
            <w:vAlign w:val="center"/>
          </w:tcPr>
          <w:p>
            <w:pPr>
              <w:jc w:val="center"/>
              <w:rPr>
                <w:rFonts w:hint="eastAsia"/>
                <w:vertAlign w:val="baseline"/>
                <w:lang w:eastAsia="zh-CN"/>
              </w:rPr>
            </w:pPr>
          </w:p>
        </w:tc>
        <w:tc>
          <w:tcPr>
            <w:tcW w:w="1717" w:type="dxa"/>
            <w:vAlign w:val="center"/>
          </w:tcPr>
          <w:p>
            <w:pPr>
              <w:pStyle w:val="24"/>
              <w:spacing w:line="240" w:lineRule="auto"/>
              <w:ind w:firstLine="0" w:firstLineChars="0"/>
              <w:jc w:val="center"/>
              <w:rPr>
                <w:rFonts w:hint="eastAsia"/>
                <w:vertAlign w:val="baseline"/>
                <w:lang w:eastAsia="zh-CN"/>
              </w:rPr>
            </w:pPr>
            <w:r>
              <w:rPr>
                <w:rFonts w:ascii="Times New Roman" w:hAnsi="Times New Roman" w:eastAsia="Times New Roman" w:cs="Times New Roman"/>
                <w:b/>
                <w:bCs/>
                <w:sz w:val="17"/>
                <w:szCs w:val="17"/>
              </w:rPr>
              <w:t>1</w:t>
            </w:r>
          </w:p>
        </w:tc>
        <w:tc>
          <w:tcPr>
            <w:tcW w:w="1879" w:type="dxa"/>
            <w:vAlign w:val="center"/>
          </w:tcPr>
          <w:p>
            <w:pPr>
              <w:pStyle w:val="24"/>
              <w:spacing w:line="240" w:lineRule="auto"/>
              <w:ind w:firstLine="0" w:firstLineChars="0"/>
              <w:jc w:val="center"/>
              <w:rPr>
                <w:rFonts w:hint="eastAsia"/>
                <w:vertAlign w:val="baseline"/>
                <w:lang w:eastAsia="zh-CN"/>
              </w:rPr>
            </w:pPr>
            <w:r>
              <w:rPr>
                <w:rFonts w:ascii="Times New Roman" w:hAnsi="Times New Roman" w:eastAsia="Times New Roman" w:cs="Times New Roman"/>
                <w:b/>
                <w:bCs/>
                <w:sz w:val="17"/>
                <w:szCs w:val="17"/>
              </w:rPr>
              <w:t>2</w:t>
            </w:r>
          </w:p>
        </w:tc>
        <w:tc>
          <w:tcPr>
            <w:tcW w:w="1729" w:type="dxa"/>
            <w:vAlign w:val="center"/>
          </w:tcPr>
          <w:p>
            <w:pPr>
              <w:pStyle w:val="24"/>
              <w:spacing w:line="240" w:lineRule="auto"/>
              <w:ind w:firstLine="0" w:firstLineChars="0"/>
              <w:jc w:val="center"/>
              <w:rPr>
                <w:rFonts w:hint="eastAsia"/>
                <w:vertAlign w:val="baseline"/>
                <w:lang w:eastAsia="zh-CN"/>
              </w:rPr>
            </w:pPr>
            <w:r>
              <w:rPr>
                <w:rFonts w:ascii="Times New Roman" w:hAnsi="Times New Roman" w:eastAsia="Times New Roman" w:cs="Times New Roman"/>
                <w:b/>
                <w:bCs/>
                <w:sz w:val="17"/>
                <w:szCs w:val="17"/>
              </w:rPr>
              <w:t>3</w:t>
            </w:r>
          </w:p>
        </w:tc>
        <w:tc>
          <w:tcPr>
            <w:tcW w:w="1790" w:type="dxa"/>
            <w:gridSpan w:val="2"/>
            <w:vAlign w:val="center"/>
          </w:tcPr>
          <w:p>
            <w:pPr>
              <w:pStyle w:val="24"/>
              <w:spacing w:line="240" w:lineRule="auto"/>
              <w:ind w:firstLine="0" w:firstLineChars="0"/>
              <w:jc w:val="center"/>
              <w:rPr>
                <w:rFonts w:hint="eastAsia"/>
                <w:vertAlign w:val="baseline"/>
                <w:lang w:eastAsia="zh-CN"/>
              </w:rPr>
            </w:pPr>
            <w:r>
              <w:rPr>
                <w:rFonts w:ascii="Times New Roman" w:hAnsi="Times New Roman" w:eastAsia="Times New Roman" w:cs="Times New Roman"/>
                <w:b/>
                <w:bCs/>
                <w:sz w:val="17"/>
                <w:szCs w:val="17"/>
              </w:rPr>
              <w:t>4</w:t>
            </w:r>
          </w:p>
        </w:tc>
        <w:tc>
          <w:tcPr>
            <w:tcW w:w="1694" w:type="dxa"/>
            <w:vAlign w:val="center"/>
          </w:tcPr>
          <w:p>
            <w:pPr>
              <w:pStyle w:val="24"/>
              <w:spacing w:line="240" w:lineRule="auto"/>
              <w:ind w:firstLine="660" w:firstLineChars="0"/>
              <w:jc w:val="center"/>
              <w:rPr>
                <w:rFonts w:hint="eastAsia"/>
                <w:vertAlign w:val="baseline"/>
                <w:lang w:eastAsia="zh-CN"/>
              </w:rPr>
            </w:pPr>
            <w:r>
              <w:rPr>
                <w:rFonts w:ascii="Times New Roman" w:hAnsi="Times New Roman" w:eastAsia="Times New Roman" w:cs="Times New Roman"/>
                <w:b/>
                <w:bCs/>
                <w:sz w:val="17"/>
                <w:szCs w:val="17"/>
              </w:rPr>
              <w:t>5</w:t>
            </w:r>
          </w:p>
        </w:tc>
        <w:tc>
          <w:tcPr>
            <w:tcW w:w="1695" w:type="dxa"/>
            <w:vAlign w:val="center"/>
          </w:tcPr>
          <w:p>
            <w:pPr>
              <w:pStyle w:val="24"/>
              <w:spacing w:line="240" w:lineRule="auto"/>
              <w:ind w:right="700" w:rightChars="0" w:firstLine="0" w:firstLineChars="0"/>
              <w:jc w:val="center"/>
              <w:rPr>
                <w:rFonts w:hint="eastAsia"/>
                <w:vertAlign w:val="baseline"/>
                <w:lang w:eastAsia="zh-CN"/>
              </w:rPr>
            </w:pPr>
            <w:r>
              <w:rPr>
                <w:rFonts w:ascii="Times New Roman" w:hAnsi="Times New Roman" w:eastAsia="Times New Roman" w:cs="Times New Roman"/>
                <w:b/>
                <w:bCs/>
                <w:sz w:val="17"/>
                <w:szCs w:val="17"/>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5" w:type="dxa"/>
            <w:vAlign w:val="center"/>
          </w:tcPr>
          <w:p>
            <w:pPr>
              <w:pStyle w:val="24"/>
              <w:spacing w:line="240" w:lineRule="auto"/>
              <w:ind w:firstLine="0" w:firstLineChars="0"/>
              <w:jc w:val="center"/>
              <w:rPr>
                <w:rFonts w:hint="eastAsia"/>
                <w:vertAlign w:val="baseline"/>
                <w:lang w:eastAsia="zh-CN"/>
              </w:rPr>
            </w:pPr>
          </w:p>
        </w:tc>
        <w:tc>
          <w:tcPr>
            <w:tcW w:w="1676" w:type="dxa"/>
            <w:vAlign w:val="center"/>
          </w:tcPr>
          <w:p>
            <w:pPr>
              <w:pStyle w:val="24"/>
              <w:spacing w:line="240" w:lineRule="auto"/>
              <w:ind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rPr>
              <w:t>201051</w:t>
            </w:r>
          </w:p>
        </w:tc>
        <w:tc>
          <w:tcPr>
            <w:tcW w:w="1662" w:type="dxa"/>
            <w:vAlign w:val="center"/>
          </w:tcPr>
          <w:p>
            <w:pPr>
              <w:pStyle w:val="24"/>
              <w:spacing w:line="240" w:lineRule="auto"/>
              <w:ind w:firstLine="0" w:firstLineChars="0"/>
              <w:jc w:val="center"/>
              <w:rPr>
                <w:rFonts w:hint="eastAsia"/>
                <w:vertAlign w:val="baseline"/>
                <w:lang w:eastAsia="zh-CN"/>
              </w:rPr>
            </w:pPr>
          </w:p>
        </w:tc>
        <w:tc>
          <w:tcPr>
            <w:tcW w:w="1717" w:type="dxa"/>
            <w:vAlign w:val="center"/>
          </w:tcPr>
          <w:p>
            <w:pPr>
              <w:pStyle w:val="24"/>
              <w:spacing w:line="240" w:lineRule="auto"/>
              <w:ind w:left="1060" w:leftChars="0"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452.23</w:t>
            </w:r>
          </w:p>
        </w:tc>
        <w:tc>
          <w:tcPr>
            <w:tcW w:w="1879" w:type="dxa"/>
            <w:vAlign w:val="center"/>
          </w:tcPr>
          <w:p>
            <w:pPr>
              <w:pStyle w:val="24"/>
              <w:spacing w:line="240" w:lineRule="auto"/>
              <w:ind w:left="1320" w:leftChars="0" w:firstLine="0" w:firstLineChars="0"/>
              <w:jc w:val="center"/>
              <w:rPr>
                <w:rFonts w:hint="eastAsia"/>
                <w:vertAlign w:val="baseline"/>
                <w:lang w:eastAsia="zh-CN"/>
              </w:rPr>
            </w:pPr>
            <w:r>
              <w:rPr>
                <w:rFonts w:hint="eastAsia"/>
                <w:b/>
                <w:bCs/>
                <w:sz w:val="17"/>
                <w:szCs w:val="17"/>
                <w:lang w:val="en-US" w:eastAsia="zh-CN"/>
              </w:rPr>
              <w:t>428.67</w:t>
            </w:r>
          </w:p>
        </w:tc>
        <w:tc>
          <w:tcPr>
            <w:tcW w:w="1729" w:type="dxa"/>
            <w:vAlign w:val="center"/>
          </w:tcPr>
          <w:p>
            <w:pPr>
              <w:pStyle w:val="24"/>
              <w:spacing w:line="240" w:lineRule="auto"/>
              <w:ind w:left="1120" w:leftChars="0"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423.15</w:t>
            </w:r>
          </w:p>
        </w:tc>
        <w:tc>
          <w:tcPr>
            <w:tcW w:w="1790" w:type="dxa"/>
            <w:gridSpan w:val="2"/>
            <w:vAlign w:val="center"/>
          </w:tcPr>
          <w:p>
            <w:pPr>
              <w:pStyle w:val="24"/>
              <w:spacing w:line="240" w:lineRule="auto"/>
              <w:ind w:left="1060" w:leftChars="0" w:firstLine="0" w:firstLineChars="0"/>
              <w:jc w:val="center"/>
              <w:rPr>
                <w:rFonts w:hint="eastAsia"/>
                <w:vertAlign w:val="baseline"/>
                <w:lang w:eastAsia="zh-CN"/>
              </w:rPr>
            </w:pPr>
            <w:r>
              <w:rPr>
                <w:rFonts w:hint="eastAsia"/>
                <w:b/>
                <w:bCs/>
                <w:sz w:val="17"/>
                <w:szCs w:val="17"/>
                <w:lang w:val="en-US" w:eastAsia="zh-CN"/>
              </w:rPr>
              <w:t>5.52</w:t>
            </w:r>
          </w:p>
        </w:tc>
        <w:tc>
          <w:tcPr>
            <w:tcW w:w="1694" w:type="dxa"/>
            <w:vAlign w:val="center"/>
          </w:tcPr>
          <w:p>
            <w:pPr>
              <w:pStyle w:val="24"/>
              <w:spacing w:line="240" w:lineRule="auto"/>
              <w:ind w:firstLine="40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23.56</w:t>
            </w:r>
          </w:p>
        </w:tc>
        <w:tc>
          <w:tcPr>
            <w:tcW w:w="1695" w:type="dxa"/>
            <w:vAlign w:val="center"/>
          </w:tcPr>
          <w:p>
            <w:pPr>
              <w:pStyle w:val="24"/>
              <w:spacing w:line="240" w:lineRule="auto"/>
              <w:ind w:firstLine="400" w:firstLineChars="0"/>
              <w:jc w:val="center"/>
              <w:rPr>
                <w:rFonts w:hint="eastAsia"/>
                <w:vertAlign w:val="baseline"/>
                <w:lang w:eastAsia="zh-CN"/>
              </w:rPr>
            </w:pPr>
            <w:r>
              <w:rPr>
                <w:rFonts w:hint="eastAsia"/>
                <w:b/>
                <w:bCs/>
                <w:sz w:val="17"/>
                <w:szCs w:val="17"/>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5" w:type="dxa"/>
            <w:vAlign w:val="center"/>
          </w:tcPr>
          <w:p>
            <w:pPr>
              <w:pStyle w:val="24"/>
              <w:spacing w:line="240" w:lineRule="auto"/>
              <w:ind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rPr>
              <w:t>2012999</w:t>
            </w:r>
          </w:p>
        </w:tc>
        <w:tc>
          <w:tcPr>
            <w:tcW w:w="1676" w:type="dxa"/>
            <w:vAlign w:val="center"/>
          </w:tcPr>
          <w:p>
            <w:pPr>
              <w:pStyle w:val="24"/>
              <w:spacing w:line="240" w:lineRule="auto"/>
              <w:ind w:firstLine="0" w:firstLineChars="0"/>
              <w:jc w:val="center"/>
              <w:rPr>
                <w:rFonts w:hint="eastAsia"/>
                <w:vertAlign w:val="baseline"/>
                <w:lang w:eastAsia="zh-CN"/>
              </w:rPr>
            </w:pPr>
          </w:p>
        </w:tc>
        <w:tc>
          <w:tcPr>
            <w:tcW w:w="1662" w:type="dxa"/>
            <w:vAlign w:val="center"/>
          </w:tcPr>
          <w:p>
            <w:pPr>
              <w:pStyle w:val="24"/>
              <w:spacing w:line="240" w:lineRule="auto"/>
              <w:ind w:firstLine="0" w:firstLineChars="0"/>
              <w:jc w:val="center"/>
              <w:rPr>
                <w:rFonts w:hint="eastAsia"/>
                <w:vertAlign w:val="baseline"/>
                <w:lang w:eastAsia="zh-CN"/>
              </w:rPr>
            </w:pPr>
            <w:r>
              <w:rPr>
                <w:rFonts w:hint="eastAsia"/>
                <w:sz w:val="17"/>
                <w:szCs w:val="17"/>
                <w:lang w:val="en-US" w:eastAsia="zh-CN"/>
              </w:rPr>
              <w:t>其他群众团体事务支出</w:t>
            </w:r>
          </w:p>
        </w:tc>
        <w:tc>
          <w:tcPr>
            <w:tcW w:w="1717" w:type="dxa"/>
            <w:vAlign w:val="center"/>
          </w:tcPr>
          <w:p>
            <w:pPr>
              <w:pStyle w:val="24"/>
              <w:spacing w:line="240" w:lineRule="auto"/>
              <w:ind w:left="1060" w:leftChars="0"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5.52</w:t>
            </w:r>
          </w:p>
        </w:tc>
        <w:tc>
          <w:tcPr>
            <w:tcW w:w="1879" w:type="dxa"/>
            <w:vAlign w:val="center"/>
          </w:tcPr>
          <w:p>
            <w:pPr>
              <w:pStyle w:val="24"/>
              <w:spacing w:line="240" w:lineRule="auto"/>
              <w:ind w:left="1320" w:leftChars="0" w:firstLine="0" w:firstLineChars="0"/>
              <w:jc w:val="center"/>
              <w:rPr>
                <w:rFonts w:hint="eastAsia"/>
                <w:vertAlign w:val="baseline"/>
                <w:lang w:eastAsia="zh-CN"/>
              </w:rPr>
            </w:pPr>
            <w:r>
              <w:rPr>
                <w:rFonts w:hint="eastAsia"/>
                <w:b/>
                <w:bCs/>
                <w:sz w:val="17"/>
                <w:szCs w:val="17"/>
                <w:lang w:val="en-US" w:eastAsia="zh-CN"/>
              </w:rPr>
              <w:t>5.52</w:t>
            </w:r>
          </w:p>
        </w:tc>
        <w:tc>
          <w:tcPr>
            <w:tcW w:w="1729" w:type="dxa"/>
            <w:vAlign w:val="center"/>
          </w:tcPr>
          <w:p>
            <w:pPr>
              <w:pStyle w:val="24"/>
              <w:spacing w:line="240" w:lineRule="auto"/>
              <w:ind w:left="1120" w:leftChars="0"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0.00</w:t>
            </w:r>
          </w:p>
        </w:tc>
        <w:tc>
          <w:tcPr>
            <w:tcW w:w="1790" w:type="dxa"/>
            <w:gridSpan w:val="2"/>
            <w:vAlign w:val="center"/>
          </w:tcPr>
          <w:p>
            <w:pPr>
              <w:pStyle w:val="24"/>
              <w:spacing w:line="240" w:lineRule="auto"/>
              <w:ind w:left="1060" w:leftChars="0" w:firstLine="0" w:firstLineChars="0"/>
              <w:jc w:val="center"/>
              <w:rPr>
                <w:rFonts w:hint="eastAsia"/>
                <w:vertAlign w:val="baseline"/>
                <w:lang w:eastAsia="zh-CN"/>
              </w:rPr>
            </w:pPr>
            <w:r>
              <w:rPr>
                <w:rFonts w:hint="eastAsia"/>
                <w:b/>
                <w:bCs/>
                <w:sz w:val="17"/>
                <w:szCs w:val="17"/>
                <w:lang w:val="en-US" w:eastAsia="zh-CN"/>
              </w:rPr>
              <w:t>5.52</w:t>
            </w:r>
          </w:p>
        </w:tc>
        <w:tc>
          <w:tcPr>
            <w:tcW w:w="1694" w:type="dxa"/>
            <w:vAlign w:val="center"/>
          </w:tcPr>
          <w:p>
            <w:pPr>
              <w:pStyle w:val="24"/>
              <w:spacing w:line="240" w:lineRule="auto"/>
              <w:ind w:firstLine="40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0.00</w:t>
            </w:r>
          </w:p>
        </w:tc>
        <w:tc>
          <w:tcPr>
            <w:tcW w:w="1695" w:type="dxa"/>
            <w:vAlign w:val="center"/>
          </w:tcPr>
          <w:p>
            <w:pPr>
              <w:pStyle w:val="24"/>
              <w:spacing w:line="240" w:lineRule="auto"/>
              <w:ind w:firstLine="400" w:firstLineChars="0"/>
              <w:jc w:val="center"/>
              <w:rPr>
                <w:rFonts w:hint="eastAsia"/>
                <w:vertAlign w:val="baseline"/>
                <w:lang w:eastAsia="zh-CN"/>
              </w:rPr>
            </w:pPr>
            <w:r>
              <w:rPr>
                <w:rFonts w:hint="eastAsia"/>
                <w:b/>
                <w:bCs/>
                <w:sz w:val="17"/>
                <w:szCs w:val="17"/>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5" w:type="dxa"/>
            <w:vAlign w:val="center"/>
          </w:tcPr>
          <w:p>
            <w:pPr>
              <w:pStyle w:val="24"/>
              <w:spacing w:line="240" w:lineRule="auto"/>
              <w:ind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rPr>
              <w:t>2050302</w:t>
            </w:r>
          </w:p>
        </w:tc>
        <w:tc>
          <w:tcPr>
            <w:tcW w:w="1676" w:type="dxa"/>
            <w:vAlign w:val="center"/>
          </w:tcPr>
          <w:p>
            <w:pPr>
              <w:pStyle w:val="24"/>
              <w:spacing w:line="240" w:lineRule="auto"/>
              <w:ind w:firstLine="0" w:firstLineChars="0"/>
              <w:jc w:val="center"/>
              <w:rPr>
                <w:rFonts w:hint="eastAsia"/>
                <w:vertAlign w:val="baseline"/>
                <w:lang w:eastAsia="zh-CN"/>
              </w:rPr>
            </w:pPr>
          </w:p>
        </w:tc>
        <w:tc>
          <w:tcPr>
            <w:tcW w:w="1662" w:type="dxa"/>
            <w:vAlign w:val="center"/>
          </w:tcPr>
          <w:p>
            <w:pPr>
              <w:pStyle w:val="24"/>
              <w:spacing w:line="240" w:lineRule="auto"/>
              <w:ind w:firstLine="0" w:firstLineChars="0"/>
              <w:jc w:val="center"/>
              <w:rPr>
                <w:rFonts w:hint="eastAsia"/>
                <w:vertAlign w:val="baseline"/>
                <w:lang w:eastAsia="zh-CN"/>
              </w:rPr>
            </w:pPr>
            <w:r>
              <w:rPr>
                <w:rFonts w:hint="eastAsia"/>
                <w:sz w:val="17"/>
                <w:szCs w:val="17"/>
                <w:lang w:val="en-US" w:eastAsia="zh-CN"/>
              </w:rPr>
              <w:t>中等职业教育</w:t>
            </w:r>
          </w:p>
        </w:tc>
        <w:tc>
          <w:tcPr>
            <w:tcW w:w="1717" w:type="dxa"/>
            <w:vAlign w:val="center"/>
          </w:tcPr>
          <w:p>
            <w:pPr>
              <w:pStyle w:val="24"/>
              <w:spacing w:line="240" w:lineRule="auto"/>
              <w:ind w:left="1060" w:leftChars="0"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365.82</w:t>
            </w:r>
          </w:p>
        </w:tc>
        <w:tc>
          <w:tcPr>
            <w:tcW w:w="1879" w:type="dxa"/>
            <w:vAlign w:val="center"/>
          </w:tcPr>
          <w:p>
            <w:pPr>
              <w:pStyle w:val="24"/>
              <w:spacing w:line="240" w:lineRule="auto"/>
              <w:ind w:left="1320" w:leftChars="0" w:firstLine="0" w:firstLineChars="0"/>
              <w:jc w:val="center"/>
              <w:rPr>
                <w:rFonts w:hint="eastAsia"/>
                <w:vertAlign w:val="baseline"/>
                <w:lang w:eastAsia="zh-CN"/>
              </w:rPr>
            </w:pPr>
            <w:r>
              <w:rPr>
                <w:rFonts w:hint="eastAsia"/>
                <w:b/>
                <w:bCs/>
                <w:sz w:val="17"/>
                <w:szCs w:val="17"/>
                <w:lang w:val="en-US" w:eastAsia="zh-CN"/>
              </w:rPr>
              <w:t>342.26</w:t>
            </w:r>
          </w:p>
        </w:tc>
        <w:tc>
          <w:tcPr>
            <w:tcW w:w="1729" w:type="dxa"/>
            <w:vAlign w:val="center"/>
          </w:tcPr>
          <w:p>
            <w:pPr>
              <w:pStyle w:val="24"/>
              <w:spacing w:line="240" w:lineRule="auto"/>
              <w:ind w:left="1120" w:leftChars="0"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342.26</w:t>
            </w:r>
          </w:p>
        </w:tc>
        <w:tc>
          <w:tcPr>
            <w:tcW w:w="1790" w:type="dxa"/>
            <w:gridSpan w:val="2"/>
            <w:vAlign w:val="center"/>
          </w:tcPr>
          <w:p>
            <w:pPr>
              <w:pStyle w:val="24"/>
              <w:spacing w:line="240" w:lineRule="auto"/>
              <w:ind w:left="1060" w:leftChars="0" w:firstLine="0" w:firstLineChars="0"/>
              <w:jc w:val="center"/>
              <w:rPr>
                <w:rFonts w:hint="eastAsia"/>
                <w:vertAlign w:val="baseline"/>
                <w:lang w:eastAsia="zh-CN"/>
              </w:rPr>
            </w:pPr>
            <w:r>
              <w:rPr>
                <w:rFonts w:hint="eastAsia"/>
                <w:b/>
                <w:bCs/>
                <w:sz w:val="17"/>
                <w:szCs w:val="17"/>
                <w:lang w:val="en-US" w:eastAsia="zh-CN"/>
              </w:rPr>
              <w:t>0.00</w:t>
            </w:r>
          </w:p>
        </w:tc>
        <w:tc>
          <w:tcPr>
            <w:tcW w:w="1694" w:type="dxa"/>
            <w:vAlign w:val="center"/>
          </w:tcPr>
          <w:p>
            <w:pPr>
              <w:pStyle w:val="24"/>
              <w:spacing w:line="240" w:lineRule="auto"/>
              <w:ind w:firstLine="40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23.56</w:t>
            </w:r>
          </w:p>
        </w:tc>
        <w:tc>
          <w:tcPr>
            <w:tcW w:w="1695" w:type="dxa"/>
            <w:vAlign w:val="center"/>
          </w:tcPr>
          <w:p>
            <w:pPr>
              <w:pStyle w:val="24"/>
              <w:spacing w:line="240" w:lineRule="auto"/>
              <w:ind w:firstLine="400" w:firstLineChars="0"/>
              <w:jc w:val="center"/>
              <w:rPr>
                <w:rFonts w:hint="eastAsia"/>
                <w:vertAlign w:val="baseline"/>
                <w:lang w:eastAsia="zh-CN"/>
              </w:rPr>
            </w:pPr>
            <w:r>
              <w:rPr>
                <w:rFonts w:hint="eastAsia"/>
                <w:b/>
                <w:bCs/>
                <w:sz w:val="17"/>
                <w:szCs w:val="17"/>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5" w:type="dxa"/>
            <w:vAlign w:val="center"/>
          </w:tcPr>
          <w:p>
            <w:pPr>
              <w:pStyle w:val="24"/>
              <w:spacing w:line="240" w:lineRule="auto"/>
              <w:ind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rPr>
              <w:t>2080505</w:t>
            </w:r>
          </w:p>
        </w:tc>
        <w:tc>
          <w:tcPr>
            <w:tcW w:w="1676" w:type="dxa"/>
            <w:vAlign w:val="center"/>
          </w:tcPr>
          <w:p>
            <w:pPr>
              <w:pStyle w:val="24"/>
              <w:spacing w:line="240" w:lineRule="auto"/>
              <w:ind w:firstLine="0" w:firstLineChars="0"/>
              <w:jc w:val="center"/>
              <w:rPr>
                <w:rFonts w:hint="eastAsia"/>
                <w:vertAlign w:val="baseline"/>
                <w:lang w:eastAsia="zh-CN"/>
              </w:rPr>
            </w:pPr>
          </w:p>
        </w:tc>
        <w:tc>
          <w:tcPr>
            <w:tcW w:w="1662" w:type="dxa"/>
            <w:vAlign w:val="center"/>
          </w:tcPr>
          <w:p>
            <w:pPr>
              <w:pStyle w:val="24"/>
              <w:spacing w:line="240" w:lineRule="auto"/>
              <w:ind w:firstLine="0" w:firstLineChars="0"/>
              <w:jc w:val="center"/>
              <w:rPr>
                <w:rFonts w:hint="eastAsia"/>
                <w:vertAlign w:val="baseline"/>
                <w:lang w:eastAsia="zh-CN"/>
              </w:rPr>
            </w:pPr>
            <w:r>
              <w:rPr>
                <w:rFonts w:hint="eastAsia"/>
                <w:sz w:val="17"/>
                <w:szCs w:val="17"/>
                <w:lang w:val="en-US" w:eastAsia="zh-CN"/>
              </w:rPr>
              <w:t>机关事业单位基本养老保险缴费支出</w:t>
            </w:r>
          </w:p>
        </w:tc>
        <w:tc>
          <w:tcPr>
            <w:tcW w:w="1717" w:type="dxa"/>
            <w:vAlign w:val="center"/>
          </w:tcPr>
          <w:p>
            <w:pPr>
              <w:pStyle w:val="24"/>
              <w:spacing w:line="240" w:lineRule="auto"/>
              <w:ind w:left="1060" w:leftChars="0"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44.13</w:t>
            </w:r>
          </w:p>
        </w:tc>
        <w:tc>
          <w:tcPr>
            <w:tcW w:w="1879" w:type="dxa"/>
            <w:vAlign w:val="center"/>
          </w:tcPr>
          <w:p>
            <w:pPr>
              <w:pStyle w:val="24"/>
              <w:spacing w:line="240" w:lineRule="auto"/>
              <w:ind w:left="1320" w:leftChars="0" w:firstLine="0" w:firstLineChars="0"/>
              <w:jc w:val="center"/>
              <w:rPr>
                <w:rFonts w:hint="eastAsia"/>
                <w:vertAlign w:val="baseline"/>
                <w:lang w:eastAsia="zh-CN"/>
              </w:rPr>
            </w:pPr>
            <w:r>
              <w:rPr>
                <w:rFonts w:hint="eastAsia"/>
                <w:b/>
                <w:bCs/>
                <w:sz w:val="17"/>
                <w:szCs w:val="17"/>
                <w:lang w:val="en-US" w:eastAsia="zh-CN"/>
              </w:rPr>
              <w:t>44.13</w:t>
            </w:r>
          </w:p>
        </w:tc>
        <w:tc>
          <w:tcPr>
            <w:tcW w:w="1729" w:type="dxa"/>
            <w:vAlign w:val="center"/>
          </w:tcPr>
          <w:p>
            <w:pPr>
              <w:pStyle w:val="24"/>
              <w:spacing w:line="240" w:lineRule="auto"/>
              <w:ind w:left="1120" w:leftChars="0"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44.13</w:t>
            </w:r>
          </w:p>
        </w:tc>
        <w:tc>
          <w:tcPr>
            <w:tcW w:w="1790" w:type="dxa"/>
            <w:gridSpan w:val="2"/>
            <w:vAlign w:val="center"/>
          </w:tcPr>
          <w:p>
            <w:pPr>
              <w:pStyle w:val="24"/>
              <w:spacing w:line="240" w:lineRule="auto"/>
              <w:ind w:left="1060" w:leftChars="0" w:firstLine="0" w:firstLineChars="0"/>
              <w:jc w:val="center"/>
              <w:rPr>
                <w:rFonts w:hint="eastAsia"/>
                <w:vertAlign w:val="baseline"/>
                <w:lang w:eastAsia="zh-CN"/>
              </w:rPr>
            </w:pPr>
            <w:r>
              <w:rPr>
                <w:rFonts w:hint="eastAsia"/>
                <w:b/>
                <w:bCs/>
                <w:sz w:val="17"/>
                <w:szCs w:val="17"/>
                <w:lang w:val="en-US" w:eastAsia="zh-CN"/>
              </w:rPr>
              <w:t>0.00</w:t>
            </w:r>
          </w:p>
        </w:tc>
        <w:tc>
          <w:tcPr>
            <w:tcW w:w="1694" w:type="dxa"/>
            <w:vAlign w:val="center"/>
          </w:tcPr>
          <w:p>
            <w:pPr>
              <w:pStyle w:val="24"/>
              <w:spacing w:line="240" w:lineRule="auto"/>
              <w:ind w:firstLine="40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0.00</w:t>
            </w:r>
          </w:p>
        </w:tc>
        <w:tc>
          <w:tcPr>
            <w:tcW w:w="1695" w:type="dxa"/>
            <w:vAlign w:val="center"/>
          </w:tcPr>
          <w:p>
            <w:pPr>
              <w:pStyle w:val="24"/>
              <w:spacing w:line="240" w:lineRule="auto"/>
              <w:ind w:firstLine="400" w:firstLineChars="0"/>
              <w:jc w:val="center"/>
              <w:rPr>
                <w:rFonts w:hint="eastAsia"/>
                <w:vertAlign w:val="baseline"/>
                <w:lang w:eastAsia="zh-CN"/>
              </w:rPr>
            </w:pPr>
            <w:r>
              <w:rPr>
                <w:rFonts w:hint="eastAsia"/>
                <w:b/>
                <w:bCs/>
                <w:sz w:val="17"/>
                <w:szCs w:val="17"/>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5" w:type="dxa"/>
            <w:vAlign w:val="center"/>
          </w:tcPr>
          <w:p>
            <w:pPr>
              <w:pStyle w:val="24"/>
              <w:spacing w:line="240" w:lineRule="auto"/>
              <w:ind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rPr>
              <w:t>2210201</w:t>
            </w:r>
          </w:p>
        </w:tc>
        <w:tc>
          <w:tcPr>
            <w:tcW w:w="1676" w:type="dxa"/>
            <w:vAlign w:val="center"/>
          </w:tcPr>
          <w:p>
            <w:pPr>
              <w:pStyle w:val="24"/>
              <w:spacing w:line="240" w:lineRule="auto"/>
              <w:ind w:firstLine="0" w:firstLineChars="0"/>
              <w:jc w:val="center"/>
              <w:rPr>
                <w:rFonts w:hint="eastAsia"/>
                <w:vertAlign w:val="baseline"/>
                <w:lang w:eastAsia="zh-CN"/>
              </w:rPr>
            </w:pPr>
          </w:p>
        </w:tc>
        <w:tc>
          <w:tcPr>
            <w:tcW w:w="1662" w:type="dxa"/>
            <w:vAlign w:val="center"/>
          </w:tcPr>
          <w:p>
            <w:pPr>
              <w:pStyle w:val="24"/>
              <w:spacing w:line="240" w:lineRule="auto"/>
              <w:ind w:firstLine="0" w:firstLineChars="0"/>
              <w:jc w:val="center"/>
              <w:rPr>
                <w:rFonts w:hint="eastAsia"/>
                <w:vertAlign w:val="baseline"/>
                <w:lang w:eastAsia="zh-CN"/>
              </w:rPr>
            </w:pPr>
            <w:r>
              <w:rPr>
                <w:rFonts w:hint="eastAsia"/>
                <w:sz w:val="17"/>
                <w:szCs w:val="17"/>
                <w:lang w:val="en-US" w:eastAsia="zh-CN"/>
              </w:rPr>
              <w:t>住房公积金</w:t>
            </w:r>
          </w:p>
        </w:tc>
        <w:tc>
          <w:tcPr>
            <w:tcW w:w="1717" w:type="dxa"/>
            <w:vAlign w:val="center"/>
          </w:tcPr>
          <w:p>
            <w:pPr>
              <w:pStyle w:val="24"/>
              <w:spacing w:line="240" w:lineRule="auto"/>
              <w:ind w:left="1060" w:leftChars="0"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36.76</w:t>
            </w:r>
          </w:p>
        </w:tc>
        <w:tc>
          <w:tcPr>
            <w:tcW w:w="1879" w:type="dxa"/>
            <w:vAlign w:val="center"/>
          </w:tcPr>
          <w:p>
            <w:pPr>
              <w:pStyle w:val="24"/>
              <w:spacing w:line="240" w:lineRule="auto"/>
              <w:ind w:left="1320" w:leftChars="0" w:firstLine="0" w:firstLineChars="0"/>
              <w:jc w:val="center"/>
              <w:rPr>
                <w:rFonts w:hint="eastAsia"/>
                <w:vertAlign w:val="baseline"/>
                <w:lang w:eastAsia="zh-CN"/>
              </w:rPr>
            </w:pPr>
            <w:r>
              <w:rPr>
                <w:rFonts w:hint="eastAsia"/>
                <w:b/>
                <w:bCs/>
                <w:sz w:val="17"/>
                <w:szCs w:val="17"/>
                <w:lang w:val="en-US" w:eastAsia="zh-CN"/>
              </w:rPr>
              <w:t>36.76</w:t>
            </w:r>
          </w:p>
        </w:tc>
        <w:tc>
          <w:tcPr>
            <w:tcW w:w="1729" w:type="dxa"/>
            <w:vAlign w:val="center"/>
          </w:tcPr>
          <w:p>
            <w:pPr>
              <w:pStyle w:val="24"/>
              <w:spacing w:line="240" w:lineRule="auto"/>
              <w:ind w:left="1120" w:leftChars="0"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36.76</w:t>
            </w:r>
          </w:p>
        </w:tc>
        <w:tc>
          <w:tcPr>
            <w:tcW w:w="1790" w:type="dxa"/>
            <w:gridSpan w:val="2"/>
            <w:vAlign w:val="center"/>
          </w:tcPr>
          <w:p>
            <w:pPr>
              <w:pStyle w:val="24"/>
              <w:spacing w:line="240" w:lineRule="auto"/>
              <w:ind w:left="1060" w:leftChars="0" w:firstLine="0" w:firstLineChars="0"/>
              <w:jc w:val="center"/>
              <w:rPr>
                <w:rFonts w:hint="eastAsia"/>
                <w:vertAlign w:val="baseline"/>
                <w:lang w:eastAsia="zh-CN"/>
              </w:rPr>
            </w:pPr>
            <w:r>
              <w:rPr>
                <w:rFonts w:hint="eastAsia"/>
                <w:b/>
                <w:bCs/>
                <w:sz w:val="17"/>
                <w:szCs w:val="17"/>
                <w:lang w:val="en-US" w:eastAsia="zh-CN"/>
              </w:rPr>
              <w:t>0.00</w:t>
            </w:r>
          </w:p>
        </w:tc>
        <w:tc>
          <w:tcPr>
            <w:tcW w:w="1694" w:type="dxa"/>
            <w:vAlign w:val="center"/>
          </w:tcPr>
          <w:p>
            <w:pPr>
              <w:pStyle w:val="24"/>
              <w:spacing w:line="240" w:lineRule="auto"/>
              <w:ind w:firstLine="40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0.00</w:t>
            </w:r>
          </w:p>
        </w:tc>
        <w:tc>
          <w:tcPr>
            <w:tcW w:w="1695" w:type="dxa"/>
            <w:vAlign w:val="center"/>
          </w:tcPr>
          <w:p>
            <w:pPr>
              <w:pStyle w:val="24"/>
              <w:spacing w:line="240" w:lineRule="auto"/>
              <w:ind w:firstLine="400" w:firstLineChars="0"/>
              <w:jc w:val="center"/>
              <w:rPr>
                <w:rFonts w:hint="eastAsia"/>
                <w:vertAlign w:val="baseline"/>
                <w:lang w:eastAsia="zh-CN"/>
              </w:rPr>
            </w:pPr>
            <w:r>
              <w:rPr>
                <w:rFonts w:hint="eastAsia"/>
                <w:b/>
                <w:bCs/>
                <w:sz w:val="17"/>
                <w:szCs w:val="17"/>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7" w:type="dxa"/>
            <w:gridSpan w:val="10"/>
            <w:tcBorders>
              <w:left w:val="nil"/>
              <w:bottom w:val="nil"/>
              <w:right w:val="nil"/>
            </w:tcBorders>
          </w:tcPr>
          <w:p>
            <w:pPr>
              <w:jc w:val="left"/>
              <w:rPr>
                <w:rFonts w:hint="eastAsia"/>
                <w:vertAlign w:val="baseline"/>
                <w:lang w:eastAsia="zh-CN"/>
              </w:rPr>
            </w:pPr>
            <w:r>
              <w:rPr>
                <w:sz w:val="16"/>
                <w:szCs w:val="16"/>
              </w:rPr>
              <w:t>注：本报表金额单位转换时可能存在四舍五入尾数误差。</w:t>
            </w:r>
          </w:p>
        </w:tc>
      </w:tr>
    </w:tbl>
    <w:p>
      <w:pPr>
        <w:jc w:val="left"/>
        <w:rPr>
          <w:rFonts w:hint="eastAsia"/>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pStyle w:val="22"/>
        <w:keepNext/>
        <w:keepLines/>
        <w:spacing w:after="240"/>
        <w:jc w:val="center"/>
      </w:pPr>
      <w:bookmarkStart w:id="25" w:name="bookmark56"/>
      <w:bookmarkStart w:id="26" w:name="bookmark58"/>
      <w:bookmarkStart w:id="27" w:name="bookmark57"/>
      <w:r>
        <w:t>一般公共预算基本支出情况表</w:t>
      </w:r>
      <w:bookmarkEnd w:id="25"/>
      <w:bookmarkEnd w:id="26"/>
      <w:bookmarkEnd w:id="27"/>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10"/>
        <w:gridCol w:w="3111"/>
        <w:gridCol w:w="3111"/>
        <w:gridCol w:w="3112"/>
        <w:gridCol w:w="31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44" w:type="dxa"/>
            <w:gridSpan w:val="4"/>
            <w:tcBorders>
              <w:top w:val="nil"/>
              <w:left w:val="nil"/>
              <w:right w:val="nil"/>
            </w:tcBorders>
          </w:tcPr>
          <w:p>
            <w:pPr>
              <w:jc w:val="left"/>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单位名称：</w:t>
            </w:r>
            <w:r>
              <w:rPr>
                <w:rFonts w:ascii="宋体" w:hAnsi="宋体" w:eastAsia="宋体" w:cs="宋体"/>
                <w:sz w:val="16"/>
                <w:u w:color="auto"/>
              </w:rPr>
              <w:t xml:space="preserve">环江毛南族自治县职业技术学校                                                          </w:t>
            </w:r>
            <w:r>
              <w:rPr>
                <w:rFonts w:hint="eastAsia" w:ascii="宋体" w:hAnsi="宋体" w:eastAsia="宋体" w:cs="宋体"/>
                <w:sz w:val="16"/>
                <w:szCs w:val="16"/>
                <w:vertAlign w:val="baseline"/>
                <w:lang w:val="en-US" w:eastAsia="zh-CN"/>
              </w:rPr>
              <w:t xml:space="preserve">                    </w:t>
            </w:r>
            <w:r>
              <w:rPr>
                <w:rFonts w:hint="eastAsia" w:ascii="宋体" w:hAnsi="宋体" w:eastAsia="宋体" w:cs="宋体"/>
                <w:sz w:val="16"/>
                <w:szCs w:val="16"/>
                <w:vertAlign w:val="baseline"/>
                <w:lang w:eastAsia="zh-CN"/>
              </w:rPr>
              <w:t xml:space="preserve">                                                                    </w:t>
            </w:r>
          </w:p>
        </w:tc>
        <w:tc>
          <w:tcPr>
            <w:tcW w:w="3113" w:type="dxa"/>
            <w:tcBorders>
              <w:top w:val="nil"/>
              <w:left w:val="nil"/>
              <w:right w:val="nil"/>
            </w:tcBorders>
          </w:tcPr>
          <w:p>
            <w:pPr>
              <w:ind w:firstLine="1760" w:firstLineChars="1100"/>
              <w:jc w:val="left"/>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 xml:space="preserve">单位：万元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221" w:type="dxa"/>
            <w:gridSpan w:val="2"/>
          </w:tcPr>
          <w:p>
            <w:pPr>
              <w:jc w:val="left"/>
              <w:rPr>
                <w:vertAlign w:val="baseline"/>
                <w:lang w:eastAsia="zh-CN"/>
              </w:rPr>
            </w:pPr>
            <w:r>
              <w:rPr>
                <w:sz w:val="17"/>
                <w:szCs w:val="17"/>
              </w:rPr>
              <w:t>部门预算支出经济分类科目</w:t>
            </w:r>
          </w:p>
        </w:tc>
        <w:tc>
          <w:tcPr>
            <w:tcW w:w="9336" w:type="dxa"/>
            <w:gridSpan w:val="3"/>
          </w:tcPr>
          <w:p>
            <w:pPr>
              <w:jc w:val="left"/>
              <w:rPr>
                <w:vertAlign w:val="baseline"/>
                <w:lang w:eastAsia="zh-CN"/>
              </w:rPr>
            </w:pPr>
            <w:r>
              <w:rPr>
                <w:sz w:val="17"/>
                <w:szCs w:val="17"/>
              </w:rPr>
              <w:t>本年一般公共预算基本支出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110" w:type="dxa"/>
            <w:vAlign w:val="center"/>
          </w:tcPr>
          <w:p>
            <w:pPr>
              <w:pStyle w:val="24"/>
              <w:spacing w:line="240" w:lineRule="auto"/>
              <w:ind w:firstLine="0" w:firstLineChars="0"/>
              <w:jc w:val="center"/>
              <w:rPr>
                <w:vertAlign w:val="baseline"/>
                <w:lang w:eastAsia="zh-CN"/>
              </w:rPr>
            </w:pPr>
            <w:r>
              <w:rPr>
                <w:sz w:val="17"/>
                <w:szCs w:val="17"/>
              </w:rPr>
              <w:t>科目编码</w:t>
            </w:r>
          </w:p>
        </w:tc>
        <w:tc>
          <w:tcPr>
            <w:tcW w:w="3111" w:type="dxa"/>
            <w:vAlign w:val="center"/>
          </w:tcPr>
          <w:p>
            <w:pPr>
              <w:pStyle w:val="24"/>
              <w:spacing w:line="240" w:lineRule="auto"/>
              <w:ind w:firstLine="0" w:firstLineChars="0"/>
              <w:jc w:val="center"/>
              <w:rPr>
                <w:vertAlign w:val="baseline"/>
                <w:lang w:eastAsia="zh-CN"/>
              </w:rPr>
            </w:pPr>
            <w:r>
              <w:rPr>
                <w:sz w:val="17"/>
                <w:szCs w:val="17"/>
              </w:rPr>
              <w:t>科目名称</w:t>
            </w:r>
          </w:p>
        </w:tc>
        <w:tc>
          <w:tcPr>
            <w:tcW w:w="3111" w:type="dxa"/>
            <w:vAlign w:val="center"/>
          </w:tcPr>
          <w:p>
            <w:pPr>
              <w:pStyle w:val="24"/>
              <w:spacing w:line="240" w:lineRule="auto"/>
              <w:ind w:firstLine="0" w:firstLineChars="0"/>
              <w:jc w:val="center"/>
              <w:rPr>
                <w:vertAlign w:val="baseline"/>
                <w:lang w:eastAsia="zh-CN"/>
              </w:rPr>
            </w:pPr>
            <w:r>
              <w:rPr>
                <w:sz w:val="17"/>
                <w:szCs w:val="17"/>
              </w:rPr>
              <w:t>合计</w:t>
            </w:r>
          </w:p>
        </w:tc>
        <w:tc>
          <w:tcPr>
            <w:tcW w:w="3112" w:type="dxa"/>
            <w:vAlign w:val="center"/>
          </w:tcPr>
          <w:p>
            <w:pPr>
              <w:pStyle w:val="24"/>
              <w:spacing w:line="240" w:lineRule="auto"/>
              <w:ind w:firstLine="0" w:firstLineChars="0"/>
              <w:jc w:val="center"/>
              <w:rPr>
                <w:vertAlign w:val="baseline"/>
                <w:lang w:eastAsia="zh-CN"/>
              </w:rPr>
            </w:pPr>
            <w:r>
              <w:rPr>
                <w:sz w:val="17"/>
                <w:szCs w:val="17"/>
              </w:rPr>
              <w:t>人员经费</w:t>
            </w:r>
          </w:p>
        </w:tc>
        <w:tc>
          <w:tcPr>
            <w:tcW w:w="3113" w:type="dxa"/>
            <w:vAlign w:val="center"/>
          </w:tcPr>
          <w:p>
            <w:pPr>
              <w:pStyle w:val="24"/>
              <w:spacing w:line="240" w:lineRule="auto"/>
              <w:ind w:firstLine="0" w:firstLineChars="0"/>
              <w:jc w:val="center"/>
              <w:rPr>
                <w:vertAlign w:val="baseline"/>
                <w:lang w:eastAsia="zh-CN"/>
              </w:rPr>
            </w:pPr>
            <w:r>
              <w:rPr>
                <w:sz w:val="17"/>
                <w:szCs w:val="17"/>
              </w:rPr>
              <w:t>公用经费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 xml:space="preserve"> </w:t>
            </w:r>
          </w:p>
        </w:tc>
        <w:tc>
          <w:tcPr>
            <w:tcW w:w="3111" w:type="dxa"/>
            <w:vAlign w:val="center"/>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合计</w:t>
            </w:r>
          </w:p>
        </w:tc>
        <w:tc>
          <w:tcPr>
            <w:tcW w:w="3111"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428.67</w:t>
            </w:r>
          </w:p>
        </w:tc>
        <w:tc>
          <w:tcPr>
            <w:tcW w:w="3112"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423.15</w:t>
            </w:r>
          </w:p>
        </w:tc>
        <w:tc>
          <w:tcPr>
            <w:tcW w:w="3113"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5.52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301</w:t>
            </w:r>
          </w:p>
        </w:tc>
        <w:tc>
          <w:tcPr>
            <w:tcW w:w="3111" w:type="dxa"/>
            <w:vAlign w:val="center"/>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工资福利支出</w:t>
            </w:r>
          </w:p>
        </w:tc>
        <w:tc>
          <w:tcPr>
            <w:tcW w:w="3111"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374.11</w:t>
            </w:r>
          </w:p>
        </w:tc>
        <w:tc>
          <w:tcPr>
            <w:tcW w:w="3112"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374.11</w:t>
            </w:r>
          </w:p>
        </w:tc>
        <w:tc>
          <w:tcPr>
            <w:tcW w:w="3113"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30101</w:t>
            </w:r>
          </w:p>
        </w:tc>
        <w:tc>
          <w:tcPr>
            <w:tcW w:w="3111" w:type="dxa"/>
            <w:vAlign w:val="center"/>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基本工资</w:t>
            </w:r>
          </w:p>
        </w:tc>
        <w:tc>
          <w:tcPr>
            <w:tcW w:w="3111"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147.38</w:t>
            </w:r>
          </w:p>
        </w:tc>
        <w:tc>
          <w:tcPr>
            <w:tcW w:w="3112"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147.38</w:t>
            </w:r>
          </w:p>
        </w:tc>
        <w:tc>
          <w:tcPr>
            <w:tcW w:w="3113"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30102</w:t>
            </w:r>
          </w:p>
        </w:tc>
        <w:tc>
          <w:tcPr>
            <w:tcW w:w="3111" w:type="dxa"/>
            <w:vAlign w:val="center"/>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津贴补贴</w:t>
            </w:r>
          </w:p>
        </w:tc>
        <w:tc>
          <w:tcPr>
            <w:tcW w:w="3111"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8.28</w:t>
            </w:r>
          </w:p>
        </w:tc>
        <w:tc>
          <w:tcPr>
            <w:tcW w:w="3112"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8.28</w:t>
            </w:r>
          </w:p>
        </w:tc>
        <w:tc>
          <w:tcPr>
            <w:tcW w:w="3113"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30103</w:t>
            </w:r>
          </w:p>
        </w:tc>
        <w:tc>
          <w:tcPr>
            <w:tcW w:w="3111" w:type="dxa"/>
            <w:vAlign w:val="center"/>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奖金</w:t>
            </w:r>
          </w:p>
        </w:tc>
        <w:tc>
          <w:tcPr>
            <w:tcW w:w="3111"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62.54</w:t>
            </w:r>
          </w:p>
        </w:tc>
        <w:tc>
          <w:tcPr>
            <w:tcW w:w="3112"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62.54</w:t>
            </w:r>
          </w:p>
        </w:tc>
        <w:tc>
          <w:tcPr>
            <w:tcW w:w="3113"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30107</w:t>
            </w:r>
          </w:p>
        </w:tc>
        <w:tc>
          <w:tcPr>
            <w:tcW w:w="3111" w:type="dxa"/>
            <w:vAlign w:val="center"/>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绩效工资</w:t>
            </w:r>
          </w:p>
        </w:tc>
        <w:tc>
          <w:tcPr>
            <w:tcW w:w="3111"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55.42</w:t>
            </w:r>
          </w:p>
        </w:tc>
        <w:tc>
          <w:tcPr>
            <w:tcW w:w="3112"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55.42</w:t>
            </w:r>
          </w:p>
        </w:tc>
        <w:tc>
          <w:tcPr>
            <w:tcW w:w="3113"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30108</w:t>
            </w:r>
          </w:p>
        </w:tc>
        <w:tc>
          <w:tcPr>
            <w:tcW w:w="3111" w:type="dxa"/>
            <w:vAlign w:val="center"/>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机关事业单位基本养老保险缴费</w:t>
            </w:r>
          </w:p>
        </w:tc>
        <w:tc>
          <w:tcPr>
            <w:tcW w:w="3111"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44.13</w:t>
            </w:r>
          </w:p>
        </w:tc>
        <w:tc>
          <w:tcPr>
            <w:tcW w:w="3112"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44.13</w:t>
            </w:r>
          </w:p>
        </w:tc>
        <w:tc>
          <w:tcPr>
            <w:tcW w:w="3113"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30110</w:t>
            </w:r>
          </w:p>
        </w:tc>
        <w:tc>
          <w:tcPr>
            <w:tcW w:w="3111" w:type="dxa"/>
            <w:vAlign w:val="center"/>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职工基本医疗保险缴费</w:t>
            </w:r>
          </w:p>
        </w:tc>
        <w:tc>
          <w:tcPr>
            <w:tcW w:w="3111"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17.65</w:t>
            </w:r>
          </w:p>
        </w:tc>
        <w:tc>
          <w:tcPr>
            <w:tcW w:w="3112"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17.65</w:t>
            </w:r>
          </w:p>
        </w:tc>
        <w:tc>
          <w:tcPr>
            <w:tcW w:w="3113"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30112</w:t>
            </w:r>
          </w:p>
        </w:tc>
        <w:tc>
          <w:tcPr>
            <w:tcW w:w="3111" w:type="dxa"/>
            <w:vAlign w:val="center"/>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其他社会保障缴费</w:t>
            </w:r>
          </w:p>
        </w:tc>
        <w:tc>
          <w:tcPr>
            <w:tcW w:w="3111"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1.96</w:t>
            </w:r>
          </w:p>
        </w:tc>
        <w:tc>
          <w:tcPr>
            <w:tcW w:w="3112"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1.96</w:t>
            </w:r>
          </w:p>
        </w:tc>
        <w:tc>
          <w:tcPr>
            <w:tcW w:w="3113"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30113</w:t>
            </w:r>
          </w:p>
        </w:tc>
        <w:tc>
          <w:tcPr>
            <w:tcW w:w="3111" w:type="dxa"/>
            <w:vAlign w:val="center"/>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住房公积金</w:t>
            </w:r>
          </w:p>
        </w:tc>
        <w:tc>
          <w:tcPr>
            <w:tcW w:w="3111"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36.76</w:t>
            </w:r>
          </w:p>
        </w:tc>
        <w:tc>
          <w:tcPr>
            <w:tcW w:w="3112"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36.76</w:t>
            </w:r>
          </w:p>
        </w:tc>
        <w:tc>
          <w:tcPr>
            <w:tcW w:w="3113"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302</w:t>
            </w:r>
          </w:p>
        </w:tc>
        <w:tc>
          <w:tcPr>
            <w:tcW w:w="3111" w:type="dxa"/>
            <w:vAlign w:val="center"/>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商品和服务支出</w:t>
            </w:r>
          </w:p>
        </w:tc>
        <w:tc>
          <w:tcPr>
            <w:tcW w:w="3111"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5.52</w:t>
            </w:r>
          </w:p>
        </w:tc>
        <w:tc>
          <w:tcPr>
            <w:tcW w:w="3112"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c>
          <w:tcPr>
            <w:tcW w:w="3113"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5.52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30211</w:t>
            </w:r>
          </w:p>
        </w:tc>
        <w:tc>
          <w:tcPr>
            <w:tcW w:w="3111" w:type="dxa"/>
            <w:vAlign w:val="center"/>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差旅费</w:t>
            </w:r>
          </w:p>
        </w:tc>
        <w:tc>
          <w:tcPr>
            <w:tcW w:w="3111"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c>
          <w:tcPr>
            <w:tcW w:w="3112"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c>
          <w:tcPr>
            <w:tcW w:w="3113"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30228</w:t>
            </w:r>
          </w:p>
        </w:tc>
        <w:tc>
          <w:tcPr>
            <w:tcW w:w="3111" w:type="dxa"/>
            <w:vAlign w:val="center"/>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工会经费</w:t>
            </w:r>
          </w:p>
        </w:tc>
        <w:tc>
          <w:tcPr>
            <w:tcW w:w="3111"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5.52</w:t>
            </w:r>
          </w:p>
        </w:tc>
        <w:tc>
          <w:tcPr>
            <w:tcW w:w="3112"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c>
          <w:tcPr>
            <w:tcW w:w="3113"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5.52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303</w:t>
            </w:r>
          </w:p>
        </w:tc>
        <w:tc>
          <w:tcPr>
            <w:tcW w:w="3111" w:type="dxa"/>
            <w:vAlign w:val="center"/>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对个人和家庭的补助</w:t>
            </w:r>
          </w:p>
        </w:tc>
        <w:tc>
          <w:tcPr>
            <w:tcW w:w="3111"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49.04</w:t>
            </w:r>
          </w:p>
        </w:tc>
        <w:tc>
          <w:tcPr>
            <w:tcW w:w="3112"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49.04</w:t>
            </w:r>
          </w:p>
        </w:tc>
        <w:tc>
          <w:tcPr>
            <w:tcW w:w="3113"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30302</w:t>
            </w:r>
          </w:p>
        </w:tc>
        <w:tc>
          <w:tcPr>
            <w:tcW w:w="3111" w:type="dxa"/>
            <w:vAlign w:val="center"/>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退休费</w:t>
            </w:r>
          </w:p>
        </w:tc>
        <w:tc>
          <w:tcPr>
            <w:tcW w:w="3111"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49.04</w:t>
            </w:r>
          </w:p>
        </w:tc>
        <w:tc>
          <w:tcPr>
            <w:tcW w:w="3112"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49.04</w:t>
            </w:r>
          </w:p>
        </w:tc>
        <w:tc>
          <w:tcPr>
            <w:tcW w:w="3113"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30308</w:t>
            </w:r>
          </w:p>
        </w:tc>
        <w:tc>
          <w:tcPr>
            <w:tcW w:w="3111" w:type="dxa"/>
            <w:vAlign w:val="center"/>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助学金</w:t>
            </w:r>
          </w:p>
        </w:tc>
        <w:tc>
          <w:tcPr>
            <w:tcW w:w="3111"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c>
          <w:tcPr>
            <w:tcW w:w="3112"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c>
          <w:tcPr>
            <w:tcW w:w="3113"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30399</w:t>
            </w:r>
          </w:p>
        </w:tc>
        <w:tc>
          <w:tcPr>
            <w:tcW w:w="3111" w:type="dxa"/>
            <w:vAlign w:val="center"/>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其他对个人和家庭的补助</w:t>
            </w:r>
          </w:p>
        </w:tc>
        <w:tc>
          <w:tcPr>
            <w:tcW w:w="3111"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0.01</w:t>
            </w:r>
          </w:p>
        </w:tc>
        <w:tc>
          <w:tcPr>
            <w:tcW w:w="3112"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0.01</w:t>
            </w:r>
          </w:p>
        </w:tc>
        <w:tc>
          <w:tcPr>
            <w:tcW w:w="3113"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310</w:t>
            </w:r>
          </w:p>
        </w:tc>
        <w:tc>
          <w:tcPr>
            <w:tcW w:w="3111" w:type="dxa"/>
            <w:vAlign w:val="center"/>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资本性支出</w:t>
            </w:r>
          </w:p>
        </w:tc>
        <w:tc>
          <w:tcPr>
            <w:tcW w:w="3111"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c>
          <w:tcPr>
            <w:tcW w:w="3112"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c>
          <w:tcPr>
            <w:tcW w:w="3113"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31001</w:t>
            </w:r>
          </w:p>
        </w:tc>
        <w:tc>
          <w:tcPr>
            <w:tcW w:w="3111" w:type="dxa"/>
            <w:vAlign w:val="center"/>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房屋建筑物购建</w:t>
            </w:r>
          </w:p>
        </w:tc>
        <w:tc>
          <w:tcPr>
            <w:tcW w:w="3111"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c>
          <w:tcPr>
            <w:tcW w:w="3112"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c>
          <w:tcPr>
            <w:tcW w:w="3113"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15557" w:type="dxa"/>
            <w:gridSpan w:val="5"/>
            <w:tcBorders>
              <w:left w:val="nil"/>
              <w:bottom w:val="nil"/>
              <w:right w:val="nil"/>
            </w:tcBorders>
          </w:tcPr>
          <w:p>
            <w:pPr>
              <w:jc w:val="left"/>
              <w:rPr>
                <w:sz w:val="16"/>
                <w:szCs w:val="16"/>
              </w:rPr>
            </w:pPr>
          </w:p>
          <w:p>
            <w:pPr>
              <w:jc w:val="left"/>
              <w:rPr>
                <w:vertAlign w:val="baseline"/>
                <w:lang w:eastAsia="zh-CN"/>
              </w:rPr>
            </w:pPr>
            <w:r>
              <w:rPr>
                <w:sz w:val="16"/>
                <w:szCs w:val="16"/>
              </w:rPr>
              <w:t>注：本报表金额单位转换时可能存在四舍五入尾数误差。</w:t>
            </w:r>
          </w:p>
        </w:tc>
      </w:tr>
    </w:tbl>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pStyle w:val="22"/>
        <w:keepNext/>
        <w:keepLines/>
        <w:spacing w:after="240"/>
        <w:jc w:val="center"/>
        <w:rPr>
          <w:rFonts w:hint="default"/>
          <w:sz w:val="28"/>
          <w:szCs w:val="28"/>
          <w:lang w:val="en-US" w:eastAsia="zh-CN"/>
        </w:rPr>
      </w:pPr>
      <w:bookmarkStart w:id="28" w:name="bookmark65"/>
      <w:bookmarkStart w:id="29" w:name="bookmark66"/>
      <w:bookmarkStart w:id="30" w:name="bookmark67"/>
      <w:r>
        <w:rPr>
          <w:rFonts w:hint="default"/>
          <w:sz w:val="28"/>
          <w:szCs w:val="28"/>
          <w:lang w:val="en-US" w:eastAsia="zh-CN"/>
        </w:rPr>
        <w:t>一般公共预算“三公”经费预算表</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6"/>
        <w:gridCol w:w="1918"/>
        <w:gridCol w:w="1884"/>
        <w:gridCol w:w="1895"/>
        <w:gridCol w:w="1888"/>
        <w:gridCol w:w="1890"/>
        <w:gridCol w:w="1895"/>
        <w:gridCol w:w="2"/>
        <w:gridCol w:w="18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66" w:type="dxa"/>
            <w:gridSpan w:val="7"/>
            <w:tcBorders>
              <w:top w:val="nil"/>
              <w:left w:val="nil"/>
              <w:right w:val="nil"/>
            </w:tcBorders>
          </w:tcPr>
          <w:p>
            <w:pPr>
              <w:pStyle w:val="26"/>
              <w:bidi w:val="0"/>
              <w:jc w:val="both"/>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单位名称：</w:t>
            </w:r>
            <w:r>
              <w:rPr>
                <w:rFonts w:ascii="宋体" w:hAnsi="宋体" w:eastAsia="宋体" w:cs="宋体"/>
                <w:sz w:val="16"/>
                <w:u w:color="auto"/>
              </w:rPr>
              <w:t xml:space="preserve">环江毛南族自治县职业技术学校                                           </w:t>
            </w:r>
            <w:r>
              <w:rPr>
                <w:rFonts w:hint="eastAsia" w:cs="宋体"/>
                <w:sz w:val="16"/>
                <w:szCs w:val="16"/>
                <w:vertAlign w:val="baseline"/>
                <w:lang w:val="en-US" w:eastAsia="zh-CN"/>
              </w:rPr>
              <w:t xml:space="preserve">                    </w:t>
            </w:r>
            <w:r>
              <w:rPr>
                <w:rFonts w:hint="eastAsia" w:ascii="宋体" w:hAnsi="宋体" w:eastAsia="宋体" w:cs="宋体"/>
                <w:sz w:val="16"/>
                <w:szCs w:val="16"/>
                <w:vertAlign w:val="baseline"/>
                <w:lang w:eastAsia="zh-CN"/>
              </w:rPr>
              <w:t xml:space="preserve">                                                                                   </w:t>
            </w:r>
          </w:p>
        </w:tc>
        <w:tc>
          <w:tcPr>
            <w:tcW w:w="1891" w:type="dxa"/>
            <w:gridSpan w:val="2"/>
            <w:tcBorders>
              <w:top w:val="nil"/>
              <w:left w:val="nil"/>
              <w:right w:val="nil"/>
            </w:tcBorders>
          </w:tcPr>
          <w:p>
            <w:pPr>
              <w:pStyle w:val="26"/>
              <w:bidi w:val="0"/>
              <w:ind w:firstLine="480" w:firstLineChars="300"/>
              <w:jc w:val="both"/>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 xml:space="preserve">单位：万元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6" w:type="dxa"/>
            <w:vMerge w:val="restart"/>
          </w:tcPr>
          <w:p>
            <w:pPr>
              <w:pStyle w:val="26"/>
              <w:bidi w:val="0"/>
              <w:jc w:val="center"/>
              <w:rPr>
                <w:rFonts w:hint="eastAsia"/>
                <w:vertAlign w:val="baseline"/>
                <w:lang w:val="en-US" w:eastAsia="zh-CN"/>
              </w:rPr>
            </w:pPr>
            <w:r>
              <w:rPr>
                <w:sz w:val="17"/>
                <w:szCs w:val="17"/>
              </w:rPr>
              <w:t>门（单位）代码</w:t>
            </w:r>
          </w:p>
        </w:tc>
        <w:tc>
          <w:tcPr>
            <w:tcW w:w="1918" w:type="dxa"/>
            <w:vMerge w:val="restart"/>
          </w:tcPr>
          <w:p>
            <w:pPr>
              <w:pStyle w:val="26"/>
              <w:bidi w:val="0"/>
              <w:jc w:val="center"/>
              <w:rPr>
                <w:rFonts w:hint="eastAsia"/>
                <w:vertAlign w:val="baseline"/>
                <w:lang w:val="en-US" w:eastAsia="zh-CN"/>
              </w:rPr>
            </w:pPr>
            <w:r>
              <w:rPr>
                <w:sz w:val="17"/>
                <w:szCs w:val="17"/>
              </w:rPr>
              <w:t>部门（单位）名称</w:t>
            </w:r>
          </w:p>
        </w:tc>
        <w:tc>
          <w:tcPr>
            <w:tcW w:w="11343" w:type="dxa"/>
            <w:gridSpan w:val="7"/>
          </w:tcPr>
          <w:p>
            <w:pPr>
              <w:pStyle w:val="26"/>
              <w:bidi w:val="0"/>
              <w:jc w:val="center"/>
              <w:rPr>
                <w:rFonts w:hint="eastAsia"/>
                <w:vertAlign w:val="baseline"/>
                <w:lang w:val="en-US" w:eastAsia="zh-CN"/>
              </w:rPr>
            </w:pPr>
            <w:r>
              <w:rPr>
                <w:sz w:val="17"/>
                <w:szCs w:val="17"/>
                <w:lang w:val="zh-CN" w:eastAsia="zh-CN" w:bidi="zh-CN"/>
              </w:rPr>
              <w:t>“三</w:t>
            </w:r>
            <w:r>
              <w:rPr>
                <w:sz w:val="17"/>
                <w:szCs w:val="17"/>
              </w:rPr>
              <w:t>公”经费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6" w:type="dxa"/>
            <w:vMerge w:val="continue"/>
          </w:tcPr>
          <w:p>
            <w:pPr>
              <w:pStyle w:val="26"/>
              <w:bidi w:val="0"/>
              <w:jc w:val="center"/>
              <w:rPr>
                <w:rFonts w:hint="eastAsia"/>
                <w:vertAlign w:val="baseline"/>
                <w:lang w:val="en-US" w:eastAsia="zh-CN"/>
              </w:rPr>
            </w:pPr>
          </w:p>
        </w:tc>
        <w:tc>
          <w:tcPr>
            <w:tcW w:w="1918" w:type="dxa"/>
            <w:vMerge w:val="continue"/>
          </w:tcPr>
          <w:p>
            <w:pPr>
              <w:pStyle w:val="26"/>
              <w:bidi w:val="0"/>
              <w:jc w:val="center"/>
              <w:rPr>
                <w:rFonts w:hint="eastAsia"/>
                <w:vertAlign w:val="baseline"/>
                <w:lang w:val="en-US" w:eastAsia="zh-CN"/>
              </w:rPr>
            </w:pPr>
          </w:p>
        </w:tc>
        <w:tc>
          <w:tcPr>
            <w:tcW w:w="1884" w:type="dxa"/>
            <w:vMerge w:val="restart"/>
          </w:tcPr>
          <w:p>
            <w:pPr>
              <w:pStyle w:val="26"/>
              <w:bidi w:val="0"/>
              <w:jc w:val="center"/>
              <w:rPr>
                <w:rFonts w:hint="eastAsia"/>
                <w:vertAlign w:val="baseline"/>
                <w:lang w:val="en-US" w:eastAsia="zh-CN"/>
              </w:rPr>
            </w:pPr>
            <w:r>
              <w:rPr>
                <w:sz w:val="17"/>
                <w:szCs w:val="17"/>
              </w:rPr>
              <w:t>合计</w:t>
            </w:r>
          </w:p>
        </w:tc>
        <w:tc>
          <w:tcPr>
            <w:tcW w:w="1895" w:type="dxa"/>
            <w:vMerge w:val="restart"/>
          </w:tcPr>
          <w:p>
            <w:pPr>
              <w:pStyle w:val="26"/>
              <w:bidi w:val="0"/>
              <w:jc w:val="center"/>
              <w:rPr>
                <w:rFonts w:hint="eastAsia"/>
                <w:vertAlign w:val="baseline"/>
                <w:lang w:val="en-US" w:eastAsia="zh-CN"/>
              </w:rPr>
            </w:pPr>
            <w:r>
              <w:rPr>
                <w:sz w:val="17"/>
                <w:szCs w:val="17"/>
              </w:rPr>
              <w:t>因公出国（境）费</w:t>
            </w:r>
          </w:p>
        </w:tc>
        <w:tc>
          <w:tcPr>
            <w:tcW w:w="5675" w:type="dxa"/>
            <w:gridSpan w:val="4"/>
          </w:tcPr>
          <w:p>
            <w:pPr>
              <w:pStyle w:val="26"/>
              <w:bidi w:val="0"/>
              <w:jc w:val="center"/>
              <w:rPr>
                <w:rFonts w:hint="eastAsia"/>
                <w:vertAlign w:val="baseline"/>
                <w:lang w:val="en-US" w:eastAsia="zh-CN"/>
              </w:rPr>
            </w:pPr>
            <w:r>
              <w:rPr>
                <w:sz w:val="17"/>
                <w:szCs w:val="17"/>
              </w:rPr>
              <w:t>公务用车购置及运行维护费</w:t>
            </w:r>
          </w:p>
        </w:tc>
        <w:tc>
          <w:tcPr>
            <w:tcW w:w="1889" w:type="dxa"/>
            <w:vMerge w:val="restart"/>
          </w:tcPr>
          <w:p>
            <w:pPr>
              <w:pStyle w:val="26"/>
              <w:bidi w:val="0"/>
              <w:jc w:val="center"/>
              <w:rPr>
                <w:rFonts w:hint="eastAsia"/>
                <w:vertAlign w:val="baseline"/>
                <w:lang w:val="en-US" w:eastAsia="zh-CN"/>
              </w:rPr>
            </w:pPr>
            <w:r>
              <w:rPr>
                <w:sz w:val="17"/>
                <w:szCs w:val="17"/>
              </w:rPr>
              <w:t>公务接待费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6" w:type="dxa"/>
            <w:vMerge w:val="continue"/>
          </w:tcPr>
          <w:p>
            <w:pPr>
              <w:pStyle w:val="26"/>
              <w:bidi w:val="0"/>
              <w:jc w:val="center"/>
              <w:rPr>
                <w:rFonts w:hint="eastAsia"/>
                <w:vertAlign w:val="baseline"/>
                <w:lang w:val="en-US" w:eastAsia="zh-CN"/>
              </w:rPr>
            </w:pPr>
          </w:p>
        </w:tc>
        <w:tc>
          <w:tcPr>
            <w:tcW w:w="1918" w:type="dxa"/>
            <w:vMerge w:val="continue"/>
          </w:tcPr>
          <w:p>
            <w:pPr>
              <w:pStyle w:val="26"/>
              <w:bidi w:val="0"/>
              <w:jc w:val="center"/>
              <w:rPr>
                <w:rFonts w:hint="eastAsia"/>
                <w:vertAlign w:val="baseline"/>
                <w:lang w:val="en-US" w:eastAsia="zh-CN"/>
              </w:rPr>
            </w:pPr>
          </w:p>
        </w:tc>
        <w:tc>
          <w:tcPr>
            <w:tcW w:w="1884" w:type="dxa"/>
            <w:vMerge w:val="continue"/>
          </w:tcPr>
          <w:p>
            <w:pPr>
              <w:pStyle w:val="26"/>
              <w:bidi w:val="0"/>
              <w:jc w:val="center"/>
              <w:rPr>
                <w:rFonts w:hint="eastAsia"/>
                <w:vertAlign w:val="baseline"/>
                <w:lang w:val="en-US" w:eastAsia="zh-CN"/>
              </w:rPr>
            </w:pPr>
          </w:p>
        </w:tc>
        <w:tc>
          <w:tcPr>
            <w:tcW w:w="1895" w:type="dxa"/>
            <w:vMerge w:val="continue"/>
          </w:tcPr>
          <w:p>
            <w:pPr>
              <w:pStyle w:val="26"/>
              <w:bidi w:val="0"/>
              <w:jc w:val="center"/>
              <w:rPr>
                <w:rFonts w:hint="eastAsia"/>
                <w:vertAlign w:val="baseline"/>
                <w:lang w:val="en-US" w:eastAsia="zh-CN"/>
              </w:rPr>
            </w:pPr>
          </w:p>
        </w:tc>
        <w:tc>
          <w:tcPr>
            <w:tcW w:w="1888" w:type="dxa"/>
            <w:vAlign w:val="center"/>
          </w:tcPr>
          <w:p>
            <w:pPr>
              <w:pStyle w:val="24"/>
              <w:spacing w:line="240" w:lineRule="auto"/>
              <w:ind w:firstLine="0" w:firstLineChars="0"/>
              <w:jc w:val="center"/>
              <w:rPr>
                <w:rFonts w:hint="eastAsia"/>
                <w:vertAlign w:val="baseline"/>
                <w:lang w:val="en-US" w:eastAsia="zh-CN"/>
              </w:rPr>
            </w:pPr>
            <w:r>
              <w:rPr>
                <w:sz w:val="17"/>
                <w:szCs w:val="17"/>
              </w:rPr>
              <w:t>小计</w:t>
            </w:r>
          </w:p>
        </w:tc>
        <w:tc>
          <w:tcPr>
            <w:tcW w:w="1890" w:type="dxa"/>
            <w:vAlign w:val="center"/>
          </w:tcPr>
          <w:p>
            <w:pPr>
              <w:pStyle w:val="24"/>
              <w:spacing w:line="240" w:lineRule="auto"/>
              <w:ind w:firstLine="220" w:firstLineChars="0"/>
              <w:jc w:val="center"/>
              <w:rPr>
                <w:rFonts w:hint="eastAsia"/>
                <w:vertAlign w:val="baseline"/>
                <w:lang w:val="en-US" w:eastAsia="zh-CN"/>
              </w:rPr>
            </w:pPr>
            <w:r>
              <w:rPr>
                <w:sz w:val="17"/>
                <w:szCs w:val="17"/>
              </w:rPr>
              <w:t>公务用车运行维护费</w:t>
            </w:r>
          </w:p>
        </w:tc>
        <w:tc>
          <w:tcPr>
            <w:tcW w:w="1897" w:type="dxa"/>
            <w:gridSpan w:val="2"/>
            <w:vAlign w:val="center"/>
          </w:tcPr>
          <w:p>
            <w:pPr>
              <w:pStyle w:val="24"/>
              <w:spacing w:line="240" w:lineRule="auto"/>
              <w:ind w:firstLine="400" w:firstLineChars="0"/>
              <w:jc w:val="center"/>
              <w:rPr>
                <w:rFonts w:hint="eastAsia"/>
                <w:vertAlign w:val="baseline"/>
                <w:lang w:val="en-US" w:eastAsia="zh-CN"/>
              </w:rPr>
            </w:pPr>
            <w:r>
              <w:rPr>
                <w:sz w:val="17"/>
                <w:szCs w:val="17"/>
              </w:rPr>
              <w:t>公务用车购置费</w:t>
            </w:r>
          </w:p>
        </w:tc>
        <w:tc>
          <w:tcPr>
            <w:tcW w:w="1889" w:type="dxa"/>
            <w:vMerge w:val="continue"/>
          </w:tcPr>
          <w:p>
            <w:pPr>
              <w:pStyle w:val="26"/>
              <w:bidi w:val="0"/>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6" w:type="dxa"/>
            <w:vAlign w:val="center"/>
          </w:tcPr>
          <w:p>
            <w:pPr>
              <w:jc w:val="center"/>
              <w:rPr>
                <w:rFonts w:hint="eastAsia"/>
                <w:vertAlign w:val="baseline"/>
                <w:lang w:val="en-US" w:eastAsia="zh-CN"/>
              </w:rPr>
            </w:pPr>
          </w:p>
        </w:tc>
        <w:tc>
          <w:tcPr>
            <w:tcW w:w="1918" w:type="dxa"/>
            <w:vAlign w:val="center"/>
          </w:tcPr>
          <w:p>
            <w:pPr>
              <w:jc w:val="center"/>
              <w:rPr>
                <w:rFonts w:hint="eastAsia"/>
                <w:vertAlign w:val="baseline"/>
                <w:lang w:val="en-US" w:eastAsia="zh-CN"/>
              </w:rPr>
            </w:pPr>
          </w:p>
        </w:tc>
        <w:tc>
          <w:tcPr>
            <w:tcW w:w="1884" w:type="dxa"/>
            <w:vAlign w:val="center"/>
          </w:tcPr>
          <w:p>
            <w:pPr>
              <w:pStyle w:val="24"/>
              <w:spacing w:line="240" w:lineRule="auto"/>
              <w:ind w:firstLine="0" w:firstLineChars="0"/>
              <w:jc w:val="center"/>
              <w:rPr>
                <w:rFonts w:hint="eastAsia"/>
                <w:vertAlign w:val="baseline"/>
                <w:lang w:val="en-US" w:eastAsia="zh-CN"/>
              </w:rPr>
            </w:pPr>
            <w:r>
              <w:rPr>
                <w:rFonts w:ascii="Times New Roman" w:hAnsi="Times New Roman" w:eastAsia="Times New Roman" w:cs="Times New Roman"/>
                <w:b/>
                <w:bCs/>
                <w:sz w:val="17"/>
                <w:szCs w:val="17"/>
              </w:rPr>
              <w:t>1</w:t>
            </w:r>
          </w:p>
        </w:tc>
        <w:tc>
          <w:tcPr>
            <w:tcW w:w="1895" w:type="dxa"/>
            <w:vAlign w:val="center"/>
          </w:tcPr>
          <w:p>
            <w:pPr>
              <w:pStyle w:val="24"/>
              <w:spacing w:line="240" w:lineRule="auto"/>
              <w:ind w:firstLine="0" w:firstLineChars="0"/>
              <w:jc w:val="center"/>
              <w:rPr>
                <w:rFonts w:hint="eastAsia"/>
                <w:vertAlign w:val="baseline"/>
                <w:lang w:val="en-US" w:eastAsia="zh-CN"/>
              </w:rPr>
            </w:pPr>
            <w:r>
              <w:rPr>
                <w:rFonts w:ascii="Times New Roman" w:hAnsi="Times New Roman" w:eastAsia="Times New Roman" w:cs="Times New Roman"/>
                <w:b/>
                <w:bCs/>
                <w:sz w:val="17"/>
                <w:szCs w:val="17"/>
              </w:rPr>
              <w:t>2</w:t>
            </w:r>
          </w:p>
        </w:tc>
        <w:tc>
          <w:tcPr>
            <w:tcW w:w="1888" w:type="dxa"/>
            <w:vAlign w:val="center"/>
          </w:tcPr>
          <w:p>
            <w:pPr>
              <w:pStyle w:val="24"/>
              <w:spacing w:line="240" w:lineRule="auto"/>
              <w:ind w:firstLine="0" w:firstLineChars="0"/>
              <w:jc w:val="center"/>
              <w:rPr>
                <w:rFonts w:hint="eastAsia"/>
                <w:vertAlign w:val="baseline"/>
                <w:lang w:val="en-US" w:eastAsia="zh-CN"/>
              </w:rPr>
            </w:pPr>
            <w:r>
              <w:rPr>
                <w:rFonts w:ascii="Times New Roman" w:hAnsi="Times New Roman" w:eastAsia="Times New Roman" w:cs="Times New Roman"/>
                <w:b/>
                <w:bCs/>
                <w:sz w:val="17"/>
                <w:szCs w:val="17"/>
              </w:rPr>
              <w:t>3</w:t>
            </w:r>
          </w:p>
        </w:tc>
        <w:tc>
          <w:tcPr>
            <w:tcW w:w="1890" w:type="dxa"/>
            <w:vAlign w:val="center"/>
          </w:tcPr>
          <w:p>
            <w:pPr>
              <w:pStyle w:val="24"/>
              <w:spacing w:line="240" w:lineRule="auto"/>
              <w:ind w:firstLine="0" w:firstLineChars="0"/>
              <w:jc w:val="center"/>
              <w:rPr>
                <w:rFonts w:hint="eastAsia"/>
                <w:vertAlign w:val="baseline"/>
                <w:lang w:val="en-US" w:eastAsia="zh-CN"/>
              </w:rPr>
            </w:pPr>
            <w:r>
              <w:rPr>
                <w:rFonts w:ascii="Times New Roman" w:hAnsi="Times New Roman" w:eastAsia="Times New Roman" w:cs="Times New Roman"/>
                <w:b/>
                <w:bCs/>
                <w:sz w:val="17"/>
                <w:szCs w:val="17"/>
              </w:rPr>
              <w:t>4</w:t>
            </w:r>
          </w:p>
        </w:tc>
        <w:tc>
          <w:tcPr>
            <w:tcW w:w="1897" w:type="dxa"/>
            <w:gridSpan w:val="2"/>
            <w:vAlign w:val="center"/>
          </w:tcPr>
          <w:p>
            <w:pPr>
              <w:pStyle w:val="24"/>
              <w:spacing w:line="240" w:lineRule="auto"/>
              <w:ind w:firstLine="0" w:firstLineChars="0"/>
              <w:jc w:val="center"/>
              <w:rPr>
                <w:rFonts w:hint="eastAsia"/>
                <w:vertAlign w:val="baseline"/>
                <w:lang w:val="en-US" w:eastAsia="zh-CN"/>
              </w:rPr>
            </w:pPr>
            <w:r>
              <w:rPr>
                <w:rFonts w:ascii="Times New Roman" w:hAnsi="Times New Roman" w:eastAsia="Times New Roman" w:cs="Times New Roman"/>
                <w:b/>
                <w:bCs/>
                <w:sz w:val="17"/>
                <w:szCs w:val="17"/>
              </w:rPr>
              <w:t>5</w:t>
            </w:r>
          </w:p>
        </w:tc>
        <w:tc>
          <w:tcPr>
            <w:tcW w:w="1889" w:type="dxa"/>
            <w:vAlign w:val="center"/>
          </w:tcPr>
          <w:p>
            <w:pPr>
              <w:pStyle w:val="24"/>
              <w:spacing w:line="240" w:lineRule="auto"/>
              <w:ind w:firstLine="0" w:firstLineChars="0"/>
              <w:jc w:val="center"/>
              <w:rPr>
                <w:rFonts w:hint="eastAsia"/>
                <w:vertAlign w:val="baseline"/>
                <w:lang w:val="en-US" w:eastAsia="zh-CN"/>
              </w:rPr>
            </w:pPr>
            <w:r>
              <w:rPr>
                <w:rFonts w:ascii="Times New Roman" w:hAnsi="Times New Roman" w:eastAsia="Times New Roman" w:cs="Times New Roman"/>
                <w:b/>
                <w:bCs/>
                <w:sz w:val="17"/>
                <w:szCs w:val="17"/>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6" w:type="dxa"/>
            <w:vAlign w:val="center"/>
          </w:tcPr>
          <w:p>
            <w:pPr>
              <w:pStyle w:val="24"/>
              <w:spacing w:line="240" w:lineRule="auto"/>
              <w:ind w:firstLine="0" w:firstLineChars="0"/>
              <w:jc w:val="left"/>
              <w:rPr>
                <w:rFonts w:hint="eastAsia"/>
                <w:vertAlign w:val="baseline"/>
                <w:lang w:val="en-US" w:eastAsia="zh-CN"/>
              </w:rPr>
            </w:pPr>
            <w:r>
              <w:rPr>
                <w:rFonts w:hint="eastAsia" w:ascii="Times New Roman" w:hAnsi="Times New Roman" w:eastAsia="Times New Roman" w:cs="Times New Roman"/>
                <w:b/>
                <w:bCs/>
                <w:sz w:val="17"/>
                <w:szCs w:val="17"/>
                <w:lang w:val="en-US" w:eastAsia="zh-CN"/>
              </w:rPr>
              <w:t>201051</w:t>
            </w:r>
          </w:p>
        </w:tc>
        <w:tc>
          <w:tcPr>
            <w:tcW w:w="1918" w:type="dxa"/>
            <w:vAlign w:val="center"/>
          </w:tcPr>
          <w:p>
            <w:pPr>
              <w:pStyle w:val="24"/>
              <w:spacing w:line="240" w:lineRule="auto"/>
              <w:ind w:firstLine="0" w:firstLineChars="0"/>
              <w:jc w:val="left"/>
              <w:rPr>
                <w:rFonts w:hint="eastAsia"/>
                <w:vertAlign w:val="baseline"/>
                <w:lang w:val="en-US" w:eastAsia="zh-CN"/>
              </w:rPr>
            </w:pPr>
          </w:p>
        </w:tc>
        <w:tc>
          <w:tcPr>
            <w:tcW w:w="1884" w:type="dxa"/>
            <w:vAlign w:val="center"/>
          </w:tcPr>
          <w:p>
            <w:pPr>
              <w:pStyle w:val="24"/>
              <w:spacing w:line="240" w:lineRule="auto"/>
              <w:ind w:firstLine="0" w:firstLineChars="0"/>
              <w:jc w:val="right"/>
              <w:rPr>
                <w:rFonts w:hint="eastAsia"/>
                <w:vertAlign w:val="baseline"/>
                <w:lang w:val="en-US" w:eastAsia="zh-CN"/>
              </w:rPr>
            </w:pPr>
            <w:r>
              <w:rPr>
                <w:rFonts w:hint="eastAsia" w:ascii="Times New Roman" w:hAnsi="Times New Roman" w:eastAsia="Times New Roman" w:cs="Times New Roman"/>
                <w:b/>
                <w:bCs/>
                <w:sz w:val="17"/>
                <w:szCs w:val="17"/>
                <w:lang w:val="en-US" w:eastAsia="zh-CN"/>
              </w:rPr>
              <w:t>0.00</w:t>
            </w:r>
          </w:p>
        </w:tc>
        <w:tc>
          <w:tcPr>
            <w:tcW w:w="1895" w:type="dxa"/>
            <w:vAlign w:val="center"/>
          </w:tcPr>
          <w:p>
            <w:pPr>
              <w:pStyle w:val="24"/>
              <w:spacing w:line="240" w:lineRule="auto"/>
              <w:ind w:firstLine="0" w:firstLineChars="0"/>
              <w:jc w:val="right"/>
              <w:rPr>
                <w:rFonts w:hint="eastAsia"/>
                <w:vertAlign w:val="baseline"/>
                <w:lang w:val="en-US" w:eastAsia="zh-CN"/>
              </w:rPr>
            </w:pPr>
            <w:r>
              <w:rPr>
                <w:rFonts w:hint="eastAsia" w:ascii="Times New Roman" w:hAnsi="Times New Roman" w:eastAsia="Times New Roman" w:cs="Times New Roman"/>
                <w:b/>
                <w:bCs/>
                <w:sz w:val="17"/>
                <w:szCs w:val="17"/>
                <w:lang w:val="en-US" w:eastAsia="zh-CN"/>
              </w:rPr>
              <w:t>0.00</w:t>
            </w:r>
          </w:p>
        </w:tc>
        <w:tc>
          <w:tcPr>
            <w:tcW w:w="1888" w:type="dxa"/>
            <w:vAlign w:val="center"/>
          </w:tcPr>
          <w:p>
            <w:pPr>
              <w:pStyle w:val="24"/>
              <w:spacing w:line="240" w:lineRule="auto"/>
              <w:ind w:firstLine="0" w:firstLineChars="0"/>
              <w:jc w:val="right"/>
              <w:rPr>
                <w:rFonts w:hint="eastAsia"/>
                <w:vertAlign w:val="baseline"/>
                <w:lang w:val="en-US" w:eastAsia="zh-CN"/>
              </w:rPr>
            </w:pPr>
            <w:r>
              <w:rPr>
                <w:rFonts w:hint="eastAsia" w:ascii="Times New Roman" w:hAnsi="Times New Roman" w:eastAsia="Times New Roman" w:cs="Times New Roman"/>
                <w:b/>
                <w:bCs/>
                <w:sz w:val="17"/>
                <w:szCs w:val="17"/>
                <w:lang w:val="en-US" w:eastAsia="zh-CN"/>
              </w:rPr>
              <w:t>0.00</w:t>
            </w:r>
          </w:p>
        </w:tc>
        <w:tc>
          <w:tcPr>
            <w:tcW w:w="1890" w:type="dxa"/>
            <w:vAlign w:val="center"/>
          </w:tcPr>
          <w:p>
            <w:pPr>
              <w:pStyle w:val="24"/>
              <w:spacing w:line="240" w:lineRule="auto"/>
              <w:ind w:firstLine="0" w:firstLineChars="0"/>
              <w:jc w:val="right"/>
              <w:rPr>
                <w:rFonts w:hint="eastAsia"/>
                <w:vertAlign w:val="baseline"/>
                <w:lang w:val="en-US" w:eastAsia="zh-CN"/>
              </w:rPr>
            </w:pPr>
            <w:r>
              <w:rPr>
                <w:rFonts w:hint="eastAsia" w:ascii="Times New Roman" w:hAnsi="Times New Roman" w:eastAsia="Times New Roman" w:cs="Times New Roman"/>
                <w:b/>
                <w:bCs/>
                <w:sz w:val="17"/>
                <w:szCs w:val="17"/>
                <w:lang w:val="en-US" w:eastAsia="zh-CN"/>
              </w:rPr>
              <w:t>0.00</w:t>
            </w:r>
          </w:p>
        </w:tc>
        <w:tc>
          <w:tcPr>
            <w:tcW w:w="1897" w:type="dxa"/>
            <w:gridSpan w:val="2"/>
            <w:vAlign w:val="center"/>
          </w:tcPr>
          <w:p>
            <w:pPr>
              <w:pStyle w:val="24"/>
              <w:spacing w:line="240" w:lineRule="auto"/>
              <w:ind w:firstLine="0" w:firstLineChars="0"/>
              <w:jc w:val="right"/>
              <w:rPr>
                <w:rFonts w:hint="eastAsia"/>
                <w:vertAlign w:val="baseline"/>
                <w:lang w:val="en-US" w:eastAsia="zh-CN"/>
              </w:rPr>
            </w:pPr>
            <w:r>
              <w:rPr>
                <w:rFonts w:hint="eastAsia" w:ascii="Times New Roman" w:hAnsi="Times New Roman" w:eastAsia="Times New Roman" w:cs="Times New Roman"/>
                <w:b/>
                <w:bCs/>
                <w:sz w:val="17"/>
                <w:szCs w:val="17"/>
                <w:lang w:val="en-US" w:eastAsia="zh-CN"/>
              </w:rPr>
              <w:t>0.00</w:t>
            </w:r>
          </w:p>
        </w:tc>
        <w:tc>
          <w:tcPr>
            <w:tcW w:w="1889" w:type="dxa"/>
            <w:vAlign w:val="center"/>
          </w:tcPr>
          <w:p>
            <w:pPr>
              <w:pStyle w:val="24"/>
              <w:spacing w:line="240" w:lineRule="auto"/>
              <w:ind w:firstLine="0" w:firstLineChars="0"/>
              <w:jc w:val="right"/>
              <w:rPr>
                <w:rFonts w:hint="eastAsia"/>
                <w:vertAlign w:val="baseline"/>
                <w:lang w:val="en-US" w:eastAsia="zh-CN"/>
              </w:rPr>
            </w:pPr>
            <w:r>
              <w:rPr>
                <w:rFonts w:hint="eastAsia" w:ascii="Times New Roman" w:hAnsi="Times New Roman" w:eastAsia="Times New Roman" w:cs="Times New Roman"/>
                <w:b/>
                <w:bCs/>
                <w:sz w:val="17"/>
                <w:szCs w:val="17"/>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5557" w:type="dxa"/>
            <w:gridSpan w:val="9"/>
            <w:tcBorders>
              <w:left w:val="nil"/>
              <w:bottom w:val="nil"/>
              <w:right w:val="nil"/>
            </w:tcBorders>
          </w:tcPr>
          <w:p>
            <w:pPr>
              <w:pStyle w:val="26"/>
              <w:bidi w:val="0"/>
              <w:jc w:val="both"/>
              <w:rPr>
                <w:rFonts w:hint="eastAsia"/>
                <w:vertAlign w:val="baseline"/>
                <w:lang w:val="en-US" w:eastAsia="zh-CN"/>
              </w:rPr>
            </w:pPr>
            <w:r>
              <w:rPr>
                <w:rFonts w:hint="eastAsia" w:ascii="宋体" w:hAnsi="宋体" w:eastAsia="宋体" w:cs="宋体"/>
                <w:sz w:val="16"/>
                <w:szCs w:val="16"/>
              </w:rPr>
              <w:t>注：本报表金额单位转换时可能存在四舍五入尾数误差</w:t>
            </w:r>
          </w:p>
        </w:tc>
      </w:tr>
    </w:tbl>
    <w:p>
      <w:pPr>
        <w:pStyle w:val="26"/>
        <w:bidi w:val="0"/>
        <w:rPr>
          <w:rFonts w:hint="eastAsia"/>
          <w:lang w:val="en-US" w:eastAsia="zh-CN"/>
        </w:rPr>
      </w:pPr>
    </w:p>
    <w:p>
      <w:pPr>
        <w:pStyle w:val="22"/>
        <w:keepNext/>
        <w:keepLines/>
        <w:spacing w:after="240"/>
        <w:jc w:val="center"/>
      </w:pPr>
    </w:p>
    <w:p>
      <w:pPr>
        <w:pStyle w:val="22"/>
        <w:keepNext/>
        <w:keepLines/>
        <w:spacing w:after="240"/>
        <w:jc w:val="center"/>
      </w:pPr>
    </w:p>
    <w:p>
      <w:pPr>
        <w:pStyle w:val="22"/>
        <w:keepNext/>
        <w:keepLines/>
        <w:spacing w:after="240"/>
        <w:jc w:val="center"/>
      </w:pPr>
    </w:p>
    <w:p>
      <w:pPr>
        <w:pStyle w:val="22"/>
        <w:keepNext/>
        <w:keepLines/>
        <w:spacing w:after="240"/>
        <w:jc w:val="center"/>
      </w:pPr>
    </w:p>
    <w:p>
      <w:pPr>
        <w:pStyle w:val="22"/>
        <w:keepNext/>
        <w:keepLines/>
        <w:spacing w:after="240"/>
        <w:jc w:val="center"/>
      </w:pPr>
    </w:p>
    <w:p>
      <w:pPr>
        <w:pStyle w:val="26"/>
        <w:bidi w:val="0"/>
      </w:pPr>
    </w:p>
    <w:p>
      <w:pPr>
        <w:pStyle w:val="22"/>
        <w:keepNext/>
        <w:keepLines/>
        <w:spacing w:after="240"/>
        <w:jc w:val="center"/>
      </w:pPr>
      <w:r>
        <w:t>政府性基金预算支出情况表</w:t>
      </w:r>
      <w:bookmarkEnd w:id="28"/>
      <w:bookmarkEnd w:id="29"/>
      <w:bookmarkEnd w:id="30"/>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27"/>
        <w:gridCol w:w="2161"/>
        <w:gridCol w:w="2162"/>
        <w:gridCol w:w="2222"/>
        <w:gridCol w:w="2161"/>
        <w:gridCol w:w="2161"/>
        <w:gridCol w:w="2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3394" w:type="dxa"/>
            <w:gridSpan w:val="6"/>
            <w:tcBorders>
              <w:top w:val="nil"/>
              <w:left w:val="nil"/>
              <w:right w:val="nil"/>
            </w:tcBorders>
          </w:tcPr>
          <w:p>
            <w:pPr>
              <w:pStyle w:val="26"/>
              <w:tabs>
                <w:tab w:val="left" w:pos="14213"/>
              </w:tabs>
              <w:ind w:left="101"/>
              <w:jc w:val="left"/>
            </w:pPr>
            <w:r>
              <w:t>单位名称：</w:t>
            </w:r>
            <w:r>
              <w:rPr>
                <w:rFonts w:hint="eastAsia"/>
                <w:lang w:eastAsia="zh-CN"/>
              </w:rPr>
              <w:t>环江毛南族自治县职业技术学校</w:t>
            </w:r>
            <w:r>
              <w:tab/>
            </w:r>
            <w:r>
              <w:t>单位：万元</w:t>
            </w:r>
          </w:p>
        </w:tc>
        <w:tc>
          <w:tcPr>
            <w:tcW w:w="2163" w:type="dxa"/>
            <w:tcBorders>
              <w:top w:val="nil"/>
              <w:left w:val="nil"/>
              <w:right w:val="nil"/>
            </w:tcBorders>
          </w:tcPr>
          <w:p>
            <w:pPr>
              <w:pStyle w:val="26"/>
              <w:tabs>
                <w:tab w:val="left" w:pos="14213"/>
              </w:tabs>
              <w:ind w:left="101" w:firstLine="680" w:firstLineChars="400"/>
              <w:jc w:val="left"/>
            </w:pPr>
            <w:r>
              <w:rPr>
                <w:rFonts w:hint="eastAsia"/>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7" w:type="dxa"/>
          </w:tcPr>
          <w:p>
            <w:pPr>
              <w:pStyle w:val="26"/>
              <w:bidi w:val="0"/>
              <w:jc w:val="center"/>
              <w:rPr>
                <w:vertAlign w:val="baseline"/>
              </w:rPr>
            </w:pPr>
            <w:r>
              <w:rPr>
                <w:sz w:val="17"/>
                <w:szCs w:val="17"/>
              </w:rPr>
              <w:t>科目编码</w:t>
            </w:r>
          </w:p>
        </w:tc>
        <w:tc>
          <w:tcPr>
            <w:tcW w:w="2161" w:type="dxa"/>
          </w:tcPr>
          <w:p>
            <w:pPr>
              <w:pStyle w:val="26"/>
              <w:bidi w:val="0"/>
              <w:jc w:val="center"/>
              <w:rPr>
                <w:vertAlign w:val="baseline"/>
              </w:rPr>
            </w:pPr>
            <w:r>
              <w:rPr>
                <w:sz w:val="17"/>
                <w:szCs w:val="17"/>
              </w:rPr>
              <w:t>部门（单位）代码</w:t>
            </w:r>
          </w:p>
        </w:tc>
        <w:tc>
          <w:tcPr>
            <w:tcW w:w="2162" w:type="dxa"/>
          </w:tcPr>
          <w:p>
            <w:pPr>
              <w:pStyle w:val="26"/>
              <w:bidi w:val="0"/>
              <w:jc w:val="center"/>
              <w:rPr>
                <w:vertAlign w:val="baseline"/>
              </w:rPr>
            </w:pPr>
            <w:r>
              <w:rPr>
                <w:sz w:val="17"/>
                <w:szCs w:val="17"/>
              </w:rPr>
              <w:t>部门（单位）名称（功能分类科目名称）</w:t>
            </w:r>
          </w:p>
        </w:tc>
        <w:tc>
          <w:tcPr>
            <w:tcW w:w="2222" w:type="dxa"/>
            <w:vAlign w:val="center"/>
          </w:tcPr>
          <w:p>
            <w:pPr>
              <w:pStyle w:val="24"/>
              <w:spacing w:line="240" w:lineRule="auto"/>
              <w:ind w:firstLine="0" w:firstLineChars="0"/>
              <w:jc w:val="center"/>
              <w:rPr>
                <w:vertAlign w:val="baseline"/>
              </w:rPr>
            </w:pPr>
            <w:r>
              <w:rPr>
                <w:sz w:val="17"/>
                <w:szCs w:val="17"/>
              </w:rPr>
              <w:t>合计</w:t>
            </w:r>
          </w:p>
        </w:tc>
        <w:tc>
          <w:tcPr>
            <w:tcW w:w="2161" w:type="dxa"/>
            <w:vAlign w:val="center"/>
          </w:tcPr>
          <w:p>
            <w:pPr>
              <w:pStyle w:val="24"/>
              <w:spacing w:line="240" w:lineRule="auto"/>
              <w:ind w:firstLine="0" w:firstLineChars="0"/>
              <w:jc w:val="center"/>
              <w:rPr>
                <w:vertAlign w:val="baseline"/>
              </w:rPr>
            </w:pPr>
            <w:r>
              <w:rPr>
                <w:sz w:val="17"/>
                <w:szCs w:val="17"/>
              </w:rPr>
              <w:t>基本支出</w:t>
            </w:r>
          </w:p>
        </w:tc>
        <w:tc>
          <w:tcPr>
            <w:tcW w:w="2161" w:type="dxa"/>
            <w:vAlign w:val="center"/>
          </w:tcPr>
          <w:p>
            <w:pPr>
              <w:pStyle w:val="24"/>
              <w:spacing w:line="240" w:lineRule="auto"/>
              <w:ind w:firstLine="0" w:firstLineChars="0"/>
              <w:jc w:val="center"/>
              <w:rPr>
                <w:vertAlign w:val="baseline"/>
              </w:rPr>
            </w:pPr>
            <w:r>
              <w:rPr>
                <w:sz w:val="17"/>
                <w:szCs w:val="17"/>
              </w:rPr>
              <w:t>项目支出</w:t>
            </w:r>
          </w:p>
        </w:tc>
        <w:tc>
          <w:tcPr>
            <w:tcW w:w="2163" w:type="dxa"/>
            <w:vAlign w:val="center"/>
          </w:tcPr>
          <w:p>
            <w:pPr>
              <w:pStyle w:val="24"/>
              <w:spacing w:line="240" w:lineRule="auto"/>
              <w:ind w:firstLine="0" w:firstLineChars="0"/>
              <w:jc w:val="center"/>
              <w:rPr>
                <w:vertAlign w:val="baseline"/>
              </w:rPr>
            </w:pPr>
            <w:r>
              <w:rPr>
                <w:sz w:val="17"/>
                <w:szCs w:val="17"/>
              </w:rPr>
              <w:t>结转下年支出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2527" w:type="dxa"/>
            <w:vAlign w:val="center"/>
          </w:tcPr>
          <w:p>
            <w:pPr>
              <w:pStyle w:val="24"/>
              <w:spacing w:line="240" w:lineRule="auto"/>
              <w:ind w:firstLine="0" w:firstLineChars="0"/>
              <w:jc w:val="left"/>
              <w:rPr>
                <w:b w:val="0"/>
                <w:bCs w:val="0"/>
                <w:vertAlign w:val="baseline"/>
              </w:rPr>
            </w:pPr>
          </w:p>
        </w:tc>
        <w:tc>
          <w:tcPr>
            <w:tcW w:w="2161" w:type="dxa"/>
            <w:vAlign w:val="center"/>
          </w:tcPr>
          <w:p>
            <w:pPr>
              <w:pStyle w:val="24"/>
              <w:spacing w:line="240" w:lineRule="auto"/>
              <w:ind w:firstLine="0" w:firstLineChars="0"/>
              <w:jc w:val="left"/>
              <w:rPr>
                <w:b w:val="0"/>
                <w:bCs w:val="0"/>
                <w:vertAlign w:val="baseline"/>
              </w:rPr>
            </w:pPr>
            <w:r>
              <w:rPr>
                <w:rFonts w:hint="eastAsia" w:ascii="Times New Roman" w:hAnsi="Times New Roman" w:cs="Times New Roman"/>
                <w:b w:val="0"/>
                <w:bCs w:val="0"/>
                <w:sz w:val="17"/>
                <w:szCs w:val="17"/>
                <w:lang w:val="en-US" w:eastAsia="zh-CN"/>
              </w:rPr>
              <w:t>201051</w:t>
            </w:r>
          </w:p>
        </w:tc>
        <w:tc>
          <w:tcPr>
            <w:tcW w:w="2162" w:type="dxa"/>
            <w:vAlign w:val="center"/>
          </w:tcPr>
          <w:p>
            <w:pPr>
              <w:pStyle w:val="24"/>
              <w:spacing w:line="240" w:lineRule="auto"/>
              <w:ind w:firstLine="0" w:firstLineChars="0"/>
              <w:jc w:val="left"/>
              <w:rPr>
                <w:b w:val="0"/>
                <w:bCs w:val="0"/>
                <w:vertAlign w:val="baseline"/>
              </w:rPr>
            </w:pPr>
          </w:p>
        </w:tc>
        <w:tc>
          <w:tcPr>
            <w:tcW w:w="2222" w:type="dxa"/>
            <w:vAlign w:val="center"/>
          </w:tcPr>
          <w:p>
            <w:pPr>
              <w:pStyle w:val="24"/>
              <w:spacing w:line="240" w:lineRule="auto"/>
              <w:ind w:left="1060" w:leftChars="0" w:firstLine="0" w:firstLineChars="0"/>
              <w:jc w:val="right"/>
              <w:rPr>
                <w:b w:val="0"/>
                <w:bCs w:val="0"/>
                <w:vertAlign w:val="baseline"/>
              </w:rPr>
            </w:pPr>
            <w:r>
              <w:rPr>
                <w:rFonts w:hint="eastAsia" w:ascii="Times New Roman" w:hAnsi="Times New Roman" w:cs="Times New Roman"/>
                <w:b w:val="0"/>
                <w:bCs w:val="0"/>
                <w:sz w:val="17"/>
                <w:szCs w:val="17"/>
                <w:lang w:val="en-US" w:eastAsia="zh-CN" w:bidi="en-US"/>
              </w:rPr>
              <w:t>0.93</w:t>
            </w:r>
          </w:p>
        </w:tc>
        <w:tc>
          <w:tcPr>
            <w:tcW w:w="2161" w:type="dxa"/>
            <w:vAlign w:val="center"/>
          </w:tcPr>
          <w:p>
            <w:pPr>
              <w:pStyle w:val="24"/>
              <w:spacing w:line="240" w:lineRule="auto"/>
              <w:ind w:firstLine="0" w:firstLineChars="0"/>
              <w:jc w:val="right"/>
              <w:rPr>
                <w:b w:val="0"/>
                <w:bCs w:val="0"/>
                <w:vertAlign w:val="baseline"/>
              </w:rPr>
            </w:pPr>
            <w:r>
              <w:rPr>
                <w:rFonts w:hint="eastAsia"/>
                <w:b w:val="0"/>
                <w:bCs w:val="0"/>
                <w:sz w:val="17"/>
                <w:szCs w:val="17"/>
                <w:lang w:val="en-US" w:eastAsia="zh-CN"/>
              </w:rPr>
              <w:t>0.00</w:t>
            </w:r>
          </w:p>
        </w:tc>
        <w:tc>
          <w:tcPr>
            <w:tcW w:w="2161" w:type="dxa"/>
            <w:vAlign w:val="center"/>
          </w:tcPr>
          <w:p>
            <w:pPr>
              <w:pStyle w:val="24"/>
              <w:spacing w:line="240" w:lineRule="auto"/>
              <w:ind w:firstLine="0" w:firstLineChars="0"/>
              <w:jc w:val="right"/>
              <w:rPr>
                <w:b w:val="0"/>
                <w:bCs w:val="0"/>
                <w:vertAlign w:val="baseline"/>
              </w:rPr>
            </w:pPr>
            <w:r>
              <w:rPr>
                <w:rFonts w:hint="eastAsia" w:ascii="Times New Roman" w:hAnsi="Times New Roman" w:cs="Times New Roman"/>
                <w:b w:val="0"/>
                <w:bCs w:val="0"/>
                <w:sz w:val="17"/>
                <w:szCs w:val="17"/>
                <w:lang w:val="en-US" w:eastAsia="zh-CN" w:bidi="en-US"/>
              </w:rPr>
              <w:t>0.93</w:t>
            </w:r>
          </w:p>
        </w:tc>
        <w:tc>
          <w:tcPr>
            <w:tcW w:w="2163" w:type="dxa"/>
            <w:vAlign w:val="center"/>
          </w:tcPr>
          <w:p>
            <w:pPr>
              <w:pStyle w:val="24"/>
              <w:spacing w:line="240" w:lineRule="auto"/>
              <w:ind w:firstLine="0" w:firstLineChars="0"/>
              <w:jc w:val="right"/>
              <w:rPr>
                <w:b w:val="0"/>
                <w:bCs w:val="0"/>
                <w:vertAlign w:val="baseline"/>
              </w:rPr>
            </w:pPr>
            <w:r>
              <w:rPr>
                <w:rFonts w:hint="eastAsia" w:ascii="Times New Roman" w:hAnsi="Times New Roman" w:cs="Times New Roman"/>
                <w:b w:val="0"/>
                <w:bCs w:val="0"/>
                <w:sz w:val="17"/>
                <w:szCs w:val="17"/>
                <w:lang w:val="en-US" w:eastAsia="zh-CN" w:bidi="en-US"/>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2527" w:type="dxa"/>
            <w:vAlign w:val="center"/>
          </w:tcPr>
          <w:p>
            <w:pPr>
              <w:pStyle w:val="24"/>
              <w:spacing w:line="240" w:lineRule="auto"/>
              <w:ind w:firstLine="0" w:firstLineChars="0"/>
              <w:jc w:val="left"/>
              <w:rPr>
                <w:b w:val="0"/>
                <w:bCs w:val="0"/>
                <w:vertAlign w:val="baseline"/>
              </w:rPr>
            </w:pPr>
            <w:r>
              <w:rPr>
                <w:rFonts w:hint="eastAsia" w:ascii="Times New Roman" w:hAnsi="Times New Roman" w:cs="Times New Roman"/>
                <w:b w:val="0"/>
                <w:bCs w:val="0"/>
                <w:sz w:val="17"/>
                <w:szCs w:val="17"/>
                <w:lang w:val="en-US" w:eastAsia="zh-CN"/>
              </w:rPr>
              <w:t>2012999</w:t>
            </w:r>
          </w:p>
        </w:tc>
        <w:tc>
          <w:tcPr>
            <w:tcW w:w="2161" w:type="dxa"/>
            <w:vAlign w:val="center"/>
          </w:tcPr>
          <w:p>
            <w:pPr>
              <w:pStyle w:val="24"/>
              <w:spacing w:line="240" w:lineRule="auto"/>
              <w:ind w:firstLine="0" w:firstLineChars="0"/>
              <w:jc w:val="left"/>
              <w:rPr>
                <w:b w:val="0"/>
                <w:bCs w:val="0"/>
                <w:vertAlign w:val="baseline"/>
              </w:rPr>
            </w:pPr>
          </w:p>
        </w:tc>
        <w:tc>
          <w:tcPr>
            <w:tcW w:w="2162" w:type="dxa"/>
            <w:vAlign w:val="center"/>
          </w:tcPr>
          <w:p>
            <w:pPr>
              <w:pStyle w:val="24"/>
              <w:spacing w:line="240" w:lineRule="auto"/>
              <w:ind w:firstLine="0" w:firstLineChars="0"/>
              <w:jc w:val="left"/>
              <w:rPr>
                <w:b w:val="0"/>
                <w:bCs w:val="0"/>
                <w:vertAlign w:val="baseline"/>
              </w:rPr>
            </w:pPr>
            <w:r>
              <w:rPr>
                <w:rFonts w:hint="eastAsia"/>
                <w:b w:val="0"/>
                <w:bCs w:val="0"/>
                <w:sz w:val="17"/>
                <w:szCs w:val="17"/>
                <w:lang w:val="en-US" w:eastAsia="zh-CN"/>
              </w:rPr>
              <w:t>其他群众团体事务支出</w:t>
            </w:r>
          </w:p>
        </w:tc>
        <w:tc>
          <w:tcPr>
            <w:tcW w:w="2222" w:type="dxa"/>
            <w:vAlign w:val="center"/>
          </w:tcPr>
          <w:p>
            <w:pPr>
              <w:pStyle w:val="24"/>
              <w:spacing w:line="240" w:lineRule="auto"/>
              <w:ind w:left="1060" w:leftChars="0" w:firstLine="0" w:firstLineChars="0"/>
              <w:jc w:val="right"/>
              <w:rPr>
                <w:b w:val="0"/>
                <w:bCs w:val="0"/>
                <w:vertAlign w:val="baseline"/>
              </w:rPr>
            </w:pPr>
            <w:r>
              <w:rPr>
                <w:rFonts w:hint="eastAsia" w:ascii="Times New Roman" w:hAnsi="Times New Roman" w:cs="Times New Roman"/>
                <w:b w:val="0"/>
                <w:bCs w:val="0"/>
                <w:sz w:val="17"/>
                <w:szCs w:val="17"/>
                <w:lang w:val="en-US" w:eastAsia="zh-CN" w:bidi="en-US"/>
              </w:rPr>
              <w:t>0.00</w:t>
            </w:r>
          </w:p>
        </w:tc>
        <w:tc>
          <w:tcPr>
            <w:tcW w:w="2161" w:type="dxa"/>
            <w:vAlign w:val="center"/>
          </w:tcPr>
          <w:p>
            <w:pPr>
              <w:pStyle w:val="24"/>
              <w:spacing w:line="240" w:lineRule="auto"/>
              <w:ind w:firstLine="0" w:firstLineChars="0"/>
              <w:jc w:val="right"/>
              <w:rPr>
                <w:b w:val="0"/>
                <w:bCs w:val="0"/>
                <w:vertAlign w:val="baseline"/>
              </w:rPr>
            </w:pPr>
            <w:r>
              <w:rPr>
                <w:rFonts w:hint="eastAsia"/>
                <w:b w:val="0"/>
                <w:bCs w:val="0"/>
                <w:sz w:val="17"/>
                <w:szCs w:val="17"/>
                <w:lang w:val="en-US" w:eastAsia="zh-CN"/>
              </w:rPr>
              <w:t>0.00</w:t>
            </w:r>
          </w:p>
        </w:tc>
        <w:tc>
          <w:tcPr>
            <w:tcW w:w="2161" w:type="dxa"/>
            <w:vAlign w:val="center"/>
          </w:tcPr>
          <w:p>
            <w:pPr>
              <w:pStyle w:val="24"/>
              <w:spacing w:line="240" w:lineRule="auto"/>
              <w:ind w:firstLine="0" w:firstLineChars="0"/>
              <w:jc w:val="right"/>
              <w:rPr>
                <w:b w:val="0"/>
                <w:bCs w:val="0"/>
                <w:vertAlign w:val="baseline"/>
              </w:rPr>
            </w:pPr>
            <w:r>
              <w:rPr>
                <w:rFonts w:hint="eastAsia" w:ascii="Times New Roman" w:hAnsi="Times New Roman" w:cs="Times New Roman"/>
                <w:b w:val="0"/>
                <w:bCs w:val="0"/>
                <w:sz w:val="17"/>
                <w:szCs w:val="17"/>
                <w:lang w:val="en-US" w:eastAsia="zh-CN" w:bidi="en-US"/>
              </w:rPr>
              <w:t>0.00</w:t>
            </w:r>
          </w:p>
        </w:tc>
        <w:tc>
          <w:tcPr>
            <w:tcW w:w="2163" w:type="dxa"/>
            <w:vAlign w:val="center"/>
          </w:tcPr>
          <w:p>
            <w:pPr>
              <w:pStyle w:val="24"/>
              <w:spacing w:line="240" w:lineRule="auto"/>
              <w:ind w:firstLine="0" w:firstLineChars="0"/>
              <w:jc w:val="right"/>
              <w:rPr>
                <w:b w:val="0"/>
                <w:bCs w:val="0"/>
                <w:vertAlign w:val="baseline"/>
              </w:rPr>
            </w:pPr>
            <w:r>
              <w:rPr>
                <w:rFonts w:hint="eastAsia" w:ascii="Times New Roman" w:hAnsi="Times New Roman" w:cs="Times New Roman"/>
                <w:b w:val="0"/>
                <w:bCs w:val="0"/>
                <w:sz w:val="17"/>
                <w:szCs w:val="17"/>
                <w:lang w:val="en-US" w:eastAsia="zh-CN" w:bidi="en-US"/>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2527" w:type="dxa"/>
            <w:vAlign w:val="center"/>
          </w:tcPr>
          <w:p>
            <w:pPr>
              <w:pStyle w:val="24"/>
              <w:spacing w:line="240" w:lineRule="auto"/>
              <w:ind w:firstLine="0" w:firstLineChars="0"/>
              <w:jc w:val="left"/>
              <w:rPr>
                <w:b w:val="0"/>
                <w:bCs w:val="0"/>
                <w:vertAlign w:val="baseline"/>
              </w:rPr>
            </w:pPr>
            <w:r>
              <w:rPr>
                <w:rFonts w:hint="eastAsia" w:ascii="Times New Roman" w:hAnsi="Times New Roman" w:cs="Times New Roman"/>
                <w:b w:val="0"/>
                <w:bCs w:val="0"/>
                <w:sz w:val="17"/>
                <w:szCs w:val="17"/>
                <w:lang w:val="en-US" w:eastAsia="zh-CN"/>
              </w:rPr>
              <w:t>2050302</w:t>
            </w:r>
          </w:p>
        </w:tc>
        <w:tc>
          <w:tcPr>
            <w:tcW w:w="2161" w:type="dxa"/>
            <w:vAlign w:val="center"/>
          </w:tcPr>
          <w:p>
            <w:pPr>
              <w:pStyle w:val="24"/>
              <w:spacing w:line="240" w:lineRule="auto"/>
              <w:ind w:firstLine="0" w:firstLineChars="0"/>
              <w:jc w:val="left"/>
              <w:rPr>
                <w:b w:val="0"/>
                <w:bCs w:val="0"/>
                <w:vertAlign w:val="baseline"/>
              </w:rPr>
            </w:pPr>
          </w:p>
        </w:tc>
        <w:tc>
          <w:tcPr>
            <w:tcW w:w="2162" w:type="dxa"/>
            <w:vAlign w:val="center"/>
          </w:tcPr>
          <w:p>
            <w:pPr>
              <w:pStyle w:val="24"/>
              <w:spacing w:line="240" w:lineRule="auto"/>
              <w:ind w:firstLine="0" w:firstLineChars="0"/>
              <w:jc w:val="left"/>
              <w:rPr>
                <w:b w:val="0"/>
                <w:bCs w:val="0"/>
                <w:vertAlign w:val="baseline"/>
              </w:rPr>
            </w:pPr>
            <w:r>
              <w:rPr>
                <w:rFonts w:hint="eastAsia"/>
                <w:b w:val="0"/>
                <w:bCs w:val="0"/>
                <w:sz w:val="17"/>
                <w:szCs w:val="17"/>
                <w:lang w:val="en-US" w:eastAsia="zh-CN"/>
              </w:rPr>
              <w:t>中等职业教育</w:t>
            </w:r>
          </w:p>
        </w:tc>
        <w:tc>
          <w:tcPr>
            <w:tcW w:w="2222" w:type="dxa"/>
            <w:vAlign w:val="center"/>
          </w:tcPr>
          <w:p>
            <w:pPr>
              <w:pStyle w:val="24"/>
              <w:spacing w:line="240" w:lineRule="auto"/>
              <w:ind w:left="1060" w:leftChars="0" w:firstLine="0" w:firstLineChars="0"/>
              <w:jc w:val="right"/>
              <w:rPr>
                <w:b w:val="0"/>
                <w:bCs w:val="0"/>
                <w:vertAlign w:val="baseline"/>
              </w:rPr>
            </w:pPr>
            <w:r>
              <w:rPr>
                <w:rFonts w:hint="eastAsia" w:ascii="Times New Roman" w:hAnsi="Times New Roman" w:cs="Times New Roman"/>
                <w:b w:val="0"/>
                <w:bCs w:val="0"/>
                <w:sz w:val="17"/>
                <w:szCs w:val="17"/>
                <w:lang w:val="en-US" w:eastAsia="zh-CN" w:bidi="en-US"/>
              </w:rPr>
              <w:t>0.00</w:t>
            </w:r>
          </w:p>
        </w:tc>
        <w:tc>
          <w:tcPr>
            <w:tcW w:w="2161" w:type="dxa"/>
            <w:vAlign w:val="center"/>
          </w:tcPr>
          <w:p>
            <w:pPr>
              <w:pStyle w:val="24"/>
              <w:spacing w:line="240" w:lineRule="auto"/>
              <w:ind w:firstLine="0" w:firstLineChars="0"/>
              <w:jc w:val="right"/>
              <w:rPr>
                <w:b w:val="0"/>
                <w:bCs w:val="0"/>
                <w:vertAlign w:val="baseline"/>
              </w:rPr>
            </w:pPr>
            <w:r>
              <w:rPr>
                <w:rFonts w:hint="eastAsia"/>
                <w:b w:val="0"/>
                <w:bCs w:val="0"/>
                <w:sz w:val="17"/>
                <w:szCs w:val="17"/>
                <w:lang w:val="en-US" w:eastAsia="zh-CN"/>
              </w:rPr>
              <w:t>0.00</w:t>
            </w:r>
          </w:p>
        </w:tc>
        <w:tc>
          <w:tcPr>
            <w:tcW w:w="2161" w:type="dxa"/>
            <w:vAlign w:val="center"/>
          </w:tcPr>
          <w:p>
            <w:pPr>
              <w:pStyle w:val="24"/>
              <w:spacing w:line="240" w:lineRule="auto"/>
              <w:ind w:firstLine="0" w:firstLineChars="0"/>
              <w:jc w:val="right"/>
              <w:rPr>
                <w:b w:val="0"/>
                <w:bCs w:val="0"/>
                <w:vertAlign w:val="baseline"/>
              </w:rPr>
            </w:pPr>
            <w:r>
              <w:rPr>
                <w:rFonts w:hint="eastAsia" w:ascii="Times New Roman" w:hAnsi="Times New Roman" w:cs="Times New Roman"/>
                <w:b w:val="0"/>
                <w:bCs w:val="0"/>
                <w:sz w:val="17"/>
                <w:szCs w:val="17"/>
                <w:lang w:val="en-US" w:eastAsia="zh-CN" w:bidi="en-US"/>
              </w:rPr>
              <w:t>0.00</w:t>
            </w:r>
          </w:p>
        </w:tc>
        <w:tc>
          <w:tcPr>
            <w:tcW w:w="2163" w:type="dxa"/>
            <w:vAlign w:val="center"/>
          </w:tcPr>
          <w:p>
            <w:pPr>
              <w:pStyle w:val="24"/>
              <w:spacing w:line="240" w:lineRule="auto"/>
              <w:ind w:firstLine="0" w:firstLineChars="0"/>
              <w:jc w:val="right"/>
              <w:rPr>
                <w:b w:val="0"/>
                <w:bCs w:val="0"/>
                <w:vertAlign w:val="baseline"/>
              </w:rPr>
            </w:pPr>
            <w:r>
              <w:rPr>
                <w:rFonts w:hint="eastAsia" w:ascii="Times New Roman" w:hAnsi="Times New Roman" w:cs="Times New Roman"/>
                <w:b w:val="0"/>
                <w:bCs w:val="0"/>
                <w:sz w:val="17"/>
                <w:szCs w:val="17"/>
                <w:lang w:val="en-US" w:eastAsia="zh-CN" w:bidi="en-US"/>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2527" w:type="dxa"/>
            <w:vAlign w:val="center"/>
          </w:tcPr>
          <w:p>
            <w:pPr>
              <w:pStyle w:val="24"/>
              <w:spacing w:line="240" w:lineRule="auto"/>
              <w:ind w:firstLine="0" w:firstLineChars="0"/>
              <w:jc w:val="left"/>
              <w:rPr>
                <w:b w:val="0"/>
                <w:bCs w:val="0"/>
                <w:vertAlign w:val="baseline"/>
              </w:rPr>
            </w:pPr>
            <w:r>
              <w:rPr>
                <w:rFonts w:hint="eastAsia" w:ascii="Times New Roman" w:hAnsi="Times New Roman" w:cs="Times New Roman"/>
                <w:b w:val="0"/>
                <w:bCs w:val="0"/>
                <w:sz w:val="17"/>
                <w:szCs w:val="17"/>
                <w:lang w:val="en-US" w:eastAsia="zh-CN"/>
              </w:rPr>
              <w:t>2080505</w:t>
            </w:r>
          </w:p>
        </w:tc>
        <w:tc>
          <w:tcPr>
            <w:tcW w:w="2161" w:type="dxa"/>
            <w:vAlign w:val="center"/>
          </w:tcPr>
          <w:p>
            <w:pPr>
              <w:pStyle w:val="24"/>
              <w:spacing w:line="240" w:lineRule="auto"/>
              <w:ind w:firstLine="0" w:firstLineChars="0"/>
              <w:jc w:val="left"/>
              <w:rPr>
                <w:b w:val="0"/>
                <w:bCs w:val="0"/>
                <w:vertAlign w:val="baseline"/>
              </w:rPr>
            </w:pPr>
          </w:p>
        </w:tc>
        <w:tc>
          <w:tcPr>
            <w:tcW w:w="2162" w:type="dxa"/>
            <w:vAlign w:val="center"/>
          </w:tcPr>
          <w:p>
            <w:pPr>
              <w:pStyle w:val="24"/>
              <w:spacing w:line="240" w:lineRule="auto"/>
              <w:ind w:firstLine="0" w:firstLineChars="0"/>
              <w:jc w:val="left"/>
              <w:rPr>
                <w:b w:val="0"/>
                <w:bCs w:val="0"/>
                <w:vertAlign w:val="baseline"/>
              </w:rPr>
            </w:pPr>
            <w:r>
              <w:rPr>
                <w:rFonts w:hint="eastAsia"/>
                <w:b w:val="0"/>
                <w:bCs w:val="0"/>
                <w:sz w:val="17"/>
                <w:szCs w:val="17"/>
                <w:lang w:val="en-US" w:eastAsia="zh-CN"/>
              </w:rPr>
              <w:t>机关事业单位基本养老保险缴费支出</w:t>
            </w:r>
          </w:p>
        </w:tc>
        <w:tc>
          <w:tcPr>
            <w:tcW w:w="2222" w:type="dxa"/>
            <w:vAlign w:val="center"/>
          </w:tcPr>
          <w:p>
            <w:pPr>
              <w:pStyle w:val="24"/>
              <w:spacing w:line="240" w:lineRule="auto"/>
              <w:ind w:left="1060" w:leftChars="0" w:firstLine="0" w:firstLineChars="0"/>
              <w:jc w:val="right"/>
              <w:rPr>
                <w:b w:val="0"/>
                <w:bCs w:val="0"/>
                <w:vertAlign w:val="baseline"/>
              </w:rPr>
            </w:pPr>
            <w:r>
              <w:rPr>
                <w:rFonts w:hint="eastAsia" w:ascii="Times New Roman" w:hAnsi="Times New Roman" w:cs="Times New Roman"/>
                <w:b w:val="0"/>
                <w:bCs w:val="0"/>
                <w:sz w:val="17"/>
                <w:szCs w:val="17"/>
                <w:lang w:val="en-US" w:eastAsia="zh-CN" w:bidi="en-US"/>
              </w:rPr>
              <w:t>0.00</w:t>
            </w:r>
          </w:p>
        </w:tc>
        <w:tc>
          <w:tcPr>
            <w:tcW w:w="2161" w:type="dxa"/>
            <w:vAlign w:val="center"/>
          </w:tcPr>
          <w:p>
            <w:pPr>
              <w:pStyle w:val="24"/>
              <w:spacing w:line="240" w:lineRule="auto"/>
              <w:ind w:firstLine="0" w:firstLineChars="0"/>
              <w:jc w:val="right"/>
              <w:rPr>
                <w:b w:val="0"/>
                <w:bCs w:val="0"/>
                <w:vertAlign w:val="baseline"/>
              </w:rPr>
            </w:pPr>
            <w:r>
              <w:rPr>
                <w:rFonts w:hint="eastAsia"/>
                <w:b w:val="0"/>
                <w:bCs w:val="0"/>
                <w:sz w:val="17"/>
                <w:szCs w:val="17"/>
                <w:lang w:val="en-US" w:eastAsia="zh-CN"/>
              </w:rPr>
              <w:t>0.00</w:t>
            </w:r>
          </w:p>
        </w:tc>
        <w:tc>
          <w:tcPr>
            <w:tcW w:w="2161" w:type="dxa"/>
            <w:vAlign w:val="center"/>
          </w:tcPr>
          <w:p>
            <w:pPr>
              <w:pStyle w:val="24"/>
              <w:spacing w:line="240" w:lineRule="auto"/>
              <w:ind w:firstLine="0" w:firstLineChars="0"/>
              <w:jc w:val="right"/>
              <w:rPr>
                <w:b w:val="0"/>
                <w:bCs w:val="0"/>
                <w:vertAlign w:val="baseline"/>
              </w:rPr>
            </w:pPr>
            <w:r>
              <w:rPr>
                <w:rFonts w:hint="eastAsia" w:ascii="Times New Roman" w:hAnsi="Times New Roman" w:cs="Times New Roman"/>
                <w:b w:val="0"/>
                <w:bCs w:val="0"/>
                <w:sz w:val="17"/>
                <w:szCs w:val="17"/>
                <w:lang w:val="en-US" w:eastAsia="zh-CN" w:bidi="en-US"/>
              </w:rPr>
              <w:t>0.00</w:t>
            </w:r>
          </w:p>
        </w:tc>
        <w:tc>
          <w:tcPr>
            <w:tcW w:w="2163" w:type="dxa"/>
            <w:vAlign w:val="center"/>
          </w:tcPr>
          <w:p>
            <w:pPr>
              <w:pStyle w:val="24"/>
              <w:spacing w:line="240" w:lineRule="auto"/>
              <w:ind w:firstLine="0" w:firstLineChars="0"/>
              <w:jc w:val="right"/>
              <w:rPr>
                <w:b w:val="0"/>
                <w:bCs w:val="0"/>
                <w:vertAlign w:val="baseline"/>
              </w:rPr>
            </w:pPr>
            <w:r>
              <w:rPr>
                <w:rFonts w:hint="eastAsia" w:ascii="Times New Roman" w:hAnsi="Times New Roman" w:cs="Times New Roman"/>
                <w:b w:val="0"/>
                <w:bCs w:val="0"/>
                <w:sz w:val="17"/>
                <w:szCs w:val="17"/>
                <w:lang w:val="en-US" w:eastAsia="zh-CN" w:bidi="en-US"/>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2527" w:type="dxa"/>
            <w:vAlign w:val="center"/>
          </w:tcPr>
          <w:p>
            <w:pPr>
              <w:pStyle w:val="24"/>
              <w:spacing w:line="240" w:lineRule="auto"/>
              <w:ind w:firstLine="0" w:firstLineChars="0"/>
              <w:jc w:val="left"/>
              <w:rPr>
                <w:b w:val="0"/>
                <w:bCs w:val="0"/>
                <w:vertAlign w:val="baseline"/>
              </w:rPr>
            </w:pPr>
            <w:r>
              <w:rPr>
                <w:rFonts w:hint="eastAsia" w:ascii="Times New Roman" w:hAnsi="Times New Roman" w:cs="Times New Roman"/>
                <w:b w:val="0"/>
                <w:bCs w:val="0"/>
                <w:sz w:val="17"/>
                <w:szCs w:val="17"/>
                <w:lang w:val="en-US" w:eastAsia="zh-CN"/>
              </w:rPr>
              <w:t>2121903</w:t>
            </w:r>
          </w:p>
        </w:tc>
        <w:tc>
          <w:tcPr>
            <w:tcW w:w="2161" w:type="dxa"/>
            <w:vAlign w:val="center"/>
          </w:tcPr>
          <w:p>
            <w:pPr>
              <w:pStyle w:val="24"/>
              <w:spacing w:line="240" w:lineRule="auto"/>
              <w:ind w:firstLine="0" w:firstLineChars="0"/>
              <w:jc w:val="left"/>
              <w:rPr>
                <w:b w:val="0"/>
                <w:bCs w:val="0"/>
                <w:vertAlign w:val="baseline"/>
              </w:rPr>
            </w:pPr>
          </w:p>
        </w:tc>
        <w:tc>
          <w:tcPr>
            <w:tcW w:w="2162" w:type="dxa"/>
            <w:vAlign w:val="center"/>
          </w:tcPr>
          <w:p>
            <w:pPr>
              <w:pStyle w:val="24"/>
              <w:spacing w:line="240" w:lineRule="auto"/>
              <w:ind w:firstLine="0" w:firstLineChars="0"/>
              <w:jc w:val="left"/>
              <w:rPr>
                <w:b w:val="0"/>
                <w:bCs w:val="0"/>
                <w:vertAlign w:val="baseline"/>
              </w:rPr>
            </w:pPr>
            <w:r>
              <w:rPr>
                <w:rFonts w:hint="eastAsia"/>
                <w:b w:val="0"/>
                <w:bCs w:val="0"/>
                <w:sz w:val="17"/>
                <w:szCs w:val="17"/>
                <w:lang w:val="en-US" w:eastAsia="zh-CN"/>
              </w:rPr>
              <w:t>城市建设支出</w:t>
            </w:r>
          </w:p>
        </w:tc>
        <w:tc>
          <w:tcPr>
            <w:tcW w:w="2222" w:type="dxa"/>
            <w:vAlign w:val="center"/>
          </w:tcPr>
          <w:p>
            <w:pPr>
              <w:pStyle w:val="24"/>
              <w:spacing w:line="240" w:lineRule="auto"/>
              <w:ind w:left="1060" w:leftChars="0" w:firstLine="0" w:firstLineChars="0"/>
              <w:jc w:val="right"/>
              <w:rPr>
                <w:b w:val="0"/>
                <w:bCs w:val="0"/>
                <w:vertAlign w:val="baseline"/>
              </w:rPr>
            </w:pPr>
            <w:r>
              <w:rPr>
                <w:rFonts w:hint="eastAsia" w:ascii="Times New Roman" w:hAnsi="Times New Roman" w:cs="Times New Roman"/>
                <w:b w:val="0"/>
                <w:bCs w:val="0"/>
                <w:sz w:val="17"/>
                <w:szCs w:val="17"/>
                <w:lang w:val="en-US" w:eastAsia="zh-CN" w:bidi="en-US"/>
              </w:rPr>
              <w:t>0.93</w:t>
            </w:r>
          </w:p>
        </w:tc>
        <w:tc>
          <w:tcPr>
            <w:tcW w:w="2161" w:type="dxa"/>
            <w:vAlign w:val="center"/>
          </w:tcPr>
          <w:p>
            <w:pPr>
              <w:pStyle w:val="24"/>
              <w:spacing w:line="240" w:lineRule="auto"/>
              <w:ind w:firstLine="0" w:firstLineChars="0"/>
              <w:jc w:val="right"/>
              <w:rPr>
                <w:b w:val="0"/>
                <w:bCs w:val="0"/>
                <w:vertAlign w:val="baseline"/>
              </w:rPr>
            </w:pPr>
            <w:r>
              <w:rPr>
                <w:rFonts w:hint="eastAsia"/>
                <w:b w:val="0"/>
                <w:bCs w:val="0"/>
                <w:sz w:val="17"/>
                <w:szCs w:val="17"/>
                <w:lang w:val="en-US" w:eastAsia="zh-CN"/>
              </w:rPr>
              <w:t>0.00</w:t>
            </w:r>
          </w:p>
        </w:tc>
        <w:tc>
          <w:tcPr>
            <w:tcW w:w="2161" w:type="dxa"/>
            <w:vAlign w:val="center"/>
          </w:tcPr>
          <w:p>
            <w:pPr>
              <w:pStyle w:val="24"/>
              <w:spacing w:line="240" w:lineRule="auto"/>
              <w:ind w:firstLine="0" w:firstLineChars="0"/>
              <w:jc w:val="right"/>
              <w:rPr>
                <w:b w:val="0"/>
                <w:bCs w:val="0"/>
                <w:vertAlign w:val="baseline"/>
              </w:rPr>
            </w:pPr>
            <w:r>
              <w:rPr>
                <w:rFonts w:hint="eastAsia" w:ascii="Times New Roman" w:hAnsi="Times New Roman" w:cs="Times New Roman"/>
                <w:b w:val="0"/>
                <w:bCs w:val="0"/>
                <w:sz w:val="17"/>
                <w:szCs w:val="17"/>
                <w:lang w:val="en-US" w:eastAsia="zh-CN" w:bidi="en-US"/>
              </w:rPr>
              <w:t>0.93</w:t>
            </w:r>
          </w:p>
        </w:tc>
        <w:tc>
          <w:tcPr>
            <w:tcW w:w="2163" w:type="dxa"/>
            <w:vAlign w:val="center"/>
          </w:tcPr>
          <w:p>
            <w:pPr>
              <w:pStyle w:val="24"/>
              <w:spacing w:line="240" w:lineRule="auto"/>
              <w:ind w:firstLine="0" w:firstLineChars="0"/>
              <w:jc w:val="right"/>
              <w:rPr>
                <w:b w:val="0"/>
                <w:bCs w:val="0"/>
                <w:vertAlign w:val="baseline"/>
              </w:rPr>
            </w:pPr>
            <w:r>
              <w:rPr>
                <w:rFonts w:hint="eastAsia" w:ascii="Times New Roman" w:hAnsi="Times New Roman" w:cs="Times New Roman"/>
                <w:b w:val="0"/>
                <w:bCs w:val="0"/>
                <w:sz w:val="17"/>
                <w:szCs w:val="17"/>
                <w:lang w:val="en-US" w:eastAsia="zh-CN" w:bidi="en-US"/>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2527" w:type="dxa"/>
            <w:vAlign w:val="center"/>
          </w:tcPr>
          <w:p>
            <w:pPr>
              <w:pStyle w:val="24"/>
              <w:spacing w:line="240" w:lineRule="auto"/>
              <w:ind w:firstLine="0" w:firstLineChars="0"/>
              <w:jc w:val="left"/>
              <w:rPr>
                <w:b w:val="0"/>
                <w:bCs w:val="0"/>
                <w:vertAlign w:val="baseline"/>
              </w:rPr>
            </w:pPr>
            <w:r>
              <w:rPr>
                <w:rFonts w:hint="eastAsia" w:ascii="Times New Roman" w:hAnsi="Times New Roman" w:cs="Times New Roman"/>
                <w:b w:val="0"/>
                <w:bCs w:val="0"/>
                <w:sz w:val="17"/>
                <w:szCs w:val="17"/>
                <w:lang w:val="en-US" w:eastAsia="zh-CN"/>
              </w:rPr>
              <w:t>2210201</w:t>
            </w:r>
          </w:p>
        </w:tc>
        <w:tc>
          <w:tcPr>
            <w:tcW w:w="2161" w:type="dxa"/>
            <w:vAlign w:val="center"/>
          </w:tcPr>
          <w:p>
            <w:pPr>
              <w:pStyle w:val="24"/>
              <w:spacing w:line="240" w:lineRule="auto"/>
              <w:ind w:firstLine="0" w:firstLineChars="0"/>
              <w:jc w:val="left"/>
              <w:rPr>
                <w:b w:val="0"/>
                <w:bCs w:val="0"/>
                <w:vertAlign w:val="baseline"/>
              </w:rPr>
            </w:pPr>
          </w:p>
        </w:tc>
        <w:tc>
          <w:tcPr>
            <w:tcW w:w="2162" w:type="dxa"/>
            <w:vAlign w:val="center"/>
          </w:tcPr>
          <w:p>
            <w:pPr>
              <w:pStyle w:val="24"/>
              <w:spacing w:line="240" w:lineRule="auto"/>
              <w:ind w:firstLine="0" w:firstLineChars="0"/>
              <w:jc w:val="left"/>
              <w:rPr>
                <w:b w:val="0"/>
                <w:bCs w:val="0"/>
                <w:vertAlign w:val="baseline"/>
              </w:rPr>
            </w:pPr>
            <w:r>
              <w:rPr>
                <w:rFonts w:hint="eastAsia"/>
                <w:b w:val="0"/>
                <w:bCs w:val="0"/>
                <w:sz w:val="17"/>
                <w:szCs w:val="17"/>
                <w:lang w:val="en-US" w:eastAsia="zh-CN"/>
              </w:rPr>
              <w:t>住房公积金</w:t>
            </w:r>
          </w:p>
        </w:tc>
        <w:tc>
          <w:tcPr>
            <w:tcW w:w="2222" w:type="dxa"/>
            <w:vAlign w:val="center"/>
          </w:tcPr>
          <w:p>
            <w:pPr>
              <w:pStyle w:val="24"/>
              <w:spacing w:line="240" w:lineRule="auto"/>
              <w:ind w:left="1060" w:leftChars="0" w:firstLine="0" w:firstLineChars="0"/>
              <w:jc w:val="right"/>
              <w:rPr>
                <w:b w:val="0"/>
                <w:bCs w:val="0"/>
                <w:vertAlign w:val="baseline"/>
              </w:rPr>
            </w:pPr>
            <w:r>
              <w:rPr>
                <w:rFonts w:hint="eastAsia" w:ascii="Times New Roman" w:hAnsi="Times New Roman" w:cs="Times New Roman"/>
                <w:b w:val="0"/>
                <w:bCs w:val="0"/>
                <w:sz w:val="17"/>
                <w:szCs w:val="17"/>
                <w:lang w:val="en-US" w:eastAsia="zh-CN" w:bidi="en-US"/>
              </w:rPr>
              <w:t>0.00</w:t>
            </w:r>
          </w:p>
        </w:tc>
        <w:tc>
          <w:tcPr>
            <w:tcW w:w="2161" w:type="dxa"/>
            <w:vAlign w:val="center"/>
          </w:tcPr>
          <w:p>
            <w:pPr>
              <w:pStyle w:val="24"/>
              <w:spacing w:line="240" w:lineRule="auto"/>
              <w:ind w:firstLine="0" w:firstLineChars="0"/>
              <w:jc w:val="right"/>
              <w:rPr>
                <w:b w:val="0"/>
                <w:bCs w:val="0"/>
                <w:vertAlign w:val="baseline"/>
              </w:rPr>
            </w:pPr>
            <w:r>
              <w:rPr>
                <w:rFonts w:hint="eastAsia"/>
                <w:b w:val="0"/>
                <w:bCs w:val="0"/>
                <w:sz w:val="17"/>
                <w:szCs w:val="17"/>
                <w:lang w:val="en-US" w:eastAsia="zh-CN"/>
              </w:rPr>
              <w:t>0.00</w:t>
            </w:r>
          </w:p>
        </w:tc>
        <w:tc>
          <w:tcPr>
            <w:tcW w:w="2161" w:type="dxa"/>
            <w:vAlign w:val="center"/>
          </w:tcPr>
          <w:p>
            <w:pPr>
              <w:pStyle w:val="24"/>
              <w:spacing w:line="240" w:lineRule="auto"/>
              <w:ind w:firstLine="0" w:firstLineChars="0"/>
              <w:jc w:val="right"/>
              <w:rPr>
                <w:b w:val="0"/>
                <w:bCs w:val="0"/>
                <w:vertAlign w:val="baseline"/>
              </w:rPr>
            </w:pPr>
            <w:r>
              <w:rPr>
                <w:rFonts w:hint="eastAsia" w:ascii="Times New Roman" w:hAnsi="Times New Roman" w:cs="Times New Roman"/>
                <w:b w:val="0"/>
                <w:bCs w:val="0"/>
                <w:sz w:val="17"/>
                <w:szCs w:val="17"/>
                <w:lang w:val="en-US" w:eastAsia="zh-CN" w:bidi="en-US"/>
              </w:rPr>
              <w:t>0.00</w:t>
            </w:r>
          </w:p>
        </w:tc>
        <w:tc>
          <w:tcPr>
            <w:tcW w:w="2163" w:type="dxa"/>
            <w:vAlign w:val="center"/>
          </w:tcPr>
          <w:p>
            <w:pPr>
              <w:pStyle w:val="24"/>
              <w:spacing w:line="240" w:lineRule="auto"/>
              <w:ind w:firstLine="0" w:firstLineChars="0"/>
              <w:jc w:val="right"/>
              <w:rPr>
                <w:b w:val="0"/>
                <w:bCs w:val="0"/>
                <w:vertAlign w:val="baseline"/>
              </w:rPr>
            </w:pPr>
            <w:r>
              <w:rPr>
                <w:rFonts w:hint="eastAsia" w:ascii="Times New Roman" w:hAnsi="Times New Roman" w:cs="Times New Roman"/>
                <w:b w:val="0"/>
                <w:bCs w:val="0"/>
                <w:sz w:val="17"/>
                <w:szCs w:val="17"/>
                <w:lang w:val="en-US" w:eastAsia="zh-CN" w:bidi="en-US"/>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7" w:type="dxa"/>
            <w:gridSpan w:val="7"/>
            <w:tcBorders>
              <w:left w:val="nil"/>
              <w:bottom w:val="nil"/>
              <w:right w:val="nil"/>
            </w:tcBorders>
          </w:tcPr>
          <w:p>
            <w:pPr>
              <w:pStyle w:val="26"/>
              <w:bidi w:val="0"/>
              <w:jc w:val="both"/>
              <w:rPr>
                <w:vertAlign w:val="baseline"/>
              </w:rPr>
            </w:pPr>
            <w:r>
              <w:t>注：本报表金额单位转换时可能存在四舍五入尾数误差</w:t>
            </w:r>
          </w:p>
        </w:tc>
      </w:tr>
    </w:tbl>
    <w:p>
      <w:pPr>
        <w:pStyle w:val="26"/>
        <w:bidi w:val="0"/>
      </w:pPr>
    </w:p>
    <w:p>
      <w:pPr>
        <w:pStyle w:val="26"/>
        <w:bidi w:val="0"/>
      </w:pPr>
    </w:p>
    <w:p>
      <w:pPr>
        <w:pStyle w:val="26"/>
        <w:bidi w:val="0"/>
      </w:pPr>
    </w:p>
    <w:p>
      <w:pPr>
        <w:pStyle w:val="26"/>
        <w:bidi w:val="0"/>
      </w:pPr>
    </w:p>
    <w:p>
      <w:pPr>
        <w:pStyle w:val="26"/>
        <w:bidi w:val="0"/>
      </w:pPr>
    </w:p>
    <w:p>
      <w:pPr>
        <w:pStyle w:val="26"/>
        <w:bidi w:val="0"/>
      </w:pPr>
    </w:p>
    <w:p>
      <w:pPr>
        <w:pStyle w:val="26"/>
        <w:bidi w:val="0"/>
      </w:pPr>
    </w:p>
    <w:p>
      <w:pPr>
        <w:pStyle w:val="26"/>
        <w:bidi w:val="0"/>
      </w:pPr>
    </w:p>
    <w:p>
      <w:pPr>
        <w:pStyle w:val="26"/>
        <w:bidi w:val="0"/>
      </w:pPr>
    </w:p>
    <w:p>
      <w:pPr>
        <w:pStyle w:val="26"/>
        <w:bidi w:val="0"/>
      </w:pPr>
    </w:p>
    <w:p>
      <w:pPr>
        <w:pStyle w:val="26"/>
        <w:bidi w:val="0"/>
      </w:pPr>
    </w:p>
    <w:p>
      <w:pPr>
        <w:pStyle w:val="26"/>
        <w:bidi w:val="0"/>
      </w:pPr>
    </w:p>
    <w:p>
      <w:pPr>
        <w:pStyle w:val="26"/>
        <w:bidi w:val="0"/>
      </w:pPr>
    </w:p>
    <w:p>
      <w:pPr>
        <w:pStyle w:val="26"/>
        <w:bidi w:val="0"/>
      </w:pPr>
    </w:p>
    <w:p>
      <w:pPr>
        <w:pStyle w:val="26"/>
        <w:bidi w:val="0"/>
      </w:pPr>
    </w:p>
    <w:p>
      <w:pPr>
        <w:pStyle w:val="26"/>
        <w:bidi w:val="0"/>
      </w:pPr>
    </w:p>
    <w:p>
      <w:pPr>
        <w:pStyle w:val="26"/>
        <w:bidi w:val="0"/>
      </w:pPr>
    </w:p>
    <w:p>
      <w:pPr>
        <w:pStyle w:val="26"/>
        <w:bidi w:val="0"/>
      </w:pPr>
    </w:p>
    <w:p>
      <w:pPr>
        <w:pStyle w:val="26"/>
        <w:bidi w:val="0"/>
      </w:pPr>
    </w:p>
    <w:p>
      <w:pPr>
        <w:pStyle w:val="26"/>
        <w:bidi w:val="0"/>
      </w:pPr>
    </w:p>
    <w:p>
      <w:pPr>
        <w:pStyle w:val="26"/>
        <w:bidi w:val="0"/>
      </w:pPr>
    </w:p>
    <w:p>
      <w:pPr>
        <w:pStyle w:val="26"/>
        <w:bidi w:val="0"/>
        <w:jc w:val="center"/>
        <w:rPr>
          <w:sz w:val="28"/>
          <w:szCs w:val="28"/>
        </w:rPr>
      </w:pPr>
      <w:r>
        <w:rPr>
          <w:sz w:val="28"/>
          <w:szCs w:val="28"/>
        </w:rPr>
        <w:t>国有资本经营预算支出情况表</w:t>
      </w:r>
    </w:p>
    <w:p>
      <w:pPr>
        <w:pStyle w:val="26"/>
        <w:bidi w:val="0"/>
        <w:jc w:val="center"/>
        <w:rPr>
          <w:sz w:val="28"/>
          <w:szCs w:val="28"/>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27"/>
        <w:gridCol w:w="2161"/>
        <w:gridCol w:w="2162"/>
        <w:gridCol w:w="2222"/>
        <w:gridCol w:w="2161"/>
        <w:gridCol w:w="2161"/>
        <w:gridCol w:w="2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4" w:type="dxa"/>
            <w:gridSpan w:val="6"/>
            <w:tcBorders>
              <w:top w:val="nil"/>
              <w:left w:val="nil"/>
              <w:right w:val="nil"/>
            </w:tcBorders>
          </w:tcPr>
          <w:p>
            <w:pPr>
              <w:pStyle w:val="26"/>
              <w:tabs>
                <w:tab w:val="left" w:pos="14213"/>
              </w:tabs>
              <w:ind w:left="101"/>
              <w:jc w:val="left"/>
            </w:pPr>
            <w:r>
              <w:t>单位名称：</w:t>
            </w:r>
            <w:r>
              <w:rPr>
                <w:rFonts w:hint="eastAsia"/>
                <w:lang w:eastAsia="zh-CN"/>
              </w:rPr>
              <w:t>环江毛南族自治县职业技术学校</w:t>
            </w:r>
            <w:r>
              <w:tab/>
            </w:r>
            <w:r>
              <w:t>单位：万元</w:t>
            </w:r>
          </w:p>
        </w:tc>
        <w:tc>
          <w:tcPr>
            <w:tcW w:w="2163" w:type="dxa"/>
            <w:tcBorders>
              <w:top w:val="nil"/>
              <w:left w:val="nil"/>
              <w:right w:val="nil"/>
            </w:tcBorders>
          </w:tcPr>
          <w:p>
            <w:pPr>
              <w:pStyle w:val="26"/>
              <w:tabs>
                <w:tab w:val="left" w:pos="14213"/>
              </w:tabs>
              <w:ind w:left="101"/>
              <w:jc w:val="left"/>
            </w:pPr>
            <w:r>
              <w:rPr>
                <w:rFonts w:hint="eastAsia" w:ascii="宋体" w:hAnsi="宋体" w:eastAsia="宋体" w:cs="宋体"/>
                <w:sz w:val="17"/>
                <w:szCs w:val="17"/>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7" w:type="dxa"/>
            <w:vMerge w:val="restart"/>
          </w:tcPr>
          <w:p>
            <w:pPr>
              <w:pStyle w:val="26"/>
              <w:bidi w:val="0"/>
              <w:jc w:val="center"/>
              <w:rPr>
                <w:vertAlign w:val="baseline"/>
              </w:rPr>
            </w:pPr>
            <w:r>
              <w:rPr>
                <w:sz w:val="17"/>
                <w:szCs w:val="17"/>
              </w:rPr>
              <w:t>科目编码</w:t>
            </w:r>
          </w:p>
        </w:tc>
        <w:tc>
          <w:tcPr>
            <w:tcW w:w="2161" w:type="dxa"/>
            <w:vMerge w:val="restart"/>
          </w:tcPr>
          <w:p>
            <w:pPr>
              <w:pStyle w:val="26"/>
              <w:bidi w:val="0"/>
              <w:jc w:val="center"/>
              <w:rPr>
                <w:vertAlign w:val="baseline"/>
              </w:rPr>
            </w:pPr>
            <w:r>
              <w:rPr>
                <w:sz w:val="17"/>
                <w:szCs w:val="17"/>
              </w:rPr>
              <w:t>部门（单位）代码</w:t>
            </w:r>
          </w:p>
        </w:tc>
        <w:tc>
          <w:tcPr>
            <w:tcW w:w="2162" w:type="dxa"/>
            <w:vMerge w:val="restart"/>
          </w:tcPr>
          <w:p>
            <w:pPr>
              <w:pStyle w:val="26"/>
              <w:bidi w:val="0"/>
              <w:jc w:val="center"/>
              <w:rPr>
                <w:vertAlign w:val="baseline"/>
              </w:rPr>
            </w:pPr>
            <w:r>
              <w:rPr>
                <w:sz w:val="17"/>
                <w:szCs w:val="17"/>
              </w:rPr>
              <w:t>部门（单位）名称（功能分类科目名称）</w:t>
            </w:r>
          </w:p>
        </w:tc>
        <w:tc>
          <w:tcPr>
            <w:tcW w:w="2222" w:type="dxa"/>
            <w:vAlign w:val="center"/>
          </w:tcPr>
          <w:p>
            <w:pPr>
              <w:pStyle w:val="24"/>
              <w:spacing w:line="240" w:lineRule="auto"/>
              <w:ind w:firstLine="0" w:firstLineChars="0"/>
              <w:jc w:val="center"/>
              <w:rPr>
                <w:vertAlign w:val="baseline"/>
              </w:rPr>
            </w:pPr>
            <w:r>
              <w:rPr>
                <w:sz w:val="17"/>
                <w:szCs w:val="17"/>
              </w:rPr>
              <w:t>合计</w:t>
            </w:r>
          </w:p>
        </w:tc>
        <w:tc>
          <w:tcPr>
            <w:tcW w:w="2161" w:type="dxa"/>
            <w:vAlign w:val="center"/>
          </w:tcPr>
          <w:p>
            <w:pPr>
              <w:pStyle w:val="24"/>
              <w:spacing w:line="240" w:lineRule="auto"/>
              <w:ind w:firstLine="0" w:firstLineChars="0"/>
              <w:jc w:val="center"/>
              <w:rPr>
                <w:vertAlign w:val="baseline"/>
              </w:rPr>
            </w:pPr>
            <w:r>
              <w:rPr>
                <w:sz w:val="17"/>
                <w:szCs w:val="17"/>
              </w:rPr>
              <w:t>基本支出</w:t>
            </w:r>
          </w:p>
        </w:tc>
        <w:tc>
          <w:tcPr>
            <w:tcW w:w="2161" w:type="dxa"/>
            <w:vAlign w:val="center"/>
          </w:tcPr>
          <w:p>
            <w:pPr>
              <w:pStyle w:val="24"/>
              <w:spacing w:line="240" w:lineRule="auto"/>
              <w:ind w:firstLine="0" w:firstLineChars="0"/>
              <w:jc w:val="center"/>
              <w:rPr>
                <w:vertAlign w:val="baseline"/>
              </w:rPr>
            </w:pPr>
            <w:r>
              <w:rPr>
                <w:sz w:val="17"/>
                <w:szCs w:val="17"/>
              </w:rPr>
              <w:t>项目支出</w:t>
            </w:r>
          </w:p>
        </w:tc>
        <w:tc>
          <w:tcPr>
            <w:tcW w:w="2163" w:type="dxa"/>
            <w:vAlign w:val="center"/>
          </w:tcPr>
          <w:p>
            <w:pPr>
              <w:pStyle w:val="24"/>
              <w:spacing w:line="240" w:lineRule="auto"/>
              <w:ind w:firstLine="0" w:firstLineChars="0"/>
              <w:jc w:val="center"/>
              <w:rPr>
                <w:vertAlign w:val="baseline"/>
              </w:rPr>
            </w:pPr>
            <w:r>
              <w:rPr>
                <w:sz w:val="17"/>
                <w:szCs w:val="17"/>
              </w:rPr>
              <w:t>结转下年支出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7" w:type="dxa"/>
            <w:vMerge w:val="continue"/>
          </w:tcPr>
          <w:p>
            <w:pPr>
              <w:pStyle w:val="26"/>
              <w:bidi w:val="0"/>
              <w:jc w:val="both"/>
              <w:rPr>
                <w:vertAlign w:val="baseline"/>
              </w:rPr>
            </w:pPr>
          </w:p>
        </w:tc>
        <w:tc>
          <w:tcPr>
            <w:tcW w:w="2161" w:type="dxa"/>
            <w:vMerge w:val="continue"/>
          </w:tcPr>
          <w:p>
            <w:pPr>
              <w:pStyle w:val="26"/>
              <w:bidi w:val="0"/>
              <w:jc w:val="both"/>
              <w:rPr>
                <w:vertAlign w:val="baseline"/>
              </w:rPr>
            </w:pPr>
          </w:p>
        </w:tc>
        <w:tc>
          <w:tcPr>
            <w:tcW w:w="2162" w:type="dxa"/>
            <w:vMerge w:val="continue"/>
          </w:tcPr>
          <w:p>
            <w:pPr>
              <w:pStyle w:val="26"/>
              <w:bidi w:val="0"/>
              <w:jc w:val="both"/>
              <w:rPr>
                <w:vertAlign w:val="baseline"/>
              </w:rPr>
            </w:pPr>
          </w:p>
        </w:tc>
        <w:tc>
          <w:tcPr>
            <w:tcW w:w="2222" w:type="dxa"/>
            <w:vAlign w:val="center"/>
          </w:tcPr>
          <w:p>
            <w:pPr>
              <w:pStyle w:val="24"/>
              <w:spacing w:line="240" w:lineRule="auto"/>
              <w:ind w:firstLine="0" w:firstLineChars="0"/>
              <w:jc w:val="center"/>
              <w:rPr>
                <w:vertAlign w:val="baseline"/>
              </w:rPr>
            </w:pPr>
            <w:r>
              <w:rPr>
                <w:rFonts w:ascii="Times New Roman" w:hAnsi="Times New Roman" w:eastAsia="Times New Roman" w:cs="Times New Roman"/>
                <w:b/>
                <w:bCs/>
                <w:sz w:val="17"/>
                <w:szCs w:val="17"/>
              </w:rPr>
              <w:t>1</w:t>
            </w:r>
          </w:p>
        </w:tc>
        <w:tc>
          <w:tcPr>
            <w:tcW w:w="2161" w:type="dxa"/>
            <w:vAlign w:val="center"/>
          </w:tcPr>
          <w:p>
            <w:pPr>
              <w:pStyle w:val="24"/>
              <w:spacing w:line="240" w:lineRule="auto"/>
              <w:ind w:firstLine="0" w:firstLineChars="0"/>
              <w:jc w:val="center"/>
              <w:rPr>
                <w:vertAlign w:val="baseline"/>
              </w:rPr>
            </w:pPr>
            <w:r>
              <w:rPr>
                <w:rFonts w:ascii="Times New Roman" w:hAnsi="Times New Roman" w:eastAsia="Times New Roman" w:cs="Times New Roman"/>
                <w:b/>
                <w:bCs/>
                <w:sz w:val="17"/>
                <w:szCs w:val="17"/>
              </w:rPr>
              <w:t>2</w:t>
            </w:r>
          </w:p>
        </w:tc>
        <w:tc>
          <w:tcPr>
            <w:tcW w:w="2161" w:type="dxa"/>
            <w:vAlign w:val="center"/>
          </w:tcPr>
          <w:p>
            <w:pPr>
              <w:pStyle w:val="24"/>
              <w:spacing w:line="240" w:lineRule="auto"/>
              <w:ind w:firstLine="0" w:firstLineChars="0"/>
              <w:jc w:val="center"/>
              <w:rPr>
                <w:vertAlign w:val="baseline"/>
              </w:rPr>
            </w:pPr>
            <w:r>
              <w:rPr>
                <w:rFonts w:ascii="Times New Roman" w:hAnsi="Times New Roman" w:eastAsia="Times New Roman" w:cs="Times New Roman"/>
                <w:b/>
                <w:bCs/>
                <w:sz w:val="17"/>
                <w:szCs w:val="17"/>
              </w:rPr>
              <w:t>3</w:t>
            </w:r>
          </w:p>
        </w:tc>
        <w:tc>
          <w:tcPr>
            <w:tcW w:w="2163" w:type="dxa"/>
            <w:vAlign w:val="center"/>
          </w:tcPr>
          <w:p>
            <w:pPr>
              <w:pStyle w:val="24"/>
              <w:spacing w:line="240" w:lineRule="auto"/>
              <w:ind w:firstLine="0" w:firstLineChars="0"/>
              <w:jc w:val="center"/>
              <w:rPr>
                <w:vertAlign w:val="baseline"/>
              </w:rPr>
            </w:pPr>
            <w:r>
              <w:rPr>
                <w:rFonts w:ascii="Times New Roman" w:hAnsi="Times New Roman" w:eastAsia="Times New Roman" w:cs="Times New Roman"/>
                <w:b/>
                <w:bCs/>
                <w:sz w:val="17"/>
                <w:szCs w:val="17"/>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7" w:type="dxa"/>
          </w:tcPr>
          <w:p>
            <w:pPr>
              <w:jc w:val="left"/>
              <w:rPr>
                <w:vertAlign w:val="baseline"/>
              </w:rPr>
            </w:pPr>
          </w:p>
        </w:tc>
        <w:tc>
          <w:tcPr>
            <w:tcW w:w="2161" w:type="dxa"/>
          </w:tcPr>
          <w:p>
            <w:pPr>
              <w:jc w:val="left"/>
              <w:rPr>
                <w:vertAlign w:val="baseline"/>
              </w:rPr>
            </w:pPr>
          </w:p>
        </w:tc>
        <w:tc>
          <w:tcPr>
            <w:tcW w:w="2162" w:type="dxa"/>
            <w:vAlign w:val="center"/>
          </w:tcPr>
          <w:p>
            <w:pPr>
              <w:pStyle w:val="24"/>
              <w:spacing w:line="240" w:lineRule="auto"/>
              <w:ind w:firstLine="0" w:firstLineChars="0"/>
              <w:jc w:val="left"/>
              <w:rPr>
                <w:vertAlign w:val="baseline"/>
              </w:rPr>
            </w:pPr>
            <w:r>
              <w:rPr>
                <w:sz w:val="17"/>
                <w:szCs w:val="17"/>
              </w:rPr>
              <w:t>合计</w:t>
            </w:r>
          </w:p>
        </w:tc>
        <w:tc>
          <w:tcPr>
            <w:tcW w:w="2222" w:type="dxa"/>
            <w:vAlign w:val="center"/>
          </w:tcPr>
          <w:p>
            <w:pPr>
              <w:pStyle w:val="24"/>
              <w:spacing w:line="240" w:lineRule="auto"/>
              <w:ind w:left="1700" w:leftChars="0" w:firstLine="0" w:firstLineChars="0"/>
              <w:jc w:val="right"/>
              <w:rPr>
                <w:vertAlign w:val="baseline"/>
              </w:rPr>
            </w:pPr>
            <w:r>
              <w:rPr>
                <w:rFonts w:ascii="Times New Roman" w:hAnsi="Times New Roman" w:eastAsia="Times New Roman" w:cs="Times New Roman"/>
                <w:b/>
                <w:bCs/>
                <w:sz w:val="17"/>
                <w:szCs w:val="17"/>
                <w:lang w:val="en-US" w:eastAsia="en-US" w:bidi="en-US"/>
              </w:rPr>
              <w:t>0.</w:t>
            </w:r>
            <w:r>
              <w:rPr>
                <w:rFonts w:ascii="Times New Roman" w:hAnsi="Times New Roman" w:eastAsia="Times New Roman" w:cs="Times New Roman"/>
                <w:b/>
                <w:bCs/>
                <w:sz w:val="17"/>
                <w:szCs w:val="17"/>
              </w:rPr>
              <w:t>00</w:t>
            </w:r>
          </w:p>
        </w:tc>
        <w:tc>
          <w:tcPr>
            <w:tcW w:w="2161" w:type="dxa"/>
            <w:vAlign w:val="center"/>
          </w:tcPr>
          <w:p>
            <w:pPr>
              <w:pStyle w:val="24"/>
              <w:spacing w:line="240" w:lineRule="auto"/>
              <w:ind w:firstLine="0" w:firstLineChars="0"/>
              <w:jc w:val="right"/>
              <w:rPr>
                <w:vertAlign w:val="baseline"/>
              </w:rPr>
            </w:pPr>
            <w:r>
              <w:rPr>
                <w:rFonts w:ascii="Times New Roman" w:hAnsi="Times New Roman" w:eastAsia="Times New Roman" w:cs="Times New Roman"/>
                <w:b/>
                <w:bCs/>
                <w:sz w:val="17"/>
                <w:szCs w:val="17"/>
                <w:lang w:val="en-US" w:eastAsia="en-US" w:bidi="en-US"/>
              </w:rPr>
              <w:t>0.</w:t>
            </w:r>
            <w:r>
              <w:rPr>
                <w:rFonts w:ascii="Times New Roman" w:hAnsi="Times New Roman" w:eastAsia="Times New Roman" w:cs="Times New Roman"/>
                <w:b/>
                <w:bCs/>
                <w:sz w:val="17"/>
                <w:szCs w:val="17"/>
              </w:rPr>
              <w:t>00</w:t>
            </w:r>
          </w:p>
        </w:tc>
        <w:tc>
          <w:tcPr>
            <w:tcW w:w="2161" w:type="dxa"/>
            <w:vAlign w:val="center"/>
          </w:tcPr>
          <w:p>
            <w:pPr>
              <w:pStyle w:val="24"/>
              <w:spacing w:line="240" w:lineRule="auto"/>
              <w:ind w:firstLine="0" w:firstLineChars="0"/>
              <w:jc w:val="right"/>
              <w:rPr>
                <w:vertAlign w:val="baseline"/>
              </w:rPr>
            </w:pPr>
            <w:r>
              <w:rPr>
                <w:rFonts w:ascii="Times New Roman" w:hAnsi="Times New Roman" w:eastAsia="Times New Roman" w:cs="Times New Roman"/>
                <w:b/>
                <w:bCs/>
                <w:sz w:val="17"/>
                <w:szCs w:val="17"/>
                <w:lang w:val="en-US" w:eastAsia="en-US" w:bidi="en-US"/>
              </w:rPr>
              <w:t>0.</w:t>
            </w:r>
            <w:r>
              <w:rPr>
                <w:rFonts w:ascii="Times New Roman" w:hAnsi="Times New Roman" w:eastAsia="Times New Roman" w:cs="Times New Roman"/>
                <w:b/>
                <w:bCs/>
                <w:sz w:val="17"/>
                <w:szCs w:val="17"/>
              </w:rPr>
              <w:t>00</w:t>
            </w:r>
          </w:p>
        </w:tc>
        <w:tc>
          <w:tcPr>
            <w:tcW w:w="2163" w:type="dxa"/>
            <w:vAlign w:val="center"/>
          </w:tcPr>
          <w:p>
            <w:pPr>
              <w:pStyle w:val="24"/>
              <w:spacing w:line="240" w:lineRule="auto"/>
              <w:ind w:firstLine="0" w:firstLineChars="0"/>
              <w:jc w:val="right"/>
              <w:rPr>
                <w:vertAlign w:val="baseline"/>
              </w:rPr>
            </w:pPr>
            <w:r>
              <w:rPr>
                <w:rFonts w:ascii="Times New Roman" w:hAnsi="Times New Roman" w:eastAsia="Times New Roman" w:cs="Times New Roman"/>
                <w:b/>
                <w:bCs/>
                <w:sz w:val="17"/>
                <w:szCs w:val="17"/>
                <w:lang w:val="en-US" w:eastAsia="en-US" w:bidi="en-US"/>
              </w:rPr>
              <w:t>0.</w:t>
            </w:r>
            <w:r>
              <w:rPr>
                <w:rFonts w:ascii="Times New Roman" w:hAnsi="Times New Roman" w:eastAsia="Times New Roman" w:cs="Times New Roman"/>
                <w:b/>
                <w:bCs/>
                <w:sz w:val="17"/>
                <w:szCs w:val="17"/>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7" w:type="dxa"/>
            <w:gridSpan w:val="7"/>
            <w:tcBorders>
              <w:left w:val="nil"/>
              <w:bottom w:val="nil"/>
              <w:right w:val="nil"/>
            </w:tcBorders>
          </w:tcPr>
          <w:p>
            <w:pPr>
              <w:pStyle w:val="26"/>
              <w:spacing w:line="302" w:lineRule="exact"/>
              <w:ind w:left="672"/>
              <w:jc w:val="left"/>
            </w:pPr>
            <w:r>
              <w:t>注：本报表金额单位转换时可能存在四舍五入尾数误差。本部门</w:t>
            </w:r>
            <w:r>
              <w:rPr>
                <w:rFonts w:hint="eastAsia" w:ascii="Times New Roman" w:hAnsi="Times New Roman" w:cs="Times New Roman"/>
                <w:b/>
                <w:bCs/>
                <w:lang w:eastAsia="zh-CN"/>
              </w:rPr>
              <w:t>2024</w:t>
            </w:r>
            <w:r>
              <w:rPr>
                <w:rFonts w:ascii="Times New Roman" w:hAnsi="Times New Roman" w:cs="Times New Roman"/>
                <w:b/>
                <w:u w:color="auto"/>
              </w:rPr>
              <w:t>年</w:t>
            </w:r>
            <w:r>
              <w:t>度没有国有资本经营预算支出，故本表无数据</w:t>
            </w:r>
          </w:p>
          <w:p>
            <w:pPr>
              <w:pStyle w:val="26"/>
              <w:bidi w:val="0"/>
              <w:jc w:val="both"/>
              <w:rPr>
                <w:vertAlign w:val="baseline"/>
              </w:rPr>
            </w:pPr>
          </w:p>
        </w:tc>
      </w:tr>
    </w:tbl>
    <w:p>
      <w:pPr>
        <w:pStyle w:val="26"/>
        <w:bidi w:val="0"/>
      </w:pPr>
    </w:p>
    <w:p>
      <w:r>
        <w:br w:type="page"/>
      </w:r>
    </w:p>
    <w:p>
      <w:pPr>
        <w:pStyle w:val="22"/>
        <w:keepNext/>
        <w:keepLines/>
        <w:spacing w:after="240"/>
        <w:jc w:val="center"/>
        <w:rPr>
          <w:rFonts w:hint="default" w:eastAsia="宋体"/>
          <w:lang w:val="en-US" w:eastAsia="zh-CN"/>
        </w:rPr>
      </w:pPr>
      <w:r>
        <w:rPr>
          <w:rFonts w:hint="eastAsia"/>
          <w:lang w:val="en-US" w:eastAsia="zh-CN"/>
        </w:rPr>
        <w:t>2024年度预算项目绩效目标公开表</w:t>
      </w:r>
    </w:p>
    <w:tbl>
      <w:tblPr>
        <w:tblStyle w:val="4"/>
        <w:tblW w:w="0" w:type="auto"/>
        <w:tblInd w:w="0" w:type="dxa"/>
        <w:tblLayout w:type="fixed"/>
        <w:tblCellMar>
          <w:top w:w="0" w:type="dxa"/>
          <w:left w:w="10" w:type="dxa"/>
          <w:bottom w:w="0" w:type="dxa"/>
          <w:right w:w="10" w:type="dxa"/>
        </w:tblCellMar>
      </w:tblPr>
      <w:tblGrid>
        <w:gridCol w:w="1843"/>
        <w:gridCol w:w="2559"/>
        <w:gridCol w:w="3350"/>
        <w:gridCol w:w="1511"/>
        <w:gridCol w:w="6076"/>
      </w:tblGrid>
      <w:tr>
        <w:tblPrEx>
          <w:tblCellMar>
            <w:top w:w="0" w:type="dxa"/>
            <w:left w:w="10" w:type="dxa"/>
            <w:bottom w:w="0" w:type="dxa"/>
            <w:right w:w="10" w:type="dxa"/>
          </w:tblCellMar>
        </w:tblPrEx>
        <w:trPr>
          <w:trHeight w:val="346" w:hRule="exact"/>
        </w:trPr>
        <w:tc>
          <w:tcPr>
            <w:tcW w:w="9263" w:type="dxa"/>
            <w:gridSpan w:val="4"/>
            <w:shd w:val="clear" w:color="auto" w:fill="FFFFFF"/>
          </w:tcPr>
          <w:p>
            <w:pPr>
              <w:pStyle w:val="24"/>
              <w:spacing w:line="240" w:lineRule="auto"/>
              <w:ind w:firstLine="0"/>
              <w:jc w:val="left"/>
              <w:rPr>
                <w:rFonts w:hint="default" w:ascii="宋体" w:hAnsi="宋体" w:eastAsia="宋体" w:cs="宋体"/>
                <w:sz w:val="17"/>
                <w:szCs w:val="17"/>
                <w:lang w:val="en-US"/>
              </w:rPr>
            </w:pPr>
            <w:r>
              <w:rPr>
                <w:rFonts w:hint="eastAsia" w:ascii="宋体" w:hAnsi="宋体" w:eastAsia="宋体" w:cs="宋体"/>
                <w:sz w:val="17"/>
                <w:szCs w:val="17"/>
              </w:rPr>
              <w:t>单位名称：</w:t>
            </w:r>
            <w:r>
              <w:rPr>
                <w:rFonts w:hint="eastAsia" w:ascii="宋体" w:hAnsi="宋体" w:eastAsia="宋体" w:cs="宋体"/>
                <w:sz w:val="17"/>
                <w:szCs w:val="17"/>
                <w:lang w:eastAsia="zh-CN"/>
              </w:rPr>
              <w:t>环江毛南族自治县职业技术学校</w:t>
            </w:r>
            <w:r>
              <w:rPr>
                <w:rFonts w:hint="eastAsia" w:cs="宋体"/>
                <w:sz w:val="17"/>
                <w:szCs w:val="17"/>
                <w:lang w:val="en-US" w:eastAsia="zh-CN"/>
              </w:rPr>
              <w:t xml:space="preserve">            </w:t>
            </w:r>
          </w:p>
        </w:tc>
        <w:tc>
          <w:tcPr>
            <w:tcW w:w="6076" w:type="dxa"/>
            <w:shd w:val="clear" w:color="auto" w:fill="FFFFFF"/>
          </w:tcPr>
          <w:p>
            <w:pPr>
              <w:pStyle w:val="24"/>
              <w:spacing w:line="240" w:lineRule="auto"/>
              <w:ind w:firstLine="4760" w:firstLineChars="2800"/>
              <w:jc w:val="left"/>
              <w:rPr>
                <w:rFonts w:hint="eastAsia" w:ascii="宋体" w:hAnsi="宋体" w:eastAsia="宋体" w:cs="宋体"/>
                <w:sz w:val="17"/>
                <w:szCs w:val="17"/>
              </w:rPr>
            </w:pPr>
            <w:r>
              <w:rPr>
                <w:rFonts w:hint="eastAsia" w:ascii="宋体" w:hAnsi="宋体" w:eastAsia="宋体" w:cs="宋体"/>
                <w:sz w:val="17"/>
                <w:szCs w:val="17"/>
              </w:rPr>
              <w:t>单位：万元</w:t>
            </w:r>
          </w:p>
        </w:tc>
      </w:tr>
      <w:tr>
        <w:tblPrEx>
          <w:tblCellMar>
            <w:top w:w="0" w:type="dxa"/>
            <w:left w:w="10" w:type="dxa"/>
            <w:bottom w:w="0" w:type="dxa"/>
            <w:right w:w="10" w:type="dxa"/>
          </w:tblCellMar>
        </w:tblPrEx>
        <w:trPr>
          <w:trHeight w:val="854" w:hRule="exact"/>
        </w:trPr>
        <w:tc>
          <w:tcPr>
            <w:tcW w:w="1843"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0"/>
              <w:jc w:val="center"/>
              <w:rPr>
                <w:rFonts w:hint="eastAsia" w:ascii="宋体" w:hAnsi="宋体" w:eastAsia="宋体" w:cs="宋体"/>
                <w:sz w:val="17"/>
                <w:szCs w:val="17"/>
                <w:lang w:val="en-US" w:eastAsia="zh-CN"/>
              </w:rPr>
            </w:pPr>
            <w:r>
              <w:rPr>
                <w:rFonts w:ascii="宋体" w:hAnsi="宋体" w:eastAsia="宋体" w:cs="宋体"/>
                <w:sz w:val="17"/>
                <w:u w:color="auto"/>
              </w:rPr>
              <w:t>单位代码</w:t>
            </w:r>
          </w:p>
        </w:tc>
        <w:tc>
          <w:tcPr>
            <w:tcW w:w="2559"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40"/>
              <w:jc w:val="center"/>
              <w:rPr>
                <w:rFonts w:hint="eastAsia" w:ascii="宋体" w:hAnsi="宋体" w:eastAsia="宋体" w:cs="宋体"/>
                <w:sz w:val="17"/>
                <w:szCs w:val="17"/>
                <w:lang w:val="en-US" w:eastAsia="zh-CN"/>
              </w:rPr>
            </w:pPr>
            <w:r>
              <w:rPr>
                <w:rFonts w:hint="eastAsia" w:ascii="宋体" w:hAnsi="宋体" w:eastAsia="宋体" w:cs="宋体"/>
                <w:sz w:val="17"/>
                <w:szCs w:val="17"/>
                <w:lang w:val="en-US" w:eastAsia="zh-CN"/>
              </w:rPr>
              <w:t>单位名称</w:t>
            </w:r>
          </w:p>
        </w:tc>
        <w:tc>
          <w:tcPr>
            <w:tcW w:w="335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0"/>
              <w:jc w:val="center"/>
              <w:rPr>
                <w:rFonts w:hint="eastAsia" w:ascii="宋体" w:hAnsi="宋体" w:eastAsia="宋体" w:cs="宋体"/>
                <w:sz w:val="17"/>
                <w:szCs w:val="17"/>
                <w:lang w:val="en-US" w:eastAsia="zh-CN"/>
              </w:rPr>
            </w:pPr>
            <w:r>
              <w:rPr>
                <w:rFonts w:hint="eastAsia" w:ascii="宋体" w:hAnsi="宋体" w:eastAsia="宋体" w:cs="宋体"/>
                <w:sz w:val="17"/>
                <w:szCs w:val="17"/>
                <w:lang w:val="en-US" w:eastAsia="zh-CN"/>
              </w:rPr>
              <w:t>项目名称</w:t>
            </w:r>
          </w:p>
        </w:tc>
        <w:tc>
          <w:tcPr>
            <w:tcW w:w="1511"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0"/>
              <w:jc w:val="center"/>
              <w:rPr>
                <w:rFonts w:hint="eastAsia" w:ascii="宋体" w:hAnsi="宋体" w:eastAsia="宋体" w:cs="宋体"/>
                <w:sz w:val="17"/>
                <w:szCs w:val="17"/>
                <w:lang w:val="en-US" w:eastAsia="zh-CN"/>
              </w:rPr>
            </w:pPr>
            <w:r>
              <w:rPr>
                <w:rFonts w:hint="eastAsia" w:ascii="宋体" w:hAnsi="宋体" w:eastAsia="宋体" w:cs="宋体"/>
                <w:sz w:val="17"/>
                <w:szCs w:val="17"/>
                <w:lang w:val="en-US" w:eastAsia="zh-CN"/>
              </w:rPr>
              <w:t>预算金额</w:t>
            </w:r>
          </w:p>
        </w:tc>
        <w:tc>
          <w:tcPr>
            <w:tcW w:w="607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center"/>
              <w:rPr>
                <w:rFonts w:hint="eastAsia" w:ascii="宋体" w:hAnsi="宋体" w:eastAsia="宋体" w:cs="宋体"/>
                <w:sz w:val="17"/>
                <w:szCs w:val="17"/>
                <w:lang w:val="en-US" w:eastAsia="zh-CN"/>
              </w:rPr>
            </w:pPr>
            <w:r>
              <w:rPr>
                <w:rFonts w:hint="eastAsia" w:ascii="宋体" w:hAnsi="宋体" w:eastAsia="宋体" w:cs="宋体"/>
                <w:sz w:val="17"/>
                <w:szCs w:val="17"/>
                <w:lang w:val="en-US" w:eastAsia="zh-CN"/>
              </w:rPr>
              <w:t>年度绩效目标</w:t>
            </w:r>
          </w:p>
        </w:tc>
      </w:tr>
      <w:tr>
        <w:tblPrEx>
          <w:tblCellMar>
            <w:top w:w="0" w:type="dxa"/>
            <w:left w:w="10" w:type="dxa"/>
            <w:bottom w:w="0" w:type="dxa"/>
            <w:right w:w="10" w:type="dxa"/>
          </w:tblCellMar>
        </w:tblPrEx>
        <w:trPr>
          <w:trHeight w:val="437" w:hRule="exact"/>
        </w:trPr>
        <w:tc>
          <w:tcPr>
            <w:tcW w:w="1843"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201051</w:t>
            </w:r>
          </w:p>
        </w:tc>
        <w:tc>
          <w:tcPr>
            <w:tcW w:w="2559"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环江毛南族自治县职业技术学校</w:t>
            </w:r>
          </w:p>
        </w:tc>
        <w:tc>
          <w:tcPr>
            <w:tcW w:w="335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中等职业教育国家助学金中央补助资金</w:t>
            </w:r>
          </w:p>
        </w:tc>
        <w:tc>
          <w:tcPr>
            <w:tcW w:w="151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7.94</w:t>
            </w:r>
          </w:p>
        </w:tc>
        <w:tc>
          <w:tcPr>
            <w:tcW w:w="607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righ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减轻学生家庭经济负担，改善生活条件。</w:t>
            </w:r>
          </w:p>
        </w:tc>
      </w:tr>
      <w:tr>
        <w:tblPrEx>
          <w:tblCellMar>
            <w:top w:w="0" w:type="dxa"/>
            <w:left w:w="10" w:type="dxa"/>
            <w:bottom w:w="0" w:type="dxa"/>
            <w:right w:w="10" w:type="dxa"/>
          </w:tblCellMar>
        </w:tblPrEx>
        <w:trPr>
          <w:trHeight w:val="437" w:hRule="exact"/>
        </w:trPr>
        <w:tc>
          <w:tcPr>
            <w:tcW w:w="1843"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201051</w:t>
            </w:r>
          </w:p>
        </w:tc>
        <w:tc>
          <w:tcPr>
            <w:tcW w:w="2559"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环江毛南族自治县职业技术学校</w:t>
            </w:r>
          </w:p>
        </w:tc>
        <w:tc>
          <w:tcPr>
            <w:tcW w:w="335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中等职业学校免学费上级补助资金</w:t>
            </w:r>
          </w:p>
        </w:tc>
        <w:tc>
          <w:tcPr>
            <w:tcW w:w="151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1.24</w:t>
            </w:r>
          </w:p>
        </w:tc>
        <w:tc>
          <w:tcPr>
            <w:tcW w:w="607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righ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继续巩固脱贫攻坚成果，确保教育资助落实到位，减轻学生家庭经济负担，确保顺利完成职业教育，为就业夯实基础，实现家庭经济的稳步增长。</w:t>
            </w:r>
          </w:p>
        </w:tc>
      </w:tr>
      <w:tr>
        <w:tblPrEx>
          <w:tblCellMar>
            <w:top w:w="0" w:type="dxa"/>
            <w:left w:w="10" w:type="dxa"/>
            <w:bottom w:w="0" w:type="dxa"/>
            <w:right w:w="10" w:type="dxa"/>
          </w:tblCellMar>
        </w:tblPrEx>
        <w:trPr>
          <w:trHeight w:val="437" w:hRule="exact"/>
        </w:trPr>
        <w:tc>
          <w:tcPr>
            <w:tcW w:w="1843"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201051</w:t>
            </w:r>
          </w:p>
        </w:tc>
        <w:tc>
          <w:tcPr>
            <w:tcW w:w="2559"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环江毛南族自治县职业技术学校</w:t>
            </w:r>
          </w:p>
        </w:tc>
        <w:tc>
          <w:tcPr>
            <w:tcW w:w="335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现代职业教育质量提升计划经费</w:t>
            </w:r>
          </w:p>
        </w:tc>
        <w:tc>
          <w:tcPr>
            <w:tcW w:w="151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13.13</w:t>
            </w:r>
          </w:p>
        </w:tc>
        <w:tc>
          <w:tcPr>
            <w:tcW w:w="607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righ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提升现代职业教育质量，改善教学环境和教学条件</w:t>
            </w:r>
          </w:p>
        </w:tc>
      </w:tr>
      <w:tr>
        <w:tblPrEx>
          <w:tblCellMar>
            <w:top w:w="0" w:type="dxa"/>
            <w:left w:w="10" w:type="dxa"/>
            <w:bottom w:w="0" w:type="dxa"/>
            <w:right w:w="10" w:type="dxa"/>
          </w:tblCellMar>
        </w:tblPrEx>
        <w:trPr>
          <w:trHeight w:val="437" w:hRule="exact"/>
        </w:trPr>
        <w:tc>
          <w:tcPr>
            <w:tcW w:w="1843"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201051</w:t>
            </w:r>
          </w:p>
        </w:tc>
        <w:tc>
          <w:tcPr>
            <w:tcW w:w="2559"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环江毛南族自治县职业技术学校</w:t>
            </w:r>
          </w:p>
        </w:tc>
        <w:tc>
          <w:tcPr>
            <w:tcW w:w="335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中等职业教育国家助学金自治区补助资金</w:t>
            </w:r>
          </w:p>
        </w:tc>
        <w:tc>
          <w:tcPr>
            <w:tcW w:w="151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1.26</w:t>
            </w:r>
          </w:p>
        </w:tc>
        <w:tc>
          <w:tcPr>
            <w:tcW w:w="607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righ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严格执行相关政策及要求，做好相关工作。加强资金监管，确保按时、足额发放到资助学生手中，确保社会效益满意</w:t>
            </w:r>
          </w:p>
        </w:tc>
      </w:tr>
      <w:tr>
        <w:tblPrEx>
          <w:tblCellMar>
            <w:top w:w="0" w:type="dxa"/>
            <w:left w:w="10" w:type="dxa"/>
            <w:bottom w:w="0" w:type="dxa"/>
            <w:right w:w="10" w:type="dxa"/>
          </w:tblCellMar>
        </w:tblPrEx>
        <w:trPr>
          <w:trHeight w:val="437" w:hRule="exact"/>
        </w:trPr>
        <w:tc>
          <w:tcPr>
            <w:tcW w:w="1843"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201051</w:t>
            </w:r>
          </w:p>
        </w:tc>
        <w:tc>
          <w:tcPr>
            <w:tcW w:w="2559"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环江毛南族自治县职业技术学校</w:t>
            </w:r>
          </w:p>
        </w:tc>
        <w:tc>
          <w:tcPr>
            <w:tcW w:w="335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债务专项经费</w:t>
            </w:r>
          </w:p>
        </w:tc>
        <w:tc>
          <w:tcPr>
            <w:tcW w:w="151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0.93</w:t>
            </w:r>
          </w:p>
        </w:tc>
        <w:tc>
          <w:tcPr>
            <w:tcW w:w="607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righ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通过债务专项经费，解决学校债务问题，给相关供应商付款，保证学校正常运转</w:t>
            </w:r>
          </w:p>
        </w:tc>
      </w:tr>
      <w:tr>
        <w:tblPrEx>
          <w:tblCellMar>
            <w:top w:w="0" w:type="dxa"/>
            <w:left w:w="10" w:type="dxa"/>
            <w:bottom w:w="0" w:type="dxa"/>
            <w:right w:w="10" w:type="dxa"/>
          </w:tblCellMar>
        </w:tblPrEx>
        <w:trPr>
          <w:trHeight w:val="437" w:hRule="exact"/>
        </w:trPr>
        <w:tc>
          <w:tcPr>
            <w:tcW w:w="1843"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201051</w:t>
            </w:r>
          </w:p>
        </w:tc>
        <w:tc>
          <w:tcPr>
            <w:tcW w:w="2559"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环江毛南族自治县职业技术学校</w:t>
            </w:r>
          </w:p>
        </w:tc>
        <w:tc>
          <w:tcPr>
            <w:tcW w:w="335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环江县职业技术学校年初预算经费（公寓楼住宿费）</w:t>
            </w:r>
          </w:p>
        </w:tc>
        <w:tc>
          <w:tcPr>
            <w:tcW w:w="151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32.00</w:t>
            </w:r>
          </w:p>
        </w:tc>
        <w:tc>
          <w:tcPr>
            <w:tcW w:w="607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righ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弥补学校经费短缺，确保学校正常运转。</w:t>
            </w:r>
          </w:p>
        </w:tc>
      </w:tr>
    </w:tbl>
    <w:p>
      <w:pPr>
        <w:jc w:val="left"/>
        <w:rPr>
          <w:rFonts w:hint="eastAsia"/>
        </w:rPr>
      </w:pPr>
      <w:r>
        <w:t>注：本报表金额单位转换时可能存在四舍五入尾数误差。</w:t>
      </w:r>
    </w:p>
    <w:p>
      <w:pPr>
        <w:jc w:val="left"/>
        <w:rPr>
          <w:rFonts w:hint="eastAsia"/>
          <w:lang w:eastAsia="zh-CN"/>
        </w:rPr>
        <w:sectPr>
          <w:headerReference r:id="rId10" w:type="default"/>
          <w:footerReference r:id="rId11" w:type="default"/>
          <w:pgSz w:w="16840" w:h="11900" w:orient="landscape"/>
          <w:pgMar w:top="2714" w:right="764" w:bottom="2714" w:left="735" w:header="2286" w:footer="1474" w:gutter="0"/>
          <w:pgBorders>
            <w:top w:val="none" w:sz="0" w:space="0"/>
            <w:left w:val="none" w:sz="0" w:space="0"/>
            <w:bottom w:val="none" w:sz="0" w:space="0"/>
            <w:right w:val="none" w:sz="0" w:space="0"/>
          </w:pgBorders>
          <w:pgNumType w:fmt="decimal"/>
          <w:cols w:space="720" w:num="1"/>
          <w:docGrid w:linePitch="360" w:charSpace="0"/>
        </w:sectPr>
      </w:pPr>
    </w:p>
    <w:p>
      <w:pPr>
        <w:pStyle w:val="12"/>
        <w:keepNext/>
        <w:keepLines/>
        <w:spacing w:before="200" w:after="0"/>
        <w:jc w:val="center"/>
        <w:rPr>
          <w:sz w:val="40"/>
          <w:szCs w:val="40"/>
        </w:rPr>
      </w:pPr>
      <w:bookmarkStart w:id="31" w:name="bookmark94"/>
      <w:bookmarkStart w:id="32" w:name="bookmark95"/>
      <w:bookmarkStart w:id="33" w:name="bookmark96"/>
      <w:r>
        <w:rPr>
          <w:sz w:val="40"/>
          <w:szCs w:val="40"/>
        </w:rPr>
        <w:t>第四部</w:t>
      </w:r>
      <w:r>
        <w:rPr>
          <w:rFonts w:hint="eastAsia"/>
          <w:sz w:val="40"/>
          <w:szCs w:val="40"/>
          <w:lang w:val="en-US" w:eastAsia="zh-CN"/>
        </w:rPr>
        <w:t xml:space="preserve">  </w:t>
      </w:r>
      <w:r>
        <w:rPr>
          <w:sz w:val="40"/>
          <w:szCs w:val="40"/>
        </w:rPr>
        <w:t>分名词解释</w:t>
      </w:r>
      <w:bookmarkEnd w:id="31"/>
      <w:bookmarkEnd w:id="32"/>
      <w:bookmarkEnd w:id="33"/>
    </w:p>
    <w:p>
      <w:pPr>
        <w:pStyle w:val="18"/>
        <w:tabs>
          <w:tab w:val="left" w:pos="1270"/>
        </w:tabs>
        <w:spacing w:line="626" w:lineRule="exact"/>
        <w:ind w:firstLine="640"/>
        <w:jc w:val="left"/>
      </w:pPr>
      <w:bookmarkStart w:id="34" w:name="bookmark97"/>
      <w:r>
        <w:t>一</w:t>
      </w:r>
      <w:bookmarkEnd w:id="34"/>
      <w:r>
        <w:t>、</w:t>
      </w:r>
      <w:r>
        <w:tab/>
      </w:r>
      <w:r>
        <w:t>财政拨款收入：指预算单位从本级财政部门取得的财政预算资金收入。</w:t>
      </w:r>
    </w:p>
    <w:p>
      <w:pPr>
        <w:pStyle w:val="18"/>
        <w:tabs>
          <w:tab w:val="left" w:pos="1280"/>
        </w:tabs>
        <w:spacing w:line="626" w:lineRule="exact"/>
        <w:ind w:firstLine="640"/>
        <w:jc w:val="left"/>
      </w:pPr>
      <w:bookmarkStart w:id="35" w:name="bookmark98"/>
      <w:r>
        <w:t>二</w:t>
      </w:r>
      <w:bookmarkEnd w:id="35"/>
      <w:r>
        <w:t>、</w:t>
      </w:r>
      <w:r>
        <w:tab/>
      </w:r>
      <w:r>
        <w:t>事业收入：指事业单位开展专业业务活动及辅助活动所取得的收入。</w:t>
      </w:r>
    </w:p>
    <w:p>
      <w:pPr>
        <w:pStyle w:val="18"/>
        <w:tabs>
          <w:tab w:val="left" w:pos="1275"/>
        </w:tabs>
        <w:spacing w:line="626" w:lineRule="exact"/>
        <w:ind w:firstLine="640"/>
        <w:jc w:val="left"/>
      </w:pPr>
      <w:bookmarkStart w:id="36" w:name="bookmark99"/>
      <w:r>
        <w:t>三</w:t>
      </w:r>
      <w:bookmarkEnd w:id="36"/>
      <w:r>
        <w:t>、</w:t>
      </w:r>
      <w:r>
        <w:tab/>
      </w:r>
      <w:r>
        <w:t>经营收入：指事业单位在专业业务活动及其辅助活动之外开展非独立核算经营活动取得的收入。</w:t>
      </w:r>
    </w:p>
    <w:p>
      <w:pPr>
        <w:pStyle w:val="18"/>
        <w:tabs>
          <w:tab w:val="left" w:pos="1309"/>
        </w:tabs>
        <w:spacing w:line="626" w:lineRule="exact"/>
        <w:ind w:firstLine="640"/>
        <w:jc w:val="left"/>
      </w:pPr>
      <w:bookmarkStart w:id="37" w:name="bookmark100"/>
      <w:r>
        <w:t>四</w:t>
      </w:r>
      <w:bookmarkEnd w:id="37"/>
      <w:r>
        <w:t>、</w:t>
      </w:r>
      <w:r>
        <w:tab/>
      </w:r>
      <w:r>
        <w:t>其他收入：指除上述</w:t>
      </w:r>
      <w:r>
        <w:rPr>
          <w:lang w:val="zh-CN" w:eastAsia="zh-CN" w:bidi="zh-CN"/>
        </w:rPr>
        <w:t>“财</w:t>
      </w:r>
      <w:r>
        <w:t>政拨款收入”、</w:t>
      </w:r>
      <w:r>
        <w:rPr>
          <w:lang w:val="zh-CN" w:eastAsia="zh-CN" w:bidi="zh-CN"/>
        </w:rPr>
        <w:t>“事</w:t>
      </w:r>
      <w:r>
        <w:t>业收入"、</w:t>
      </w:r>
      <w:r>
        <w:rPr>
          <w:lang w:val="zh-CN" w:eastAsia="zh-CN" w:bidi="zh-CN"/>
        </w:rPr>
        <w:t>“经营</w:t>
      </w:r>
      <w:r>
        <w:t>收入"等以外的收入。主要是非本级财政拨款、存款利息收入、事业单位固定资产出租收入等。</w:t>
      </w:r>
    </w:p>
    <w:p>
      <w:pPr>
        <w:pStyle w:val="18"/>
        <w:tabs>
          <w:tab w:val="left" w:pos="1275"/>
        </w:tabs>
        <w:spacing w:line="626" w:lineRule="exact"/>
        <w:ind w:firstLine="640"/>
        <w:jc w:val="left"/>
      </w:pPr>
      <w:bookmarkStart w:id="38" w:name="bookmark101"/>
      <w:r>
        <w:t>五</w:t>
      </w:r>
      <w:bookmarkEnd w:id="38"/>
      <w:r>
        <w:t>、</w:t>
      </w:r>
      <w:r>
        <w:tab/>
      </w:r>
      <w:r>
        <w:t>用事业基金弥补收支差额：指事业单位在用当年的</w:t>
      </w:r>
      <w:r>
        <w:rPr>
          <w:lang w:val="zh-CN" w:eastAsia="zh-CN" w:bidi="zh-CN"/>
        </w:rPr>
        <w:t>“财</w:t>
      </w:r>
      <w:r>
        <w:t>政拨款收入"、</w:t>
      </w:r>
      <w:r>
        <w:rPr>
          <w:lang w:val="zh-CN" w:eastAsia="zh-CN" w:bidi="zh-CN"/>
        </w:rPr>
        <w:t>“事业</w:t>
      </w:r>
      <w:r>
        <w:t>收入"、</w:t>
      </w:r>
      <w:r>
        <w:rPr>
          <w:lang w:val="zh-CN" w:eastAsia="zh-CN" w:bidi="zh-CN"/>
        </w:rPr>
        <w:t>“经营</w:t>
      </w:r>
      <w:r>
        <w:t>收入"、</w:t>
      </w:r>
      <w:r>
        <w:rPr>
          <w:lang w:val="zh-CN" w:eastAsia="zh-CN" w:bidi="zh-CN"/>
        </w:rPr>
        <w:t>“其他</w:t>
      </w:r>
      <w:r>
        <w:t>收入"不足以安排当年支出的情况下，使用以前年度积累的事业基金（事业单位当年收支相抵后按国家规定提取、用于弥补以后年度收支差额的基金）弥补本年度收支缺口的资金。</w:t>
      </w:r>
    </w:p>
    <w:p>
      <w:pPr>
        <w:pStyle w:val="18"/>
        <w:tabs>
          <w:tab w:val="left" w:pos="1270"/>
        </w:tabs>
        <w:spacing w:line="626" w:lineRule="exact"/>
        <w:ind w:firstLine="640"/>
        <w:jc w:val="left"/>
      </w:pPr>
      <w:bookmarkStart w:id="39" w:name="bookmark102"/>
      <w:r>
        <w:t>六</w:t>
      </w:r>
      <w:bookmarkEnd w:id="39"/>
      <w:r>
        <w:t>、</w:t>
      </w:r>
      <w:r>
        <w:tab/>
      </w:r>
      <w:r>
        <w:t>年初结转和结余：指以前年度尚未完成、结转到本年按有关规定继续使用的资金。</w:t>
      </w:r>
    </w:p>
    <w:p>
      <w:pPr>
        <w:pStyle w:val="18"/>
        <w:tabs>
          <w:tab w:val="left" w:pos="1275"/>
        </w:tabs>
        <w:spacing w:line="626" w:lineRule="exact"/>
        <w:ind w:firstLine="640"/>
        <w:jc w:val="left"/>
      </w:pPr>
      <w:bookmarkStart w:id="40" w:name="bookmark103"/>
      <w:r>
        <w:t>七</w:t>
      </w:r>
      <w:bookmarkEnd w:id="40"/>
      <w:r>
        <w:t>、</w:t>
      </w:r>
      <w:r>
        <w:tab/>
      </w:r>
      <w:r>
        <w:t>结余分配：指事业单位按规定提取的职工福利基金、事业基金和缴纳的所得税，以及建设单位按规定应交回的基本建设竣工项目结余资金。</w:t>
      </w:r>
    </w:p>
    <w:p>
      <w:pPr>
        <w:pStyle w:val="18"/>
        <w:tabs>
          <w:tab w:val="left" w:pos="632"/>
        </w:tabs>
        <w:spacing w:line="626" w:lineRule="exact"/>
        <w:ind w:firstLine="640"/>
        <w:jc w:val="left"/>
      </w:pPr>
      <w:bookmarkStart w:id="41" w:name="bookmark104"/>
      <w:r>
        <w:t>八</w:t>
      </w:r>
      <w:bookmarkEnd w:id="41"/>
      <w:r>
        <w:t>、</w:t>
      </w:r>
      <w:r>
        <w:tab/>
      </w:r>
      <w:r>
        <w:t>年末结转和结余：指本年度或以前年度预算安排、因客观条件发生变化无法按原计划实施，需要延迟到以后年度按有关规定继续使用的资金。</w:t>
      </w:r>
    </w:p>
    <w:p>
      <w:pPr>
        <w:pStyle w:val="18"/>
        <w:spacing w:line="628" w:lineRule="exact"/>
        <w:ind w:firstLine="640"/>
        <w:jc w:val="left"/>
      </w:pPr>
      <w:bookmarkStart w:id="42" w:name="bookmark105"/>
      <w:r>
        <w:t>九</w:t>
      </w:r>
      <w:bookmarkEnd w:id="42"/>
      <w:r>
        <w:t>、基本支出：指为保障机构正常运转、完成日常工作任务而发生的人员支出和公用支出。</w:t>
      </w:r>
    </w:p>
    <w:p>
      <w:pPr>
        <w:pStyle w:val="18"/>
        <w:spacing w:line="628" w:lineRule="exact"/>
        <w:ind w:firstLine="640"/>
        <w:jc w:val="left"/>
      </w:pPr>
      <w:r>
        <w:t>十、项目支出：指在基本支出之外为完成特定行政任务和事业发展目标所发生的支出。</w:t>
      </w:r>
    </w:p>
    <w:p>
      <w:pPr>
        <w:pStyle w:val="18"/>
        <w:spacing w:line="628" w:lineRule="exact"/>
        <w:ind w:firstLine="640"/>
        <w:jc w:val="left"/>
      </w:pPr>
      <w:r>
        <w:t>十一、经营支出：指事业单位在专业业务活动及其辅助活动之外开展非独立核算经营活动所发生的支出。</w:t>
      </w:r>
    </w:p>
    <w:p>
      <w:pPr>
        <w:pStyle w:val="18"/>
        <w:spacing w:line="628" w:lineRule="exact"/>
        <w:ind w:firstLine="640"/>
        <w:jc w:val="left"/>
      </w:pPr>
      <w:r>
        <w:t>十二、</w:t>
      </w:r>
      <w:r>
        <w:rPr>
          <w:lang w:val="zh-CN" w:eastAsia="zh-CN" w:bidi="zh-CN"/>
        </w:rPr>
        <w:t>“三</w:t>
      </w:r>
      <w:r>
        <w:t>公”经费：纳入财政预决算管理的</w:t>
      </w:r>
      <w:r>
        <w:rPr>
          <w:lang w:val="zh-CN" w:eastAsia="zh-CN" w:bidi="zh-CN"/>
        </w:rPr>
        <w:t>“三公</w:t>
      </w:r>
      <w:r>
        <w:t>”经费，是指市本级各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18"/>
        <w:spacing w:line="628" w:lineRule="exact"/>
        <w:ind w:firstLine="640"/>
        <w:jc w:val="left"/>
      </w:pPr>
      <w:r>
        <w:t>十三、机关运行经费：为保障行政单位（含参照公务员法管理的事业单位、机关服务中心）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headerReference r:id="rId12" w:type="default"/>
      <w:footerReference r:id="rId13" w:type="default"/>
      <w:type w:val="continuous"/>
      <w:pgSz w:w="11900" w:h="16840"/>
      <w:pgMar w:top="1302" w:right="1735" w:bottom="1568" w:left="1793" w:header="874" w:footer="1077" w:gutter="0"/>
      <w:pgBorders>
        <w:top w:val="none" w:sz="0" w:space="0"/>
        <w:left w:val="none" w:sz="0" w:space="0"/>
        <w:bottom w:val="none" w:sz="0" w:space="0"/>
        <w:right w:val="none" w:sz="0" w:space="0"/>
      </w:pgBorders>
      <w:pgNumType w:fmt="decimal"/>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sz w:val="24"/>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7473" name="文本框 2"/>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style>
                      <a:lnRef idx="0">
                        <a:srgbClr val="FFFFFF"/>
                      </a:lnRef>
                      <a:fillRef idx="0">
                        <a:srgbClr val="FFFFFF"/>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rtlCol="0" anchor="t" upright="0">
                      <a:spAutoFit/>
                    </wps:bodyPr>
                  </wps:wsp>
                </a:graphicData>
              </a:graphic>
            </wp:anchor>
          </w:drawing>
        </mc:Choice>
        <mc:Fallback>
          <w:pict>
            <v:rect id="文本框 2" o:spid="_x0000_s1026" o:spt="1"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Ll1uVLQAAAABQEAAA8AAAAAAAAAAQAgAAAAIgAAAGRycy9kb3ducmV2&#10;LnhtbFBLAQIUABQAAAAIAIdO4kAK+BNnBAIAAAwEAAAOAAAAAAAAAAEAIAAAAB8BAABkcnMvZTJv&#10;RG9jLnhtbFBLBQYAAAAABgAGAFkBAACVBQ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2</w:t>
                    </w:r>
                    <w:r>
                      <w:fldChar w:fldCharType="end"/>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sz w:val="24"/>
      </w:rPr>
      <mc:AlternateContent>
        <mc:Choice Requires="wps">
          <w:drawing>
            <wp:anchor distT="0" distB="0" distL="114300" distR="114300" simplePos="0" relativeHeight="251662336" behindDoc="0" locked="0" layoutInCell="1" allowOverlap="1">
              <wp:simplePos x="0" y="0"/>
              <wp:positionH relativeFrom="margin">
                <wp:posOffset>2574925</wp:posOffset>
              </wp:positionH>
              <wp:positionV relativeFrom="paragraph">
                <wp:posOffset>0</wp:posOffset>
              </wp:positionV>
              <wp:extent cx="394970" cy="168910"/>
              <wp:effectExtent l="0" t="0" r="0" b="0"/>
              <wp:wrapNone/>
              <wp:docPr id="7481" name="文本框 4"/>
              <wp:cNvGraphicFramePr/>
              <a:graphic xmlns:a="http://schemas.openxmlformats.org/drawingml/2006/main">
                <a:graphicData uri="http://schemas.microsoft.com/office/word/2010/wordprocessingShape">
                  <wps:wsp>
                    <wps:cNvSpPr/>
                    <wps:spPr>
                      <a:xfrm>
                        <a:off x="0" y="0"/>
                        <a:ext cx="394970" cy="168910"/>
                      </a:xfrm>
                      <a:prstGeom prst="rect">
                        <a:avLst/>
                      </a:prstGeom>
                      <a:noFill/>
                      <a:ln>
                        <a:noFill/>
                      </a:ln>
                    </wps:spPr>
                    <wps:style>
                      <a:lnRef idx="0">
                        <a:srgbClr val="FFFFFF"/>
                      </a:lnRef>
                      <a:fillRef idx="0">
                        <a:srgbClr val="FFFFFF"/>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square" lIns="0" tIns="0" rIns="0" bIns="0" numCol="1" rtlCol="0" anchor="t" upright="0">
                      <a:noAutofit/>
                    </wps:bodyPr>
                  </wps:wsp>
                </a:graphicData>
              </a:graphic>
            </wp:anchor>
          </w:drawing>
        </mc:Choice>
        <mc:Fallback>
          <w:pict>
            <v:rect id="文本框 4" o:spid="_x0000_s1026" o:spt="1" style="position:absolute;left:0pt;margin-left:202.75pt;margin-top:0pt;height:13.3pt;width:31.1pt;mso-position-horizontal-relative:margin;z-index:251662336;mso-width-relative:page;mso-height-relative:page;" filled="f" stroked="f" coordsize="21600,21600" o:gfxdata="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7XXEI9kAAAAHAQAADwAAAAAAAAABACAAAAAi&#10;AAAAZHJzL2Rvd25yZXYueG1sUEsBAhQAFAAAAAgAh07iQO4RzWMJAgAADAQAAA4AAAAAAAAAAQAg&#10;AAAAKAEAAGRycy9lMm9Eb2MueG1sUEsFBgAAAAAGAAYAWQEAAKMFAAAAAA==&#10;">
              <v:fill on="f" focussize="0,0"/>
              <v:stroke on="f"/>
              <v:imagedata o:title=""/>
              <o:lock v:ext="edit" aspectratio="f"/>
              <v:textbox inset="0mm,0mm,0mm,0mm">
                <w:txbxContent>
                  <w:p>
                    <w:pPr>
                      <w:pStyle w:val="2"/>
                    </w:pPr>
                    <w:r>
                      <w:fldChar w:fldCharType="begin"/>
                    </w:r>
                    <w:r>
                      <w:instrText xml:space="preserve"> PAGE  \* MERGEFORMAT </w:instrText>
                    </w:r>
                    <w:r>
                      <w:fldChar w:fldCharType="separate"/>
                    </w:r>
                    <w:r>
                      <w:t>4</w:t>
                    </w:r>
                    <w:r>
                      <w:fldChar w:fldCharType="end"/>
                    </w: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sz w:val="24"/>
      </w:rPr>
      <mc:AlternateContent>
        <mc:Choice Requires="wps">
          <w:drawing>
            <wp:anchor distT="0" distB="0" distL="114300" distR="114300" simplePos="0" relativeHeight="251663360" behindDoc="0" locked="0" layoutInCell="1" allowOverlap="1">
              <wp:simplePos x="0" y="0"/>
              <wp:positionH relativeFrom="margin">
                <wp:posOffset>4810125</wp:posOffset>
              </wp:positionH>
              <wp:positionV relativeFrom="paragraph">
                <wp:posOffset>0</wp:posOffset>
              </wp:positionV>
              <wp:extent cx="440055" cy="206375"/>
              <wp:effectExtent l="0" t="0" r="0" b="0"/>
              <wp:wrapNone/>
              <wp:docPr id="7483" name="文本框 7"/>
              <wp:cNvGraphicFramePr/>
              <a:graphic xmlns:a="http://schemas.openxmlformats.org/drawingml/2006/main">
                <a:graphicData uri="http://schemas.microsoft.com/office/word/2010/wordprocessingShape">
                  <wps:wsp>
                    <wps:cNvSpPr/>
                    <wps:spPr>
                      <a:xfrm>
                        <a:off x="0" y="0"/>
                        <a:ext cx="440055" cy="206375"/>
                      </a:xfrm>
                      <a:prstGeom prst="rect">
                        <a:avLst/>
                      </a:prstGeom>
                      <a:noFill/>
                      <a:ln>
                        <a:noFill/>
                      </a:ln>
                    </wps:spPr>
                    <wps:style>
                      <a:lnRef idx="0">
                        <a:srgbClr val="FFFFFF"/>
                      </a:lnRef>
                      <a:fillRef idx="0">
                        <a:srgbClr val="FFFFFF"/>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15</w:t>
                          </w:r>
                          <w:r>
                            <w:fldChar w:fldCharType="end"/>
                          </w:r>
                        </w:p>
                      </w:txbxContent>
                    </wps:txbx>
                    <wps:bodyPr rot="0" spcFirstLastPara="0" vertOverflow="overflow" horzOverflow="overflow" vert="horz" wrap="square" lIns="0" tIns="0" rIns="0" bIns="0" numCol="1" rtlCol="0" anchor="t" upright="0">
                      <a:noAutofit/>
                    </wps:bodyPr>
                  </wps:wsp>
                </a:graphicData>
              </a:graphic>
            </wp:anchor>
          </w:drawing>
        </mc:Choice>
        <mc:Fallback>
          <w:pict>
            <v:rect id="文本框 7" o:spid="_x0000_s1026" o:spt="1" style="position:absolute;left:0pt;margin-left:378.75pt;margin-top:0pt;height:16.25pt;width:34.65pt;mso-position-horizontal-relative:margin;z-index:251663360;mso-width-relative:page;mso-height-relative:page;" filled="f" stroked="f" coordsize="21600,21600" o:gfxdata="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60y47dgAAAAHAQAADwAAAAAAAAABACAAAAAi&#10;AAAAZHJzL2Rvd25yZXYueG1sUEsBAhQAFAAAAAgAh07iQOyk/XEKAgAADAQAAA4AAAAAAAAAAQAg&#10;AAAAJwEAAGRycy9lMm9Eb2MueG1sUEsFBgAAAAAGAAYAWQEAAKMFAAAAAA==&#10;">
              <v:fill on="f" focussize="0,0"/>
              <v:stroke on="f"/>
              <v:imagedata o:title=""/>
              <o:lock v:ext="edit" aspectratio="f"/>
              <v:textbox inset="0mm,0mm,0mm,0mm">
                <w:txbxContent>
                  <w:p>
                    <w:pPr>
                      <w:pStyle w:val="2"/>
                    </w:pPr>
                    <w:r>
                      <w:fldChar w:fldCharType="begin"/>
                    </w:r>
                    <w:r>
                      <w:instrText xml:space="preserve"> PAGE  \* MERGEFORMAT </w:instrText>
                    </w:r>
                    <w:r>
                      <w:fldChar w:fldCharType="separate"/>
                    </w:r>
                    <w:r>
                      <w:t>15</w:t>
                    </w:r>
                    <w:r>
                      <w:fldChar w:fldCharType="end"/>
                    </w:r>
                  </w:p>
                </w:txbxContent>
              </v:textbox>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sz w:val="24"/>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7484" name="文本框 9"/>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style>
                      <a:lnRef idx="0">
                        <a:srgbClr val="FFFFFF"/>
                      </a:lnRef>
                      <a:fillRef idx="0">
                        <a:srgbClr val="FFFFFF"/>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16</w:t>
                          </w:r>
                          <w:r>
                            <w:fldChar w:fldCharType="end"/>
                          </w:r>
                        </w:p>
                      </w:txbxContent>
                    </wps:txbx>
                    <wps:bodyPr rot="0" spcFirstLastPara="0" vertOverflow="overflow" horzOverflow="overflow" vert="horz" wrap="none" lIns="0" tIns="0" rIns="0" bIns="0" numCol="1" rtlCol="0" anchor="t" upright="0">
                      <a:spAutoFit/>
                    </wps:bodyPr>
                  </wps:wsp>
                </a:graphicData>
              </a:graphic>
            </wp:anchor>
          </w:drawing>
        </mc:Choice>
        <mc:Fallback>
          <w:pict>
            <v:rect id="文本框 9" o:spid="_x0000_s1026" o:spt="1"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Ll1uVLQAAAABQEAAA8AAAAAAAAAAQAgAAAAIgAAAGRycy9kb3ducmV2&#10;LnhtbFBLAQIUABQAAAAIAIdO4kC5YkI7BAIAAAwEAAAOAAAAAAAAAAEAIAAAAB8BAABkcnMvZTJv&#10;RG9jLnhtbFBLBQYAAAAABgAGAFkBAACVBQ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16</w:t>
                    </w:r>
                    <w:r>
                      <w:fldChar w:fldCharType="end"/>
                    </w:r>
                  </w:p>
                </w:txbxContent>
              </v:textbox>
            </v:rect>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sz w:val="24"/>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7485" name="文本框 1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style>
                      <a:lnRef idx="0">
                        <a:srgbClr val="FFFFFF"/>
                      </a:lnRef>
                      <a:fillRef idx="0">
                        <a:srgbClr val="FFFFFF"/>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17</w:t>
                          </w:r>
                          <w:r>
                            <w:fldChar w:fldCharType="end"/>
                          </w:r>
                        </w:p>
                      </w:txbxContent>
                    </wps:txbx>
                    <wps:bodyPr rot="0" spcFirstLastPara="0" vertOverflow="overflow" horzOverflow="overflow" vert="horz" wrap="none" lIns="0" tIns="0" rIns="0" bIns="0" numCol="1" rtlCol="0" anchor="t" upright="0">
                      <a:spAutoFit/>
                    </wps:bodyPr>
                  </wps:wsp>
                </a:graphicData>
              </a:graphic>
            </wp:anchor>
          </w:drawing>
        </mc:Choice>
        <mc:Fallback>
          <w:pict>
            <v:rect id="文本框 11" o:spid="_x0000_s1026" o:spt="1"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uXW5UtAAAAAFAQAADwAAAAAAAAABACAAAAAiAAAAZHJzL2Rvd25y&#10;ZXYueG1sUEsBAhQAFAAAAAgAh07iQIJCyAgGAgAADQQAAA4AAAAAAAAAAQAgAAAAHwEAAGRycy9l&#10;Mm9Eb2MueG1sUEsFBgAAAAAGAAYAWQEAAJcFA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17</w:t>
                    </w:r>
                    <w:r>
                      <w:fldChar w:fldCharType="end"/>
                    </w:r>
                  </w:p>
                </w:txbxContent>
              </v:textbox>
            </v:rect>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sz w:val="24"/>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7486" name="文本框 12"/>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style>
                      <a:lnRef idx="0">
                        <a:srgbClr val="FFFFFF"/>
                      </a:lnRef>
                      <a:fillRef idx="0">
                        <a:srgbClr val="FFFFFF"/>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25</w:t>
                          </w:r>
                          <w:r>
                            <w:fldChar w:fldCharType="end"/>
                          </w:r>
                        </w:p>
                      </w:txbxContent>
                    </wps:txbx>
                    <wps:bodyPr rot="0" spcFirstLastPara="0" vertOverflow="overflow" horzOverflow="overflow" vert="horz" wrap="none" lIns="0" tIns="0" rIns="0" bIns="0" numCol="1" rtlCol="0" anchor="t" upright="0">
                      <a:spAutoFit/>
                    </wps:bodyPr>
                  </wps:wsp>
                </a:graphicData>
              </a:graphic>
            </wp:anchor>
          </w:drawing>
        </mc:Choice>
        <mc:Fallback>
          <w:pict>
            <v:rect id="文本框 12" o:spid="_x0000_s1026" o:spt="1"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5dblS0AAAAAUBAAAPAAAAAAAAAAEAIAAAACIAAABkcnMvZG93bnJl&#10;di54bWxQSwECFAAUAAAACACHTuJA/BC6eQUCAAANBAAADgAAAAAAAAABACAAAAAfAQAAZHJzL2Uy&#10;b0RvYy54bWxQSwUGAAAAAAYABgBZAQAAlgU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25</w:t>
                    </w:r>
                    <w: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mc:AlternateContent>
        <mc:Choice Requires="wps">
          <w:drawing>
            <wp:anchor distT="0" distB="0" distL="0" distR="0" simplePos="0" relativeHeight="251659264" behindDoc="1" locked="0" layoutInCell="1" allowOverlap="1">
              <wp:simplePos x="0" y="0"/>
              <wp:positionH relativeFrom="page">
                <wp:posOffset>9117330</wp:posOffset>
              </wp:positionH>
              <wp:positionV relativeFrom="page">
                <wp:posOffset>1217295</wp:posOffset>
              </wp:positionV>
              <wp:extent cx="581025" cy="109855"/>
              <wp:effectExtent l="0" t="0" r="0" b="0"/>
              <wp:wrapNone/>
              <wp:docPr id="7480" name="Shape 5"/>
              <wp:cNvGraphicFramePr/>
              <a:graphic xmlns:a="http://schemas.openxmlformats.org/drawingml/2006/main">
                <a:graphicData uri="http://schemas.microsoft.com/office/word/2010/wordprocessingShape">
                  <wps:wsp>
                    <wps:cNvSpPr/>
                    <wps:spPr>
                      <a:xfrm>
                        <a:off x="0" y="0"/>
                        <a:ext cx="581025" cy="109855"/>
                      </a:xfrm>
                      <a:prstGeom prst="rect">
                        <a:avLst/>
                      </a:prstGeom>
                      <a:noFill/>
                    </wps:spPr>
                    <wps:txbx>
                      <w:txbxContent>
                        <w:p>
                          <w:pPr>
                            <w:pStyle w:val="20"/>
                          </w:pPr>
                        </w:p>
                      </w:txbxContent>
                    </wps:txbx>
                    <wps:bodyPr rot="0" spcFirstLastPara="0" vertOverflow="overflow" horzOverflow="overflow" vert="horz" wrap="square" lIns="0" tIns="0" rIns="0" bIns="0" numCol="1" anchor="t" upright="0">
                      <a:spAutoFit/>
                    </wps:bodyPr>
                  </wps:wsp>
                </a:graphicData>
              </a:graphic>
            </wp:anchor>
          </w:drawing>
        </mc:Choice>
        <mc:Fallback>
          <w:pict>
            <v:rect id="Shape 5" o:spid="_x0000_s1026" o:spt="1" style="position:absolute;left:0pt;margin-left:717.9pt;margin-top:95.85pt;height:8.65pt;width:45.75pt;mso-position-horizontal-relative:page;mso-position-vertical-relative:page;z-index:-251657216;mso-width-relative:page;mso-height-relative:page;" filled="f" stroked="f" coordsize="21600,21600" o:gfxdata="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mMCLEdsAAAANAQAADwAAAAAAAAABACAAAAAiAAAAZHJzL2Rvd25yZXYueG1sUEsBAhQAFAAAAAgA&#10;h07iQPE7jg3pAQAA5QMAAA4AAAAAAAAAAQAgAAAAKgEAAGRycy9lMm9Eb2MueG1sUEsFBgAAAAAG&#10;AAYAWQEAAIUFAAAAAA==&#10;">
              <v:fill on="f" focussize="0,0"/>
              <v:stroke on="f"/>
              <v:imagedata o:title=""/>
              <o:lock v:ext="edit" aspectratio="f"/>
              <v:textbox inset="0mm,0mm,0mm,0mm" style="mso-fit-shape-to-text:t;">
                <w:txbxContent>
                  <w:p>
                    <w:pPr>
                      <w:pStyle w:val="20"/>
                    </w:pPr>
                  </w:p>
                </w:txbxContent>
              </v:textbox>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mc:AlternateContent>
        <mc:Choice Requires="wps">
          <w:drawing>
            <wp:anchor distT="0" distB="0" distL="0" distR="0" simplePos="0" relativeHeight="251660288" behindDoc="1" locked="0" layoutInCell="1" allowOverlap="1">
              <wp:simplePos x="0" y="0"/>
              <wp:positionH relativeFrom="page">
                <wp:posOffset>9117330</wp:posOffset>
              </wp:positionH>
              <wp:positionV relativeFrom="page">
                <wp:posOffset>1217295</wp:posOffset>
              </wp:positionV>
              <wp:extent cx="581025" cy="109855"/>
              <wp:effectExtent l="0" t="0" r="0" b="0"/>
              <wp:wrapNone/>
              <wp:docPr id="7482" name="Shape 5"/>
              <wp:cNvGraphicFramePr/>
              <a:graphic xmlns:a="http://schemas.openxmlformats.org/drawingml/2006/main">
                <a:graphicData uri="http://schemas.microsoft.com/office/word/2010/wordprocessingShape">
                  <wps:wsp>
                    <wps:cNvSpPr/>
                    <wps:spPr>
                      <a:xfrm>
                        <a:off x="0" y="0"/>
                        <a:ext cx="581025" cy="109855"/>
                      </a:xfrm>
                      <a:prstGeom prst="rect">
                        <a:avLst/>
                      </a:prstGeom>
                      <a:noFill/>
                    </wps:spPr>
                    <wps:txbx>
                      <w:txbxContent>
                        <w:p>
                          <w:pPr>
                            <w:pStyle w:val="20"/>
                          </w:pPr>
                        </w:p>
                      </w:txbxContent>
                    </wps:txbx>
                    <wps:bodyPr rot="0" spcFirstLastPara="0" vertOverflow="overflow" horzOverflow="overflow" vert="horz" wrap="square" lIns="0" tIns="0" rIns="0" bIns="0" numCol="1" anchor="t" upright="0">
                      <a:spAutoFit/>
                    </wps:bodyPr>
                  </wps:wsp>
                </a:graphicData>
              </a:graphic>
            </wp:anchor>
          </w:drawing>
        </mc:Choice>
        <mc:Fallback>
          <w:pict>
            <v:rect id="Shape 5" o:spid="_x0000_s1026" o:spt="1" style="position:absolute;left:0pt;margin-left:717.9pt;margin-top:95.85pt;height:8.65pt;width:45.75pt;mso-position-horizontal-relative:page;mso-position-vertical-relative:page;z-index:-251656192;mso-width-relative:page;mso-height-relative:page;" filled="f" stroked="f" coordsize="21600,21600" o:gfxdata="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JjAixHbAAAADQEAAA8AAAAAAAAAAQAgAAAAIgAAAGRycy9kb3ducmV2LnhtbFBLAQIUABQAAAAI&#10;AIdO4kAn0DkA6gEAAOUDAAAOAAAAAAAAAAEAIAAAACoBAABkcnMvZTJvRG9jLnhtbFBLBQYAAAAA&#10;BgAGAFkBAACGBQAAAAA=&#10;">
              <v:fill on="f" focussize="0,0"/>
              <v:stroke on="f"/>
              <v:imagedata o:title=""/>
              <o:lock v:ext="edit" aspectratio="f"/>
              <v:textbox inset="0mm,0mm,0mm,0mm" style="mso-fit-shape-to-text:t;">
                <w:txbxContent>
                  <w:p>
                    <w:pPr>
                      <w:pStyle w:val="20"/>
                    </w:pPr>
                  </w:p>
                </w:txbxContent>
              </v:textbox>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092B84"/>
    <w:multiLevelType w:val="singleLevel"/>
    <w:tmpl w:val="CF092B84"/>
    <w:lvl w:ilvl="0" w:tentative="0">
      <w:start w:val="1"/>
      <w:numFmt w:val="decimal"/>
      <w:suff w:val="nothing"/>
      <w:lvlText w:val="%1．"/>
      <w:lvlJc w:val="left"/>
      <w:pPr>
        <w:ind w:left="0" w:firstLine="4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5"/>
  <w:bordersDoNotSurroundHeader w:val="0"/>
  <w:bordersDoNotSurroundFooter w:val="0"/>
  <w:doNotTrackMoves/>
  <w:documentProtection w:edit="readOnly" w:enforcement="1" w:cryptProviderType="rsaAES" w:cryptAlgorithmClass="hash" w:cryptAlgorithmType="typeAny" w:cryptAlgorithmSid="14" w:cryptSpinCount="100000" w:hash="hN0dbGsS+O6oKow3w3Fg9kX6gmWEgzGcQGRAwxJzIR5e2ILVdhxNJxdrOmuOTcGkuPTl45y7LsdbGvvSobw5Hw==" w:salt="KDeCiC2aOYdqAsmsSgkoPQ=="/>
  <w:defaultTabStop w:val="420"/>
  <w:drawingGridHorizontalSpacing w:val="181"/>
  <w:drawingGridVerticalSpacing w:val="181"/>
  <w:noPunctuationKerning w:val="1"/>
  <w:characterSpacingControl w:val="compressPunctuation"/>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I3MmYwZTNiZDI5Y2Q4YzI1NGE3NmVlMWM4ODU1YTUifQ=="/>
  </w:docVars>
  <w:rsids>
    <w:rsidRoot w:val="00000000"/>
    <w:rsid w:val="1CB0331F"/>
  </w:rsids>
  <m:mathPr>
    <m:mathFont m:val="Cambria Math"/>
    <m:brkBin m:val="before"/>
    <m:brkBinSub m:val="--"/>
    <m:smallFrac m:val="0"/>
    <m:dispDef/>
    <m:lMargin m:val="0"/>
    <m:rMargin m:val="0"/>
    <m:defJc m:val="centerGroup"/>
    <m:preSp m:val="0"/>
    <m:postSp m:val="0"/>
    <m:interSp m:val="0"/>
    <m:intraSp m:val="0"/>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pPr>
    <w:rPr>
      <w:rFonts w:ascii="Times New Roman" w:hAnsi="Times New Roman" w:eastAsia="Times New Roman" w:cs="Times New Roman"/>
      <w:color w:val="000000"/>
      <w:sz w:val="24"/>
      <w:szCs w:val="24"/>
      <w:lang w:val="en-US" w:eastAsia="en-US" w:bidi="en-US"/>
    </w:rPr>
  </w:style>
  <w:style w:type="character" w:default="1" w:styleId="6">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pPr>
    <w:rPr>
      <w:sz w:val="18"/>
    </w:rPr>
  </w:style>
  <w:style w:type="paragraph" w:styleId="3">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table" w:styleId="5">
    <w:name w:val="Table Grid"/>
    <w:basedOn w:val="4"/>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Comment Text"/>
    <w:basedOn w:val="1"/>
    <w:autoRedefine/>
    <w:qFormat/>
    <w:uiPriority w:val="0"/>
  </w:style>
  <w:style w:type="character" w:customStyle="1" w:styleId="8">
    <w:name w:val="Comment Reference"/>
    <w:basedOn w:val="6"/>
    <w:autoRedefine/>
    <w:qFormat/>
    <w:uiPriority w:val="0"/>
    <w:rPr>
      <w:sz w:val="21"/>
      <w:szCs w:val="21"/>
    </w:rPr>
  </w:style>
  <w:style w:type="character" w:customStyle="1" w:styleId="9">
    <w:name w:val="Body text|5_"/>
    <w:basedOn w:val="6"/>
    <w:link w:val="10"/>
    <w:autoRedefine/>
    <w:qFormat/>
    <w:uiPriority w:val="0"/>
    <w:rPr>
      <w:rFonts w:ascii="宋体" w:hAnsi="宋体" w:eastAsia="宋体" w:cs="宋体"/>
      <w:sz w:val="54"/>
      <w:szCs w:val="54"/>
      <w:u w:val="none"/>
      <w:shd w:val="clear" w:color="auto" w:fill="auto"/>
      <w:lang w:val="zh-TW" w:eastAsia="zh-TW" w:bidi="zh-TW"/>
    </w:rPr>
  </w:style>
  <w:style w:type="paragraph" w:customStyle="1" w:styleId="10">
    <w:name w:val="Body text|5"/>
    <w:basedOn w:val="1"/>
    <w:link w:val="9"/>
    <w:autoRedefine/>
    <w:qFormat/>
    <w:uiPriority w:val="0"/>
    <w:pPr>
      <w:jc w:val="center"/>
    </w:pPr>
    <w:rPr>
      <w:rFonts w:ascii="宋体" w:hAnsi="宋体" w:eastAsia="宋体" w:cs="宋体"/>
      <w:sz w:val="54"/>
      <w:szCs w:val="54"/>
      <w:lang w:val="zh-TW" w:eastAsia="zh-TW" w:bidi="zh-TW"/>
    </w:rPr>
  </w:style>
  <w:style w:type="character" w:customStyle="1" w:styleId="11">
    <w:name w:val="Heading #1|1_"/>
    <w:basedOn w:val="6"/>
    <w:link w:val="12"/>
    <w:autoRedefine/>
    <w:qFormat/>
    <w:uiPriority w:val="0"/>
    <w:rPr>
      <w:rFonts w:ascii="宋体" w:hAnsi="宋体" w:eastAsia="宋体" w:cs="宋体"/>
      <w:sz w:val="44"/>
      <w:szCs w:val="44"/>
      <w:u w:val="none"/>
      <w:shd w:val="clear" w:color="auto" w:fill="auto"/>
      <w:lang w:val="zh-TW" w:eastAsia="zh-TW" w:bidi="zh-TW"/>
    </w:rPr>
  </w:style>
  <w:style w:type="paragraph" w:customStyle="1" w:styleId="12">
    <w:name w:val="Heading #1|1"/>
    <w:basedOn w:val="1"/>
    <w:link w:val="11"/>
    <w:autoRedefine/>
    <w:qFormat/>
    <w:uiPriority w:val="0"/>
    <w:pPr>
      <w:spacing w:after="400"/>
      <w:jc w:val="center"/>
      <w:outlineLvl w:val="0"/>
    </w:pPr>
    <w:rPr>
      <w:rFonts w:ascii="宋体" w:hAnsi="宋体" w:eastAsia="宋体" w:cs="宋体"/>
      <w:sz w:val="44"/>
      <w:szCs w:val="44"/>
      <w:lang w:val="zh-TW" w:eastAsia="zh-TW" w:bidi="zh-TW"/>
    </w:rPr>
  </w:style>
  <w:style w:type="character" w:customStyle="1" w:styleId="13">
    <w:name w:val="Header or footer|2_"/>
    <w:basedOn w:val="6"/>
    <w:link w:val="14"/>
    <w:autoRedefine/>
    <w:qFormat/>
    <w:uiPriority w:val="0"/>
    <w:rPr>
      <w:sz w:val="20"/>
      <w:szCs w:val="20"/>
      <w:u w:val="none"/>
      <w:shd w:val="clear" w:color="auto" w:fill="auto"/>
      <w:lang w:val="zh-TW" w:eastAsia="zh-TW" w:bidi="zh-TW"/>
    </w:rPr>
  </w:style>
  <w:style w:type="paragraph" w:customStyle="1" w:styleId="14">
    <w:name w:val="Header or footer|2"/>
    <w:basedOn w:val="1"/>
    <w:link w:val="13"/>
    <w:autoRedefine/>
    <w:qFormat/>
    <w:uiPriority w:val="0"/>
    <w:rPr>
      <w:sz w:val="20"/>
      <w:szCs w:val="20"/>
      <w:lang w:val="zh-TW" w:eastAsia="zh-TW" w:bidi="zh-TW"/>
    </w:rPr>
  </w:style>
  <w:style w:type="character" w:customStyle="1" w:styleId="15">
    <w:name w:val="Body text|2_"/>
    <w:basedOn w:val="6"/>
    <w:link w:val="16"/>
    <w:autoRedefine/>
    <w:qFormat/>
    <w:uiPriority w:val="0"/>
    <w:rPr>
      <w:rFonts w:ascii="宋体" w:hAnsi="宋体" w:eastAsia="宋体" w:cs="宋体"/>
      <w:sz w:val="32"/>
      <w:szCs w:val="32"/>
      <w:u w:val="none"/>
      <w:shd w:val="clear" w:color="auto" w:fill="auto"/>
      <w:lang w:val="zh-TW" w:eastAsia="zh-TW" w:bidi="zh-TW"/>
    </w:rPr>
  </w:style>
  <w:style w:type="paragraph" w:customStyle="1" w:styleId="16">
    <w:name w:val="Body text|2"/>
    <w:basedOn w:val="1"/>
    <w:link w:val="15"/>
    <w:autoRedefine/>
    <w:qFormat/>
    <w:uiPriority w:val="0"/>
    <w:pPr>
      <w:spacing w:after="240"/>
      <w:ind w:firstLine="560"/>
    </w:pPr>
    <w:rPr>
      <w:rFonts w:ascii="宋体" w:hAnsi="宋体" w:eastAsia="宋体" w:cs="宋体"/>
      <w:sz w:val="32"/>
      <w:szCs w:val="32"/>
      <w:lang w:val="zh-TW" w:eastAsia="zh-TW" w:bidi="zh-TW"/>
    </w:rPr>
  </w:style>
  <w:style w:type="character" w:customStyle="1" w:styleId="17">
    <w:name w:val="Body text|1_"/>
    <w:basedOn w:val="6"/>
    <w:link w:val="18"/>
    <w:autoRedefine/>
    <w:qFormat/>
    <w:uiPriority w:val="0"/>
    <w:rPr>
      <w:rFonts w:ascii="宋体" w:hAnsi="宋体" w:eastAsia="宋体" w:cs="宋体"/>
      <w:sz w:val="28"/>
      <w:szCs w:val="28"/>
      <w:u w:val="none"/>
      <w:shd w:val="clear" w:color="auto" w:fill="auto"/>
      <w:lang w:val="zh-TW" w:eastAsia="zh-TW" w:bidi="zh-TW"/>
    </w:rPr>
  </w:style>
  <w:style w:type="paragraph" w:customStyle="1" w:styleId="18">
    <w:name w:val="Body text|1"/>
    <w:basedOn w:val="1"/>
    <w:link w:val="17"/>
    <w:autoRedefine/>
    <w:qFormat/>
    <w:uiPriority w:val="0"/>
    <w:pPr>
      <w:spacing w:line="468" w:lineRule="auto"/>
      <w:ind w:firstLine="400"/>
    </w:pPr>
    <w:rPr>
      <w:rFonts w:ascii="宋体" w:hAnsi="宋体" w:eastAsia="宋体" w:cs="宋体"/>
      <w:sz w:val="28"/>
      <w:szCs w:val="28"/>
      <w:lang w:val="zh-TW" w:eastAsia="zh-TW" w:bidi="zh-TW"/>
    </w:rPr>
  </w:style>
  <w:style w:type="character" w:customStyle="1" w:styleId="19">
    <w:name w:val="Header or footer|1_"/>
    <w:basedOn w:val="6"/>
    <w:link w:val="20"/>
    <w:autoRedefine/>
    <w:qFormat/>
    <w:uiPriority w:val="0"/>
    <w:rPr>
      <w:b/>
      <w:bCs/>
      <w:sz w:val="17"/>
      <w:szCs w:val="17"/>
      <w:u w:val="none"/>
      <w:shd w:val="clear" w:color="auto" w:fill="auto"/>
      <w:lang w:val="zh-TW" w:eastAsia="zh-TW" w:bidi="zh-TW"/>
    </w:rPr>
  </w:style>
  <w:style w:type="paragraph" w:customStyle="1" w:styleId="20">
    <w:name w:val="Header or footer|1"/>
    <w:basedOn w:val="1"/>
    <w:link w:val="19"/>
    <w:autoRedefine/>
    <w:qFormat/>
    <w:uiPriority w:val="0"/>
    <w:rPr>
      <w:b/>
      <w:bCs/>
      <w:sz w:val="17"/>
      <w:szCs w:val="17"/>
      <w:lang w:val="zh-TW" w:eastAsia="zh-TW" w:bidi="zh-TW"/>
    </w:rPr>
  </w:style>
  <w:style w:type="character" w:customStyle="1" w:styleId="21">
    <w:name w:val="Heading #2|1_"/>
    <w:basedOn w:val="6"/>
    <w:link w:val="22"/>
    <w:autoRedefine/>
    <w:qFormat/>
    <w:uiPriority w:val="0"/>
    <w:rPr>
      <w:rFonts w:ascii="宋体" w:hAnsi="宋体" w:eastAsia="宋体" w:cs="宋体"/>
      <w:sz w:val="26"/>
      <w:szCs w:val="26"/>
      <w:u w:val="none"/>
      <w:shd w:val="clear" w:color="auto" w:fill="auto"/>
      <w:lang w:val="zh-TW" w:eastAsia="zh-TW" w:bidi="zh-TW"/>
    </w:rPr>
  </w:style>
  <w:style w:type="paragraph" w:customStyle="1" w:styleId="22">
    <w:name w:val="Heading #2|1"/>
    <w:basedOn w:val="1"/>
    <w:link w:val="21"/>
    <w:autoRedefine/>
    <w:qFormat/>
    <w:uiPriority w:val="0"/>
    <w:pPr>
      <w:spacing w:after="230"/>
      <w:jc w:val="center"/>
      <w:outlineLvl w:val="1"/>
    </w:pPr>
    <w:rPr>
      <w:rFonts w:ascii="宋体" w:hAnsi="宋体" w:eastAsia="宋体" w:cs="宋体"/>
      <w:sz w:val="26"/>
      <w:szCs w:val="26"/>
      <w:lang w:val="zh-TW" w:eastAsia="zh-TW" w:bidi="zh-TW"/>
    </w:rPr>
  </w:style>
  <w:style w:type="character" w:customStyle="1" w:styleId="23">
    <w:name w:val="Other|1_"/>
    <w:basedOn w:val="6"/>
    <w:link w:val="24"/>
    <w:autoRedefine/>
    <w:qFormat/>
    <w:uiPriority w:val="0"/>
    <w:rPr>
      <w:rFonts w:ascii="宋体" w:hAnsi="宋体" w:eastAsia="宋体" w:cs="宋体"/>
      <w:sz w:val="28"/>
      <w:szCs w:val="28"/>
      <w:u w:val="none"/>
      <w:shd w:val="clear" w:color="auto" w:fill="auto"/>
      <w:lang w:val="zh-TW" w:eastAsia="zh-TW" w:bidi="zh-TW"/>
    </w:rPr>
  </w:style>
  <w:style w:type="paragraph" w:customStyle="1" w:styleId="24">
    <w:name w:val="Other|1"/>
    <w:basedOn w:val="1"/>
    <w:link w:val="23"/>
    <w:autoRedefine/>
    <w:qFormat/>
    <w:uiPriority w:val="0"/>
    <w:pPr>
      <w:spacing w:line="468" w:lineRule="auto"/>
      <w:ind w:firstLine="400"/>
    </w:pPr>
    <w:rPr>
      <w:rFonts w:ascii="宋体" w:hAnsi="宋体" w:eastAsia="宋体" w:cs="宋体"/>
      <w:sz w:val="28"/>
      <w:szCs w:val="28"/>
      <w:lang w:val="zh-TW" w:eastAsia="zh-TW" w:bidi="zh-TW"/>
    </w:rPr>
  </w:style>
  <w:style w:type="character" w:customStyle="1" w:styleId="25">
    <w:name w:val="Table caption|1_"/>
    <w:basedOn w:val="6"/>
    <w:link w:val="26"/>
    <w:autoRedefine/>
    <w:qFormat/>
    <w:uiPriority w:val="0"/>
    <w:rPr>
      <w:rFonts w:ascii="宋体" w:hAnsi="宋体" w:eastAsia="宋体" w:cs="宋体"/>
      <w:sz w:val="17"/>
      <w:szCs w:val="17"/>
      <w:u w:val="none"/>
      <w:shd w:val="clear" w:color="auto" w:fill="auto"/>
      <w:lang w:val="zh-TW" w:eastAsia="zh-TW" w:bidi="zh-TW"/>
    </w:rPr>
  </w:style>
  <w:style w:type="paragraph" w:customStyle="1" w:styleId="26">
    <w:name w:val="Table caption|1"/>
    <w:basedOn w:val="1"/>
    <w:link w:val="25"/>
    <w:autoRedefine/>
    <w:qFormat/>
    <w:uiPriority w:val="0"/>
    <w:rPr>
      <w:rFonts w:ascii="宋体" w:hAnsi="宋体" w:eastAsia="宋体" w:cs="宋体"/>
      <w:sz w:val="17"/>
      <w:szCs w:val="17"/>
      <w:lang w:val="zh-TW" w:eastAsia="zh-TW" w:bidi="zh-TW"/>
    </w:rPr>
  </w:style>
  <w:style w:type="character" w:customStyle="1" w:styleId="27">
    <w:name w:val="Body text|4_"/>
    <w:basedOn w:val="6"/>
    <w:link w:val="28"/>
    <w:autoRedefine/>
    <w:qFormat/>
    <w:uiPriority w:val="0"/>
    <w:rPr>
      <w:rFonts w:ascii="宋体" w:hAnsi="宋体" w:eastAsia="宋体" w:cs="宋体"/>
      <w:sz w:val="17"/>
      <w:szCs w:val="17"/>
      <w:u w:val="none"/>
      <w:shd w:val="clear" w:color="auto" w:fill="auto"/>
      <w:lang w:val="zh-TW" w:eastAsia="zh-TW" w:bidi="zh-TW"/>
    </w:rPr>
  </w:style>
  <w:style w:type="paragraph" w:customStyle="1" w:styleId="28">
    <w:name w:val="Body text|4"/>
    <w:basedOn w:val="1"/>
    <w:link w:val="27"/>
    <w:autoRedefine/>
    <w:qFormat/>
    <w:uiPriority w:val="0"/>
    <w:pPr>
      <w:ind w:firstLine="680"/>
    </w:pPr>
    <w:rPr>
      <w:rFonts w:ascii="宋体" w:hAnsi="宋体" w:eastAsia="宋体" w:cs="宋体"/>
      <w:sz w:val="17"/>
      <w:szCs w:val="17"/>
      <w:lang w:val="zh-TW" w:eastAsia="zh-TW" w:bidi="zh-TW"/>
    </w:rPr>
  </w:style>
  <w:style w:type="character" w:customStyle="1" w:styleId="29">
    <w:name w:val="Body text|3_"/>
    <w:basedOn w:val="6"/>
    <w:link w:val="30"/>
    <w:autoRedefine/>
    <w:qFormat/>
    <w:uiPriority w:val="0"/>
    <w:rPr>
      <w:sz w:val="30"/>
      <w:szCs w:val="30"/>
      <w:u w:val="none"/>
      <w:shd w:val="clear" w:color="auto" w:fill="auto"/>
      <w:lang w:val="zh-TW" w:eastAsia="zh-TW" w:bidi="zh-TW"/>
    </w:rPr>
  </w:style>
  <w:style w:type="paragraph" w:customStyle="1" w:styleId="30">
    <w:name w:val="Body text|3"/>
    <w:basedOn w:val="1"/>
    <w:link w:val="29"/>
    <w:autoRedefine/>
    <w:qFormat/>
    <w:uiPriority w:val="0"/>
    <w:pPr>
      <w:spacing w:after="140" w:line="336" w:lineRule="auto"/>
      <w:ind w:firstLine="370"/>
    </w:pPr>
    <w:rPr>
      <w:sz w:val="30"/>
      <w:szCs w:val="30"/>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6" Type="http://schemas.openxmlformats.org/officeDocument/2006/relationships/fontTable" Target="fontTable.xml"/><Relationship Id="rId25" Type="http://schemas.openxmlformats.org/officeDocument/2006/relationships/customXml" Target="../customXml/item4.xml"/><Relationship Id="rId24" Type="http://schemas.openxmlformats.org/officeDocument/2006/relationships/customXml" Target="../customXml/item3.xml"/><Relationship Id="rId23" Type="http://schemas.openxmlformats.org/officeDocument/2006/relationships/customXml" Target="../customXml/item2.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chart" Target="charts/chart6.xml"/><Relationship Id="rId2" Type="http://schemas.openxmlformats.org/officeDocument/2006/relationships/settings" Target="settings.xml"/><Relationship Id="rId19" Type="http://schemas.openxmlformats.org/officeDocument/2006/relationships/chart" Target="charts/chart5.xml"/><Relationship Id="rId18" Type="http://schemas.openxmlformats.org/officeDocument/2006/relationships/chart" Target="charts/chart4.xml"/><Relationship Id="rId17" Type="http://schemas.openxmlformats.org/officeDocument/2006/relationships/chart" Target="charts/chart3.xml"/><Relationship Id="rId16" Type="http://schemas.openxmlformats.org/officeDocument/2006/relationships/chart" Target="charts/chart2.xml"/><Relationship Id="rId15" Type="http://schemas.openxmlformats.org/officeDocument/2006/relationships/chart" Target="charts/chart1.xml"/><Relationship Id="rId14" Type="http://schemas.openxmlformats.org/officeDocument/2006/relationships/theme" Target="theme/theme1.xml"/><Relationship Id="rId13" Type="http://schemas.openxmlformats.org/officeDocument/2006/relationships/footer" Target="foot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部门收入总体情况</a:t>
            </a:r>
            <a:endParaRPr lang="en-US" sz="1100"/>
          </a:p>
        </c:rich>
      </c:tx>
      <c:layout/>
      <c:overlay val="0"/>
      <c:spPr>
        <a:noFill/>
        <a:ln>
          <a:noFill/>
        </a:ln>
        <a:effectLst/>
      </c:spPr>
    </c:title>
    <c:autoTitleDeleted val="0"/>
    <c:plotArea>
      <c:layout/>
      <c:pieChart>
        <c:varyColors val="1"/>
        <c:ser>
          <c:idx val="0"/>
          <c:order val="0"/>
          <c:tx>
            <c:strRef>
              <c:f>Sheet1!$B$1</c:f>
              <c:strCache>
                <c:ptCount val="1"/>
                <c:pt idx="0">
                  <c:v>countries</c:v>
                </c:pt>
              </c:strCache>
            </c:strRef>
          </c:tx>
          <c:explosion val="0"/>
          <c:dPt>
            <c:idx val="0"/>
            <c:bubble3D val="0"/>
            <c:spPr>
              <a:solidFill>
                <a:schemeClr val="accent1"/>
              </a:solidFill>
              <a:ln w="19050">
                <a:solidFill>
                  <a:schemeClr val="lt1"/>
                </a:solidFill>
              </a:ln>
              <a:effectLst/>
            </c:spPr>
          </c:dPt>
          <c:dPt>
            <c:idx val="1"/>
            <c:bubble3D val="0"/>
          </c:dPt>
          <c:dPt>
            <c:idx val="2"/>
            <c:bubble3D val="0"/>
          </c:dPt>
          <c:dLbls>
            <c:delete val="1"/>
          </c:dLbls>
          <c:cat>
            <c:strRef>
              <c:f>Sheet1!$A$2:$A$4</c:f>
              <c:strCache>
                <c:ptCount val="3"/>
                <c:pt idx="0">
                  <c:v>一般公共预算拨款</c:v>
                </c:pt>
                <c:pt idx="1">
                  <c:v>政府性基金预算拨款</c:v>
                </c:pt>
                <c:pt idx="2">
                  <c:v>财政专户管理资金收入</c:v>
                </c:pt>
              </c:strCache>
            </c:strRef>
          </c:cat>
          <c:val>
            <c:numRef>
              <c:f>Sheet1!$B$2:$B$4</c:f>
              <c:numCache>
                <c:formatCode>General</c:formatCode>
                <c:ptCount val="3"/>
                <c:pt idx="0">
                  <c:v>452.23</c:v>
                </c:pt>
                <c:pt idx="1">
                  <c:v>0.93</c:v>
                </c:pt>
                <c:pt idx="2">
                  <c:v>32</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部门支出总体情况</a:t>
            </a:r>
            <a:endParaRPr lang="en-US" sz="1100"/>
          </a:p>
        </c:rich>
      </c:tx>
      <c:layout/>
      <c:overlay val="0"/>
      <c:spPr>
        <a:noFill/>
        <a:ln>
          <a:noFill/>
        </a:ln>
        <a:effectLst/>
      </c:spPr>
    </c:title>
    <c:autoTitleDeleted val="0"/>
    <c:plotArea>
      <c:layout/>
      <c:pieChart>
        <c:varyColors val="1"/>
        <c:ser>
          <c:idx val="0"/>
          <c:order val="0"/>
          <c:tx>
            <c:strRef>
              <c:f>Sheet1!$B$1</c:f>
              <c:strCache>
                <c:ptCount val="1"/>
                <c:pt idx="0">
                  <c:v>countries</c:v>
                </c:pt>
              </c:strCache>
            </c:strRef>
          </c:tx>
          <c:explosion val="0"/>
          <c:dPt>
            <c:idx val="0"/>
            <c:bubble3D val="0"/>
            <c:spPr>
              <a:solidFill>
                <a:schemeClr val="accent1"/>
              </a:solidFill>
              <a:ln w="19050">
                <a:solidFill>
                  <a:schemeClr val="lt1"/>
                </a:solidFill>
              </a:ln>
              <a:effectLst/>
            </c:spPr>
          </c:dPt>
          <c:dPt>
            <c:idx val="1"/>
            <c:bubble3D val="0"/>
          </c:dPt>
          <c:dPt>
            <c:idx val="2"/>
            <c:bubble3D val="0"/>
          </c:dPt>
          <c:dPt>
            <c:idx val="3"/>
            <c:bubble3D val="0"/>
          </c:dPt>
          <c:dLbls>
            <c:delete val="1"/>
          </c:dLbls>
          <c:cat>
            <c:strRef>
              <c:f>Sheet1!$A$2:$A$5</c:f>
              <c:strCache>
                <c:ptCount val="4"/>
                <c:pt idx="0">
                  <c:v>一般公共服务支出</c:v>
                </c:pt>
                <c:pt idx="1">
                  <c:v>教育支出</c:v>
                </c:pt>
                <c:pt idx="2">
                  <c:v>社会保障和就业支出</c:v>
                </c:pt>
                <c:pt idx="3">
                  <c:v>住房保障支出</c:v>
                </c:pt>
              </c:strCache>
            </c:strRef>
          </c:cat>
          <c:val>
            <c:numRef>
              <c:f>Sheet1!$B$2:$B$5</c:f>
              <c:numCache>
                <c:formatCode>General</c:formatCode>
                <c:ptCount val="4"/>
                <c:pt idx="0">
                  <c:v>5.52</c:v>
                </c:pt>
                <c:pt idx="1">
                  <c:v>234.26</c:v>
                </c:pt>
                <c:pt idx="2">
                  <c:v>44.13</c:v>
                </c:pt>
                <c:pt idx="3">
                  <c:v>36.76</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财政拨款收支总体情况</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上年</c:v>
                </c:pt>
              </c:strCache>
            </c:strRef>
          </c:tx>
          <c:spPr>
            <a:solidFill>
              <a:schemeClr val="accent1"/>
            </a:solidFill>
            <a:ln>
              <a:noFill/>
            </a:ln>
            <a:effectLst/>
          </c:spPr>
          <c:invertIfNegative val="0"/>
          <c:dLbls>
            <c:delete val="1"/>
          </c:dLbls>
          <c:cat>
            <c:strRef>
              <c:f>Sheet1!$A$2</c:f>
              <c:strCache>
                <c:ptCount val="1"/>
                <c:pt idx="0">
                  <c:v>收入</c:v>
                </c:pt>
              </c:strCache>
            </c:strRef>
          </c:cat>
          <c:val>
            <c:numRef>
              <c:f>Sheet1!$B$2</c:f>
              <c:numCache>
                <c:formatCode>General</c:formatCode>
                <c:ptCount val="1"/>
                <c:pt idx="0">
                  <c:v>711.63</c:v>
                </c:pt>
              </c:numCache>
            </c:numRef>
          </c:val>
        </c:ser>
        <c:ser>
          <c:idx val="1"/>
          <c:order val="1"/>
          <c:tx>
            <c:strRef>
              <c:f>Sheet1!$C$1</c:f>
              <c:strCache>
                <c:ptCount val="1"/>
                <c:pt idx="0">
                  <c:v>当年</c:v>
                </c:pt>
              </c:strCache>
            </c:strRef>
          </c:tx>
          <c:spPr>
            <a:solidFill>
              <a:schemeClr val="accent2"/>
            </a:solidFill>
            <a:ln>
              <a:noFill/>
            </a:ln>
            <a:effectLst/>
          </c:spPr>
          <c:invertIfNegative val="0"/>
          <c:dLbls>
            <c:delete val="1"/>
          </c:dLbls>
          <c:cat>
            <c:strRef>
              <c:f>Sheet1!$A$2</c:f>
              <c:strCache>
                <c:ptCount val="1"/>
                <c:pt idx="0">
                  <c:v>收入</c:v>
                </c:pt>
              </c:strCache>
            </c:strRef>
          </c:cat>
          <c:val>
            <c:numRef>
              <c:f>Sheet1!$C$2</c:f>
              <c:numCache>
                <c:formatCode>General</c:formatCode>
                <c:ptCount val="1"/>
                <c:pt idx="0">
                  <c:v>453.15</c:v>
                </c:pt>
              </c:numCache>
            </c:numRef>
          </c:val>
        </c:ser>
        <c:dLbls>
          <c:showLegendKey val="0"/>
          <c:showVal val="0"/>
          <c:showCatName val="0"/>
          <c:showSerName val="0"/>
          <c:showPercent val="0"/>
          <c:showBubbleSize val="0"/>
        </c:dLbls>
        <c:gapWidth val="219"/>
        <c:overlap val="-27"/>
        <c:axId val="811850650"/>
        <c:axId val="698020238"/>
      </c:barChart>
      <c:catAx>
        <c:axId val="81185065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8020238"/>
        <c:crosses val="autoZero"/>
        <c:auto val="1"/>
        <c:lblAlgn val="ctr"/>
        <c:lblOffset val="100"/>
        <c:noMultiLvlLbl val="0"/>
      </c:catAx>
      <c:valAx>
        <c:axId val="69802023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1185065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一般公共预算支出情况</a:t>
            </a:r>
            <a:endParaRPr lang="en-US" sz="1100"/>
          </a:p>
        </c:rich>
      </c:tx>
      <c:layout/>
      <c:overlay val="0"/>
      <c:spPr>
        <a:noFill/>
        <a:ln>
          <a:noFill/>
        </a:ln>
        <a:effectLst/>
      </c:spPr>
    </c:title>
    <c:autoTitleDeleted val="0"/>
    <c:plotArea>
      <c:layout/>
      <c:barChart>
        <c:barDir val="bar"/>
        <c:grouping val="clustered"/>
        <c:varyColors val="0"/>
        <c:ser>
          <c:idx val="0"/>
          <c:order val="0"/>
          <c:tx>
            <c:strRef>
              <c:f>Sheet1!$B$1</c:f>
              <c:strCache>
                <c:ptCount val="1"/>
                <c:pt idx="0">
                  <c:v>基本支出</c:v>
                </c:pt>
              </c:strCache>
            </c:strRef>
          </c:tx>
          <c:spPr>
            <a:solidFill>
              <a:schemeClr val="accent1"/>
            </a:solidFill>
            <a:ln>
              <a:noFill/>
            </a:ln>
            <a:effectLst/>
          </c:spPr>
          <c:invertIfNegative val="0"/>
          <c:dLbls>
            <c:delete val="1"/>
          </c:dLbls>
          <c:cat>
            <c:strRef>
              <c:f>Sheet1!$A$2</c:f>
              <c:strCache>
                <c:ptCount val="1"/>
                <c:pt idx="0">
                  <c:v>上年</c:v>
                </c:pt>
              </c:strCache>
            </c:strRef>
          </c:cat>
          <c:val>
            <c:numRef>
              <c:f>Sheet1!$B$2</c:f>
              <c:numCache>
                <c:formatCode>General</c:formatCode>
                <c:ptCount val="1"/>
                <c:pt idx="0">
                  <c:v>428.67</c:v>
                </c:pt>
              </c:numCache>
            </c:numRef>
          </c:val>
        </c:ser>
        <c:ser>
          <c:idx val="1"/>
          <c:order val="1"/>
          <c:tx>
            <c:strRef>
              <c:f>Sheet1!$C$1</c:f>
              <c:strCache>
                <c:ptCount val="1"/>
                <c:pt idx="0">
                  <c:v>结转下年支出</c:v>
                </c:pt>
              </c:strCache>
            </c:strRef>
          </c:tx>
          <c:invertIfNegative val="0"/>
          <c:dLbls>
            <c:delete val="1"/>
          </c:dLbls>
          <c:cat>
            <c:strRef>
              <c:f>Sheet1!$A$2</c:f>
              <c:strCache>
                <c:ptCount val="1"/>
                <c:pt idx="0">
                  <c:v>上年</c:v>
                </c:pt>
              </c:strCache>
            </c:strRef>
          </c:cat>
          <c:val>
            <c:numRef>
              <c:f>Sheet1!$C$2</c:f>
              <c:numCache>
                <c:formatCode>General</c:formatCode>
                <c:ptCount val="1"/>
                <c:pt idx="0">
                  <c:v>0</c:v>
                </c:pt>
              </c:numCache>
            </c:numRef>
          </c:val>
        </c:ser>
        <c:ser>
          <c:idx val="2"/>
          <c:order val="2"/>
          <c:tx>
            <c:strRef>
              <c:f>Sheet1!$D$1</c:f>
              <c:strCache>
                <c:ptCount val="1"/>
                <c:pt idx="0">
                  <c:v>项目支出</c:v>
                </c:pt>
              </c:strCache>
            </c:strRef>
          </c:tx>
          <c:invertIfNegative val="0"/>
          <c:dLbls>
            <c:delete val="1"/>
          </c:dLbls>
          <c:cat>
            <c:strRef>
              <c:f>Sheet1!$A$2</c:f>
              <c:strCache>
                <c:ptCount val="1"/>
                <c:pt idx="0">
                  <c:v>上年</c:v>
                </c:pt>
              </c:strCache>
            </c:strRef>
          </c:cat>
          <c:val>
            <c:numRef>
              <c:f>Sheet1!$D$2</c:f>
              <c:numCache>
                <c:formatCode>General</c:formatCode>
                <c:ptCount val="1"/>
                <c:pt idx="0">
                  <c:v>0</c:v>
                </c:pt>
              </c:numCache>
            </c:numRef>
          </c:val>
        </c:ser>
        <c:ser>
          <c:idx val="3"/>
          <c:order val="3"/>
          <c:tx>
            <c:strRef>
              <c:f>Sheet1!$E$1</c:f>
              <c:strCache>
                <c:ptCount val="1"/>
                <c:pt idx="0">
                  <c:v>公用经费</c:v>
                </c:pt>
              </c:strCache>
            </c:strRef>
          </c:tx>
          <c:invertIfNegative val="0"/>
          <c:dLbls>
            <c:delete val="1"/>
          </c:dLbls>
          <c:cat>
            <c:strRef>
              <c:f>Sheet1!$A$2</c:f>
              <c:strCache>
                <c:ptCount val="1"/>
                <c:pt idx="0">
                  <c:v>上年</c:v>
                </c:pt>
              </c:strCache>
            </c:strRef>
          </c:cat>
          <c:val>
            <c:numRef>
              <c:f>Sheet1!$E$2</c:f>
              <c:numCache>
                <c:formatCode>General</c:formatCode>
                <c:ptCount val="1"/>
                <c:pt idx="0">
                  <c:v>5.52</c:v>
                </c:pt>
              </c:numCache>
            </c:numRef>
          </c:val>
        </c:ser>
        <c:ser>
          <c:idx val="4"/>
          <c:order val="4"/>
          <c:tx>
            <c:strRef>
              <c:f>Sheet1!$F$1</c:f>
              <c:strCache>
                <c:ptCount val="1"/>
                <c:pt idx="0">
                  <c:v>人员经费</c:v>
                </c:pt>
              </c:strCache>
            </c:strRef>
          </c:tx>
          <c:invertIfNegative val="0"/>
          <c:dLbls>
            <c:delete val="1"/>
          </c:dLbls>
          <c:cat>
            <c:strRef>
              <c:f>Sheet1!$A$2</c:f>
              <c:strCache>
                <c:ptCount val="1"/>
                <c:pt idx="0">
                  <c:v>上年</c:v>
                </c:pt>
              </c:strCache>
            </c:strRef>
          </c:cat>
          <c:val>
            <c:numRef>
              <c:f>Sheet1!$F$2</c:f>
              <c:numCache>
                <c:formatCode>General</c:formatCode>
                <c:ptCount val="1"/>
                <c:pt idx="0">
                  <c:v>423.15</c:v>
                </c:pt>
              </c:numCache>
            </c:numRef>
          </c:val>
        </c:ser>
        <c:dLbls>
          <c:showLegendKey val="0"/>
          <c:showVal val="0"/>
          <c:showCatName val="0"/>
          <c:showSerName val="0"/>
          <c:showPercent val="0"/>
          <c:showBubbleSize val="0"/>
        </c:dLbls>
        <c:gapWidth val="182"/>
        <c:overlap val="0"/>
        <c:axId val="691519273"/>
        <c:axId val="850134922"/>
      </c:barChart>
      <c:catAx>
        <c:axId val="691519273"/>
        <c:scaling>
          <c:orientation val="minMax"/>
        </c:scaling>
        <c:delete val="1"/>
        <c:axPos val="l"/>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50134922"/>
        <c:crosses val="autoZero"/>
        <c:auto val="1"/>
        <c:lblAlgn val="ctr"/>
        <c:lblOffset val="100"/>
        <c:noMultiLvlLbl val="0"/>
      </c:catAx>
      <c:valAx>
        <c:axId val="850134922"/>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1519273"/>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一般公共预算基本支出情况</a:t>
            </a:r>
            <a:endParaRPr lang="en-US" sz="1100"/>
          </a:p>
        </c:rich>
      </c:tx>
      <c:layout/>
      <c:overlay val="0"/>
      <c:spPr>
        <a:noFill/>
        <a:ln>
          <a:noFill/>
        </a:ln>
        <a:effectLst/>
      </c:spPr>
    </c:title>
    <c:autoTitleDeleted val="0"/>
    <c:plotArea>
      <c:layout/>
      <c:pieChart>
        <c:varyColors val="1"/>
        <c:ser>
          <c:idx val="0"/>
          <c:order val="0"/>
          <c:tx>
            <c:strRef>
              <c:f>Sheet1!$B$1</c:f>
              <c:strCache>
                <c:ptCount val="1"/>
                <c:pt idx="0">
                  <c:v>countries</c:v>
                </c:pt>
              </c:strCache>
            </c:strRef>
          </c:tx>
          <c:explosion val="0"/>
          <c:dPt>
            <c:idx val="0"/>
            <c:bubble3D val="0"/>
            <c:spPr>
              <a:solidFill>
                <a:schemeClr val="accent1"/>
              </a:solidFill>
              <a:ln w="19050">
                <a:solidFill>
                  <a:schemeClr val="lt1"/>
                </a:solidFill>
              </a:ln>
              <a:effectLst/>
            </c:spPr>
          </c:dPt>
          <c:dPt>
            <c:idx val="1"/>
            <c:bubble3D val="0"/>
          </c:dPt>
          <c:dLbls>
            <c:delete val="1"/>
          </c:dLbls>
          <c:cat>
            <c:strRef>
              <c:f>Sheet1!$A$2:$A$3</c:f>
              <c:strCache>
                <c:ptCount val="2"/>
                <c:pt idx="0">
                  <c:v>人员经费</c:v>
                </c:pt>
                <c:pt idx="1">
                  <c:v>公用经费</c:v>
                </c:pt>
              </c:strCache>
            </c:strRef>
          </c:cat>
          <c:val>
            <c:numRef>
              <c:f>Sheet1!$B$2:$B$3</c:f>
              <c:numCache>
                <c:formatCode>General</c:formatCode>
                <c:ptCount val="2"/>
                <c:pt idx="0">
                  <c:v>423.15</c:v>
                </c:pt>
                <c:pt idx="1">
                  <c:v>5.52</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一般公共预算“三公”经费安排情况</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上年</c:v>
                </c:pt>
              </c:strCache>
            </c:strRef>
          </c:tx>
          <c:spPr>
            <a:solidFill>
              <a:schemeClr val="accent1"/>
            </a:solidFill>
            <a:ln>
              <a:noFill/>
            </a:ln>
            <a:effectLst/>
          </c:spPr>
          <c:invertIfNegative val="0"/>
          <c:dLbls>
            <c:delete val="1"/>
          </c:dLbls>
          <c:cat>
            <c:strRef>
              <c:f>Sheet1!$A$2:$A$4</c:f>
              <c:strCache>
                <c:ptCount val="3"/>
                <c:pt idx="0">
                  <c:v>因公出国（境）经费预算</c:v>
                </c:pt>
                <c:pt idx="1">
                  <c:v>公务接待费预算</c:v>
                </c:pt>
                <c:pt idx="2">
                  <c:v>公务用车购置及运行费预算</c:v>
                </c:pt>
              </c:strCache>
            </c:strRef>
          </c:cat>
          <c:val>
            <c:numRef>
              <c:f>Sheet1!$B$2:$B$4</c:f>
              <c:numCache>
                <c:formatCode>General</c:formatCode>
                <c:ptCount val="3"/>
                <c:pt idx="0">
                  <c:v>0</c:v>
                </c:pt>
                <c:pt idx="1">
                  <c:v>0</c:v>
                </c:pt>
                <c:pt idx="2">
                  <c:v>0</c:v>
                </c:pt>
              </c:numCache>
            </c:numRef>
          </c:val>
        </c:ser>
        <c:ser>
          <c:idx val="1"/>
          <c:order val="1"/>
          <c:tx>
            <c:strRef>
              <c:f>Sheet1!$C$1</c:f>
              <c:strCache>
                <c:ptCount val="1"/>
                <c:pt idx="0">
                  <c:v>当年</c:v>
                </c:pt>
              </c:strCache>
            </c:strRef>
          </c:tx>
          <c:invertIfNegative val="0"/>
          <c:dLbls>
            <c:delete val="1"/>
          </c:dLbls>
          <c:cat>
            <c:strRef>
              <c:f>Sheet1!$A$2:$A$4</c:f>
              <c:strCache>
                <c:ptCount val="3"/>
                <c:pt idx="0">
                  <c:v>因公出国（境）经费预算</c:v>
                </c:pt>
                <c:pt idx="1">
                  <c:v>公务接待费预算</c:v>
                </c:pt>
                <c:pt idx="2">
                  <c:v>公务用车购置及运行费预算</c:v>
                </c:pt>
              </c:strCache>
            </c:strRef>
          </c:cat>
          <c:val>
            <c:numRef>
              <c:f>Sheet1!$C$2:$C$4</c:f>
              <c:numCache>
                <c:formatCode>General</c:formatCode>
                <c:ptCount val="3"/>
                <c:pt idx="0">
                  <c:v>0</c:v>
                </c:pt>
                <c:pt idx="1">
                  <c:v>0</c:v>
                </c:pt>
                <c:pt idx="2">
                  <c:v>0</c:v>
                </c:pt>
              </c:numCache>
            </c:numRef>
          </c:val>
        </c:ser>
        <c:dLbls>
          <c:showLegendKey val="0"/>
          <c:showVal val="0"/>
          <c:showCatName val="0"/>
          <c:showSerName val="0"/>
          <c:showPercent val="0"/>
          <c:showBubbleSize val="0"/>
        </c:dLbls>
        <c:gapWidth val="182"/>
        <c:overlap val="0"/>
        <c:axId val="587647791"/>
        <c:axId val="468612210"/>
      </c:barChart>
      <c:catAx>
        <c:axId val="587647791"/>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68612210"/>
        <c:crosses val="autoZero"/>
        <c:auto val="1"/>
        <c:lblAlgn val="ctr"/>
        <c:lblOffset val="100"/>
        <c:noMultiLvlLbl val="0"/>
      </c:catAx>
      <c:valAx>
        <c:axId val="468612210"/>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87647791"/>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386B5D24A59040A7ACFCB871E68CC190_13</vt:lpwstr>
  </property>
</Properties>
</file>

<file path=customXml/item3.xml><?xml version="1.0" encoding="utf-8"?>
<Properties xmlns="http://schemas.openxmlformats.org/officeDocument/2006/extended-properties" xmlns:vt="http://schemas.openxmlformats.org/officeDocument/2006/docPropsVTypes">
  <Template>Normal.dotm</Template>
  <Pages>35</Pages>
  <Words>8576</Words>
  <Characters>11046</Characters>
  <Lines>105</Lines>
  <Paragraphs>29</Paragraphs>
  <TotalTime>21</TotalTime>
  <ScaleCrop>false</ScaleCrop>
  <LinksUpToDate>false</LinksUpToDate>
  <CharactersWithSpaces>11333</CharactersWithSpaces>
  <Application>WPS Office_12.1.0.16388_F1E327BC-269C-435d-A152-05C5408002CA</Application>
  <DocSecurity>0</DocSecurity>
</Properties>
</file>

<file path=customXml/item4.xml><?xml version="1.0" encoding="utf-8"?>
<cp:coreProperties xmlns:cp="http://schemas.openxmlformats.org/package/2006/metadata/core-properties" xmlns:dc="http://purl.org/dc/elements/1.1/" xmlns:dcterms="http://purl.org/dc/terms/" xmlns:xsi="http://www.w3.org/2001/XMLSchema-instance">
  <dcterms:created xsi:type="dcterms:W3CDTF">2023-02-07T06:11:00Z</dcterms:created>
  <dc:creator>蔡冬冬</dc:creator>
  <cp:lastModifiedBy>黄凯璇</cp:lastModifiedBy>
  <dcterms:modified xsi:type="dcterms:W3CDTF">2024-02-29T02:03:04Z</dcterms:modified>
  <cp:revision>3</cp:revision>
</cp:cor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850f53-c9cc-4d25-b041-de00e913489d}">
  <ds:schemaRefs/>
</ds:datastoreItem>
</file>

<file path=customXml/itemProps3.xml><?xml version="1.0" encoding="utf-8"?>
<ds:datastoreItem xmlns:ds="http://schemas.openxmlformats.org/officeDocument/2006/customXml" ds:itemID="{4e57c5f6-7a83-471a-8f9d-af5c2efa5889}">
  <ds:schemaRefs/>
</ds:datastoreItem>
</file>

<file path=customXml/itemProps4.xml><?xml version="1.0" encoding="utf-8"?>
<ds:datastoreItem xmlns:ds="http://schemas.openxmlformats.org/officeDocument/2006/customXml" ds:itemID="{3b3f74b5-56bf-42a8-8f50-b8619caed98d}">
  <ds:schemaRefs/>
</ds:datastoreItem>
</file>

<file path=docProps/app.xml><?xml version="1.0" encoding="utf-8"?>
<Properties xmlns="http://schemas.openxmlformats.org/officeDocument/2006/extended-properties" xmlns:vt="http://schemas.openxmlformats.org/officeDocument/2006/docPropsVTypes">
  <Template>Normal.dotm</Template>
  <Pages>35</Pages>
  <Words>8576</Words>
  <Characters>11046</Characters>
  <Lines>105</Lines>
  <Paragraphs>29</Paragraphs>
  <TotalTime>21</TotalTime>
  <ScaleCrop>false</ScaleCrop>
  <LinksUpToDate>false</LinksUpToDate>
  <CharactersWithSpaces>11333</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2023-02-07T06:11:00Z</dcterms:created>
  <dc:creator>蔡冬冬</dc:creator>
  <cp:lastModifiedBy>shally</cp:lastModifiedBy>
  <dcterms:modified xsi:type="dcterms:W3CDTF">2024-03-07T01:50:35Z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FE669C0D1ADD4CAEB486F64DE922CBDC_13</vt:lpwstr>
  </property>
</Properties>
</file>