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环江毛南族自治县水源镇初级中学</w:t>
      </w:r>
    </w:p>
    <w:p>
      <w:pPr>
        <w:pStyle w:val="Bodytext|5"/>
        <w:jc w:val="center"/>
        <w:rPr>
          <w:sz w:val="56"/>
          <w:szCs w:val="56"/>
        </w:rPr>
        <w:sectPr>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p>
    <w:p>
      <w:pPr>
        <w:pStyle w:val="Heading#1|1"/>
        <w:keepNext/>
        <w:keepLines/>
        <w:spacing w:after="240"/>
        <w:jc w:val="center"/>
      </w:pPr>
      <w:bookmarkStart w:id="0" w:name="bookmark0"/>
      <w:bookmarkStart w:id="1" w:name="bookmark2"/>
      <w:bookmarkStart w:id="2" w:name="bookmark1"/>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环江毛南族自治县水源镇初级中学</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环江毛南族自治县水源镇初级中学</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环江毛南族自治县水源镇初级中学</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4"/>
      <w:bookmarkStart w:id="4" w:name="bookmark12"/>
      <w:bookmarkStart w:id="5" w:name="bookmark13"/>
      <w:r>
        <w:rPr>
          <w:b/>
          <w:bCs/>
          <w:sz w:val="40"/>
          <w:szCs w:val="40"/>
        </w:rPr>
        <w:t xml:space="preserve">第一部分</w:t>
      </w:r>
      <w:r>
        <w:rPr>
          <w:rFonts w:hint="eastAsia"/>
          <w:b/>
          <w:bCs/>
          <w:sz w:val="40"/>
          <w:szCs w:val="40"/>
          <w:lang w:eastAsia="zh-CN"/>
        </w:rPr>
        <w:t xml:space="preserve">：</w:t>
      </w:r>
      <w:r>
        <w:rPr>
          <w:b/>
          <w:sz w:val="40"/>
          <w:u w:color="auto"/>
        </w:rPr>
        <w:t xml:space="preserve">环江毛南族自治县水源镇初级中学</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（一）贯彻执行党和国家的教育方针、政策和法律法规；拟订本校改革与发展规划并组织实施。</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(二)围绕“教育教学”为中心展开各项工作，完善学校规章制度，增强老师的社会服务意识，提高教书育人的质量,让社会认可，家长满意。</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本单位是九年义务教育学校,根据实际情况设有十个运行机构，分别为：学校党政办公室、政教处、总务处、教务处、语文组、数学组、英语组、政史组、理化组、综合组。</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68"/>
      <w:bookmarkStart w:id="8" w:name="bookmark70"/>
      <w:bookmarkStart w:id="9" w:name="bookmark69"/>
      <w:bookmarkStart w:id="10" w:name="bookmark26"/>
      <w:bookmarkStart w:id="11" w:name="bookmark27"/>
      <w:bookmarkStart w:id="12" w:name="bookmark28"/>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环江毛南族自治县水源镇初级中学</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1048.52</w:t>
      </w:r>
      <w:r>
        <w:rPr>
          <w:rFonts w:hint="eastAsia"/>
          <w:b w:val="0"/>
          <w:bCs w:val="0"/>
          <w:sz w:val="28"/>
          <w:szCs w:val="28"/>
        </w:rPr>
        <w:t xml:space="preserve">万元，总支出</w:t>
      </w:r>
      <w:r>
        <w:rPr>
          <w:rFonts w:hint="eastAsia"/>
          <w:sz w:val="28"/>
          <w:szCs w:val="28"/>
          <w:lang w:val="en-US" w:eastAsia="zh-CN"/>
        </w:rPr>
        <w:t xml:space="preserve">1048.52</w:t>
      </w:r>
      <w:r>
        <w:rPr>
          <w:rFonts w:hint="eastAsia"/>
          <w:b w:val="0"/>
          <w:bCs w:val="0"/>
          <w:sz w:val="28"/>
          <w:szCs w:val="28"/>
        </w:rPr>
        <w:t xml:space="preserve">万元。总收入较2023年度预算数</w:t>
      </w:r>
      <w:r>
        <w:rPr>
          <w:rFonts w:hint="eastAsia"/>
          <w:sz w:val="28"/>
          <w:szCs w:val="28"/>
          <w:lang w:val="en-US" w:eastAsia="zh-CN"/>
        </w:rPr>
        <w:t xml:space="preserve">1067.55</w:t>
      </w:r>
      <w:r>
        <w:rPr>
          <w:rFonts w:hint="eastAsia"/>
          <w:b w:val="0"/>
          <w:bCs w:val="0"/>
          <w:sz w:val="28"/>
          <w:szCs w:val="28"/>
        </w:rPr>
        <w:t xml:space="preserve">万元，</w:t>
      </w:r>
      <w:r>
        <w:rPr>
          <w:rFonts w:hint="eastAsia"/>
          <w:sz w:val="28"/>
          <w:szCs w:val="28"/>
        </w:rPr>
        <w:t xml:space="preserve">减少19.03</w:t>
      </w:r>
      <w:r>
        <w:rPr>
          <w:rFonts w:hint="eastAsia"/>
          <w:b w:val="0"/>
          <w:bCs w:val="0"/>
          <w:sz w:val="28"/>
          <w:szCs w:val="28"/>
        </w:rPr>
        <w:t xml:space="preserve">万元，</w:t>
      </w:r>
      <w:r>
        <w:rPr>
          <w:rFonts w:hint="eastAsia"/>
          <w:sz w:val="28"/>
          <w:szCs w:val="28"/>
        </w:rPr>
        <w:t xml:space="preserve">下降1.78%</w:t>
      </w:r>
      <w:r>
        <w:rPr>
          <w:rFonts w:hint="eastAsia"/>
          <w:b w:val="0"/>
          <w:bCs w:val="0"/>
          <w:sz w:val="28"/>
          <w:szCs w:val="28"/>
        </w:rPr>
        <w:t xml:space="preserve">，主要原因是</w:t>
      </w:r>
      <w:r>
        <w:rPr>
          <w:rFonts w:hint="eastAsia"/>
          <w:highlight w:val="none"/>
          <w:lang w:val="en-US" w:eastAsia="zh-CN"/>
        </w:rPr>
        <w:t xml:space="preserve">(1)本年学生数比去年人数少了,去年学生数是725人,今年学生数为632人;(2)职工人数减少了,去年是64人,今年是55人</w:t>
      </w:r>
      <w:r>
        <w:rPr>
          <w:rFonts w:hint="eastAsia"/>
          <w:b w:val="0"/>
          <w:bCs w:val="0"/>
          <w:sz w:val="28"/>
          <w:szCs w:val="28"/>
        </w:rPr>
        <w:t xml:space="preserve">。总支出较2023年度预算数</w:t>
      </w:r>
      <w:r>
        <w:rPr>
          <w:rFonts w:hint="eastAsia"/>
          <w:sz w:val="28"/>
          <w:szCs w:val="28"/>
          <w:lang w:val="en-US" w:eastAsia="zh-CN"/>
        </w:rPr>
        <w:t xml:space="preserve">1067.55</w:t>
      </w:r>
      <w:r>
        <w:rPr>
          <w:rFonts w:hint="eastAsia"/>
          <w:b w:val="0"/>
          <w:bCs w:val="0"/>
          <w:sz w:val="28"/>
          <w:szCs w:val="28"/>
        </w:rPr>
        <w:t xml:space="preserve">万元，</w:t>
      </w:r>
      <w:r>
        <w:rPr>
          <w:rFonts w:hint="eastAsia"/>
          <w:sz w:val="28"/>
          <w:szCs w:val="28"/>
        </w:rPr>
        <w:t xml:space="preserve">减少19.03</w:t>
      </w:r>
      <w:r>
        <w:rPr>
          <w:rFonts w:hint="eastAsia"/>
          <w:b w:val="0"/>
          <w:bCs w:val="0"/>
          <w:sz w:val="28"/>
          <w:szCs w:val="28"/>
        </w:rPr>
        <w:t xml:space="preserve">万元，</w:t>
      </w:r>
      <w:r>
        <w:rPr>
          <w:rFonts w:hint="eastAsia"/>
          <w:sz w:val="28"/>
          <w:szCs w:val="28"/>
        </w:rPr>
        <w:t xml:space="preserve">下降1.78%</w:t>
      </w:r>
      <w:r>
        <w:rPr>
          <w:rFonts w:hint="eastAsia"/>
          <w:b w:val="0"/>
          <w:bCs w:val="0"/>
          <w:sz w:val="28"/>
          <w:szCs w:val="28"/>
        </w:rPr>
        <w:t xml:space="preserve">，主要原因是</w:t>
      </w:r>
      <w:r>
        <w:rPr>
          <w:rFonts w:hint="eastAsia"/>
          <w:highlight w:val="none"/>
          <w:lang w:val="en-US" w:eastAsia="zh-CN"/>
        </w:rPr>
        <w:t xml:space="preserve">(1)本年学生数比去年人数少了,去年学生数是725人,今年学生数为632人;(2)职工人数减少了,去年是64人,今年是55人</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846"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1048.52</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1067.55</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减少19.03</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下降1.78%</w:t>
      </w:r>
      <w:r>
        <w:rPr>
          <w:rFonts w:ascii="宋体" w:eastAsia="宋体" w:hAnsi="宋体" w:cs="宋体" w:hint="eastAsia"/>
          <w:sz w:val="28"/>
          <w:szCs w:val="28"/>
          <w:u w:color="auto"/>
        </w:rPr>
        <w:t xml:space="preserve">，主要原因是</w:t>
      </w:r>
      <w:r>
        <w:rPr>
          <w:rFonts w:hint="eastAsia"/>
          <w:highlight w:val="none"/>
          <w:lang w:val="en-US" w:eastAsia="zh-CN"/>
        </w:rPr>
        <w:t xml:space="preserve">(1)本年学生数比去年人数少了,去年学生数是725人,今年学生数为632人;(2)职工人数减少了,去年是64人,今年是55人;以上两原因,经费支出减少</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847"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1048.52</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1067.55</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减少19.03</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下降1.78%</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(1)本年学生数比去年人数少了,去年学生数是725人,今年学生数为632人;(2)职工人数减少了,去年是64人,今年是55人;以上两原因,经费支出减少</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学生人数减少使用公用经费减少;职工减少统发工资随着减少了</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4</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教育支出</w:t>
      </w:r>
      <w:r>
        <w:rPr>
          <w:rFonts w:ascii="宋体" w:eastAsia="宋体" w:hAnsi="宋体" w:cs="宋体" w:hint="eastAsia"/>
          <w:sz w:val="28"/>
          <w:szCs w:val="28"/>
          <w:lang w:val="en-US" w:eastAsia="zh-CN"/>
        </w:rPr>
        <w:t xml:space="preserve">860.18</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82.04%</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增长16.80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增长1.99%</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(1)校园不断改善,水费电费维修费等开支增加了,(2)职工工资福利提高了</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79.59</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7.59%</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减少10.32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减少11.48%</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职工人数减少了,去年是64人,今年是55人</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96.16</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9.17%</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减少23.72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减少19.79%</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职工人数减少了,去年是64人,今年是55人</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12.58</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1.20%</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减少1.79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减少12.46%</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学校开展活动相对减少,经费支出随着下降</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962.23</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91.77%</w:t>
      </w:r>
      <w:r>
        <w:rPr>
          <w:rFonts w:ascii="宋体" w:eastAsia="宋体" w:hAnsi="宋体" w:cs="宋体"/>
          <w:sz w:val="28"/>
          <w:u w:color="auto"/>
        </w:rPr>
        <w:t xml:space="preserve">,比上年</w:t>
      </w:r>
      <w:r>
        <w:rPr>
          <w:rFonts w:ascii="宋体" w:eastAsia="宋体" w:hAnsi="宋体" w:cs="宋体"/>
          <w:sz w:val="28"/>
          <w:u w:color="auto"/>
        </w:rPr>
        <w:t xml:space="preserve">减少26.82</w:t>
      </w:r>
      <w:r>
        <w:rPr>
          <w:rFonts w:ascii="宋体" w:eastAsia="宋体" w:hAnsi="宋体" w:cs="宋体"/>
          <w:sz w:val="28"/>
          <w:u w:color="auto"/>
        </w:rPr>
        <w:t xml:space="preserve">万元，</w:t>
      </w:r>
      <w:r>
        <w:rPr>
          <w:rFonts w:ascii="宋体" w:eastAsia="宋体" w:hAnsi="宋体" w:cs="宋体"/>
          <w:sz w:val="28"/>
          <w:u w:color="auto"/>
        </w:rPr>
        <w:t xml:space="preserve">减少2.71%</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897.08</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93.23%</w:t>
      </w:r>
      <w:r>
        <w:rPr>
          <w:rFonts w:ascii="宋体" w:eastAsia="宋体" w:hAnsi="宋体" w:cs="宋体" w:hint="eastAsia"/>
          <w:sz w:val="28"/>
          <w:szCs w:val="28"/>
        </w:rPr>
        <w:t xml:space="preserve">,比上年</w:t>
      </w:r>
      <w:r>
        <w:rPr>
          <w:rFonts w:ascii="宋体" w:eastAsia="宋体" w:hAnsi="宋体" w:cs="宋体"/>
          <w:sz w:val="28"/>
          <w:u w:color="auto"/>
        </w:rPr>
        <w:t xml:space="preserve">减少40.55</w:t>
      </w:r>
      <w:r>
        <w:rPr>
          <w:rFonts w:ascii="宋体" w:eastAsia="宋体" w:hAnsi="宋体" w:cs="宋体"/>
          <w:sz w:val="28"/>
          <w:u w:color="auto"/>
        </w:rPr>
        <w:t xml:space="preserve">万元，</w:t>
      </w:r>
      <w:r>
        <w:rPr>
          <w:rFonts w:ascii="宋体" w:eastAsia="宋体" w:hAnsi="宋体" w:cs="宋体"/>
          <w:sz w:val="28"/>
          <w:u w:color="auto"/>
        </w:rPr>
        <w:t xml:space="preserve">减少4.32%</w:t>
      </w:r>
      <w:r>
        <w:rPr>
          <w:rFonts w:ascii="宋体" w:eastAsia="宋体" w:hAnsi="宋体" w:cs="宋体"/>
          <w:sz w:val="28"/>
          <w:u w:color="auto"/>
        </w:rPr>
        <w:t xml:space="preserve">,主要原因是：职工人数减少了,去年是64人,今年是55人</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52.57</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5.46%</w:t>
      </w:r>
      <w:r>
        <w:rPr>
          <w:rFonts w:ascii="宋体" w:eastAsia="宋体" w:hAnsi="宋体" w:cs="宋体" w:hint="eastAsia"/>
          <w:sz w:val="28"/>
          <w:szCs w:val="28"/>
        </w:rPr>
        <w:t xml:space="preserve">,比上年</w:t>
      </w:r>
      <w:r>
        <w:rPr>
          <w:rFonts w:ascii="宋体" w:eastAsia="宋体" w:hAnsi="宋体" w:cs="宋体"/>
          <w:sz w:val="28"/>
          <w:u w:color="auto"/>
        </w:rPr>
        <w:t xml:space="preserve">增长15.52</w:t>
      </w:r>
      <w:r>
        <w:rPr>
          <w:rFonts w:ascii="宋体" w:eastAsia="宋体" w:hAnsi="宋体" w:cs="宋体"/>
          <w:sz w:val="28"/>
          <w:u w:color="auto"/>
        </w:rPr>
        <w:t xml:space="preserve">万元，</w:t>
      </w:r>
      <w:r>
        <w:rPr>
          <w:rFonts w:ascii="宋体" w:eastAsia="宋体" w:hAnsi="宋体" w:cs="宋体"/>
          <w:sz w:val="28"/>
          <w:u w:color="auto"/>
        </w:rPr>
        <w:t xml:space="preserve">增长41.89%</w:t>
      </w:r>
      <w:r>
        <w:rPr>
          <w:rFonts w:ascii="宋体" w:eastAsia="宋体" w:hAnsi="宋体" w:cs="宋体"/>
          <w:sz w:val="28"/>
          <w:u w:color="auto"/>
        </w:rPr>
        <w:t xml:space="preserve">,主要原因是：(1)遗属补助提高,(2)退休职工生活补助提高</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12.58</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1.31%</w:t>
      </w:r>
      <w:r>
        <w:rPr>
          <w:rFonts w:ascii="宋体" w:eastAsia="宋体" w:hAnsi="宋体" w:cs="宋体" w:hint="eastAsia"/>
          <w:sz w:val="28"/>
          <w:szCs w:val="28"/>
        </w:rPr>
        <w:t xml:space="preserve">,比上年</w:t>
      </w:r>
      <w:r>
        <w:rPr>
          <w:rFonts w:ascii="宋体" w:eastAsia="宋体" w:hAnsi="宋体" w:cs="宋体"/>
          <w:sz w:val="28"/>
          <w:u w:color="auto"/>
        </w:rPr>
        <w:t xml:space="preserve">减少1.79</w:t>
      </w:r>
      <w:r>
        <w:rPr>
          <w:rFonts w:ascii="宋体" w:eastAsia="宋体" w:hAnsi="宋体" w:cs="宋体"/>
          <w:sz w:val="28"/>
          <w:u w:color="auto"/>
        </w:rPr>
        <w:t xml:space="preserve">万元，</w:t>
      </w:r>
      <w:r>
        <w:rPr>
          <w:rFonts w:ascii="宋体" w:eastAsia="宋体" w:hAnsi="宋体" w:cs="宋体"/>
          <w:sz w:val="28"/>
          <w:u w:color="auto"/>
        </w:rPr>
        <w:t xml:space="preserve">减少12.46%</w:t>
      </w:r>
      <w:r>
        <w:rPr>
          <w:rFonts w:ascii="宋体" w:eastAsia="宋体" w:hAnsi="宋体" w:cs="宋体"/>
          <w:sz w:val="28"/>
          <w:u w:color="auto"/>
        </w:rPr>
        <w:t xml:space="preserve">,主要原因是：学生人数减少了,能使用公用经费减少</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86.29</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8.23%</w:t>
      </w:r>
      <w:r>
        <w:rPr>
          <w:rFonts w:ascii="宋体" w:eastAsia="宋体" w:hAnsi="宋体" w:cs="宋体" w:hint="eastAsia"/>
          <w:sz w:val="28"/>
          <w:szCs w:val="28"/>
        </w:rPr>
        <w:t xml:space="preserve">,比上年</w:t>
      </w:r>
      <w:r>
        <w:rPr>
          <w:rFonts w:ascii="宋体" w:eastAsia="宋体" w:hAnsi="宋体" w:cs="宋体"/>
          <w:sz w:val="28"/>
          <w:u w:color="auto"/>
        </w:rPr>
        <w:t xml:space="preserve">增长7.79</w:t>
      </w:r>
      <w:r>
        <w:rPr>
          <w:rFonts w:ascii="宋体" w:eastAsia="宋体" w:hAnsi="宋体" w:cs="宋体" w:hint="eastAsia"/>
          <w:sz w:val="28"/>
          <w:szCs w:val="28"/>
        </w:rPr>
        <w:t xml:space="preserve">万元，</w:t>
      </w:r>
      <w:r>
        <w:rPr>
          <w:rFonts w:ascii="宋体" w:eastAsia="宋体" w:hAnsi="宋体" w:cs="宋体"/>
          <w:sz w:val="28"/>
          <w:u w:color="auto"/>
        </w:rPr>
        <w:t xml:space="preserve">增长9.92%</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72.46</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83.97%</w:t>
      </w:r>
      <w:r>
        <w:rPr>
          <w:rFonts w:ascii="宋体" w:eastAsia="宋体" w:hAnsi="宋体" w:cs="宋体" w:hint="eastAsia"/>
          <w:color w:val="000000"/>
          <w:sz w:val="28"/>
          <w:szCs w:val="28"/>
          <w:lang w:val="zh-TW" w:eastAsia="zh-TW" w:bidi="zh-TW"/>
        </w:rPr>
        <w:t xml:space="preserve">,比上年</w:t>
      </w:r>
      <w:bookmarkStart w:id="14" w:name="_GoBack"/>
      <w:bookmarkEnd w:id="14"/>
      <w:r>
        <w:rPr>
          <w:rFonts w:ascii="宋体" w:eastAsia="宋体" w:hAnsi="宋体" w:cs="宋体"/>
          <w:color w:val="000000"/>
          <w:sz w:val="28"/>
          <w:u w:color="auto"/>
        </w:rPr>
        <w:t xml:space="preserve">增长6.12</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增长9.23%</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w:t>
      </w:r>
      <w:r>
        <w:rPr>
          <w:rFonts w:ascii="宋体" w:eastAsia="宋体" w:hAnsi="宋体" w:cs="宋体" w:hint="eastAsia"/>
          <w:color w:val="000000"/>
          <w:sz w:val="28"/>
          <w:szCs w:val="28"/>
          <w:lang w:val="zh-TW" w:eastAsia="zh-TW" w:bidi="zh-TW"/>
        </w:rPr>
        <w:t xml:space="preserve">学校为了改善教学环境,提高教学质量,对基础设施进行改造,支出经费增多.</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2.01</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2.33%</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减少7.99</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减少79.90%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w:t>
      </w:r>
      <w:r>
        <w:rPr>
          <w:rFonts w:ascii="宋体" w:eastAsia="宋体" w:hAnsi="宋体" w:cs="宋体" w:hint="eastAsia"/>
          <w:color w:val="000000"/>
          <w:sz w:val="28"/>
          <w:szCs w:val="28"/>
          <w:lang w:val="zh-TW" w:eastAsia="zh-TW" w:bidi="zh-TW"/>
        </w:rPr>
        <w:t xml:space="preserve">此项经费有些已转化到商品服务支出.</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3.59</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4.16%</w:t>
      </w:r>
      <w:r>
        <w:rPr>
          <w:rFonts w:ascii="宋体" w:eastAsia="宋体" w:hAnsi="宋体" w:cs="宋体" w:hint="eastAsia"/>
          <w:color w:val="000000"/>
          <w:sz w:val="28"/>
          <w:szCs w:val="28"/>
          <w:lang w:val="zh-TW" w:eastAsia="zh-TW" w:bidi="zh-TW"/>
        </w:rPr>
        <w:t xml:space="preserve">,比上年</w:t>
      </w:r>
      <w:bookmarkEnd w:id="14"/>
      <w:r>
        <w:rPr>
          <w:rFonts w:ascii="宋体" w:eastAsia="宋体" w:hAnsi="宋体" w:cs="宋体"/>
          <w:color w:val="000000"/>
          <w:sz w:val="28"/>
          <w:u w:color="auto"/>
        </w:rPr>
        <w:t xml:space="preserve">增长1.57</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增长77.72%</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w:t>
      </w:r>
      <w:r>
        <w:rPr>
          <w:rFonts w:ascii="宋体" w:eastAsia="宋体" w:hAnsi="宋体" w:cs="宋体" w:hint="eastAsia"/>
          <w:color w:val="000000"/>
          <w:sz w:val="28"/>
          <w:szCs w:val="28"/>
          <w:lang w:val="zh-TW" w:eastAsia="zh-TW" w:bidi="zh-TW"/>
        </w:rPr>
        <w:t xml:space="preserve">工资福利提高了</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8.23</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9.54%</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增长8.09</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增长5778.57%</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w:t>
      </w:r>
      <w:r>
        <w:rPr>
          <w:rFonts w:ascii="宋体" w:eastAsia="宋体" w:hAnsi="宋体" w:cs="宋体" w:hint="eastAsia"/>
          <w:color w:val="000000"/>
          <w:sz w:val="28"/>
          <w:szCs w:val="28"/>
          <w:lang w:val="zh-TW" w:eastAsia="zh-TW" w:bidi="zh-TW"/>
        </w:rPr>
        <w:t xml:space="preserve">(1)遗属补助提高,(2)退休职工生活补助提高</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848"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1048.52</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1048.52</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1067.55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减少19.03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下降1.78%</w:t>
      </w:r>
      <w:r>
        <w:rPr>
          <w:rFonts w:ascii="宋体" w:eastAsia="宋体" w:hAnsi="宋体" w:cs="宋体" w:hint="eastAsia"/>
          <w:sz w:val="28"/>
          <w:szCs w:val="28"/>
        </w:rPr>
        <w:t xml:space="preserve">，主要原因是</w:t>
      </w:r>
      <w:r>
        <w:rPr>
          <w:rFonts w:hint="eastAsia"/>
          <w:highlight w:val="none"/>
          <w:lang w:val="en-US" w:eastAsia="zh-CN"/>
        </w:rPr>
        <w:t xml:space="preserve">(1)本年学生数比去年人数少了,去年学生数是725人,今年学生数为632人;(2)职工人数减少了,去年是64人,今年是55人;以上两原因,经费支出减少</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1067.55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减少19.03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下降1.78%</w:t>
      </w:r>
      <w:r>
        <w:rPr>
          <w:rFonts w:ascii="宋体" w:eastAsia="宋体" w:hAnsi="宋体" w:cs="宋体" w:hint="eastAsia"/>
          <w:sz w:val="28"/>
          <w:szCs w:val="28"/>
        </w:rPr>
        <w:t xml:space="preserve">，主要原因是</w:t>
      </w:r>
      <w:r>
        <w:rPr>
          <w:rFonts w:hint="eastAsia"/>
          <w:highlight w:val="none"/>
          <w:lang w:val="en-US" w:eastAsia="zh-CN"/>
        </w:rPr>
        <w:t xml:space="preserve">(1)本年学生数比去年人数少了,去年学生数是725人,今年学生数为632人;(2)职工人数减少了,去年是64人,今年是55人;以上两原因,经费支出减少</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849"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1048.52</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1067.55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减少19.03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下降1.78%</w:t>
      </w:r>
      <w:r>
        <w:rPr>
          <w:rFonts w:ascii="宋体" w:eastAsia="宋体" w:hAnsi="宋体" w:cs="宋体" w:hint="eastAsia"/>
          <w:sz w:val="28"/>
          <w:szCs w:val="28"/>
        </w:rPr>
        <w:t xml:space="preserve">，主要原因是</w:t>
      </w:r>
      <w:r>
        <w:rPr>
          <w:rFonts w:hint="eastAsia"/>
          <w:highlight w:val="none"/>
          <w:lang w:val="en-US" w:eastAsia="zh-CN"/>
        </w:rPr>
        <w:t xml:space="preserve">(1)本年学生数比去年人数少了,去年学生数是725人,今年学生数为632人;(2)职工人数减少了,去年是64人,今年是55人;以上两原因,经费支出减少</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12.58</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1.20%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14.37</w:t>
      </w:r>
      <w:r>
        <w:rPr>
          <w:rFonts w:ascii="宋体" w:eastAsia="宋体" w:hAnsi="宋体" w:cs="宋体" w:hint="eastAsia"/>
          <w:sz w:val="28"/>
          <w:szCs w:val="28"/>
        </w:rPr>
        <w:t xml:space="preserve">万元，</w:t>
      </w:r>
      <w:r>
        <w:rPr>
          <w:rFonts w:ascii="宋体" w:eastAsia="宋体" w:hAnsi="宋体" w:cs="宋体"/>
          <w:sz w:val="28"/>
          <w:u w:color="auto"/>
        </w:rPr>
        <w:t xml:space="preserve">减少1.79</w:t>
      </w:r>
      <w:r>
        <w:rPr>
          <w:rFonts w:ascii="宋体" w:eastAsia="宋体" w:hAnsi="宋体" w:cs="宋体" w:hint="eastAsia"/>
          <w:sz w:val="28"/>
          <w:szCs w:val="28"/>
        </w:rPr>
        <w:t xml:space="preserve">万元，</w:t>
      </w:r>
      <w:r>
        <w:rPr>
          <w:rFonts w:ascii="宋体" w:eastAsia="宋体" w:hAnsi="宋体" w:cs="宋体"/>
          <w:sz w:val="28"/>
          <w:u w:color="auto"/>
        </w:rPr>
        <w:t xml:space="preserve">减少12.46%</w:t>
      </w:r>
      <w:r>
        <w:rPr>
          <w:rFonts w:ascii="宋体" w:eastAsia="宋体" w:hAnsi="宋体" w:cs="宋体" w:hint="eastAsia"/>
          <w:sz w:val="28"/>
          <w:szCs w:val="28"/>
        </w:rPr>
        <w:t xml:space="preserve">，主要原因是：</w:t>
      </w:r>
      <w:r>
        <w:rPr>
          <w:rFonts w:hint="eastAsia"/>
          <w:highlight w:val="none"/>
        </w:rPr>
        <w:t xml:space="preserve">(1)本年学生数比去年人数少了,去年学生数是725人,今年学生数为632人;(2)职工人数减少了,去年是64人,今年是55人;以上两原因,经费支出减少</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79.59</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7.59%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89.91</w:t>
      </w:r>
      <w:r>
        <w:rPr>
          <w:rFonts w:ascii="宋体" w:eastAsia="宋体" w:hAnsi="宋体" w:cs="宋体" w:hint="eastAsia"/>
          <w:sz w:val="28"/>
          <w:szCs w:val="28"/>
        </w:rPr>
        <w:t xml:space="preserve">万元，</w:t>
      </w:r>
      <w:r>
        <w:rPr>
          <w:rFonts w:ascii="宋体" w:eastAsia="宋体" w:hAnsi="宋体" w:cs="宋体"/>
          <w:sz w:val="28"/>
          <w:u w:color="auto"/>
        </w:rPr>
        <w:t xml:space="preserve">减少10.32</w:t>
      </w:r>
      <w:r>
        <w:rPr>
          <w:rFonts w:ascii="宋体" w:eastAsia="宋体" w:hAnsi="宋体" w:cs="宋体" w:hint="eastAsia"/>
          <w:sz w:val="28"/>
          <w:szCs w:val="28"/>
        </w:rPr>
        <w:t xml:space="preserve">万元，</w:t>
      </w:r>
      <w:r>
        <w:rPr>
          <w:rFonts w:ascii="宋体" w:eastAsia="宋体" w:hAnsi="宋体" w:cs="宋体"/>
          <w:sz w:val="28"/>
          <w:u w:color="auto"/>
        </w:rPr>
        <w:t xml:space="preserve">减少11.48%</w:t>
      </w:r>
      <w:r>
        <w:rPr>
          <w:rFonts w:ascii="宋体" w:eastAsia="宋体" w:hAnsi="宋体" w:cs="宋体" w:hint="eastAsia"/>
          <w:sz w:val="28"/>
          <w:szCs w:val="28"/>
        </w:rPr>
        <w:t xml:space="preserve">，主要原因是：</w:t>
      </w:r>
      <w:r>
        <w:rPr>
          <w:rFonts w:hint="eastAsia"/>
          <w:highlight w:val="none"/>
        </w:rPr>
        <w:t xml:space="preserve">职工人数减少了,去年是64人,今年是55人;以上两原因,经费支出减少</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教育支出</w:t>
      </w:r>
      <w:r>
        <w:rPr>
          <w:rFonts w:ascii="宋体" w:eastAsia="宋体" w:hAnsi="宋体" w:cs="宋体" w:hint="eastAsia"/>
          <w:sz w:val="28"/>
          <w:szCs w:val="28"/>
        </w:rPr>
        <w:t xml:space="preserve">（类）支出</w:t>
      </w:r>
      <w:r>
        <w:rPr>
          <w:rFonts w:ascii="宋体" w:eastAsia="宋体" w:hAnsi="宋体" w:cs="宋体"/>
          <w:sz w:val="28"/>
          <w:u w:color="auto"/>
        </w:rPr>
        <w:t xml:space="preserve">860.18</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82.04%</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843.38</w:t>
      </w:r>
      <w:r>
        <w:rPr>
          <w:rFonts w:ascii="宋体" w:eastAsia="宋体" w:hAnsi="宋体" w:cs="宋体" w:hint="eastAsia"/>
          <w:sz w:val="28"/>
          <w:szCs w:val="28"/>
        </w:rPr>
        <w:t xml:space="preserve">万元，</w:t>
      </w:r>
      <w:r>
        <w:rPr>
          <w:rFonts w:ascii="宋体" w:eastAsia="宋体" w:hAnsi="宋体" w:cs="宋体"/>
          <w:sz w:val="28"/>
          <w:u w:color="auto"/>
        </w:rPr>
        <w:t xml:space="preserve">增长16.80</w:t>
      </w:r>
      <w:r>
        <w:rPr>
          <w:rFonts w:ascii="宋体" w:eastAsia="宋体" w:hAnsi="宋体" w:cs="宋体" w:hint="eastAsia"/>
          <w:sz w:val="28"/>
          <w:szCs w:val="28"/>
        </w:rPr>
        <w:t xml:space="preserve">万元，</w:t>
      </w:r>
      <w:r>
        <w:rPr>
          <w:rFonts w:ascii="宋体" w:eastAsia="宋体" w:hAnsi="宋体" w:cs="宋体"/>
          <w:sz w:val="28"/>
          <w:u w:color="auto"/>
        </w:rPr>
        <w:t xml:space="preserve">增长1.99%</w:t>
      </w:r>
      <w:r>
        <w:rPr>
          <w:rFonts w:ascii="宋体" w:eastAsia="宋体" w:hAnsi="宋体" w:cs="宋体" w:hint="eastAsia"/>
          <w:sz w:val="28"/>
          <w:szCs w:val="28"/>
        </w:rPr>
        <w:t xml:space="preserve">，主要原因是：</w:t>
      </w:r>
      <w:r>
        <w:rPr>
          <w:rFonts w:hint="eastAsia"/>
          <w:highlight w:val="none"/>
        </w:rPr>
        <w:t xml:space="preserve">财政局投入到教育的经费提高,教师的工资要提高,教育教学公用经费提高</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96.16</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9.17%</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119.88</w:t>
      </w:r>
      <w:r>
        <w:rPr>
          <w:rFonts w:ascii="宋体" w:eastAsia="宋体" w:hAnsi="宋体" w:cs="宋体" w:hint="eastAsia"/>
          <w:sz w:val="28"/>
          <w:szCs w:val="28"/>
        </w:rPr>
        <w:t xml:space="preserve">万元，</w:t>
      </w:r>
      <w:r>
        <w:rPr>
          <w:rFonts w:ascii="宋体" w:eastAsia="宋体" w:hAnsi="宋体" w:cs="宋体"/>
          <w:sz w:val="28"/>
          <w:u w:color="auto"/>
        </w:rPr>
        <w:t xml:space="preserve">减少23.72</w:t>
      </w:r>
      <w:r>
        <w:rPr>
          <w:rFonts w:ascii="宋体" w:eastAsia="宋体" w:hAnsi="宋体" w:cs="宋体" w:hint="eastAsia"/>
          <w:sz w:val="28"/>
          <w:szCs w:val="28"/>
        </w:rPr>
        <w:t xml:space="preserve">万元，</w:t>
      </w:r>
      <w:r>
        <w:rPr>
          <w:rFonts w:ascii="宋体" w:eastAsia="宋体" w:hAnsi="宋体" w:cs="宋体"/>
          <w:sz w:val="28"/>
          <w:u w:color="auto"/>
        </w:rPr>
        <w:t xml:space="preserve">减少19.79%</w:t>
      </w:r>
      <w:r>
        <w:rPr>
          <w:rFonts w:ascii="宋体" w:eastAsia="宋体" w:hAnsi="宋体" w:cs="宋体" w:hint="eastAsia"/>
          <w:sz w:val="28"/>
          <w:szCs w:val="28"/>
        </w:rPr>
        <w:t xml:space="preserve">，主要原因是：</w:t>
      </w:r>
      <w:r>
        <w:rPr>
          <w:rFonts w:hint="eastAsia"/>
          <w:highlight w:val="none"/>
        </w:rPr>
        <w:t xml:space="preserve">职工人数减少了,去年是64人,今年是55人;以上两原因,经费支出减少</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850"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962.23</w:t>
      </w:r>
      <w:r>
        <w:rPr>
          <w:rFonts w:hint="eastAsia"/>
        </w:rPr>
        <w:t xml:space="preserve">万元，较2023年度预算数</w:t>
      </w:r>
      <w:r>
        <w:rPr>
          <w:rFonts w:hint="eastAsia"/>
          <w:lang w:val="en-US" w:eastAsia="zh-CN"/>
        </w:rPr>
        <w:t xml:space="preserve">989.05</w:t>
      </w:r>
      <w:r>
        <w:rPr>
          <w:rFonts w:hint="eastAsia"/>
        </w:rPr>
        <w:t xml:space="preserve">万元</w:t>
      </w:r>
      <w:r>
        <w:rPr>
          <w:rFonts w:hint="eastAsia"/>
          <w:lang w:val="en-US" w:eastAsia="zh-CN"/>
        </w:rPr>
        <w:t xml:space="preserve">,</w:t>
      </w:r>
      <w:r>
        <w:rPr>
          <w:u w:color="auto"/>
        </w:rPr>
        <w:t xml:space="preserve">减少26.82</w:t>
      </w:r>
      <w:r>
        <w:rPr>
          <w:rFonts w:hint="eastAsia"/>
        </w:rPr>
        <w:t xml:space="preserve">万元，</w:t>
      </w:r>
      <w:r>
        <w:rPr>
          <w:rFonts w:hint="eastAsia"/>
          <w:lang w:val="en-US" w:eastAsia="zh-CN"/>
        </w:rPr>
        <w:t xml:space="preserve">下降2.71%</w:t>
      </w:r>
      <w:r>
        <w:rPr>
          <w:rFonts w:hint="eastAsia"/>
        </w:rPr>
        <w:t xml:space="preserve">，主要原因是</w:t>
      </w:r>
      <w:r>
        <w:rPr>
          <w:rFonts w:hint="eastAsia"/>
          <w:highlight w:val="none"/>
          <w:lang w:val="en-US" w:eastAsia="zh-CN"/>
        </w:rPr>
        <w:t xml:space="preserve">(1)本年学生数比去年人数少了,去年学生数是725人,今年学生数为632人;(2)职工人数减少了,去年是64人,今年是55人;以上两原因,经费支出减少</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897.08</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93.23%</w:t>
      </w:r>
      <w:r>
        <w:rPr>
          <w:rFonts w:hint="eastAsia"/>
        </w:rPr>
        <w:t xml:space="preserve">，较2023年度预算数</w:t>
      </w:r>
      <w:r>
        <w:rPr>
          <w:rFonts w:hint="eastAsia"/>
          <w:lang w:val="en-US" w:eastAsia="zh-CN"/>
        </w:rPr>
        <w:t xml:space="preserve">937.63</w:t>
      </w:r>
      <w:r>
        <w:rPr>
          <w:rFonts w:hint="eastAsia"/>
        </w:rPr>
        <w:t xml:space="preserve">万元，</w:t>
      </w:r>
      <w:r>
        <w:rPr>
          <w:rFonts w:hint="eastAsia"/>
          <w:lang w:val="en-US" w:eastAsia="zh-CN"/>
        </w:rPr>
        <w:t xml:space="preserve">减少40.55</w:t>
      </w:r>
      <w:r>
        <w:rPr>
          <w:rFonts w:hint="eastAsia"/>
        </w:rPr>
        <w:t xml:space="preserve">万元，</w:t>
      </w:r>
      <w:r>
        <w:rPr>
          <w:rFonts w:hint="eastAsia"/>
          <w:lang w:val="en-US" w:eastAsia="zh-CN"/>
        </w:rPr>
        <w:t xml:space="preserve">减少4.32%</w:t>
      </w:r>
      <w:r>
        <w:rPr>
          <w:rFonts w:hint="eastAsia"/>
        </w:rPr>
        <w:t xml:space="preserve">，主要原因是：</w:t>
      </w:r>
      <w:r>
        <w:rPr>
          <w:rFonts w:hint="eastAsia"/>
          <w:highlight w:val="none"/>
        </w:rPr>
        <w:t xml:space="preserve">职工人数减少了,去年是64人,今年是55人;以上两原因,经费支出减少</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52.57</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5.46%</w:t>
      </w:r>
      <w:r>
        <w:rPr>
          <w:rFonts w:hint="eastAsia"/>
        </w:rPr>
        <w:t xml:space="preserve">，较2023年度预算数</w:t>
      </w:r>
      <w:r>
        <w:rPr>
          <w:rFonts w:hint="eastAsia"/>
          <w:lang w:val="en-US" w:eastAsia="zh-CN"/>
        </w:rPr>
        <w:t xml:space="preserve">37.05</w:t>
      </w:r>
      <w:r>
        <w:rPr>
          <w:rFonts w:hint="eastAsia"/>
        </w:rPr>
        <w:t xml:space="preserve">万元，</w:t>
      </w:r>
      <w:r>
        <w:rPr>
          <w:rFonts w:hint="eastAsia"/>
          <w:lang w:val="en-US" w:eastAsia="zh-CN"/>
        </w:rPr>
        <w:t xml:space="preserve">增长15.52</w:t>
      </w:r>
      <w:r>
        <w:rPr>
          <w:rFonts w:hint="eastAsia"/>
        </w:rPr>
        <w:t xml:space="preserve">万元，</w:t>
      </w:r>
      <w:r>
        <w:rPr>
          <w:rFonts w:hint="eastAsia"/>
          <w:lang w:val="en-US" w:eastAsia="zh-CN"/>
        </w:rPr>
        <w:t xml:space="preserve">增长41.89%</w:t>
      </w:r>
      <w:r>
        <w:rPr>
          <w:rFonts w:hint="eastAsia"/>
        </w:rPr>
        <w:t xml:space="preserve">，主要原因是：</w:t>
      </w:r>
      <w:r>
        <w:rPr>
          <w:rFonts w:hint="eastAsia"/>
          <w:highlight w:val="none"/>
        </w:rPr>
        <w:t xml:space="preserve">(1)遗属补助提高,(2)退休职工生活补助提高</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12.58</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1.31%</w:t>
      </w:r>
      <w:r>
        <w:rPr>
          <w:rFonts w:hint="eastAsia"/>
        </w:rPr>
        <w:t xml:space="preserve">，较2023年度预算数</w:t>
      </w:r>
      <w:r>
        <w:rPr>
          <w:rFonts w:hint="eastAsia"/>
          <w:lang w:val="en-US" w:eastAsia="zh-CN"/>
        </w:rPr>
        <w:t xml:space="preserve">14.37</w:t>
      </w:r>
      <w:r>
        <w:rPr>
          <w:rFonts w:hint="eastAsia"/>
        </w:rPr>
        <w:t xml:space="preserve">万元，</w:t>
      </w:r>
      <w:r>
        <w:rPr>
          <w:rFonts w:hint="eastAsia"/>
          <w:lang w:val="en-US" w:eastAsia="zh-CN"/>
        </w:rPr>
        <w:t xml:space="preserve">减少1.79</w:t>
      </w:r>
      <w:r>
        <w:rPr>
          <w:rFonts w:hint="eastAsia"/>
        </w:rPr>
        <w:t xml:space="preserve">万元，</w:t>
      </w:r>
      <w:r>
        <w:rPr>
          <w:rFonts w:hint="eastAsia"/>
          <w:lang w:val="en-US" w:eastAsia="zh-CN"/>
        </w:rPr>
        <w:t xml:space="preserve">减少12.46%</w:t>
      </w:r>
      <w:r>
        <w:rPr>
          <w:rFonts w:hint="eastAsia"/>
        </w:rPr>
        <w:t xml:space="preserve">，主要原因是：</w:t>
      </w:r>
      <w:r>
        <w:rPr>
          <w:rFonts w:hint="eastAsia"/>
          <w:highlight w:val="none"/>
        </w:rPr>
        <w:t xml:space="preserve">本年学生数比去年人数少了,去年学生数是725人,今年学生数为632人</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851"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5"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本单位是义务教育学校,没有公务出国这情况</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本单位是义务教育学校,没有公务接待此项</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本单位是义务教育学校,没有公务车</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本单位是义务教育学校,没有公务车</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5"/>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0.00</w:t>
      </w:r>
      <w:r>
        <w:rPr>
          <w:rFonts w:hint="eastAsia"/>
          <w:sz w:val="28"/>
          <w:szCs w:val="28"/>
        </w:rPr>
        <w:t xml:space="preserve">万元，较2023年度预算数</w:t>
      </w:r>
      <w:r>
        <w:rPr>
          <w:rFonts w:hint="eastAsia"/>
          <w:b w:val="0"/>
          <w:bCs w:val="0"/>
          <w:sz w:val="28"/>
          <w:szCs w:val="28"/>
          <w:lang w:eastAsia="zh-CN"/>
        </w:rPr>
        <w:t xml:space="preserve">0.00</w:t>
      </w:r>
      <w:r>
        <w:rPr>
          <w:rFonts w:hint="eastAsia"/>
          <w:sz w:val="28"/>
          <w:szCs w:val="28"/>
        </w:rPr>
        <w:t xml:space="preserve">万元，</w:t>
      </w:r>
      <w:r>
        <w:rPr>
          <w:rFonts w:hint="eastAsia"/>
          <w:b w:val="0"/>
          <w:bCs w:val="0"/>
          <w:sz w:val="28"/>
          <w:szCs w:val="28"/>
          <w:lang w:eastAsia="zh-CN"/>
        </w:rPr>
        <w:t xml:space="preserve">增加0.00</w:t>
      </w:r>
      <w:r>
        <w:rPr>
          <w:rFonts w:hint="eastAsia"/>
          <w:sz w:val="28"/>
          <w:szCs w:val="28"/>
        </w:rPr>
        <w:t xml:space="preserve">万元，</w:t>
      </w:r>
      <w:r>
        <w:rPr>
          <w:rFonts w:hint="eastAsia"/>
          <w:b w:val="0"/>
          <w:bCs w:val="0"/>
          <w:sz w:val="28"/>
          <w:szCs w:val="28"/>
          <w:lang w:eastAsia="zh-CN"/>
        </w:rPr>
        <w:t xml:space="preserve">增长0%</w:t>
      </w:r>
      <w:r>
        <w:rPr>
          <w:rFonts w:hint="eastAsia"/>
          <w:sz w:val="28"/>
          <w:szCs w:val="28"/>
        </w:rPr>
        <w:t xml:space="preserve">，主要原因是</w:t>
      </w:r>
      <w:r>
        <w:rPr>
          <w:rFonts w:hint="eastAsia"/>
          <w:sz w:val="28"/>
          <w:szCs w:val="28"/>
          <w:highlight w:val="none"/>
          <w:lang w:val="en-US" w:eastAsia="zh-CN"/>
        </w:rPr>
        <w:t xml:space="preserve">我部门2024年部门预算无政府性基金预算</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6" w:name="bookmark91"/>
      <w:r>
        <w:rPr>
          <w:rFonts w:hint="eastAsia"/>
          <w:b/>
          <w:bCs/>
          <w:lang w:val="en-US" w:eastAsia="zh-CN"/>
        </w:rPr>
        <w:t xml:space="preserve">九</w:t>
      </w:r>
      <w:bookmarkEnd w:id="16"/>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我部门2024年部门预算无国有资本经营预算</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12.58</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14.37</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减少1.79</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下降12.46%</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(1)本年学生数比去年人数少了,去年学生数是725人,今年学生数为632人;(2)职工人数减少了,去年是64人,今年是55人;以上两原因,经费支出减少</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18</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18</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主要用于：确保学校教学正常运转</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4</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18</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没有重点项目</w:t>
      </w: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2"/>
          <w:footerReference w:type="default" r:id="rId13"/>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环江毛南族自治县水源镇初级中学</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7" w:name="bookmark29"/>
      <w:bookmarkStart w:id="18" w:name="bookmark31"/>
      <w:bookmarkStart w:id="19" w:name="bookmark30"/>
      <w:r>
        <w:t xml:space="preserve">收支总体情况表</w:t>
      </w:r>
      <w:bookmarkEnd w:id="17"/>
      <w:bookmarkEnd w:id="18"/>
      <w:bookmarkEnd w:id="19"/>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环江毛南族自治县水源镇初级中学</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1013.53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12.58</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1013.53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860.18</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96.16</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79.59</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1013.53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1048.52</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34.99</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1048.52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1048.52</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环江毛南族自治县水源镇初级中学</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201048</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环江毛南族自治县水源镇初级中学</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1048.52</w:t>
            </w:r>
          </w:p>
        </w:tc>
        <w:tc>
          <w:tcPr>
            <w:tcW w:w="926"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1013.53</w:t>
            </w:r>
          </w:p>
        </w:tc>
        <w:tc>
          <w:tcPr>
            <w:tcW w:w="909"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1013.53</w:t>
            </w:r>
          </w:p>
        </w:tc>
        <w:tc>
          <w:tcPr>
            <w:tcW w:w="968"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1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34.99</w:t>
            </w:r>
          </w:p>
        </w:tc>
        <w:tc>
          <w:tcPr>
            <w:tcW w:w="1011"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34.99</w:t>
            </w:r>
          </w:p>
        </w:tc>
        <w:tc>
          <w:tcPr>
            <w:tcW w:w="859"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94" w:type="dxa"/>
            <w:gridSpan w:val="2"/>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37"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8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1"/>
      <w:bookmarkStart w:id="21" w:name="bookmark42"/>
      <w:bookmarkStart w:id="22" w:name="bookmark43"/>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环江毛南族自治县水源镇初级中学</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1048.52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962.23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86.29</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201048</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1048.52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962.23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86.29</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12.58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12.58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2050203</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初中教育</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859.90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773.89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86.01</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2050701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特殊学校教育</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0.29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0.29</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96.16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96.16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79.59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79.59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3" w:name="bookmark46"/>
      <w:bookmarkStart w:id="24" w:name="bookmark44"/>
      <w:bookmarkStart w:id="25" w:name="bookmark45"/>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环江毛南族自治县水源镇初级中学</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1013.53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12.58</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1013.53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860.18</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96.16</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79.59</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1013.53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1048.52</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34.99</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1048.52</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1048.52</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环江毛南族自治县水源镇初级中学</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201048</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1048.52</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962.23</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949.65</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12.58</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86.29</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12.58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12.58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12.58</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2050203</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初中教育</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859.90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773.89</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773.89</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86.01</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2050701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特殊学校教育</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0.29</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0.29</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96.16</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96.16</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96.16</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79.59</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79.59</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79.59</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6"/>
      <w:bookmarkStart w:id="27" w:name="bookmark57"/>
      <w:bookmarkStart w:id="28" w:name="bookmark58"/>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环江毛南族自治县水源镇初级中学</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962.23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949.65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12.58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897.08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897.08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322.07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322.07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45.92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45.92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140.73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140.73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136.42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136.42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102.25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102.25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40.90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40.90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4.59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4.59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84.89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84.89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19.32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19.32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12.58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12.58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物业管理费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维修（护）费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专用材料费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劳务费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12.58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12.58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52.57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52.57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退休费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47.40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47.40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生活补助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5.10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5.10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助学金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资本性支出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办公设备购置</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6"/>
      <w:bookmarkStart w:id="30" w:name="bookmark65"/>
      <w:bookmarkStart w:id="31" w:name="bookmark67"/>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环江毛南族自治县水源镇初级中学</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201048</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环江毛南族自治县水源镇初级中学</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2050203</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初中教育</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2050701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特殊学校教育</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环江毛南族自治县水源镇初级中学</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环江毛南族自治县水源镇初级中学</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201048</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环江毛南族自治县水源镇初级中学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义务教育中央级公用经费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17.30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保障学校的正常运转。</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201048</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环江毛南族自治县水源镇初级中学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营养改善计划膳食补助资金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8.23</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通过学生营养改善计划膳食补助经费开支，解决家庭经济困难生活问题，提高学生的生活质量。</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201048</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环江毛南族自治县水源镇初级中学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自治区公用经费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5.58</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保障学校正常运转，持续改善学校基本办学条件，促进教育健康发展</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201048</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环江毛南族自治县水源镇初级中学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水源中学年初预算经费(门面及小卖部租金)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38.00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经过对这笔经费使用在学校教学上，确保学校正常运转，保证教学有所提高</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201048</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环江毛南族自治县水源镇初级中学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自治区级乡村教师生活补助</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3.59</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通过自治区级乡村教师生活补助的发放，提高乡村教师生活水平，促进教育发展。</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201048</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环江毛南族自治县水源镇初级中学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公用经费(特教)自治区补助</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0.29</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保障学校正常运转，持续改善学校基本办学条件，促进教育健康发展。支持范围：学校日常办公运行保障学校正常运转，；实施内容：学校日常办公、水电费、网络费、日常维修、教师培训出差等。</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201048</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环江毛南族自治县水源镇初级中学</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水源镇初级中学年初预算经费(门面及小卖部租金)（三保）</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13.30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为了确保学校教学正常运转</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5"/>
      <w:bookmarkStart w:id="33" w:name="bookmark94"/>
      <w:bookmarkStart w:id="34" w:name="bookmark96"/>
      <w:r>
        <w:rPr>
          <w:sz w:val="40"/>
          <w:szCs w:val="40"/>
        </w:rPr>
        <w:t xml:space="preserve">第四部</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45"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237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853"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2381"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855"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2383"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6" name="文本框 9"/>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9" o:spid="_x0000_s238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438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57" name="文本框 11"/>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1" o:spid="_x0000_s238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5408"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58"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238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852"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2380"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854"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2382"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ocumentProtection w:enforcement="1" w:edit="readOnly" w:salt="D84A0jhCa03fzOJTmFm13A==" w:hash="/+EIgIOWLd2dvMJ3mpXwgMG3Gq7IA3tMTVhJIJNkAnvN2gYM/EbAeCWbHiasQqMNyqYdzayGI/9rsSNwR+CnTQ=="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MjZmNDg4ZmJkNDJhZjkyNzE5MzgyZjAyYmZiN2MwYT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1048.52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教育支出</c:v>
                </c:pt>
                <c:pt idx="2">
                  <c:v>社会保障和就业支出</c:v>
                </c:pt>
                <c:pt idx="3">
                  <c:v>住房保障支出</c:v>
                </c:pt>
              </c:strCache>
            </c:strRef>
          </c:cat>
          <c:val>
            <c:numRef>
              <c:f>Sheet1!$B$2:$B$5</c:f>
              <c:numCache>
                <c:ptCount val="4"/>
                <c:pt idx="0">
                  <c:v>12.58</c:v>
                </c:pt>
                <c:pt idx="1">
                  <c:v>825.19</c:v>
                </c:pt>
                <c:pt idx="2">
                  <c:v>96.16</c:v>
                </c:pt>
                <c:pt idx="3">
                  <c:v>79.59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1067.55</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1048.52</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962.23</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51.3</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12.58</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949.65</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949.65</c:v>
                </c:pt>
                <c:pt idx="1">
                  <c:v>12.58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PC</cp:lastModifiedBy>
  <dcterms:modified xsi:type="dcterms:W3CDTF">2024-02-29T13:39:52Z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65F2272583C547A8BCE73C239E2E6D45_13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10</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PC</cp:lastModifiedBy>
  <dcterms:modified xsi:type="dcterms:W3CDTF">2024-03-04T02:23:45Z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65F2272583C547A8BCE73C239E2E6D45_13</vt:lpstr>
  </property>
</Properties>
</file>