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lang w:eastAsia="zh-CN"/>
        </w:rPr>
      </w:pPr>
      <w:bookmarkStart w:id="43" w:name="_GoBack"/>
      <w:bookmarkEnd w:id="43"/>
      <w:r>
        <w:rPr>
          <w:rFonts w:hint="eastAsia"/>
          <w:sz w:val="56"/>
          <w:szCs w:val="56"/>
          <w:lang w:eastAsia="zh-CN"/>
        </w:rPr>
        <w:t>环江毛南族自治县川山镇初级中学</w:t>
      </w:r>
    </w:p>
    <w:p>
      <w:pPr>
        <w:pStyle w:val="10"/>
        <w:jc w:val="center"/>
        <w:rPr>
          <w:sz w:val="56"/>
          <w:szCs w:val="56"/>
        </w:rPr>
        <w:sectPr>
          <w:pgSz w:w="11900" w:h="16840"/>
          <w:pgMar w:top="4713" w:right="1913" w:bottom="4713" w:left="2020" w:header="4285" w:footer="2381" w:gutter="0"/>
          <w:pgBorders>
            <w:top w:val="none" w:sz="0" w:space="0"/>
            <w:left w:val="none" w:sz="0" w:space="0"/>
            <w:bottom w:val="none" w:sz="0" w:space="0"/>
            <w:right w:val="none" w:sz="0" w:space="0"/>
          </w:pgBorders>
          <w:pgNumType w:fmt="decimal" w:start="1"/>
          <w:cols w:space="720" w:num="1"/>
          <w:docGrid w:linePitch="360" w:charSpace="0"/>
        </w:sectPr>
      </w:pPr>
      <w:r>
        <w:rPr>
          <w:rFonts w:hint="eastAsia"/>
          <w:sz w:val="56"/>
          <w:szCs w:val="56"/>
          <w:lang w:eastAsia="zh-CN"/>
        </w:rPr>
        <w:t>2024</w:t>
      </w:r>
      <w:r>
        <w:rPr>
          <w:rFonts w:hint="eastAsia" w:asciiTheme="majorEastAsia" w:hAnsiTheme="majorEastAsia" w:eastAsiaTheme="majorEastAsia" w:cstheme="majorEastAsia"/>
          <w:sz w:val="56"/>
          <w:szCs w:val="56"/>
          <w:u w:color="auto"/>
        </w:rPr>
        <w:t>年</w:t>
      </w:r>
      <w:r>
        <w:rPr>
          <w:rFonts w:hint="eastAsia" w:asciiTheme="majorEastAsia" w:hAnsiTheme="majorEastAsia" w:eastAsiaTheme="majorEastAsia" w:cstheme="majorEastAsia"/>
          <w:sz w:val="56"/>
          <w:szCs w:val="56"/>
        </w:rPr>
        <w:t>度部门预算</w:t>
      </w:r>
    </w:p>
    <w:p>
      <w:pPr>
        <w:pStyle w:val="12"/>
        <w:keepNext/>
        <w:keepLines/>
        <w:spacing w:after="240"/>
        <w:jc w:val="center"/>
      </w:pPr>
      <w:bookmarkStart w:id="0" w:name="bookmark0"/>
      <w:bookmarkStart w:id="1" w:name="bookmark2"/>
      <w:bookmarkStart w:id="2" w:name="bookmark1"/>
      <w:r>
        <w:t>目录</w:t>
      </w:r>
      <w:bookmarkEnd w:id="0"/>
      <w:bookmarkEnd w:id="1"/>
      <w:bookmarkEnd w:id="2"/>
    </w:p>
    <w:p>
      <w:pPr>
        <w:pStyle w:val="16"/>
        <w:ind w:left="0" w:leftChars="0" w:firstLine="320" w:firstLineChars="100"/>
        <w:jc w:val="left"/>
      </w:pPr>
      <w:r>
        <w:t>第一部分</w:t>
      </w:r>
      <w:r>
        <w:rPr>
          <w:rFonts w:hint="eastAsia"/>
          <w:lang w:eastAsia="zh-CN"/>
        </w:rPr>
        <w:t>：</w:t>
      </w:r>
      <w:r>
        <w:rPr>
          <w:u w:color="auto"/>
        </w:rPr>
        <w:t>环江毛南族自治县川山镇初级中学单位</w:t>
      </w:r>
      <w:r>
        <w:t>概况</w:t>
      </w:r>
    </w:p>
    <w:p>
      <w:pPr>
        <w:pStyle w:val="16"/>
        <w:jc w:val="left"/>
      </w:pPr>
      <w:r>
        <w:rPr>
          <w:lang w:val="en-US" w:eastAsia="zh-CN" w:bidi="en-US"/>
        </w:rPr>
        <w:t>—</w:t>
      </w:r>
      <w:r>
        <w:t>、主要职责</w:t>
      </w:r>
    </w:p>
    <w:p>
      <w:pPr>
        <w:pStyle w:val="16"/>
        <w:jc w:val="left"/>
        <w:rPr>
          <w:rFonts w:hint="eastAsia"/>
        </w:rPr>
      </w:pPr>
      <w:r>
        <w:rPr>
          <w:rFonts w:hint="eastAsia"/>
          <w:lang w:val="en-US" w:eastAsia="zh-CN"/>
        </w:rPr>
        <w:t>二、</w:t>
      </w:r>
      <w:r>
        <w:rPr>
          <w:rFonts w:hint="eastAsia"/>
        </w:rPr>
        <w:t>机构设置情况</w:t>
      </w:r>
    </w:p>
    <w:p>
      <w:pPr>
        <w:pStyle w:val="16"/>
        <w:ind w:left="0" w:leftChars="0" w:firstLine="320" w:firstLineChars="100"/>
        <w:jc w:val="left"/>
      </w:pPr>
      <w:r>
        <w:t>第二部分</w:t>
      </w:r>
      <w:r>
        <w:rPr>
          <w:rFonts w:hint="eastAsia"/>
          <w:lang w:eastAsia="zh-CN"/>
        </w:rPr>
        <w:t>：</w:t>
      </w:r>
      <w:r>
        <w:rPr>
          <w:u w:color="auto"/>
        </w:rPr>
        <w:t>环江毛南族自治县川山镇初级中学2024</w:t>
      </w:r>
      <w:r>
        <w:t>部门预算情况说明</w:t>
      </w:r>
    </w:p>
    <w:p>
      <w:pPr>
        <w:pStyle w:val="16"/>
        <w:numPr>
          <w:ilvl w:val="0"/>
          <w:numId w:val="0"/>
        </w:numPr>
        <w:ind w:firstLine="640" w:firstLineChars="200"/>
        <w:jc w:val="left"/>
        <w:rPr>
          <w:rFonts w:hint="eastAsia"/>
        </w:rPr>
      </w:pPr>
      <w:r>
        <w:rPr>
          <w:rFonts w:hint="eastAsia"/>
        </w:rPr>
        <w:t>一、部门收支总体情况说明</w:t>
      </w:r>
    </w:p>
    <w:p>
      <w:pPr>
        <w:pStyle w:val="16"/>
        <w:numPr>
          <w:ilvl w:val="0"/>
          <w:numId w:val="0"/>
        </w:numPr>
        <w:ind w:firstLine="640" w:firstLineChars="200"/>
        <w:jc w:val="left"/>
        <w:rPr>
          <w:rFonts w:hint="eastAsia"/>
        </w:rPr>
      </w:pPr>
      <w:r>
        <w:rPr>
          <w:rFonts w:hint="eastAsia"/>
        </w:rPr>
        <w:t>二、部门收入总体情况说明</w:t>
      </w:r>
    </w:p>
    <w:p>
      <w:pPr>
        <w:pStyle w:val="16"/>
        <w:numPr>
          <w:ilvl w:val="0"/>
          <w:numId w:val="0"/>
        </w:numPr>
        <w:ind w:firstLine="640" w:firstLineChars="200"/>
        <w:jc w:val="left"/>
        <w:rPr>
          <w:rFonts w:hint="eastAsia"/>
        </w:rPr>
      </w:pPr>
      <w:r>
        <w:rPr>
          <w:rFonts w:hint="eastAsia"/>
        </w:rPr>
        <w:t>三、部门支出总体情况说明</w:t>
      </w:r>
    </w:p>
    <w:p>
      <w:pPr>
        <w:pStyle w:val="16"/>
        <w:numPr>
          <w:ilvl w:val="0"/>
          <w:numId w:val="0"/>
        </w:numPr>
        <w:ind w:firstLine="640" w:firstLineChars="200"/>
        <w:jc w:val="left"/>
        <w:rPr>
          <w:rFonts w:hint="eastAsia"/>
        </w:rPr>
      </w:pPr>
      <w:r>
        <w:rPr>
          <w:rFonts w:hint="eastAsia"/>
        </w:rPr>
        <w:t>四、财政拨款收支总体情况说明</w:t>
      </w:r>
    </w:p>
    <w:p>
      <w:pPr>
        <w:pStyle w:val="16"/>
        <w:numPr>
          <w:ilvl w:val="0"/>
          <w:numId w:val="0"/>
        </w:numPr>
        <w:ind w:firstLine="640" w:firstLineChars="200"/>
        <w:jc w:val="left"/>
        <w:rPr>
          <w:rFonts w:hint="eastAsia"/>
        </w:rPr>
      </w:pPr>
      <w:r>
        <w:rPr>
          <w:rFonts w:hint="eastAsia"/>
        </w:rPr>
        <w:t>五、一般公共预算支出情况说明</w:t>
      </w:r>
    </w:p>
    <w:p>
      <w:pPr>
        <w:pStyle w:val="16"/>
        <w:numPr>
          <w:ilvl w:val="0"/>
          <w:numId w:val="0"/>
        </w:numPr>
        <w:ind w:firstLine="640" w:firstLineChars="200"/>
        <w:jc w:val="left"/>
        <w:rPr>
          <w:rFonts w:hint="eastAsia"/>
        </w:rPr>
      </w:pPr>
      <w:r>
        <w:rPr>
          <w:rFonts w:hint="eastAsia"/>
        </w:rPr>
        <w:t>六、一般公共预算基本支出情况说明</w:t>
      </w:r>
    </w:p>
    <w:p>
      <w:pPr>
        <w:pStyle w:val="16"/>
        <w:numPr>
          <w:ilvl w:val="0"/>
          <w:numId w:val="0"/>
        </w:numPr>
        <w:ind w:firstLine="640" w:firstLineChars="200"/>
        <w:jc w:val="left"/>
        <w:rPr>
          <w:rFonts w:hint="eastAsia"/>
        </w:rPr>
      </w:pPr>
      <w:r>
        <w:rPr>
          <w:rFonts w:hint="eastAsia"/>
        </w:rPr>
        <w:t>七、一般公共预算“三公”经费支出情况说明</w:t>
      </w:r>
    </w:p>
    <w:p>
      <w:pPr>
        <w:pStyle w:val="16"/>
        <w:numPr>
          <w:ilvl w:val="0"/>
          <w:numId w:val="0"/>
        </w:numPr>
        <w:ind w:firstLine="640" w:firstLineChars="200"/>
        <w:jc w:val="left"/>
        <w:rPr>
          <w:rFonts w:hint="eastAsia"/>
        </w:rPr>
      </w:pPr>
      <w:r>
        <w:rPr>
          <w:rFonts w:hint="eastAsia"/>
        </w:rPr>
        <w:t>八、政府性基金预算支出情况说明</w:t>
      </w:r>
    </w:p>
    <w:p>
      <w:pPr>
        <w:pStyle w:val="16"/>
        <w:numPr>
          <w:ilvl w:val="0"/>
          <w:numId w:val="0"/>
        </w:numPr>
        <w:ind w:firstLine="640" w:firstLineChars="200"/>
        <w:jc w:val="left"/>
        <w:rPr>
          <w:rFonts w:hint="eastAsia"/>
        </w:rPr>
      </w:pPr>
      <w:r>
        <w:rPr>
          <w:rFonts w:hint="eastAsia"/>
        </w:rPr>
        <w:t>九、国有资本经营预算支出情况说明</w:t>
      </w:r>
    </w:p>
    <w:p>
      <w:pPr>
        <w:pStyle w:val="16"/>
        <w:numPr>
          <w:ilvl w:val="0"/>
          <w:numId w:val="0"/>
        </w:numPr>
        <w:ind w:firstLine="640" w:firstLineChars="200"/>
        <w:jc w:val="left"/>
      </w:pPr>
      <w:r>
        <w:rPr>
          <w:rFonts w:hint="eastAsia"/>
        </w:rPr>
        <w:t>十、其他重要事项情况说明</w:t>
      </w:r>
    </w:p>
    <w:p>
      <w:pPr>
        <w:pStyle w:val="16"/>
        <w:ind w:left="0" w:leftChars="0" w:firstLine="320" w:firstLineChars="100"/>
        <w:jc w:val="left"/>
      </w:pPr>
      <w:r>
        <w:t>第三部分</w:t>
      </w:r>
      <w:r>
        <w:rPr>
          <w:rFonts w:hint="eastAsia"/>
          <w:lang w:eastAsia="zh-CN"/>
        </w:rPr>
        <w:t>：</w:t>
      </w:r>
      <w:r>
        <w:rPr>
          <w:u w:color="auto"/>
        </w:rPr>
        <w:t>环江毛南族自治县川山镇初级中学2024</w:t>
      </w:r>
      <w:r>
        <w:rPr>
          <w:rFonts w:ascii="Times New Roman" w:hAnsi="Times New Roman" w:cs="Times New Roman"/>
          <w:u w:color="auto"/>
        </w:rPr>
        <w:t>年</w:t>
      </w:r>
      <w:r>
        <w:t>部门预算</w:t>
      </w:r>
      <w:r>
        <w:rPr>
          <w:rFonts w:hint="eastAsia"/>
          <w:lang w:val="en-US" w:eastAsia="zh-CN"/>
        </w:rPr>
        <w:t>相关报</w:t>
      </w:r>
      <w:r>
        <w:t>表</w:t>
      </w:r>
    </w:p>
    <w:p>
      <w:pPr>
        <w:pStyle w:val="16"/>
        <w:jc w:val="left"/>
        <w:rPr>
          <w:rFonts w:hint="eastAsia"/>
        </w:rPr>
      </w:pPr>
      <w:r>
        <w:rPr>
          <w:rFonts w:hint="eastAsia"/>
        </w:rPr>
        <w:t>一、部门收支总体情况表</w:t>
      </w:r>
    </w:p>
    <w:p>
      <w:pPr>
        <w:pStyle w:val="16"/>
        <w:jc w:val="left"/>
        <w:rPr>
          <w:rFonts w:hint="eastAsia"/>
        </w:rPr>
      </w:pPr>
      <w:r>
        <w:rPr>
          <w:rFonts w:hint="eastAsia"/>
        </w:rPr>
        <w:t>二、部门收入总体情况表</w:t>
      </w:r>
    </w:p>
    <w:p>
      <w:pPr>
        <w:pStyle w:val="16"/>
        <w:jc w:val="left"/>
        <w:rPr>
          <w:rFonts w:hint="eastAsia"/>
        </w:rPr>
      </w:pPr>
      <w:r>
        <w:rPr>
          <w:rFonts w:hint="eastAsia"/>
        </w:rPr>
        <w:t>三、部门支出总体情况表</w:t>
      </w:r>
    </w:p>
    <w:p>
      <w:pPr>
        <w:pStyle w:val="16"/>
        <w:jc w:val="left"/>
        <w:rPr>
          <w:rFonts w:hint="eastAsia"/>
        </w:rPr>
      </w:pPr>
      <w:r>
        <w:rPr>
          <w:rFonts w:hint="eastAsia"/>
        </w:rPr>
        <w:t>四、财政拨款收支总体情况表</w:t>
      </w:r>
    </w:p>
    <w:p>
      <w:pPr>
        <w:pStyle w:val="16"/>
        <w:jc w:val="left"/>
        <w:rPr>
          <w:rFonts w:hint="eastAsia"/>
        </w:rPr>
      </w:pPr>
      <w:r>
        <w:rPr>
          <w:rFonts w:hint="eastAsia"/>
        </w:rPr>
        <w:t>五、一般公共预算支出情况表</w:t>
      </w:r>
    </w:p>
    <w:p>
      <w:pPr>
        <w:pStyle w:val="16"/>
        <w:jc w:val="left"/>
        <w:rPr>
          <w:rFonts w:hint="eastAsia"/>
        </w:rPr>
      </w:pPr>
      <w:r>
        <w:rPr>
          <w:rFonts w:hint="eastAsia"/>
        </w:rPr>
        <w:t>六、一般公共预算基本支出情况表</w:t>
      </w:r>
    </w:p>
    <w:p>
      <w:pPr>
        <w:pStyle w:val="16"/>
        <w:jc w:val="left"/>
        <w:rPr>
          <w:rFonts w:hint="eastAsia"/>
        </w:rPr>
      </w:pPr>
      <w:r>
        <w:rPr>
          <w:rFonts w:hint="eastAsia"/>
        </w:rPr>
        <w:t>七、一般公开预算“三公”经费支出情况表</w:t>
      </w:r>
    </w:p>
    <w:p>
      <w:pPr>
        <w:pStyle w:val="16"/>
        <w:jc w:val="left"/>
        <w:rPr>
          <w:rFonts w:hint="eastAsia"/>
        </w:rPr>
      </w:pPr>
      <w:r>
        <w:rPr>
          <w:rFonts w:hint="eastAsia"/>
        </w:rPr>
        <w:t>八、政府性基金预算支出情况表</w:t>
      </w:r>
    </w:p>
    <w:p>
      <w:pPr>
        <w:pStyle w:val="16"/>
        <w:jc w:val="left"/>
        <w:rPr>
          <w:rFonts w:hint="eastAsia"/>
        </w:rPr>
      </w:pPr>
      <w:r>
        <w:rPr>
          <w:rFonts w:hint="eastAsia"/>
        </w:rPr>
        <w:t>九、国有资本经营预算支出情况表</w:t>
      </w:r>
    </w:p>
    <w:p>
      <w:pPr>
        <w:pStyle w:val="16"/>
        <w:jc w:val="left"/>
        <w:rPr>
          <w:rFonts w:hint="eastAsia" w:eastAsia="宋体"/>
          <w:lang w:eastAsia="zh-CN"/>
        </w:rPr>
      </w:pPr>
      <w:r>
        <w:rPr>
          <w:rFonts w:hint="eastAsia"/>
        </w:rPr>
        <w:t>十、2024年度预算项目绩效目标公开表</w:t>
      </w:r>
    </w:p>
    <w:p>
      <w:pPr>
        <w:pStyle w:val="16"/>
        <w:ind w:left="0" w:leftChars="0" w:firstLine="320" w:firstLineChars="100"/>
        <w:jc w:val="left"/>
        <w:rPr>
          <w:rFonts w:hint="eastAsia" w:eastAsia="宋体"/>
          <w:lang w:eastAsia="zh-CN"/>
        </w:rPr>
        <w:sectPr>
          <w:footerReference r:id="rId3" w:type="default"/>
          <w:pgSz w:w="11900" w:h="16840"/>
          <w:pgMar w:top="1508" w:right="1674" w:bottom="1508" w:left="1851" w:header="0" w:footer="1077" w:gutter="0"/>
          <w:pgBorders>
            <w:top w:val="none" w:sz="0" w:space="0"/>
            <w:left w:val="none" w:sz="0" w:space="0"/>
            <w:bottom w:val="none" w:sz="0" w:space="0"/>
            <w:right w:val="none" w:sz="0" w:space="0"/>
          </w:pgBorders>
          <w:pgNumType w:fmt="decimal"/>
          <w:cols w:space="720" w:num="1"/>
          <w:docGrid w:linePitch="360" w:charSpace="0"/>
        </w:sectPr>
      </w:pPr>
      <w:r>
        <w:t>第四部分</w:t>
      </w:r>
      <w:r>
        <w:rPr>
          <w:rFonts w:hint="eastAsia"/>
          <w:lang w:eastAsia="zh-CN"/>
        </w:rPr>
        <w:t>：</w:t>
      </w:r>
      <w:r>
        <w:t>名词</w:t>
      </w:r>
      <w:r>
        <w:rPr>
          <w:rFonts w:hint="eastAsia"/>
          <w:lang w:val="en-US" w:eastAsia="zh-CN"/>
        </w:rPr>
        <w:t>解释</w:t>
      </w:r>
    </w:p>
    <w:p>
      <w:pPr>
        <w:pStyle w:val="12"/>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4"/>
      <w:bookmarkStart w:id="4" w:name="bookmark12"/>
      <w:bookmarkStart w:id="5" w:name="bookmark13"/>
      <w:r>
        <w:rPr>
          <w:b/>
          <w:bCs/>
          <w:sz w:val="40"/>
          <w:szCs w:val="40"/>
        </w:rPr>
        <w:t>第一部分</w:t>
      </w:r>
      <w:r>
        <w:rPr>
          <w:rFonts w:hint="eastAsia"/>
          <w:b/>
          <w:bCs/>
          <w:sz w:val="40"/>
          <w:szCs w:val="40"/>
          <w:lang w:eastAsia="zh-CN"/>
        </w:rPr>
        <w:t>：</w:t>
      </w:r>
      <w:r>
        <w:rPr>
          <w:b/>
          <w:sz w:val="40"/>
          <w:u w:color="auto"/>
        </w:rPr>
        <w:t>环江毛南族自治县川山镇初级中学</w:t>
      </w:r>
      <w:r>
        <w:rPr>
          <w:b/>
          <w:bCs/>
          <w:sz w:val="40"/>
          <w:szCs w:val="40"/>
        </w:rPr>
        <w:t>概况</w:t>
      </w:r>
      <w:bookmarkEnd w:id="3"/>
      <w:bookmarkEnd w:id="4"/>
      <w:bookmarkEnd w:id="5"/>
    </w:p>
    <w:p>
      <w:pPr>
        <w:pStyle w:val="16"/>
        <w:spacing w:after="0" w:line="619" w:lineRule="exact"/>
        <w:ind w:firstLine="620"/>
        <w:jc w:val="left"/>
        <w:rPr>
          <w:b/>
          <w:bCs/>
        </w:rPr>
      </w:pPr>
      <w:r>
        <w:rPr>
          <w:rFonts w:hint="eastAsia"/>
          <w:b/>
          <w:bCs/>
          <w:lang w:val="en-US" w:eastAsia="zh-CN"/>
        </w:rPr>
        <w:t>一、</w:t>
      </w:r>
      <w:r>
        <w:rPr>
          <w:b/>
          <w:bCs/>
        </w:rPr>
        <w:t>主要职责</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一）贯彻执行党和国家的教育方针、政策和法律法规；拟订学校教育改革与发展规划并组织实施。（二）编制学校教育事业发展规划并检查实施情况，向自治县教育局和上级教育部门作出报告。（三）贯彻执行教育方针、政策、法令、法规和上级的各项规定；完成学校教育教学工作。（四）推进义务教育均衡发展和促进教育公平。（五）负责学校领导队伍、人才队伍和教师队伍建设，包括校长岗位培训、后备干部队伍建设、教师学历教育、继续教育（六）负责组织学校做好中考、招生录取工作和学籍管理工作。（七）按照中央关于全面推进素质教育要求，做好学校教育教学管理、教育教学改革及教育教学科学研究工作，实施素质教育工作，并组织推广先进的教育教学经验。（八）做好学校教育教学设备的装备、管理和使用工作。（九）做好学校电化教育和信息化教学工作。（十）负责学校教师初级专业技术职务资格的评审，中、高级专业技术职务资格的申报工作。按照管理权限对教师进行考核、聘任、奖惩、晋升等工作。（十一）负责学校教学教育常规管理评估工作，做好学校德育、体育、卫生、艺术、安全工作以及团组织工作。（（十二））落实学生资助管理工作。（十四）落实推广普通话工作。（十五）完成自治县教育局交办的其他工作。    </w:t>
      </w:r>
    </w:p>
    <w:p>
      <w:pPr>
        <w:pStyle w:val="16"/>
        <w:spacing w:after="0" w:line="619" w:lineRule="exact"/>
        <w:ind w:firstLine="620"/>
        <w:jc w:val="left"/>
        <w:rPr>
          <w:rFonts w:hint="eastAsia"/>
          <w:b/>
          <w:bCs/>
          <w:lang w:val="en-US" w:eastAsia="zh-CN"/>
        </w:rPr>
      </w:pPr>
      <w:bookmarkStart w:id="6" w:name="bookmark24"/>
      <w:r>
        <w:rPr>
          <w:rFonts w:hint="eastAsia"/>
          <w:b/>
          <w:bCs/>
          <w:lang w:val="en-US" w:eastAsia="zh-CN"/>
        </w:rPr>
        <w:t>二</w:t>
      </w:r>
      <w:bookmarkEnd w:id="6"/>
      <w:r>
        <w:rPr>
          <w:rFonts w:hint="eastAsia"/>
          <w:b/>
          <w:bCs/>
          <w:lang w:val="en-US" w:eastAsia="zh-CN"/>
        </w:rPr>
        <w:t>、机构设置情况</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我校内设机构有校长党支部办公室、行政办、政教处、教务处、总务处。下设语文教研组、数学教研组、英语教研组、政史教研组、理化教研组、综合教研组、校团支部办公室。人员编制总数为66人，其中行政编制0人，事业编制51人，周转池编制15人。实有财政供养人数99人，其中行政在职0人，事业在编60人，退休人员22人，遗属补助人员3人。编外特岗教师实有人数14人。学校专职保安人员3人，兼职协管人员2人。</w:t>
      </w:r>
    </w:p>
    <w:p>
      <w:pPr>
        <w:pStyle w:val="18"/>
        <w:spacing w:line="623" w:lineRule="exact"/>
        <w:ind w:firstLine="1018" w:firstLineChars="0"/>
        <w:jc w:val="left"/>
        <w:rPr>
          <w:rFonts w:hint="eastAsia"/>
          <w:highlight w:val="none"/>
          <w:lang w:val="en-US" w:eastAsia="zh-CN"/>
        </w:rPr>
      </w:pPr>
    </w:p>
    <w:p>
      <w:pPr>
        <w:pStyle w:val="18"/>
        <w:spacing w:line="623" w:lineRule="exact"/>
        <w:ind w:firstLine="1018" w:firstLineChars="0"/>
        <w:jc w:val="left"/>
        <w:rPr>
          <w:rFonts w:hint="eastAsia"/>
          <w:highlight w:val="none"/>
          <w:lang w:val="en-US" w:eastAsia="zh-CN"/>
        </w:rPr>
      </w:pPr>
    </w:p>
    <w:p>
      <w:r>
        <w:br w:type="page"/>
      </w:r>
    </w:p>
    <w:p>
      <w:pPr>
        <w:pStyle w:val="12"/>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68"/>
      <w:bookmarkStart w:id="8" w:name="bookmark70"/>
      <w:bookmarkStart w:id="9" w:name="bookmark69"/>
      <w:bookmarkStart w:id="10" w:name="bookmark27"/>
      <w:bookmarkStart w:id="11" w:name="bookmark26"/>
      <w:bookmarkStart w:id="12" w:name="bookmark28"/>
      <w:r>
        <w:rPr>
          <w:b/>
          <w:bCs/>
          <w:sz w:val="40"/>
          <w:szCs w:val="40"/>
        </w:rPr>
        <w:t>第</w:t>
      </w:r>
      <w:r>
        <w:rPr>
          <w:rFonts w:hint="eastAsia"/>
          <w:b/>
          <w:bCs/>
          <w:sz w:val="40"/>
          <w:szCs w:val="40"/>
          <w:lang w:val="en-US" w:eastAsia="zh-CN"/>
        </w:rPr>
        <w:t>二</w:t>
      </w:r>
      <w:r>
        <w:rPr>
          <w:b/>
          <w:bCs/>
          <w:sz w:val="40"/>
          <w:szCs w:val="40"/>
        </w:rPr>
        <w:t>部分</w:t>
      </w:r>
      <w:r>
        <w:rPr>
          <w:rFonts w:hint="eastAsia"/>
          <w:b/>
          <w:bCs/>
          <w:sz w:val="40"/>
          <w:szCs w:val="40"/>
          <w:lang w:eastAsia="zh-CN"/>
        </w:rPr>
        <w:t>：</w:t>
      </w:r>
      <w:bookmarkEnd w:id="7"/>
      <w:bookmarkEnd w:id="8"/>
      <w:bookmarkEnd w:id="9"/>
      <w:r>
        <w:rPr>
          <w:rFonts w:hint="eastAsia"/>
          <w:b/>
          <w:bCs/>
          <w:sz w:val="40"/>
          <w:szCs w:val="40"/>
          <w:lang w:eastAsia="zh-CN"/>
        </w:rPr>
        <w:t>环江毛南族自治县川山镇初级中学</w:t>
      </w:r>
      <w:r>
        <w:rPr>
          <w:b/>
          <w:sz w:val="40"/>
          <w:u w:color="auto"/>
        </w:rPr>
        <w:t>2024年部门预算情况说明</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一</w:t>
      </w:r>
      <w:bookmarkEnd w:id="13"/>
      <w:r>
        <w:rPr>
          <w:rFonts w:hint="eastAsia"/>
          <w:b/>
          <w:bCs/>
          <w:lang w:val="en-US" w:eastAsia="zh-CN"/>
        </w:rPr>
        <w:t>、部门预算收支总体情况说明</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我部门总收入</w:t>
      </w:r>
      <w:r>
        <w:rPr>
          <w:rFonts w:hint="eastAsia"/>
          <w:sz w:val="28"/>
          <w:szCs w:val="28"/>
          <w:lang w:val="en-US" w:eastAsia="zh-CN"/>
        </w:rPr>
        <w:t>1138.17</w:t>
      </w:r>
      <w:r>
        <w:rPr>
          <w:rFonts w:hint="eastAsia"/>
          <w:b w:val="0"/>
          <w:bCs w:val="0"/>
          <w:sz w:val="28"/>
          <w:szCs w:val="28"/>
        </w:rPr>
        <w:t>万元，总支出</w:t>
      </w:r>
      <w:r>
        <w:rPr>
          <w:rFonts w:hint="eastAsia"/>
          <w:sz w:val="28"/>
          <w:szCs w:val="28"/>
          <w:lang w:val="en-US" w:eastAsia="zh-CN"/>
        </w:rPr>
        <w:t>1138.17</w:t>
      </w:r>
      <w:r>
        <w:rPr>
          <w:rFonts w:hint="eastAsia"/>
          <w:b w:val="0"/>
          <w:bCs w:val="0"/>
          <w:sz w:val="28"/>
          <w:szCs w:val="28"/>
        </w:rPr>
        <w:t>万元。总收入较2023年度预算数</w:t>
      </w:r>
      <w:r>
        <w:rPr>
          <w:rFonts w:hint="eastAsia"/>
          <w:sz w:val="28"/>
          <w:szCs w:val="28"/>
          <w:lang w:val="en-US" w:eastAsia="zh-CN"/>
        </w:rPr>
        <w:t>1239.93</w:t>
      </w:r>
      <w:r>
        <w:rPr>
          <w:rFonts w:hint="eastAsia"/>
          <w:b w:val="0"/>
          <w:bCs w:val="0"/>
          <w:sz w:val="28"/>
          <w:szCs w:val="28"/>
        </w:rPr>
        <w:t>万元，</w:t>
      </w:r>
      <w:r>
        <w:rPr>
          <w:rFonts w:hint="eastAsia"/>
          <w:sz w:val="28"/>
          <w:szCs w:val="28"/>
        </w:rPr>
        <w:t>减少101.76</w:t>
      </w:r>
      <w:r>
        <w:rPr>
          <w:rFonts w:hint="eastAsia"/>
          <w:b w:val="0"/>
          <w:bCs w:val="0"/>
          <w:sz w:val="28"/>
          <w:szCs w:val="28"/>
        </w:rPr>
        <w:t>万元，</w:t>
      </w:r>
      <w:r>
        <w:rPr>
          <w:rFonts w:hint="eastAsia"/>
          <w:sz w:val="28"/>
          <w:szCs w:val="28"/>
        </w:rPr>
        <w:t>下降8.21%</w:t>
      </w:r>
      <w:r>
        <w:rPr>
          <w:rFonts w:hint="eastAsia"/>
          <w:b w:val="0"/>
          <w:bCs w:val="0"/>
          <w:sz w:val="28"/>
          <w:szCs w:val="28"/>
        </w:rPr>
        <w:t>，主要原因是</w:t>
      </w:r>
      <w:r>
        <w:rPr>
          <w:rFonts w:hint="eastAsia"/>
          <w:highlight w:val="none"/>
          <w:lang w:val="en-US" w:eastAsia="zh-CN"/>
        </w:rPr>
        <w:t>有13人调出，1辞职，其他离校3人（2位岗教师因个人原因未能转岗入编离校，1人入编川山中心校)，3人退休。</w:t>
      </w:r>
      <w:r>
        <w:rPr>
          <w:rFonts w:hint="eastAsia"/>
          <w:b w:val="0"/>
          <w:bCs w:val="0"/>
          <w:sz w:val="28"/>
          <w:szCs w:val="28"/>
        </w:rPr>
        <w:t>。总支出较2023年度预算数</w:t>
      </w:r>
      <w:r>
        <w:rPr>
          <w:rFonts w:hint="eastAsia"/>
          <w:sz w:val="28"/>
          <w:szCs w:val="28"/>
          <w:lang w:val="en-US" w:eastAsia="zh-CN"/>
        </w:rPr>
        <w:t>1239.93</w:t>
      </w:r>
      <w:r>
        <w:rPr>
          <w:rFonts w:hint="eastAsia"/>
          <w:b w:val="0"/>
          <w:bCs w:val="0"/>
          <w:sz w:val="28"/>
          <w:szCs w:val="28"/>
        </w:rPr>
        <w:t>万元，</w:t>
      </w:r>
      <w:r>
        <w:rPr>
          <w:rFonts w:hint="eastAsia"/>
          <w:sz w:val="28"/>
          <w:szCs w:val="28"/>
        </w:rPr>
        <w:t>减少101.76</w:t>
      </w:r>
      <w:r>
        <w:rPr>
          <w:rFonts w:hint="eastAsia"/>
          <w:b w:val="0"/>
          <w:bCs w:val="0"/>
          <w:sz w:val="28"/>
          <w:szCs w:val="28"/>
        </w:rPr>
        <w:t>万元，</w:t>
      </w:r>
      <w:r>
        <w:rPr>
          <w:rFonts w:hint="eastAsia"/>
          <w:sz w:val="28"/>
          <w:szCs w:val="28"/>
        </w:rPr>
        <w:t>下降8.21%</w:t>
      </w:r>
      <w:r>
        <w:rPr>
          <w:rFonts w:hint="eastAsia"/>
          <w:b w:val="0"/>
          <w:bCs w:val="0"/>
          <w:sz w:val="28"/>
          <w:szCs w:val="28"/>
        </w:rPr>
        <w:t>，主要原因是</w:t>
      </w:r>
      <w:r>
        <w:rPr>
          <w:rFonts w:hint="eastAsia"/>
          <w:highlight w:val="none"/>
          <w:lang w:val="en-US" w:eastAsia="zh-CN"/>
        </w:rPr>
        <w:t>有13人调出，1辞职，其他离校3人（2位岗教师因个人原因未能转岗入编离校，1人入编川山中心校)，3人退休。</w:t>
      </w:r>
      <w:r>
        <w:rPr>
          <w:rFonts w:hint="eastAsia"/>
          <w:b w:val="0"/>
          <w:bCs w:val="0"/>
          <w:sz w:val="28"/>
          <w:szCs w:val="28"/>
        </w:rPr>
        <w:t>。</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二、部门收入总体情况说明</w:t>
      </w:r>
    </w:p>
    <w:p>
      <w:pPr>
        <w:pStyle w:val="18"/>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9290"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u w:color="auto"/>
          <w:lang w:eastAsia="zh-CN"/>
        </w:rPr>
        <w:t>2024</w:t>
      </w:r>
      <w:r>
        <w:rPr>
          <w:rFonts w:hint="eastAsia" w:ascii="宋体" w:hAnsi="宋体" w:eastAsia="宋体" w:cs="宋体"/>
          <w:sz w:val="28"/>
          <w:szCs w:val="28"/>
          <w:u w:color="auto"/>
        </w:rPr>
        <w:t>年我部门总收入</w:t>
      </w:r>
      <w:r>
        <w:rPr>
          <w:rFonts w:hint="eastAsia" w:ascii="宋体" w:hAnsi="宋体" w:eastAsia="宋体" w:cs="宋体"/>
          <w:sz w:val="28"/>
          <w:szCs w:val="28"/>
          <w:lang w:val="en-US" w:eastAsia="zh-CN"/>
        </w:rPr>
        <w:t>1138.17</w:t>
      </w:r>
      <w:r>
        <w:rPr>
          <w:rFonts w:hint="eastAsia" w:ascii="宋体" w:hAnsi="宋体" w:eastAsia="宋体" w:cs="宋体"/>
          <w:sz w:val="28"/>
          <w:szCs w:val="28"/>
          <w:u w:color="auto"/>
        </w:rPr>
        <w:t>万元，较2023年度预算数</w:t>
      </w:r>
      <w:r>
        <w:rPr>
          <w:rFonts w:hint="eastAsia" w:ascii="宋体" w:hAnsi="宋体" w:eastAsia="宋体" w:cs="宋体"/>
          <w:sz w:val="28"/>
          <w:szCs w:val="28"/>
          <w:lang w:val="en-US" w:eastAsia="zh-CN"/>
        </w:rPr>
        <w:t>1239.93</w:t>
      </w:r>
      <w:r>
        <w:rPr>
          <w:rFonts w:hint="eastAsia" w:ascii="宋体" w:hAnsi="宋体" w:eastAsia="宋体" w:cs="宋体"/>
          <w:sz w:val="28"/>
          <w:szCs w:val="28"/>
          <w:u w:color="auto"/>
        </w:rPr>
        <w:t>万元，</w:t>
      </w:r>
      <w:r>
        <w:rPr>
          <w:rFonts w:hint="eastAsia" w:ascii="宋体" w:hAnsi="宋体" w:eastAsia="宋体" w:cs="宋体"/>
          <w:sz w:val="28"/>
          <w:szCs w:val="28"/>
        </w:rPr>
        <w:t>减少101.76</w:t>
      </w:r>
      <w:r>
        <w:rPr>
          <w:rFonts w:hint="eastAsia" w:ascii="宋体" w:hAnsi="宋体" w:eastAsia="宋体" w:cs="宋体"/>
          <w:sz w:val="28"/>
          <w:szCs w:val="28"/>
          <w:u w:color="auto"/>
        </w:rPr>
        <w:t>万元，</w:t>
      </w:r>
      <w:r>
        <w:rPr>
          <w:rFonts w:hint="eastAsia" w:ascii="宋体" w:hAnsi="宋体" w:eastAsia="宋体" w:cs="宋体"/>
          <w:sz w:val="28"/>
          <w:szCs w:val="28"/>
        </w:rPr>
        <w:t>下降8.21%</w:t>
      </w:r>
      <w:r>
        <w:rPr>
          <w:rFonts w:hint="eastAsia" w:ascii="宋体" w:hAnsi="宋体" w:eastAsia="宋体" w:cs="宋体"/>
          <w:sz w:val="28"/>
          <w:szCs w:val="28"/>
          <w:u w:color="auto"/>
        </w:rPr>
        <w:t>，主要原因是</w:t>
      </w:r>
      <w:r>
        <w:rPr>
          <w:rFonts w:hint="eastAsia"/>
          <w:highlight w:val="none"/>
          <w:lang w:val="en-US" w:eastAsia="zh-CN"/>
        </w:rPr>
        <w:t>有13人调出，1辞职，其他离校3人（2位岗教师因个人原因未能转岗入编离校，1人入编川山中心校)，3人退休。</w:t>
      </w:r>
      <w:r>
        <w:rPr>
          <w:rFonts w:hint="eastAsia" w:ascii="宋体" w:hAnsi="宋体" w:eastAsia="宋体" w:cs="宋体"/>
          <w:sz w:val="28"/>
          <w:szCs w:val="28"/>
          <w:u w:color="auto"/>
        </w:rPr>
        <w:t>。</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三、部门支出总体情况说明</w:t>
      </w:r>
    </w:p>
    <w:p>
      <w:pPr>
        <w:pStyle w:val="18"/>
        <w:spacing w:line="240" w:lineRule="auto"/>
        <w:ind w:firstLine="0"/>
        <w:jc w:val="left"/>
        <w:rPr>
          <w:rFonts w:ascii="Times New Roman" w:hAnsi="Times New Roman" w:eastAsia="Times New Roman" w:cs="Times New Roman"/>
          <w:sz w:val="30"/>
          <w:szCs w:val="30"/>
        </w:rPr>
      </w:pPr>
      <w:r>
        <w:rPr>
          <w:rFonts w:ascii="Times New Roman" w:hAnsi="Times New Roman" w:eastAsia="Times New Roman" w:cs="Times New Roman"/>
          <w:sz w:val="30"/>
          <w:szCs w:val="30"/>
        </w:rPr>
        <w:drawing>
          <wp:inline distT="0" distB="0" distL="114300" distR="114300">
            <wp:extent cx="5080000" cy="3810000"/>
            <wp:effectExtent l="4445" t="4445" r="20955" b="14605"/>
            <wp:docPr id="9291"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2024</w:t>
      </w:r>
      <w:r>
        <w:rPr>
          <w:rFonts w:ascii="宋体" w:hAnsi="宋体" w:eastAsia="宋体" w:cs="宋体"/>
          <w:sz w:val="28"/>
          <w:u w:color="auto"/>
        </w:rPr>
        <w:t>年我部门总支出</w:t>
      </w:r>
      <w:r>
        <w:rPr>
          <w:rFonts w:hint="eastAsia" w:ascii="宋体" w:hAnsi="宋体" w:eastAsia="宋体" w:cs="宋体"/>
          <w:sz w:val="28"/>
          <w:szCs w:val="28"/>
          <w:lang w:val="en-US" w:eastAsia="zh-CN"/>
        </w:rPr>
        <w:t>1138.17</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1239.93</w:t>
      </w:r>
      <w:r>
        <w:rPr>
          <w:rFonts w:hint="eastAsia" w:ascii="宋体" w:hAnsi="宋体" w:eastAsia="宋体" w:cs="宋体"/>
          <w:sz w:val="28"/>
          <w:szCs w:val="28"/>
          <w:lang w:eastAsia="zh-CN"/>
        </w:rPr>
        <w:t>万元，</w:t>
      </w:r>
      <w:r>
        <w:rPr>
          <w:rFonts w:hint="eastAsia" w:ascii="宋体" w:hAnsi="宋体" w:eastAsia="宋体" w:cs="宋体"/>
          <w:sz w:val="28"/>
          <w:szCs w:val="28"/>
        </w:rPr>
        <w:t>减少101.76</w:t>
      </w:r>
      <w:r>
        <w:rPr>
          <w:rFonts w:hint="eastAsia" w:ascii="宋体" w:hAnsi="宋体" w:eastAsia="宋体" w:cs="宋体"/>
          <w:sz w:val="28"/>
          <w:szCs w:val="28"/>
          <w:lang w:eastAsia="zh-CN"/>
        </w:rPr>
        <w:t>万元，</w:t>
      </w:r>
      <w:r>
        <w:rPr>
          <w:rFonts w:hint="eastAsia" w:ascii="宋体" w:hAnsi="宋体" w:eastAsia="宋体" w:cs="宋体"/>
          <w:sz w:val="28"/>
          <w:szCs w:val="28"/>
        </w:rPr>
        <w:t>下降8.21%</w:t>
      </w:r>
      <w:r>
        <w:rPr>
          <w:rFonts w:hint="eastAsia" w:ascii="宋体" w:hAnsi="宋体" w:eastAsia="宋体" w:cs="宋体"/>
          <w:sz w:val="28"/>
          <w:szCs w:val="28"/>
          <w:lang w:eastAsia="zh-CN"/>
        </w:rPr>
        <w:t>，主要原因是</w:t>
      </w:r>
      <w:r>
        <w:rPr>
          <w:rFonts w:hint="eastAsia" w:ascii="宋体" w:hAnsi="宋体" w:eastAsia="宋体" w:cs="宋体"/>
          <w:sz w:val="28"/>
          <w:szCs w:val="28"/>
          <w:highlight w:val="none"/>
          <w:lang w:val="en-US" w:eastAsia="zh-CN"/>
        </w:rPr>
        <w:t>有13人调出，1辞职，其他离校3人（2位岗教师因个人原因未能转岗入编离校，1人入编川山中心校)，3人退休。</w:t>
      </w:r>
      <w:r>
        <w:rPr>
          <w:rFonts w:hint="eastAsia" w:ascii="宋体" w:hAnsi="宋体" w:eastAsia="宋体" w:cs="宋体"/>
          <w:sz w:val="28"/>
          <w:szCs w:val="28"/>
          <w:lang w:eastAsia="zh-CN"/>
        </w:rPr>
        <w:t>。主要包括：</w:t>
      </w:r>
      <w:r>
        <w:rPr>
          <w:rFonts w:hint="eastAsia" w:ascii="宋体" w:hAnsi="宋体" w:eastAsia="宋体" w:cs="宋体"/>
          <w:sz w:val="28"/>
          <w:szCs w:val="28"/>
          <w:highlight w:val="none"/>
          <w:lang w:val="en-US" w:eastAsia="zh-CN"/>
        </w:rPr>
        <w:t>有13人调出，1辞职，其他离校3人（2位岗教师因个人原因未能转岗入编离校，1人入编川山中心校)，3人退休。</w:t>
      </w:r>
      <w:r>
        <w:rPr>
          <w:rFonts w:hint="eastAsia" w:ascii="宋体" w:hAnsi="宋体" w:eastAsia="宋体" w:cs="宋体"/>
          <w:sz w:val="28"/>
          <w:szCs w:val="28"/>
          <w:lang w:eastAsia="zh-CN"/>
        </w:rPr>
        <w:t>。</w:t>
      </w:r>
    </w:p>
    <w:p>
      <w:pPr>
        <w:pStyle w:val="18"/>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hint="eastAsia" w:ascii="宋体" w:hAnsi="宋体" w:eastAsia="宋体" w:cs="宋体"/>
          <w:sz w:val="28"/>
          <w:szCs w:val="28"/>
        </w:rPr>
      </w:pPr>
      <w:r>
        <w:rPr>
          <w:rFonts w:hint="eastAsia" w:ascii="宋体" w:hAnsi="宋体" w:eastAsia="宋体" w:cs="宋体"/>
          <w:sz w:val="28"/>
          <w:szCs w:val="28"/>
        </w:rPr>
        <w:t>（一）按支出功能分类科目划分，共分为</w:t>
      </w:r>
      <w:r>
        <w:rPr>
          <w:rFonts w:hint="eastAsia" w:ascii="宋体" w:hAnsi="宋体" w:eastAsia="宋体" w:cs="宋体"/>
          <w:sz w:val="28"/>
          <w:szCs w:val="28"/>
          <w:lang w:val="en-US" w:eastAsia="zh-CN"/>
        </w:rPr>
        <w:t>4</w:t>
      </w:r>
      <w:r>
        <w:rPr>
          <w:rFonts w:hint="eastAsia" w:ascii="宋体" w:hAnsi="宋体" w:eastAsia="宋体" w:cs="宋体"/>
          <w:sz w:val="28"/>
          <w:szCs w:val="28"/>
        </w:rPr>
        <w:t>类，其中:</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u w:color="auto"/>
        </w:rPr>
        <w:t>1)教育支出</w:t>
      </w:r>
      <w:r>
        <w:rPr>
          <w:rFonts w:hint="eastAsia" w:ascii="宋体" w:hAnsi="宋体" w:eastAsia="宋体" w:cs="宋体"/>
          <w:sz w:val="28"/>
          <w:szCs w:val="28"/>
          <w:lang w:val="en-US" w:eastAsia="zh-CN"/>
        </w:rPr>
        <w:t>943.09</w:t>
      </w:r>
      <w:r>
        <w:rPr>
          <w:rFonts w:hint="eastAsia" w:ascii="宋体" w:hAnsi="宋体" w:eastAsia="宋体" w:cs="宋体"/>
          <w:sz w:val="28"/>
          <w:szCs w:val="28"/>
        </w:rPr>
        <w:t>万元，占支出总预算</w:t>
      </w:r>
      <w:r>
        <w:rPr>
          <w:rFonts w:hint="eastAsia" w:ascii="宋体" w:hAnsi="宋体" w:eastAsia="宋体" w:cs="宋体"/>
          <w:sz w:val="28"/>
          <w:szCs w:val="28"/>
          <w:lang w:val="en-US" w:eastAsia="zh-CN"/>
        </w:rPr>
        <w:t>82.86%</w:t>
      </w:r>
      <w:r>
        <w:rPr>
          <w:rFonts w:hint="eastAsia" w:ascii="宋体" w:hAnsi="宋体" w:eastAsia="宋体" w:cs="宋体"/>
          <w:sz w:val="28"/>
          <w:szCs w:val="28"/>
        </w:rPr>
        <w:t>,比上年</w:t>
      </w:r>
      <w:r>
        <w:rPr>
          <w:rFonts w:hint="eastAsia" w:ascii="宋体" w:hAnsi="宋体" w:eastAsia="宋体" w:cs="宋体"/>
          <w:sz w:val="28"/>
          <w:szCs w:val="28"/>
          <w:lang w:val="en-US" w:eastAsia="zh-CN"/>
        </w:rPr>
        <w:t>减少20.70</w:t>
      </w:r>
      <w:r>
        <w:rPr>
          <w:rFonts w:hint="eastAsia" w:ascii="宋体" w:hAnsi="宋体" w:eastAsia="宋体" w:cs="宋体"/>
          <w:sz w:val="28"/>
          <w:szCs w:val="28"/>
        </w:rPr>
        <w:t>万元，</w:t>
      </w:r>
      <w:r>
        <w:rPr>
          <w:rFonts w:hint="eastAsia" w:ascii="宋体" w:hAnsi="宋体" w:eastAsia="宋体" w:cs="宋体"/>
          <w:sz w:val="28"/>
          <w:szCs w:val="28"/>
          <w:lang w:val="en-US" w:eastAsia="zh-CN"/>
        </w:rPr>
        <w:t>减少2.15%</w:t>
      </w:r>
      <w:r>
        <w:rPr>
          <w:rFonts w:hint="eastAsia" w:ascii="宋体" w:hAnsi="宋体" w:eastAsia="宋体" w:cs="宋体"/>
          <w:sz w:val="28"/>
          <w:szCs w:val="28"/>
        </w:rPr>
        <w:t>,</w:t>
      </w:r>
      <w:r>
        <w:rPr>
          <w:rFonts w:hint="eastAsia" w:ascii="宋体" w:hAnsi="宋体" w:eastAsia="宋体" w:cs="宋体"/>
          <w:sz w:val="28"/>
          <w:szCs w:val="28"/>
          <w:highlight w:val="none"/>
        </w:rPr>
        <w:t>主要原因是：</w:t>
      </w:r>
      <w:r>
        <w:rPr>
          <w:rFonts w:hint="eastAsia" w:ascii="宋体" w:hAnsi="宋体" w:eastAsia="宋体" w:cs="宋体"/>
          <w:sz w:val="28"/>
          <w:szCs w:val="28"/>
          <w:highlight w:val="none"/>
          <w:lang w:val="en-US" w:eastAsia="zh-CN"/>
        </w:rPr>
        <w:t>有13人调出，1辞职，其他离校3人（2位岗教师因个人原因未能转岗入编离校，1人入编川山中心校)，3人退休。</w:t>
      </w:r>
      <w:r>
        <w:rPr>
          <w:rFonts w:hint="eastAsia" w:ascii="宋体" w:hAnsi="宋体" w:eastAsia="宋体" w:cs="宋体"/>
          <w:sz w:val="28"/>
          <w:szCs w:val="28"/>
          <w:highlight w:val="none"/>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u w:color="auto"/>
        </w:rPr>
        <w:t>2)社会保障和就业支出</w:t>
      </w:r>
      <w:r>
        <w:rPr>
          <w:rFonts w:hint="eastAsia" w:ascii="宋体" w:hAnsi="宋体" w:eastAsia="宋体" w:cs="宋体"/>
          <w:sz w:val="28"/>
          <w:szCs w:val="28"/>
          <w:lang w:val="en-US" w:eastAsia="zh-CN"/>
        </w:rPr>
        <w:t>98.51</w:t>
      </w:r>
      <w:r>
        <w:rPr>
          <w:rFonts w:hint="eastAsia" w:ascii="宋体" w:hAnsi="宋体" w:eastAsia="宋体" w:cs="宋体"/>
          <w:sz w:val="28"/>
          <w:szCs w:val="28"/>
        </w:rPr>
        <w:t>万元，占支出总预算</w:t>
      </w:r>
      <w:r>
        <w:rPr>
          <w:rFonts w:hint="eastAsia" w:ascii="宋体" w:hAnsi="宋体" w:eastAsia="宋体" w:cs="宋体"/>
          <w:sz w:val="28"/>
          <w:szCs w:val="28"/>
          <w:lang w:val="en-US" w:eastAsia="zh-CN"/>
        </w:rPr>
        <w:t>8.66%</w:t>
      </w:r>
      <w:r>
        <w:rPr>
          <w:rFonts w:hint="eastAsia" w:ascii="宋体" w:hAnsi="宋体" w:eastAsia="宋体" w:cs="宋体"/>
          <w:sz w:val="28"/>
          <w:szCs w:val="28"/>
        </w:rPr>
        <w:t>,比上年</w:t>
      </w:r>
      <w:r>
        <w:rPr>
          <w:rFonts w:hint="eastAsia" w:ascii="宋体" w:hAnsi="宋体" w:eastAsia="宋体" w:cs="宋体"/>
          <w:sz w:val="28"/>
          <w:szCs w:val="28"/>
          <w:lang w:val="en-US" w:eastAsia="zh-CN"/>
        </w:rPr>
        <w:t>减少49.14</w:t>
      </w:r>
      <w:r>
        <w:rPr>
          <w:rFonts w:hint="eastAsia" w:ascii="宋体" w:hAnsi="宋体" w:eastAsia="宋体" w:cs="宋体"/>
          <w:sz w:val="28"/>
          <w:szCs w:val="28"/>
        </w:rPr>
        <w:t>万元，</w:t>
      </w:r>
      <w:r>
        <w:rPr>
          <w:rFonts w:hint="eastAsia" w:ascii="宋体" w:hAnsi="宋体" w:eastAsia="宋体" w:cs="宋体"/>
          <w:sz w:val="28"/>
          <w:szCs w:val="28"/>
          <w:lang w:val="en-US" w:eastAsia="zh-CN"/>
        </w:rPr>
        <w:t>减少33.28%</w:t>
      </w:r>
      <w:r>
        <w:rPr>
          <w:rFonts w:hint="eastAsia" w:ascii="宋体" w:hAnsi="宋体" w:eastAsia="宋体" w:cs="宋体"/>
          <w:sz w:val="28"/>
          <w:szCs w:val="28"/>
        </w:rPr>
        <w:t>,</w:t>
      </w:r>
      <w:r>
        <w:rPr>
          <w:rFonts w:hint="eastAsia" w:ascii="宋体" w:hAnsi="宋体" w:eastAsia="宋体" w:cs="宋体"/>
          <w:sz w:val="28"/>
          <w:szCs w:val="28"/>
          <w:highlight w:val="none"/>
        </w:rPr>
        <w:t>主要原因是：</w:t>
      </w:r>
      <w:r>
        <w:rPr>
          <w:rFonts w:hint="eastAsia" w:ascii="宋体" w:hAnsi="宋体" w:eastAsia="宋体" w:cs="宋体"/>
          <w:sz w:val="28"/>
          <w:szCs w:val="28"/>
          <w:highlight w:val="none"/>
          <w:lang w:val="en-US" w:eastAsia="zh-CN"/>
        </w:rPr>
        <w:t>有13人调出，1辞职，其他离校3人（2位岗教师因个人原因未能转岗入编离校，1人入编川山中心校)，3人退休。</w:t>
      </w:r>
      <w:r>
        <w:rPr>
          <w:rFonts w:hint="eastAsia" w:ascii="宋体" w:hAnsi="宋体" w:eastAsia="宋体" w:cs="宋体"/>
          <w:sz w:val="28"/>
          <w:szCs w:val="28"/>
          <w:highlight w:val="none"/>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u w:color="auto"/>
        </w:rPr>
        <w:t>3)住房保障支出</w:t>
      </w:r>
      <w:r>
        <w:rPr>
          <w:rFonts w:hint="eastAsia" w:ascii="宋体" w:hAnsi="宋体" w:eastAsia="宋体" w:cs="宋体"/>
          <w:sz w:val="28"/>
          <w:szCs w:val="28"/>
          <w:lang w:val="en-US" w:eastAsia="zh-CN"/>
        </w:rPr>
        <w:t>82.67</w:t>
      </w:r>
      <w:r>
        <w:rPr>
          <w:rFonts w:hint="eastAsia" w:ascii="宋体" w:hAnsi="宋体" w:eastAsia="宋体" w:cs="宋体"/>
          <w:sz w:val="28"/>
          <w:szCs w:val="28"/>
        </w:rPr>
        <w:t>万元，占支出总预算</w:t>
      </w:r>
      <w:r>
        <w:rPr>
          <w:rFonts w:hint="eastAsia" w:ascii="宋体" w:hAnsi="宋体" w:eastAsia="宋体" w:cs="宋体"/>
          <w:sz w:val="28"/>
          <w:szCs w:val="28"/>
          <w:lang w:val="en-US" w:eastAsia="zh-CN"/>
        </w:rPr>
        <w:t>7.26%</w:t>
      </w:r>
      <w:r>
        <w:rPr>
          <w:rFonts w:hint="eastAsia" w:ascii="宋体" w:hAnsi="宋体" w:eastAsia="宋体" w:cs="宋体"/>
          <w:sz w:val="28"/>
          <w:szCs w:val="28"/>
        </w:rPr>
        <w:t>,比上年</w:t>
      </w:r>
      <w:r>
        <w:rPr>
          <w:rFonts w:hint="eastAsia" w:ascii="宋体" w:hAnsi="宋体" w:eastAsia="宋体" w:cs="宋体"/>
          <w:sz w:val="28"/>
          <w:szCs w:val="28"/>
          <w:lang w:val="en-US" w:eastAsia="zh-CN"/>
        </w:rPr>
        <w:t>减少28.07</w:t>
      </w:r>
      <w:r>
        <w:rPr>
          <w:rFonts w:hint="eastAsia" w:ascii="宋体" w:hAnsi="宋体" w:eastAsia="宋体" w:cs="宋体"/>
          <w:sz w:val="28"/>
          <w:szCs w:val="28"/>
        </w:rPr>
        <w:t>万元，</w:t>
      </w:r>
      <w:r>
        <w:rPr>
          <w:rFonts w:hint="eastAsia" w:ascii="宋体" w:hAnsi="宋体" w:eastAsia="宋体" w:cs="宋体"/>
          <w:sz w:val="28"/>
          <w:szCs w:val="28"/>
          <w:lang w:val="en-US" w:eastAsia="zh-CN"/>
        </w:rPr>
        <w:t>减少25.35%</w:t>
      </w:r>
      <w:r>
        <w:rPr>
          <w:rFonts w:hint="eastAsia" w:ascii="宋体" w:hAnsi="宋体" w:eastAsia="宋体" w:cs="宋体"/>
          <w:sz w:val="28"/>
          <w:szCs w:val="28"/>
        </w:rPr>
        <w:t>,</w:t>
      </w:r>
      <w:r>
        <w:rPr>
          <w:rFonts w:hint="eastAsia" w:ascii="宋体" w:hAnsi="宋体" w:eastAsia="宋体" w:cs="宋体"/>
          <w:sz w:val="28"/>
          <w:szCs w:val="28"/>
          <w:highlight w:val="none"/>
        </w:rPr>
        <w:t>主要原因是：</w:t>
      </w:r>
      <w:r>
        <w:rPr>
          <w:rFonts w:hint="eastAsia" w:ascii="宋体" w:hAnsi="宋体" w:eastAsia="宋体" w:cs="宋体"/>
          <w:sz w:val="28"/>
          <w:szCs w:val="28"/>
          <w:highlight w:val="none"/>
          <w:lang w:val="en-US" w:eastAsia="zh-CN"/>
        </w:rPr>
        <w:t>有13人调出，1辞职，其他离校3人（2位岗教师因个人原因未能转岗入编离校，1人入编川山中心校)，3人退休。</w:t>
      </w:r>
      <w:r>
        <w:rPr>
          <w:rFonts w:hint="eastAsia" w:ascii="宋体" w:hAnsi="宋体" w:eastAsia="宋体" w:cs="宋体"/>
          <w:sz w:val="28"/>
          <w:szCs w:val="28"/>
          <w:highlight w:val="none"/>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u w:color="auto"/>
        </w:rPr>
        <w:t>4)一般公共服务支出</w:t>
      </w:r>
      <w:r>
        <w:rPr>
          <w:rFonts w:hint="eastAsia" w:ascii="宋体" w:hAnsi="宋体" w:eastAsia="宋体" w:cs="宋体"/>
          <w:sz w:val="28"/>
          <w:szCs w:val="28"/>
          <w:lang w:val="en-US" w:eastAsia="zh-CN"/>
        </w:rPr>
        <w:t>13.90</w:t>
      </w:r>
      <w:r>
        <w:rPr>
          <w:rFonts w:hint="eastAsia" w:ascii="宋体" w:hAnsi="宋体" w:eastAsia="宋体" w:cs="宋体"/>
          <w:sz w:val="28"/>
          <w:szCs w:val="28"/>
        </w:rPr>
        <w:t>万元，占支出总预算</w:t>
      </w:r>
      <w:r>
        <w:rPr>
          <w:rFonts w:hint="eastAsia" w:ascii="宋体" w:hAnsi="宋体" w:eastAsia="宋体" w:cs="宋体"/>
          <w:sz w:val="28"/>
          <w:szCs w:val="28"/>
          <w:lang w:val="en-US" w:eastAsia="zh-CN"/>
        </w:rPr>
        <w:t>1.22%</w:t>
      </w:r>
      <w:r>
        <w:rPr>
          <w:rFonts w:hint="eastAsia" w:ascii="宋体" w:hAnsi="宋体" w:eastAsia="宋体" w:cs="宋体"/>
          <w:sz w:val="28"/>
          <w:szCs w:val="28"/>
        </w:rPr>
        <w:t>,比上年</w:t>
      </w:r>
      <w:r>
        <w:rPr>
          <w:rFonts w:hint="eastAsia" w:ascii="宋体" w:hAnsi="宋体" w:eastAsia="宋体" w:cs="宋体"/>
          <w:sz w:val="28"/>
          <w:szCs w:val="28"/>
          <w:lang w:val="en-US" w:eastAsia="zh-CN"/>
        </w:rPr>
        <w:t>减少3.85</w:t>
      </w:r>
      <w:r>
        <w:rPr>
          <w:rFonts w:hint="eastAsia" w:ascii="宋体" w:hAnsi="宋体" w:eastAsia="宋体" w:cs="宋体"/>
          <w:sz w:val="28"/>
          <w:szCs w:val="28"/>
        </w:rPr>
        <w:t>万元，</w:t>
      </w:r>
      <w:r>
        <w:rPr>
          <w:rFonts w:hint="eastAsia" w:ascii="宋体" w:hAnsi="宋体" w:eastAsia="宋体" w:cs="宋体"/>
          <w:sz w:val="28"/>
          <w:szCs w:val="28"/>
          <w:lang w:val="en-US" w:eastAsia="zh-CN"/>
        </w:rPr>
        <w:t>减少21.69%</w:t>
      </w:r>
      <w:r>
        <w:rPr>
          <w:rFonts w:hint="eastAsia" w:ascii="宋体" w:hAnsi="宋体" w:eastAsia="宋体" w:cs="宋体"/>
          <w:sz w:val="28"/>
          <w:szCs w:val="28"/>
        </w:rPr>
        <w:t>,</w:t>
      </w:r>
      <w:r>
        <w:rPr>
          <w:rFonts w:hint="eastAsia" w:ascii="宋体" w:hAnsi="宋体" w:eastAsia="宋体" w:cs="宋体"/>
          <w:sz w:val="28"/>
          <w:szCs w:val="28"/>
          <w:highlight w:val="none"/>
        </w:rPr>
        <w:t>主要原因是：</w:t>
      </w:r>
      <w:r>
        <w:rPr>
          <w:rFonts w:hint="eastAsia" w:ascii="宋体" w:hAnsi="宋体" w:eastAsia="宋体" w:cs="宋体"/>
          <w:sz w:val="28"/>
          <w:szCs w:val="28"/>
          <w:highlight w:val="none"/>
          <w:lang w:val="en-US" w:eastAsia="zh-CN"/>
        </w:rPr>
        <w:t>有13人调出，1辞职，其他离校3人（2位岗教师因个人原因未能转岗入编离校，1人入编川山中心校)，3人退休。</w:t>
      </w:r>
      <w:r>
        <w:rPr>
          <w:rFonts w:hint="eastAsia" w:ascii="宋体" w:hAnsi="宋体" w:eastAsia="宋体" w:cs="宋体"/>
          <w:sz w:val="28"/>
          <w:szCs w:val="28"/>
          <w:highlight w:val="none"/>
        </w:rPr>
        <w:t>。</w:t>
      </w:r>
    </w:p>
    <w:p>
      <w:pPr>
        <w:pStyle w:val="18"/>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hint="eastAsia" w:ascii="宋体" w:hAnsi="宋体" w:eastAsia="宋体" w:cs="宋体"/>
          <w:sz w:val="28"/>
          <w:szCs w:val="28"/>
        </w:rPr>
      </w:pPr>
      <w:r>
        <w:rPr>
          <w:rFonts w:hint="eastAsia" w:ascii="宋体" w:hAnsi="宋体" w:eastAsia="宋体" w:cs="宋体"/>
          <w:sz w:val="28"/>
          <w:szCs w:val="28"/>
        </w:rPr>
        <w:t>(二)按支出结构分类划分，分为基本支出预算和项目支出预算。</w:t>
      </w:r>
    </w:p>
    <w:p>
      <w:pPr>
        <w:pStyle w:val="18"/>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基本支出预算。</w:t>
      </w:r>
    </w:p>
    <w:p>
      <w:pPr>
        <w:pStyle w:val="18"/>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基本支出预算</w:t>
      </w:r>
      <w:r>
        <w:rPr>
          <w:rFonts w:hint="eastAsia" w:ascii="宋体" w:hAnsi="宋体" w:eastAsia="宋体" w:cs="宋体"/>
          <w:sz w:val="28"/>
          <w:szCs w:val="28"/>
          <w:lang w:val="en-US" w:eastAsia="zh-CN"/>
        </w:rPr>
        <w:t>1093.66</w:t>
      </w:r>
      <w:r>
        <w:rPr>
          <w:rFonts w:hint="eastAsia" w:ascii="宋体" w:hAnsi="宋体" w:eastAsia="宋体" w:cs="宋体"/>
          <w:sz w:val="28"/>
          <w:szCs w:val="28"/>
        </w:rPr>
        <w:t>万元，占支出预算</w:t>
      </w:r>
      <w:r>
        <w:rPr>
          <w:rFonts w:ascii="宋体" w:hAnsi="宋体" w:eastAsia="宋体" w:cs="宋体"/>
          <w:sz w:val="28"/>
          <w:u w:color="auto"/>
        </w:rPr>
        <w:t>96.09%,比上年减少88.17万元，减少7.46%</w:t>
      </w:r>
      <w:r>
        <w:rPr>
          <w:rFonts w:hint="eastAsia" w:ascii="宋体" w:hAnsi="宋体" w:eastAsia="宋体" w:cs="宋体"/>
          <w:sz w:val="28"/>
          <w:szCs w:val="28"/>
        </w:rPr>
        <w:t>。</w:t>
      </w:r>
      <w:r>
        <w:rPr>
          <w:rFonts w:hint="eastAsia" w:ascii="宋体" w:hAnsi="宋体" w:eastAsia="宋体" w:cs="宋体"/>
          <w:sz w:val="28"/>
          <w:szCs w:val="28"/>
          <w:lang w:val="en-US" w:eastAsia="zh-CN"/>
        </w:rPr>
        <w:t>其中：</w:t>
      </w:r>
    </w:p>
    <w:p>
      <w:pPr>
        <w:pStyle w:val="3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ascii="宋体" w:hAnsi="宋体" w:eastAsia="宋体" w:cs="宋体"/>
          <w:sz w:val="28"/>
          <w:u w:color="auto"/>
        </w:rPr>
        <w:t>1)工资福利支出</w:t>
      </w:r>
      <w:r>
        <w:rPr>
          <w:rFonts w:hint="eastAsia" w:ascii="宋体" w:hAnsi="宋体" w:eastAsia="宋体" w:cs="宋体"/>
          <w:sz w:val="28"/>
          <w:szCs w:val="28"/>
          <w:lang w:val="en-US" w:eastAsia="zh-CN"/>
        </w:rPr>
        <w:t>1053.41</w:t>
      </w:r>
      <w:r>
        <w:rPr>
          <w:rFonts w:hint="eastAsia" w:ascii="宋体" w:hAnsi="宋体" w:eastAsia="宋体" w:cs="宋体"/>
          <w:sz w:val="28"/>
          <w:szCs w:val="28"/>
        </w:rPr>
        <w:t>万元，占基本支出总预算</w:t>
      </w:r>
      <w:r>
        <w:rPr>
          <w:rFonts w:hint="eastAsia" w:ascii="宋体" w:hAnsi="宋体" w:eastAsia="宋体" w:cs="宋体"/>
          <w:sz w:val="28"/>
          <w:szCs w:val="28"/>
          <w:lang w:val="en-US" w:eastAsia="zh-CN"/>
        </w:rPr>
        <w:t>96.32%</w:t>
      </w:r>
      <w:r>
        <w:rPr>
          <w:rFonts w:hint="eastAsia" w:ascii="宋体" w:hAnsi="宋体" w:eastAsia="宋体" w:cs="宋体"/>
          <w:sz w:val="28"/>
          <w:szCs w:val="28"/>
        </w:rPr>
        <w:t>,比上年</w:t>
      </w:r>
      <w:r>
        <w:rPr>
          <w:rFonts w:ascii="宋体" w:hAnsi="宋体" w:eastAsia="宋体" w:cs="宋体"/>
          <w:sz w:val="28"/>
          <w:u w:color="auto"/>
        </w:rPr>
        <w:t>减少97.30万元，减少8.46%,主要原因是：有13人调出，1辞职，其他离校3人（2位岗教师因个人原因未能转岗入编离校，1人入编川山中心校)，3人退休。</w:t>
      </w:r>
      <w:r>
        <w:rPr>
          <w:rFonts w:hint="eastAsia" w:ascii="宋体" w:hAnsi="宋体" w:eastAsia="宋体" w:cs="宋体"/>
          <w:sz w:val="28"/>
          <w:szCs w:val="28"/>
          <w:lang w:val="en-US" w:eastAsia="zh-CN"/>
        </w:rPr>
        <w:t>。</w:t>
      </w:r>
    </w:p>
    <w:p>
      <w:pPr>
        <w:pStyle w:val="3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ascii="宋体" w:hAnsi="宋体" w:eastAsia="宋体" w:cs="宋体"/>
          <w:sz w:val="28"/>
          <w:u w:color="auto"/>
        </w:rPr>
        <w:t>2)对个人和家庭的补助</w:t>
      </w:r>
      <w:r>
        <w:rPr>
          <w:rFonts w:hint="eastAsia" w:ascii="宋体" w:hAnsi="宋体" w:eastAsia="宋体" w:cs="宋体"/>
          <w:sz w:val="28"/>
          <w:szCs w:val="28"/>
          <w:lang w:val="en-US" w:eastAsia="zh-CN"/>
        </w:rPr>
        <w:t>26.35</w:t>
      </w:r>
      <w:r>
        <w:rPr>
          <w:rFonts w:hint="eastAsia" w:ascii="宋体" w:hAnsi="宋体" w:eastAsia="宋体" w:cs="宋体"/>
          <w:sz w:val="28"/>
          <w:szCs w:val="28"/>
        </w:rPr>
        <w:t>万元，占基本支出总预算</w:t>
      </w:r>
      <w:r>
        <w:rPr>
          <w:rFonts w:hint="eastAsia" w:ascii="宋体" w:hAnsi="宋体" w:eastAsia="宋体" w:cs="宋体"/>
          <w:sz w:val="28"/>
          <w:szCs w:val="28"/>
          <w:lang w:val="en-US" w:eastAsia="zh-CN"/>
        </w:rPr>
        <w:t>2.41%</w:t>
      </w:r>
      <w:r>
        <w:rPr>
          <w:rFonts w:hint="eastAsia" w:ascii="宋体" w:hAnsi="宋体" w:eastAsia="宋体" w:cs="宋体"/>
          <w:sz w:val="28"/>
          <w:szCs w:val="28"/>
        </w:rPr>
        <w:t>,比上年</w:t>
      </w:r>
      <w:r>
        <w:rPr>
          <w:rFonts w:ascii="宋体" w:hAnsi="宋体" w:eastAsia="宋体" w:cs="宋体"/>
          <w:sz w:val="28"/>
          <w:u w:color="auto"/>
        </w:rPr>
        <w:t>增长12.98万元，增长97.08%,主要原因是：有3人退休，补助标准提高。</w:t>
      </w:r>
      <w:r>
        <w:rPr>
          <w:rFonts w:hint="eastAsia" w:ascii="宋体" w:hAnsi="宋体" w:eastAsia="宋体" w:cs="宋体"/>
          <w:sz w:val="28"/>
          <w:szCs w:val="28"/>
          <w:lang w:val="en-US" w:eastAsia="zh-CN"/>
        </w:rPr>
        <w:t>。</w:t>
      </w:r>
    </w:p>
    <w:p>
      <w:pPr>
        <w:pStyle w:val="3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ascii="宋体" w:hAnsi="宋体" w:eastAsia="宋体" w:cs="宋体"/>
          <w:sz w:val="28"/>
          <w:u w:color="auto"/>
        </w:rPr>
        <w:t>3)商品和服务支出</w:t>
      </w:r>
      <w:r>
        <w:rPr>
          <w:rFonts w:hint="eastAsia" w:ascii="宋体" w:hAnsi="宋体" w:eastAsia="宋体" w:cs="宋体"/>
          <w:sz w:val="28"/>
          <w:szCs w:val="28"/>
          <w:lang w:val="en-US" w:eastAsia="zh-CN"/>
        </w:rPr>
        <w:t>13.90</w:t>
      </w:r>
      <w:r>
        <w:rPr>
          <w:rFonts w:hint="eastAsia" w:ascii="宋体" w:hAnsi="宋体" w:eastAsia="宋体" w:cs="宋体"/>
          <w:sz w:val="28"/>
          <w:szCs w:val="28"/>
        </w:rPr>
        <w:t>万元，占基本支出总预算</w:t>
      </w:r>
      <w:r>
        <w:rPr>
          <w:rFonts w:hint="eastAsia" w:ascii="宋体" w:hAnsi="宋体" w:eastAsia="宋体" w:cs="宋体"/>
          <w:sz w:val="28"/>
          <w:szCs w:val="28"/>
          <w:lang w:val="en-US" w:eastAsia="zh-CN"/>
        </w:rPr>
        <w:t>1.27%</w:t>
      </w:r>
      <w:r>
        <w:rPr>
          <w:rFonts w:hint="eastAsia" w:ascii="宋体" w:hAnsi="宋体" w:eastAsia="宋体" w:cs="宋体"/>
          <w:sz w:val="28"/>
          <w:szCs w:val="28"/>
        </w:rPr>
        <w:t>,比上年</w:t>
      </w:r>
      <w:r>
        <w:rPr>
          <w:rFonts w:ascii="宋体" w:hAnsi="宋体" w:eastAsia="宋体" w:cs="宋体"/>
          <w:sz w:val="28"/>
          <w:u w:color="auto"/>
        </w:rPr>
        <w:t>减少3.85万元，减少21.69%,主要原因是：水费、电费、办公费、维修费等等其他商品服务支出预算有所减少。</w:t>
      </w:r>
      <w:r>
        <w:rPr>
          <w:rFonts w:hint="eastAsia" w:ascii="宋体" w:hAnsi="宋体" w:eastAsia="宋体" w:cs="宋体"/>
          <w:sz w:val="28"/>
          <w:szCs w:val="28"/>
          <w:lang w:val="en-US" w:eastAsia="zh-CN"/>
        </w:rPr>
        <w:t>。</w:t>
      </w:r>
    </w:p>
    <w:p>
      <w:pPr>
        <w:pStyle w:val="18"/>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b w:val="0"/>
          <w:bCs w:val="0"/>
          <w:color w:val="000000"/>
          <w:sz w:val="28"/>
          <w:szCs w:val="28"/>
          <w:lang w:val="zh-TW" w:eastAsia="zh-TW" w:bidi="zh-TW"/>
        </w:rPr>
      </w:pPr>
      <w:r>
        <w:rPr>
          <w:rFonts w:hint="eastAsia" w:ascii="宋体" w:hAnsi="宋体" w:eastAsia="宋体" w:cs="宋体"/>
          <w:b w:val="0"/>
          <w:bCs w:val="0"/>
          <w:color w:val="000000"/>
          <w:sz w:val="28"/>
          <w:szCs w:val="28"/>
          <w:lang w:val="zh-TW" w:eastAsia="zh-TW" w:bidi="zh-TW"/>
        </w:rPr>
        <w:t>项目支出预算。</w:t>
      </w:r>
    </w:p>
    <w:p>
      <w:pPr>
        <w:pStyle w:val="18"/>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项目支出预算</w:t>
      </w:r>
      <w:r>
        <w:rPr>
          <w:rFonts w:hint="eastAsia" w:ascii="宋体" w:hAnsi="宋体" w:eastAsia="宋体" w:cs="宋体"/>
          <w:sz w:val="28"/>
          <w:szCs w:val="28"/>
          <w:lang w:val="en-US" w:eastAsia="zh-CN"/>
        </w:rPr>
        <w:t>44.51</w:t>
      </w:r>
      <w:r>
        <w:rPr>
          <w:rFonts w:hint="eastAsia" w:ascii="宋体" w:hAnsi="宋体" w:eastAsia="宋体" w:cs="宋体"/>
          <w:sz w:val="28"/>
          <w:szCs w:val="28"/>
        </w:rPr>
        <w:t>万元，占支出预算</w:t>
      </w:r>
      <w:r>
        <w:rPr>
          <w:rFonts w:ascii="宋体" w:hAnsi="宋体" w:eastAsia="宋体" w:cs="宋体"/>
          <w:sz w:val="28"/>
          <w:u w:color="auto"/>
        </w:rPr>
        <w:t>3.91%</w:t>
      </w:r>
      <w:r>
        <w:rPr>
          <w:rFonts w:hint="eastAsia" w:ascii="宋体" w:hAnsi="宋体" w:eastAsia="宋体" w:cs="宋体"/>
          <w:sz w:val="28"/>
          <w:szCs w:val="28"/>
        </w:rPr>
        <w:t>,比上年</w:t>
      </w:r>
      <w:r>
        <w:rPr>
          <w:rFonts w:ascii="宋体" w:hAnsi="宋体" w:eastAsia="宋体" w:cs="宋体"/>
          <w:sz w:val="28"/>
          <w:u w:color="auto"/>
        </w:rPr>
        <w:t>减少13.59</w:t>
      </w:r>
      <w:r>
        <w:rPr>
          <w:rFonts w:hint="eastAsia" w:ascii="宋体" w:hAnsi="宋体" w:eastAsia="宋体" w:cs="宋体"/>
          <w:sz w:val="28"/>
          <w:szCs w:val="28"/>
        </w:rPr>
        <w:t>万元，</w:t>
      </w:r>
      <w:r>
        <w:rPr>
          <w:rFonts w:ascii="宋体" w:hAnsi="宋体" w:eastAsia="宋体" w:cs="宋体"/>
          <w:sz w:val="28"/>
          <w:u w:color="auto"/>
        </w:rPr>
        <w:t>减少23.39%</w:t>
      </w:r>
      <w:r>
        <w:rPr>
          <w:rFonts w:hint="eastAsia" w:ascii="宋体" w:hAnsi="宋体" w:eastAsia="宋体" w:cs="宋体"/>
          <w:sz w:val="28"/>
          <w:szCs w:val="28"/>
        </w:rPr>
        <w:t>。</w:t>
      </w:r>
      <w:r>
        <w:rPr>
          <w:rFonts w:hint="eastAsia" w:ascii="宋体" w:hAnsi="宋体" w:eastAsia="宋体" w:cs="宋体"/>
          <w:sz w:val="28"/>
          <w:szCs w:val="28"/>
          <w:lang w:val="en-US" w:eastAsia="zh-CN"/>
        </w:rPr>
        <w:t>其中：</w:t>
      </w:r>
    </w:p>
    <w:p>
      <w:pPr>
        <w:pStyle w:val="3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color w:val="000000"/>
          <w:sz w:val="28"/>
          <w:szCs w:val="28"/>
          <w:lang w:val="en-US" w:eastAsia="zh-CN" w:bidi="zh-TW"/>
        </w:rPr>
      </w:pPr>
      <w:r>
        <w:rPr>
          <w:rFonts w:hint="eastAsia" w:ascii="宋体" w:hAnsi="宋体" w:eastAsia="宋体" w:cs="宋体"/>
          <w:sz w:val="28"/>
          <w:szCs w:val="28"/>
        </w:rPr>
        <w:t>(</w:t>
      </w:r>
      <w:r>
        <w:rPr>
          <w:rFonts w:ascii="宋体" w:hAnsi="宋体" w:eastAsia="宋体" w:cs="宋体"/>
          <w:sz w:val="28"/>
          <w:u w:color="auto"/>
        </w:rPr>
        <w:t>1)商品和服务支出</w:t>
      </w:r>
      <w:r>
        <w:rPr>
          <w:rFonts w:hint="eastAsia" w:ascii="宋体" w:hAnsi="宋体" w:eastAsia="宋体" w:cs="宋体"/>
          <w:sz w:val="28"/>
          <w:szCs w:val="28"/>
          <w:lang w:val="en-US" w:eastAsia="zh-CN"/>
        </w:rPr>
        <w:t>26.41</w:t>
      </w:r>
      <w:r>
        <w:rPr>
          <w:rFonts w:hint="eastAsia" w:ascii="宋体" w:hAnsi="宋体" w:eastAsia="宋体" w:cs="宋体"/>
          <w:sz w:val="28"/>
          <w:szCs w:val="28"/>
        </w:rPr>
        <w:t>万元，占项</w:t>
      </w:r>
      <w:r>
        <w:rPr>
          <w:rFonts w:hint="eastAsia" w:ascii="宋体" w:hAnsi="宋体" w:eastAsia="宋体" w:cs="宋体"/>
          <w:color w:val="000000"/>
          <w:sz w:val="28"/>
          <w:szCs w:val="28"/>
          <w:lang w:val="zh-TW" w:eastAsia="zh-TW" w:bidi="zh-TW"/>
        </w:rPr>
        <w:t>目支出总预算</w:t>
      </w:r>
      <w:r>
        <w:rPr>
          <w:rFonts w:hint="eastAsia" w:ascii="宋体" w:hAnsi="宋体" w:eastAsia="宋体" w:cs="宋体"/>
          <w:color w:val="000000"/>
          <w:sz w:val="28"/>
          <w:szCs w:val="28"/>
          <w:lang w:val="en-US" w:eastAsia="zh-CN" w:bidi="zh-TW"/>
        </w:rPr>
        <w:t>59.33%</w:t>
      </w:r>
      <w:r>
        <w:rPr>
          <w:rFonts w:hint="eastAsia" w:ascii="宋体" w:hAnsi="宋体" w:eastAsia="宋体" w:cs="宋体"/>
          <w:color w:val="000000"/>
          <w:sz w:val="28"/>
          <w:szCs w:val="28"/>
          <w:lang w:val="zh-TW" w:eastAsia="zh-TW" w:bidi="zh-TW"/>
        </w:rPr>
        <w:t>,比上年</w:t>
      </w:r>
      <w:r>
        <w:rPr>
          <w:rFonts w:ascii="宋体" w:hAnsi="宋体" w:eastAsia="宋体" w:cs="宋体"/>
          <w:color w:val="000000"/>
          <w:sz w:val="28"/>
          <w:u w:color="auto"/>
        </w:rPr>
        <w:t>减少20.27万元，减少43.42%,主要原因是</w:t>
      </w:r>
      <w:r>
        <w:rPr>
          <w:rFonts w:hint="eastAsia" w:ascii="宋体" w:hAnsi="宋体" w:eastAsia="宋体" w:cs="宋体"/>
          <w:color w:val="000000"/>
          <w:sz w:val="28"/>
          <w:szCs w:val="28"/>
          <w:lang w:val="zh-TW" w:eastAsia="zh-TW" w:bidi="zh-TW"/>
        </w:rPr>
        <w:t>：</w:t>
      </w:r>
      <w:r>
        <w:rPr>
          <w:rFonts w:hint="eastAsia" w:ascii="宋体" w:hAnsi="宋体" w:eastAsia="宋体" w:cs="宋体"/>
          <w:color w:val="000000"/>
          <w:sz w:val="28"/>
          <w:szCs w:val="28"/>
          <w:lang w:val="en-US" w:eastAsia="zh-CN" w:bidi="zh-TW"/>
        </w:rPr>
        <w:t xml:space="preserve">  </w:t>
      </w:r>
      <w:r>
        <w:rPr>
          <w:rFonts w:hint="eastAsia" w:ascii="宋体" w:hAnsi="宋体" w:eastAsia="宋体" w:cs="宋体"/>
          <w:color w:val="000000"/>
          <w:sz w:val="28"/>
          <w:szCs w:val="28"/>
          <w:lang w:val="zh-TW" w:eastAsia="zh-TW" w:bidi="zh-TW"/>
        </w:rPr>
        <w:t>水费、电费、办公费、维修费等等其他商品服务支出预算有所减少。</w:t>
      </w:r>
      <w:r>
        <w:rPr>
          <w:rFonts w:hint="eastAsia" w:ascii="宋体" w:hAnsi="宋体" w:eastAsia="宋体" w:cs="宋体"/>
          <w:color w:val="000000"/>
          <w:sz w:val="28"/>
          <w:szCs w:val="28"/>
          <w:lang w:val="en-US" w:eastAsia="zh-CN" w:bidi="zh-TW"/>
        </w:rPr>
        <w:t>。</w:t>
      </w:r>
    </w:p>
    <w:p>
      <w:pPr>
        <w:pStyle w:val="3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color w:val="000000"/>
          <w:sz w:val="28"/>
          <w:szCs w:val="28"/>
          <w:lang w:val="en-US" w:eastAsia="zh-CN" w:bidi="zh-TW"/>
        </w:rPr>
      </w:pPr>
      <w:r>
        <w:rPr>
          <w:rFonts w:hint="eastAsia" w:ascii="宋体" w:hAnsi="宋体" w:eastAsia="宋体" w:cs="宋体"/>
          <w:sz w:val="28"/>
          <w:szCs w:val="28"/>
        </w:rPr>
        <w:t>(</w:t>
      </w:r>
      <w:r>
        <w:rPr>
          <w:rFonts w:ascii="宋体" w:hAnsi="宋体" w:eastAsia="宋体" w:cs="宋体"/>
          <w:sz w:val="28"/>
          <w:u w:color="auto"/>
        </w:rPr>
        <w:t>2)对个人和家庭的补助</w:t>
      </w:r>
      <w:r>
        <w:rPr>
          <w:rFonts w:hint="eastAsia" w:ascii="宋体" w:hAnsi="宋体" w:eastAsia="宋体" w:cs="宋体"/>
          <w:sz w:val="28"/>
          <w:szCs w:val="28"/>
          <w:lang w:val="en-US" w:eastAsia="zh-CN"/>
        </w:rPr>
        <w:t>17.13</w:t>
      </w:r>
      <w:r>
        <w:rPr>
          <w:rFonts w:hint="eastAsia" w:ascii="宋体" w:hAnsi="宋体" w:eastAsia="宋体" w:cs="宋体"/>
          <w:sz w:val="28"/>
          <w:szCs w:val="28"/>
        </w:rPr>
        <w:t>万元，占项</w:t>
      </w:r>
      <w:r>
        <w:rPr>
          <w:rFonts w:hint="eastAsia" w:ascii="宋体" w:hAnsi="宋体" w:eastAsia="宋体" w:cs="宋体"/>
          <w:color w:val="000000"/>
          <w:sz w:val="28"/>
          <w:szCs w:val="28"/>
          <w:lang w:val="zh-TW" w:eastAsia="zh-TW" w:bidi="zh-TW"/>
        </w:rPr>
        <w:t>目支出总预算</w:t>
      </w:r>
      <w:r>
        <w:rPr>
          <w:rFonts w:hint="eastAsia" w:ascii="宋体" w:hAnsi="宋体" w:eastAsia="宋体" w:cs="宋体"/>
          <w:color w:val="000000"/>
          <w:sz w:val="28"/>
          <w:szCs w:val="28"/>
          <w:lang w:val="en-US" w:eastAsia="zh-CN" w:bidi="zh-TW"/>
        </w:rPr>
        <w:t>38.49%</w:t>
      </w:r>
      <w:r>
        <w:rPr>
          <w:rFonts w:hint="eastAsia" w:ascii="宋体" w:hAnsi="宋体" w:eastAsia="宋体" w:cs="宋体"/>
          <w:color w:val="000000"/>
          <w:sz w:val="28"/>
          <w:szCs w:val="28"/>
          <w:lang w:val="zh-TW" w:eastAsia="zh-TW" w:bidi="zh-TW"/>
        </w:rPr>
        <w:t>,比上年</w:t>
      </w:r>
      <w:r>
        <w:rPr>
          <w:rFonts w:ascii="宋体" w:hAnsi="宋体" w:eastAsia="宋体" w:cs="宋体"/>
          <w:color w:val="000000"/>
          <w:sz w:val="28"/>
          <w:u w:color="auto"/>
        </w:rPr>
        <w:t>增长7.77万元，增长83.01%,主要原因是</w:t>
      </w:r>
      <w:r>
        <w:rPr>
          <w:rFonts w:hint="eastAsia" w:ascii="宋体" w:hAnsi="宋体" w:eastAsia="宋体" w:cs="宋体"/>
          <w:color w:val="000000"/>
          <w:sz w:val="28"/>
          <w:szCs w:val="28"/>
          <w:lang w:val="zh-TW" w:eastAsia="zh-TW" w:bidi="zh-TW"/>
        </w:rPr>
        <w:t>：</w:t>
      </w:r>
      <w:r>
        <w:rPr>
          <w:rFonts w:hint="eastAsia" w:ascii="宋体" w:hAnsi="宋体" w:eastAsia="宋体" w:cs="宋体"/>
          <w:color w:val="000000"/>
          <w:sz w:val="28"/>
          <w:szCs w:val="28"/>
          <w:lang w:val="en-US" w:eastAsia="zh-CN" w:bidi="zh-TW"/>
        </w:rPr>
        <w:t xml:space="preserve">  </w:t>
      </w:r>
      <w:r>
        <w:rPr>
          <w:rFonts w:hint="eastAsia" w:ascii="宋体" w:hAnsi="宋体" w:eastAsia="宋体" w:cs="宋体"/>
          <w:color w:val="000000"/>
          <w:sz w:val="28"/>
          <w:szCs w:val="28"/>
          <w:lang w:val="zh-TW" w:eastAsia="zh-TW" w:bidi="zh-TW"/>
        </w:rPr>
        <w:t>有3人退休，补助标准提高。</w:t>
      </w:r>
      <w:r>
        <w:rPr>
          <w:rFonts w:hint="eastAsia" w:ascii="宋体" w:hAnsi="宋体" w:eastAsia="宋体" w:cs="宋体"/>
          <w:color w:val="000000"/>
          <w:sz w:val="28"/>
          <w:szCs w:val="28"/>
          <w:lang w:val="en-US" w:eastAsia="zh-CN" w:bidi="zh-TW"/>
        </w:rPr>
        <w:t>。</w:t>
      </w:r>
    </w:p>
    <w:p>
      <w:pPr>
        <w:pStyle w:val="3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color w:val="000000"/>
          <w:sz w:val="28"/>
          <w:szCs w:val="28"/>
          <w:lang w:val="en-US" w:eastAsia="zh-CN" w:bidi="zh-TW"/>
        </w:rPr>
      </w:pPr>
      <w:r>
        <w:rPr>
          <w:rFonts w:hint="eastAsia" w:ascii="宋体" w:hAnsi="宋体" w:eastAsia="宋体" w:cs="宋体"/>
          <w:sz w:val="28"/>
          <w:szCs w:val="28"/>
        </w:rPr>
        <w:t>(</w:t>
      </w:r>
      <w:r>
        <w:rPr>
          <w:rFonts w:ascii="宋体" w:hAnsi="宋体" w:eastAsia="宋体" w:cs="宋体"/>
          <w:sz w:val="28"/>
          <w:u w:color="auto"/>
        </w:rPr>
        <w:t>3)工资福利支出</w:t>
      </w:r>
      <w:r>
        <w:rPr>
          <w:rFonts w:hint="eastAsia" w:ascii="宋体" w:hAnsi="宋体" w:eastAsia="宋体" w:cs="宋体"/>
          <w:sz w:val="28"/>
          <w:szCs w:val="28"/>
          <w:lang w:val="en-US" w:eastAsia="zh-CN"/>
        </w:rPr>
        <w:t>0.88</w:t>
      </w:r>
      <w:r>
        <w:rPr>
          <w:rFonts w:hint="eastAsia" w:ascii="宋体" w:hAnsi="宋体" w:eastAsia="宋体" w:cs="宋体"/>
          <w:sz w:val="28"/>
          <w:szCs w:val="28"/>
        </w:rPr>
        <w:t>万元，占项</w:t>
      </w:r>
      <w:r>
        <w:rPr>
          <w:rFonts w:hint="eastAsia" w:ascii="宋体" w:hAnsi="宋体" w:eastAsia="宋体" w:cs="宋体"/>
          <w:color w:val="000000"/>
          <w:sz w:val="28"/>
          <w:szCs w:val="28"/>
          <w:lang w:val="zh-TW" w:eastAsia="zh-TW" w:bidi="zh-TW"/>
        </w:rPr>
        <w:t>目支出总预算</w:t>
      </w:r>
      <w:r>
        <w:rPr>
          <w:rFonts w:hint="eastAsia" w:ascii="宋体" w:hAnsi="宋体" w:eastAsia="宋体" w:cs="宋体"/>
          <w:color w:val="000000"/>
          <w:sz w:val="28"/>
          <w:szCs w:val="28"/>
          <w:lang w:val="en-US" w:eastAsia="zh-CN" w:bidi="zh-TW"/>
        </w:rPr>
        <w:t>1.98%</w:t>
      </w:r>
      <w:r>
        <w:rPr>
          <w:rFonts w:hint="eastAsia" w:ascii="宋体" w:hAnsi="宋体" w:eastAsia="宋体" w:cs="宋体"/>
          <w:color w:val="000000"/>
          <w:sz w:val="28"/>
          <w:szCs w:val="28"/>
          <w:lang w:val="zh-TW" w:eastAsia="zh-TW" w:bidi="zh-TW"/>
        </w:rPr>
        <w:t>,比上年</w:t>
      </w:r>
      <w:r>
        <w:rPr>
          <w:rFonts w:ascii="宋体" w:hAnsi="宋体" w:eastAsia="宋体" w:cs="宋体"/>
          <w:color w:val="000000"/>
          <w:sz w:val="28"/>
          <w:u w:color="auto"/>
        </w:rPr>
        <w:t>减少0.60万元，减少40.54%,主要原因是</w:t>
      </w:r>
      <w:r>
        <w:rPr>
          <w:rFonts w:hint="eastAsia" w:ascii="宋体" w:hAnsi="宋体" w:eastAsia="宋体" w:cs="宋体"/>
          <w:color w:val="000000"/>
          <w:sz w:val="28"/>
          <w:szCs w:val="28"/>
          <w:lang w:val="zh-TW" w:eastAsia="zh-TW" w:bidi="zh-TW"/>
        </w:rPr>
        <w:t>：</w:t>
      </w:r>
      <w:r>
        <w:rPr>
          <w:rFonts w:hint="eastAsia" w:ascii="宋体" w:hAnsi="宋体" w:eastAsia="宋体" w:cs="宋体"/>
          <w:color w:val="000000"/>
          <w:sz w:val="28"/>
          <w:szCs w:val="28"/>
          <w:lang w:val="en-US" w:eastAsia="zh-CN" w:bidi="zh-TW"/>
        </w:rPr>
        <w:t xml:space="preserve">  </w:t>
      </w:r>
      <w:r>
        <w:rPr>
          <w:rFonts w:hint="eastAsia" w:ascii="宋体" w:hAnsi="宋体" w:eastAsia="宋体" w:cs="宋体"/>
          <w:color w:val="000000"/>
          <w:sz w:val="28"/>
          <w:szCs w:val="28"/>
          <w:lang w:val="zh-TW" w:eastAsia="zh-TW" w:bidi="zh-TW"/>
        </w:rPr>
        <w:t>有13人调出，1辞职，其他离校3人（2位岗教师因个人原因未能转岗入编离校，1人入编川山中心校)，3人退休。</w:t>
      </w:r>
      <w:r>
        <w:rPr>
          <w:rFonts w:hint="eastAsia" w:ascii="宋体" w:hAnsi="宋体" w:eastAsia="宋体" w:cs="宋体"/>
          <w:color w:val="000000"/>
          <w:sz w:val="28"/>
          <w:szCs w:val="28"/>
          <w:lang w:val="en-US" w:eastAsia="zh-CN" w:bidi="zh-TW"/>
        </w:rPr>
        <w:t>。</w:t>
      </w:r>
    </w:p>
    <w:p>
      <w:pPr>
        <w:pStyle w:val="3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color w:val="000000"/>
          <w:sz w:val="28"/>
          <w:szCs w:val="28"/>
          <w:lang w:val="en-US" w:eastAsia="zh-CN" w:bidi="zh-TW"/>
        </w:rPr>
      </w:pPr>
      <w:r>
        <w:rPr>
          <w:rFonts w:hint="eastAsia" w:ascii="宋体" w:hAnsi="宋体" w:eastAsia="宋体" w:cs="宋体"/>
          <w:sz w:val="28"/>
          <w:szCs w:val="28"/>
        </w:rPr>
        <w:t>(</w:t>
      </w:r>
      <w:r>
        <w:rPr>
          <w:rFonts w:ascii="宋体" w:hAnsi="宋体" w:eastAsia="宋体" w:cs="宋体"/>
          <w:sz w:val="28"/>
          <w:u w:color="auto"/>
        </w:rPr>
        <w:t>4)资本性支出</w:t>
      </w:r>
      <w:r>
        <w:rPr>
          <w:rFonts w:hint="eastAsia" w:ascii="宋体" w:hAnsi="宋体" w:eastAsia="宋体" w:cs="宋体"/>
          <w:sz w:val="28"/>
          <w:szCs w:val="28"/>
          <w:lang w:val="en-US" w:eastAsia="zh-CN"/>
        </w:rPr>
        <w:t>0.09</w:t>
      </w:r>
      <w:r>
        <w:rPr>
          <w:rFonts w:hint="eastAsia" w:ascii="宋体" w:hAnsi="宋体" w:eastAsia="宋体" w:cs="宋体"/>
          <w:sz w:val="28"/>
          <w:szCs w:val="28"/>
        </w:rPr>
        <w:t>万元，占项</w:t>
      </w:r>
      <w:r>
        <w:rPr>
          <w:rFonts w:hint="eastAsia" w:ascii="宋体" w:hAnsi="宋体" w:eastAsia="宋体" w:cs="宋体"/>
          <w:color w:val="000000"/>
          <w:sz w:val="28"/>
          <w:szCs w:val="28"/>
          <w:lang w:val="zh-TW" w:eastAsia="zh-TW" w:bidi="zh-TW"/>
        </w:rPr>
        <w:t>目支出总预算</w:t>
      </w:r>
      <w:r>
        <w:rPr>
          <w:rFonts w:hint="eastAsia" w:ascii="宋体" w:hAnsi="宋体" w:eastAsia="宋体" w:cs="宋体"/>
          <w:color w:val="000000"/>
          <w:sz w:val="28"/>
          <w:szCs w:val="28"/>
          <w:lang w:val="en-US" w:eastAsia="zh-CN" w:bidi="zh-TW"/>
        </w:rPr>
        <w:t>0.20%</w:t>
      </w:r>
      <w:r>
        <w:rPr>
          <w:rFonts w:hint="eastAsia" w:ascii="宋体" w:hAnsi="宋体" w:eastAsia="宋体" w:cs="宋体"/>
          <w:color w:val="000000"/>
          <w:sz w:val="28"/>
          <w:szCs w:val="28"/>
          <w:lang w:val="zh-TW" w:eastAsia="zh-TW" w:bidi="zh-TW"/>
        </w:rPr>
        <w:t>,比上年</w:t>
      </w:r>
      <w:r>
        <w:rPr>
          <w:rFonts w:ascii="宋体" w:hAnsi="宋体" w:eastAsia="宋体" w:cs="宋体"/>
          <w:color w:val="000000"/>
          <w:sz w:val="28"/>
          <w:u w:color="auto"/>
        </w:rPr>
        <w:t>减少0.50万元，减少84.75%,主要原因是</w:t>
      </w:r>
      <w:r>
        <w:rPr>
          <w:rFonts w:hint="eastAsia" w:ascii="宋体" w:hAnsi="宋体" w:eastAsia="宋体" w:cs="宋体"/>
          <w:color w:val="000000"/>
          <w:sz w:val="28"/>
          <w:szCs w:val="28"/>
          <w:lang w:val="zh-TW" w:eastAsia="zh-TW" w:bidi="zh-TW"/>
        </w:rPr>
        <w:t>：</w:t>
      </w:r>
      <w:r>
        <w:rPr>
          <w:rFonts w:hint="eastAsia" w:ascii="宋体" w:hAnsi="宋体" w:eastAsia="宋体" w:cs="宋体"/>
          <w:color w:val="000000"/>
          <w:sz w:val="28"/>
          <w:szCs w:val="28"/>
          <w:lang w:val="en-US" w:eastAsia="zh-CN" w:bidi="zh-TW"/>
        </w:rPr>
        <w:t xml:space="preserve">  </w:t>
      </w:r>
      <w:r>
        <w:rPr>
          <w:rFonts w:hint="eastAsia" w:ascii="宋体" w:hAnsi="宋体" w:eastAsia="宋体" w:cs="宋体"/>
          <w:color w:val="000000"/>
          <w:sz w:val="28"/>
          <w:szCs w:val="28"/>
          <w:lang w:val="zh-TW" w:eastAsia="zh-TW" w:bidi="zh-TW"/>
        </w:rPr>
        <w:t>根据学校实际情况，本年度该项支出预算比上年减少。</w:t>
      </w:r>
      <w:r>
        <w:rPr>
          <w:rFonts w:hint="eastAsia" w:ascii="宋体" w:hAnsi="宋体" w:eastAsia="宋体" w:cs="宋体"/>
          <w:color w:val="000000"/>
          <w:sz w:val="28"/>
          <w:szCs w:val="28"/>
          <w:lang w:val="en-US" w:eastAsia="zh-CN" w:bidi="zh-TW"/>
        </w:rPr>
        <w:t>。</w:t>
      </w:r>
    </w:p>
    <w:p>
      <w:pPr>
        <w:pStyle w:val="16"/>
        <w:spacing w:after="0" w:line="619" w:lineRule="exact"/>
        <w:ind w:firstLine="620"/>
        <w:jc w:val="left"/>
        <w:rPr>
          <w:rFonts w:hint="eastAsia"/>
          <w:b/>
          <w:bCs/>
          <w:lang w:val="en-US" w:eastAsia="zh-CN"/>
        </w:rPr>
      </w:pPr>
      <w:r>
        <w:rPr>
          <w:rFonts w:hint="eastAsia"/>
          <w:b/>
          <w:bCs/>
          <w:lang w:val="en-US" w:eastAsia="zh-CN"/>
        </w:rPr>
        <w:t>四、财政拨款收支总体情况说明</w:t>
      </w:r>
    </w:p>
    <w:p>
      <w:pPr>
        <w:pStyle w:val="18"/>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9292"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u w:color="auto"/>
        </w:rPr>
        <w:t>年</w:t>
      </w:r>
      <w:r>
        <w:rPr>
          <w:rFonts w:hint="eastAsia" w:ascii="宋体" w:hAnsi="宋体" w:eastAsia="宋体" w:cs="宋体"/>
          <w:sz w:val="28"/>
          <w:szCs w:val="28"/>
        </w:rPr>
        <w:t>财政拨款收入我部门财政拨款总收入</w:t>
      </w:r>
      <w:r>
        <w:rPr>
          <w:rFonts w:hint="eastAsia" w:ascii="宋体" w:hAnsi="宋体" w:eastAsia="宋体" w:cs="宋体"/>
          <w:sz w:val="28"/>
          <w:szCs w:val="28"/>
          <w:lang w:val="en-US" w:eastAsia="zh-CN" w:bidi="en-US"/>
        </w:rPr>
        <w:t>1138.17</w:t>
      </w:r>
      <w:r>
        <w:rPr>
          <w:rFonts w:hint="eastAsia" w:ascii="宋体" w:hAnsi="宋体" w:eastAsia="宋体" w:cs="宋体"/>
          <w:sz w:val="28"/>
          <w:szCs w:val="28"/>
        </w:rPr>
        <w:t>万元，总支出</w:t>
      </w:r>
      <w:r>
        <w:rPr>
          <w:rFonts w:hint="eastAsia" w:ascii="宋体" w:hAnsi="宋体" w:eastAsia="宋体" w:cs="宋体"/>
          <w:sz w:val="28"/>
          <w:szCs w:val="28"/>
          <w:lang w:val="en-US" w:eastAsia="zh-CN" w:bidi="en-US"/>
        </w:rPr>
        <w:t>1138.17</w:t>
      </w:r>
      <w:r>
        <w:rPr>
          <w:rFonts w:hint="eastAsia" w:ascii="宋体" w:hAnsi="宋体" w:eastAsia="宋体" w:cs="宋体"/>
          <w:sz w:val="28"/>
          <w:szCs w:val="28"/>
        </w:rPr>
        <w:t>万元。财政拨款总收入较2023年度预算数</w:t>
      </w:r>
      <w:r>
        <w:rPr>
          <w:rFonts w:hint="eastAsia" w:ascii="宋体" w:hAnsi="宋体" w:eastAsia="宋体" w:cs="宋体"/>
          <w:sz w:val="28"/>
          <w:szCs w:val="28"/>
          <w:lang w:val="en-US" w:eastAsia="zh-CN" w:bidi="en-US"/>
        </w:rPr>
        <w:t>1239.93</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减少101.76</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下降8.21%</w:t>
      </w:r>
      <w:r>
        <w:rPr>
          <w:rFonts w:hint="eastAsia" w:ascii="宋体" w:hAnsi="宋体" w:eastAsia="宋体" w:cs="宋体"/>
          <w:sz w:val="28"/>
          <w:szCs w:val="28"/>
        </w:rPr>
        <w:t>，主要原因是</w:t>
      </w:r>
      <w:r>
        <w:rPr>
          <w:rFonts w:hint="eastAsia"/>
          <w:highlight w:val="none"/>
          <w:lang w:val="en-US" w:eastAsia="zh-CN"/>
        </w:rPr>
        <w:t>有13人调出，1辞职，其他离校3人（2位岗教师因个人原因未能转岗入编离校，1人入编川山中心校)，3人退休。</w:t>
      </w:r>
      <w:r>
        <w:rPr>
          <w:rFonts w:hint="eastAsia" w:ascii="宋体" w:hAnsi="宋体" w:eastAsia="宋体" w:cs="宋体"/>
          <w:sz w:val="28"/>
          <w:szCs w:val="28"/>
        </w:rPr>
        <w:t>。财政拨款总支出较2023年度预算数</w:t>
      </w:r>
      <w:r>
        <w:rPr>
          <w:rFonts w:hint="eastAsia" w:ascii="宋体" w:hAnsi="宋体" w:eastAsia="宋体" w:cs="宋体"/>
          <w:sz w:val="28"/>
          <w:szCs w:val="28"/>
          <w:lang w:val="en-US" w:eastAsia="zh-CN" w:bidi="en-US"/>
        </w:rPr>
        <w:t>1239.93</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减少101.76</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下降8.21%</w:t>
      </w:r>
      <w:r>
        <w:rPr>
          <w:rFonts w:hint="eastAsia" w:ascii="宋体" w:hAnsi="宋体" w:eastAsia="宋体" w:cs="宋体"/>
          <w:sz w:val="28"/>
          <w:szCs w:val="28"/>
        </w:rPr>
        <w:t>，主要原因是</w:t>
      </w:r>
      <w:r>
        <w:rPr>
          <w:rFonts w:hint="eastAsia"/>
          <w:highlight w:val="none"/>
          <w:lang w:val="en-US" w:eastAsia="zh-CN"/>
        </w:rPr>
        <w:t>有13人调出，1辞职，其他离校3人（2位岗教师因个人原因未能转岗入编离校，1人入编川山中心校)，3人退休。</w:t>
      </w:r>
      <w:r>
        <w:rPr>
          <w:rFonts w:hint="eastAsia" w:ascii="宋体" w:hAnsi="宋体" w:eastAsia="宋体" w:cs="宋体"/>
          <w:sz w:val="28"/>
          <w:szCs w:val="28"/>
        </w:rPr>
        <w:t>。</w:t>
      </w:r>
    </w:p>
    <w:p>
      <w:pPr>
        <w:pStyle w:val="16"/>
        <w:spacing w:after="0" w:line="619" w:lineRule="exact"/>
        <w:ind w:firstLine="620"/>
        <w:jc w:val="left"/>
        <w:rPr>
          <w:rFonts w:hint="eastAsia"/>
          <w:b/>
          <w:bCs/>
          <w:lang w:val="en-US" w:eastAsia="zh-CN"/>
        </w:rPr>
      </w:pPr>
      <w:r>
        <w:rPr>
          <w:rFonts w:hint="eastAsia"/>
          <w:b/>
          <w:bCs/>
          <w:lang w:val="en-US" w:eastAsia="zh-CN"/>
        </w:rPr>
        <w:t>五、一般公共预算支出情况说明</w:t>
      </w:r>
    </w:p>
    <w:p>
      <w:pPr>
        <w:pStyle w:val="18"/>
        <w:spacing w:line="240" w:lineRule="auto"/>
        <w:ind w:firstLine="0"/>
        <w:jc w:val="left"/>
        <w:rPr>
          <w:lang w:eastAsia="zh-CN"/>
        </w:rPr>
      </w:pPr>
      <w:r>
        <w:rPr>
          <w:lang w:eastAsia="zh-CN"/>
        </w:rPr>
        <w:drawing>
          <wp:inline distT="0" distB="0" distL="114300" distR="114300">
            <wp:extent cx="5080000" cy="3810000"/>
            <wp:effectExtent l="4445" t="4445" r="20955" b="14605"/>
            <wp:docPr id="9293"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lang w:val="en-US" w:eastAsia="zh-CN"/>
        </w:rPr>
        <w:t>年</w:t>
      </w:r>
      <w:r>
        <w:rPr>
          <w:rFonts w:hint="eastAsia" w:ascii="宋体" w:hAnsi="宋体" w:eastAsia="宋体" w:cs="宋体"/>
          <w:sz w:val="28"/>
          <w:szCs w:val="28"/>
        </w:rPr>
        <w:t>一般公共预算支出共</w:t>
      </w:r>
      <w:r>
        <w:rPr>
          <w:rFonts w:hint="eastAsia" w:ascii="宋体" w:hAnsi="宋体" w:eastAsia="宋体" w:cs="宋体"/>
          <w:sz w:val="28"/>
          <w:szCs w:val="28"/>
          <w:lang w:val="en-US" w:eastAsia="zh-CN"/>
        </w:rPr>
        <w:t>1138.17</w:t>
      </w:r>
      <w:r>
        <w:rPr>
          <w:rFonts w:hint="eastAsia" w:ascii="宋体" w:hAnsi="宋体" w:eastAsia="宋体" w:cs="宋体"/>
          <w:sz w:val="28"/>
          <w:szCs w:val="28"/>
        </w:rPr>
        <w:t>万元，较2023年度预算数</w:t>
      </w:r>
      <w:r>
        <w:rPr>
          <w:rFonts w:hint="eastAsia" w:ascii="宋体" w:hAnsi="宋体" w:eastAsia="宋体" w:cs="宋体"/>
          <w:sz w:val="28"/>
          <w:szCs w:val="28"/>
          <w:lang w:val="en-US" w:eastAsia="zh-CN"/>
        </w:rPr>
        <w:t>1239.93</w:t>
      </w:r>
      <w:r>
        <w:rPr>
          <w:rFonts w:hint="eastAsia" w:ascii="宋体" w:hAnsi="宋体" w:eastAsia="宋体" w:cs="宋体"/>
          <w:sz w:val="28"/>
          <w:szCs w:val="28"/>
        </w:rPr>
        <w:t>万元，</w:t>
      </w:r>
      <w:r>
        <w:rPr>
          <w:rFonts w:hint="eastAsia" w:ascii="宋体" w:hAnsi="宋体" w:eastAsia="宋体" w:cs="宋体"/>
          <w:sz w:val="28"/>
          <w:szCs w:val="28"/>
          <w:lang w:val="en-US" w:eastAsia="zh-CN"/>
        </w:rPr>
        <w:t>减少101.76</w:t>
      </w:r>
      <w:r>
        <w:rPr>
          <w:rFonts w:hint="eastAsia" w:ascii="宋体" w:hAnsi="宋体" w:eastAsia="宋体" w:cs="宋体"/>
          <w:sz w:val="28"/>
          <w:szCs w:val="28"/>
        </w:rPr>
        <w:t>万元，</w:t>
      </w:r>
      <w:r>
        <w:rPr>
          <w:rFonts w:hint="eastAsia" w:ascii="宋体" w:hAnsi="宋体" w:eastAsia="宋体" w:cs="宋体"/>
          <w:sz w:val="28"/>
          <w:szCs w:val="28"/>
          <w:lang w:val="en-US" w:eastAsia="zh-CN"/>
        </w:rPr>
        <w:t>下降8.21%</w:t>
      </w:r>
      <w:r>
        <w:rPr>
          <w:rFonts w:hint="eastAsia" w:ascii="宋体" w:hAnsi="宋体" w:eastAsia="宋体" w:cs="宋体"/>
          <w:sz w:val="28"/>
          <w:szCs w:val="28"/>
        </w:rPr>
        <w:t>，主要原因是</w:t>
      </w:r>
      <w:r>
        <w:rPr>
          <w:rFonts w:hint="eastAsia"/>
          <w:highlight w:val="none"/>
          <w:lang w:val="en-US" w:eastAsia="zh-CN"/>
        </w:rPr>
        <w:t>有13人调出，1辞职，其他离校3人（2位岗教师因个人原因未能转岗入编离校，1人入编川山中心校)，3人退休。</w:t>
      </w:r>
      <w:r>
        <w:rPr>
          <w:rFonts w:hint="eastAsia" w:ascii="宋体" w:hAnsi="宋体" w:eastAsia="宋体" w:cs="宋体"/>
          <w:sz w:val="28"/>
          <w:szCs w:val="28"/>
        </w:rPr>
        <w:t>。中央提前下达2024年一般公共预算转移支付资金安排的支出</w:t>
      </w:r>
      <w:r>
        <w:rPr>
          <w:rFonts w:hint="eastAsia" w:ascii="宋体" w:hAnsi="宋体" w:eastAsia="宋体" w:cs="宋体"/>
          <w:sz w:val="28"/>
          <w:szCs w:val="28"/>
          <w:lang w:val="en-US" w:eastAsia="zh-CN"/>
        </w:rPr>
        <w:t>0.00</w:t>
      </w:r>
      <w:r>
        <w:rPr>
          <w:rFonts w:hint="eastAsia" w:ascii="宋体" w:hAnsi="宋体" w:eastAsia="宋体" w:cs="宋体"/>
          <w:sz w:val="28"/>
          <w:szCs w:val="28"/>
        </w:rPr>
        <w:t>万元。具体情况为：</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一般公共服务支出（类）支出</w:t>
      </w:r>
      <w:r>
        <w:rPr>
          <w:rFonts w:ascii="宋体" w:hAnsi="宋体" w:eastAsia="宋体" w:cs="宋体"/>
          <w:sz w:val="28"/>
          <w:u w:color="auto"/>
        </w:rPr>
        <w:t>13.90</w:t>
      </w:r>
      <w:r>
        <w:rPr>
          <w:rFonts w:hint="eastAsia" w:ascii="宋体" w:hAnsi="宋体" w:eastAsia="宋体" w:cs="宋体"/>
          <w:sz w:val="28"/>
          <w:szCs w:val="28"/>
        </w:rPr>
        <w:t>万元，占支出总预算的</w:t>
      </w:r>
      <w:r>
        <w:rPr>
          <w:rFonts w:ascii="宋体" w:hAnsi="宋体" w:eastAsia="宋体" w:cs="宋体"/>
          <w:sz w:val="28"/>
          <w:u w:color="auto"/>
        </w:rPr>
        <w:t>1.22%</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17.75</w:t>
      </w:r>
      <w:r>
        <w:rPr>
          <w:rFonts w:hint="eastAsia" w:ascii="宋体" w:hAnsi="宋体" w:eastAsia="宋体" w:cs="宋体"/>
          <w:sz w:val="28"/>
          <w:szCs w:val="28"/>
        </w:rPr>
        <w:t>万元，</w:t>
      </w:r>
      <w:r>
        <w:rPr>
          <w:rFonts w:ascii="宋体" w:hAnsi="宋体" w:eastAsia="宋体" w:cs="宋体"/>
          <w:sz w:val="28"/>
          <w:u w:color="auto"/>
        </w:rPr>
        <w:t>减少3.85</w:t>
      </w:r>
      <w:r>
        <w:rPr>
          <w:rFonts w:hint="eastAsia" w:ascii="宋体" w:hAnsi="宋体" w:eastAsia="宋体" w:cs="宋体"/>
          <w:sz w:val="28"/>
          <w:szCs w:val="28"/>
        </w:rPr>
        <w:t>万元，</w:t>
      </w:r>
      <w:r>
        <w:rPr>
          <w:rFonts w:ascii="宋体" w:hAnsi="宋体" w:eastAsia="宋体" w:cs="宋体"/>
          <w:sz w:val="28"/>
          <w:u w:color="auto"/>
        </w:rPr>
        <w:t>减少21.69%</w:t>
      </w:r>
      <w:r>
        <w:rPr>
          <w:rFonts w:hint="eastAsia" w:ascii="宋体" w:hAnsi="宋体" w:eastAsia="宋体" w:cs="宋体"/>
          <w:sz w:val="28"/>
          <w:szCs w:val="28"/>
        </w:rPr>
        <w:t>，主要原因是：</w:t>
      </w:r>
      <w:r>
        <w:rPr>
          <w:rFonts w:hint="eastAsia"/>
          <w:highlight w:val="none"/>
        </w:rPr>
        <w:t>有13人调出，1辞职，其他离校3人（2位岗教师因个人原因未能转岗入编离校，1人入编川山中心校)，3人退休。</w:t>
      </w:r>
      <w:r>
        <w:rPr>
          <w:rFonts w:hint="eastAsia" w:ascii="宋体" w:hAnsi="宋体" w:eastAsia="宋体" w:cs="宋体"/>
          <w:sz w:val="28"/>
          <w:szCs w:val="28"/>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住房保障支出（类）支出</w:t>
      </w:r>
      <w:r>
        <w:rPr>
          <w:rFonts w:ascii="宋体" w:hAnsi="宋体" w:eastAsia="宋体" w:cs="宋体"/>
          <w:sz w:val="28"/>
          <w:u w:color="auto"/>
        </w:rPr>
        <w:t>82.67</w:t>
      </w:r>
      <w:r>
        <w:rPr>
          <w:rFonts w:hint="eastAsia" w:ascii="宋体" w:hAnsi="宋体" w:eastAsia="宋体" w:cs="宋体"/>
          <w:sz w:val="28"/>
          <w:szCs w:val="28"/>
        </w:rPr>
        <w:t>万元，占支出总预算的</w:t>
      </w:r>
      <w:r>
        <w:rPr>
          <w:rFonts w:ascii="宋体" w:hAnsi="宋体" w:eastAsia="宋体" w:cs="宋体"/>
          <w:sz w:val="28"/>
          <w:u w:color="auto"/>
        </w:rPr>
        <w:t>7.26%</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110.74</w:t>
      </w:r>
      <w:r>
        <w:rPr>
          <w:rFonts w:hint="eastAsia" w:ascii="宋体" w:hAnsi="宋体" w:eastAsia="宋体" w:cs="宋体"/>
          <w:sz w:val="28"/>
          <w:szCs w:val="28"/>
        </w:rPr>
        <w:t>万元，</w:t>
      </w:r>
      <w:r>
        <w:rPr>
          <w:rFonts w:ascii="宋体" w:hAnsi="宋体" w:eastAsia="宋体" w:cs="宋体"/>
          <w:sz w:val="28"/>
          <w:u w:color="auto"/>
        </w:rPr>
        <w:t>减少28.07</w:t>
      </w:r>
      <w:r>
        <w:rPr>
          <w:rFonts w:hint="eastAsia" w:ascii="宋体" w:hAnsi="宋体" w:eastAsia="宋体" w:cs="宋体"/>
          <w:sz w:val="28"/>
          <w:szCs w:val="28"/>
        </w:rPr>
        <w:t>万元，</w:t>
      </w:r>
      <w:r>
        <w:rPr>
          <w:rFonts w:ascii="宋体" w:hAnsi="宋体" w:eastAsia="宋体" w:cs="宋体"/>
          <w:sz w:val="28"/>
          <w:u w:color="auto"/>
        </w:rPr>
        <w:t>减少25.35%</w:t>
      </w:r>
      <w:r>
        <w:rPr>
          <w:rFonts w:hint="eastAsia" w:ascii="宋体" w:hAnsi="宋体" w:eastAsia="宋体" w:cs="宋体"/>
          <w:sz w:val="28"/>
          <w:szCs w:val="28"/>
        </w:rPr>
        <w:t>，主要原因是：</w:t>
      </w:r>
      <w:r>
        <w:rPr>
          <w:rFonts w:hint="eastAsia"/>
          <w:highlight w:val="none"/>
        </w:rPr>
        <w:t>有13人调出，1辞职，其他离校3人（2位岗教师因个人原因未能转岗入编离校，1人入编川山中心校)，3人退休。</w:t>
      </w:r>
      <w:r>
        <w:rPr>
          <w:rFonts w:hint="eastAsia" w:ascii="宋体" w:hAnsi="宋体" w:eastAsia="宋体" w:cs="宋体"/>
          <w:sz w:val="28"/>
          <w:szCs w:val="28"/>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教育支出（类）支出</w:t>
      </w:r>
      <w:r>
        <w:rPr>
          <w:rFonts w:ascii="宋体" w:hAnsi="宋体" w:eastAsia="宋体" w:cs="宋体"/>
          <w:sz w:val="28"/>
          <w:u w:color="auto"/>
        </w:rPr>
        <w:t>943.09</w:t>
      </w:r>
      <w:r>
        <w:rPr>
          <w:rFonts w:hint="eastAsia" w:ascii="宋体" w:hAnsi="宋体" w:eastAsia="宋体" w:cs="宋体"/>
          <w:sz w:val="28"/>
          <w:szCs w:val="28"/>
        </w:rPr>
        <w:t>万元，占支出总预算的</w:t>
      </w:r>
      <w:r>
        <w:rPr>
          <w:rFonts w:ascii="宋体" w:hAnsi="宋体" w:eastAsia="宋体" w:cs="宋体"/>
          <w:sz w:val="28"/>
          <w:u w:color="auto"/>
        </w:rPr>
        <w:t>82.86%</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963.79</w:t>
      </w:r>
      <w:r>
        <w:rPr>
          <w:rFonts w:hint="eastAsia" w:ascii="宋体" w:hAnsi="宋体" w:eastAsia="宋体" w:cs="宋体"/>
          <w:sz w:val="28"/>
          <w:szCs w:val="28"/>
        </w:rPr>
        <w:t>万元，</w:t>
      </w:r>
      <w:r>
        <w:rPr>
          <w:rFonts w:ascii="宋体" w:hAnsi="宋体" w:eastAsia="宋体" w:cs="宋体"/>
          <w:sz w:val="28"/>
          <w:u w:color="auto"/>
        </w:rPr>
        <w:t>减少20.70</w:t>
      </w:r>
      <w:r>
        <w:rPr>
          <w:rFonts w:hint="eastAsia" w:ascii="宋体" w:hAnsi="宋体" w:eastAsia="宋体" w:cs="宋体"/>
          <w:sz w:val="28"/>
          <w:szCs w:val="28"/>
        </w:rPr>
        <w:t>万元，</w:t>
      </w:r>
      <w:r>
        <w:rPr>
          <w:rFonts w:ascii="宋体" w:hAnsi="宋体" w:eastAsia="宋体" w:cs="宋体"/>
          <w:sz w:val="28"/>
          <w:u w:color="auto"/>
        </w:rPr>
        <w:t>减少2.15%</w:t>
      </w:r>
      <w:r>
        <w:rPr>
          <w:rFonts w:hint="eastAsia" w:ascii="宋体" w:hAnsi="宋体" w:eastAsia="宋体" w:cs="宋体"/>
          <w:sz w:val="28"/>
          <w:szCs w:val="28"/>
        </w:rPr>
        <w:t>，主要原因是：</w:t>
      </w:r>
      <w:r>
        <w:rPr>
          <w:rFonts w:hint="eastAsia"/>
          <w:highlight w:val="none"/>
        </w:rPr>
        <w:t>有13人调出，1辞职，其他离校3人（2位岗教师因个人原因未能转岗入编离校，1人入编川山中心校)，3人退休。</w:t>
      </w:r>
      <w:r>
        <w:rPr>
          <w:rFonts w:hint="eastAsia" w:ascii="宋体" w:hAnsi="宋体" w:eastAsia="宋体" w:cs="宋体"/>
          <w:sz w:val="28"/>
          <w:szCs w:val="28"/>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社会保障和就业支出（类）支出</w:t>
      </w:r>
      <w:r>
        <w:rPr>
          <w:rFonts w:ascii="宋体" w:hAnsi="宋体" w:eastAsia="宋体" w:cs="宋体"/>
          <w:sz w:val="28"/>
          <w:u w:color="auto"/>
        </w:rPr>
        <w:t>98.51</w:t>
      </w:r>
      <w:r>
        <w:rPr>
          <w:rFonts w:hint="eastAsia" w:ascii="宋体" w:hAnsi="宋体" w:eastAsia="宋体" w:cs="宋体"/>
          <w:sz w:val="28"/>
          <w:szCs w:val="28"/>
        </w:rPr>
        <w:t>万元，占支出总预算的</w:t>
      </w:r>
      <w:r>
        <w:rPr>
          <w:rFonts w:ascii="宋体" w:hAnsi="宋体" w:eastAsia="宋体" w:cs="宋体"/>
          <w:sz w:val="28"/>
          <w:u w:color="auto"/>
        </w:rPr>
        <w:t>8.66%</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147.65</w:t>
      </w:r>
      <w:r>
        <w:rPr>
          <w:rFonts w:hint="eastAsia" w:ascii="宋体" w:hAnsi="宋体" w:eastAsia="宋体" w:cs="宋体"/>
          <w:sz w:val="28"/>
          <w:szCs w:val="28"/>
        </w:rPr>
        <w:t>万元，</w:t>
      </w:r>
      <w:r>
        <w:rPr>
          <w:rFonts w:ascii="宋体" w:hAnsi="宋体" w:eastAsia="宋体" w:cs="宋体"/>
          <w:sz w:val="28"/>
          <w:u w:color="auto"/>
        </w:rPr>
        <w:t>减少49.14</w:t>
      </w:r>
      <w:r>
        <w:rPr>
          <w:rFonts w:hint="eastAsia" w:ascii="宋体" w:hAnsi="宋体" w:eastAsia="宋体" w:cs="宋体"/>
          <w:sz w:val="28"/>
          <w:szCs w:val="28"/>
        </w:rPr>
        <w:t>万元，</w:t>
      </w:r>
      <w:r>
        <w:rPr>
          <w:rFonts w:ascii="宋体" w:hAnsi="宋体" w:eastAsia="宋体" w:cs="宋体"/>
          <w:sz w:val="28"/>
          <w:u w:color="auto"/>
        </w:rPr>
        <w:t>减少33.28%</w:t>
      </w:r>
      <w:r>
        <w:rPr>
          <w:rFonts w:hint="eastAsia" w:ascii="宋体" w:hAnsi="宋体" w:eastAsia="宋体" w:cs="宋体"/>
          <w:sz w:val="28"/>
          <w:szCs w:val="28"/>
        </w:rPr>
        <w:t>，主要原因是：</w:t>
      </w:r>
      <w:r>
        <w:rPr>
          <w:rFonts w:hint="eastAsia"/>
          <w:highlight w:val="none"/>
        </w:rPr>
        <w:t>有13人调出，1辞职，其他离校3人（2位岗教师因个人原因未能转岗入编离校，1人入编川山中心校)，3人退休。</w:t>
      </w:r>
      <w:r>
        <w:rPr>
          <w:rFonts w:hint="eastAsia" w:ascii="宋体" w:hAnsi="宋体" w:eastAsia="宋体" w:cs="宋体"/>
          <w:sz w:val="28"/>
          <w:szCs w:val="28"/>
        </w:rPr>
        <w:t>。</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六、一般公共预算基本支出情况说明</w:t>
      </w:r>
    </w:p>
    <w:p>
      <w:pPr>
        <w:pStyle w:val="16"/>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9294"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lang w:val="en-US" w:eastAsia="zh-CN"/>
        </w:rPr>
      </w:pPr>
      <w:r>
        <w:rPr>
          <w:rFonts w:hint="eastAsia"/>
          <w:lang w:val="en-US" w:eastAsia="zh-CN"/>
        </w:rPr>
        <w:t>2024</w:t>
      </w:r>
      <w:r>
        <w:rPr>
          <w:u w:color="auto"/>
        </w:rPr>
        <w:t>年</w:t>
      </w:r>
      <w:r>
        <w:rPr>
          <w:rFonts w:hint="eastAsia"/>
        </w:rPr>
        <w:t>一般公共预算基本支出共</w:t>
      </w:r>
      <w:r>
        <w:rPr>
          <w:rFonts w:hint="eastAsia"/>
          <w:lang w:val="en-US" w:eastAsia="zh-CN"/>
        </w:rPr>
        <w:t>1093.66</w:t>
      </w:r>
      <w:r>
        <w:rPr>
          <w:rFonts w:hint="eastAsia"/>
        </w:rPr>
        <w:t>万元，较2023年度预算数</w:t>
      </w:r>
      <w:r>
        <w:rPr>
          <w:rFonts w:hint="eastAsia"/>
          <w:lang w:val="en-US" w:eastAsia="zh-CN"/>
        </w:rPr>
        <w:t>1181.83</w:t>
      </w:r>
      <w:r>
        <w:rPr>
          <w:rFonts w:hint="eastAsia"/>
        </w:rPr>
        <w:t>万元</w:t>
      </w:r>
      <w:r>
        <w:rPr>
          <w:rFonts w:hint="eastAsia"/>
          <w:lang w:val="en-US" w:eastAsia="zh-CN"/>
        </w:rPr>
        <w:t>,</w:t>
      </w:r>
      <w:r>
        <w:rPr>
          <w:u w:color="auto"/>
        </w:rPr>
        <w:t>减少88.17</w:t>
      </w:r>
      <w:r>
        <w:rPr>
          <w:rFonts w:hint="eastAsia"/>
        </w:rPr>
        <w:t>万元，</w:t>
      </w:r>
      <w:r>
        <w:rPr>
          <w:rFonts w:hint="eastAsia"/>
          <w:lang w:val="en-US" w:eastAsia="zh-CN"/>
        </w:rPr>
        <w:t>下降7.46%</w:t>
      </w:r>
      <w:r>
        <w:rPr>
          <w:rFonts w:hint="eastAsia"/>
        </w:rPr>
        <w:t>，主要原因是</w:t>
      </w:r>
      <w:r>
        <w:rPr>
          <w:rFonts w:hint="eastAsia"/>
          <w:highlight w:val="none"/>
          <w:lang w:val="en-US" w:eastAsia="zh-CN"/>
        </w:rPr>
        <w:t>有13人调出，1辞职，其他离校3人（2位岗教师因个人原因未能转岗入编离校，1人入编川山中心校)，3人退休。</w:t>
      </w:r>
      <w:r>
        <w:rPr>
          <w:rFonts w:hint="eastAsia"/>
        </w:rPr>
        <w:t>具体情况为：</w:t>
      </w:r>
    </w:p>
    <w:p>
      <w:pPr>
        <w:pStyle w:val="18"/>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工资福利支出</w:t>
      </w:r>
      <w:r>
        <w:rPr>
          <w:rFonts w:hint="eastAsia"/>
        </w:rPr>
        <w:t>支出预算</w:t>
      </w:r>
      <w:r>
        <w:rPr>
          <w:rFonts w:hint="eastAsia"/>
          <w:lang w:val="en-US" w:eastAsia="zh-CN"/>
        </w:rPr>
        <w:t>1053.41</w:t>
      </w:r>
      <w:r>
        <w:t>万元</w:t>
      </w:r>
      <w:r>
        <w:rPr>
          <w:rFonts w:hint="eastAsia"/>
          <w:lang w:eastAsia="zh-CN"/>
        </w:rPr>
        <w:t>，</w:t>
      </w:r>
      <w:r>
        <w:rPr>
          <w:rFonts w:hint="eastAsia"/>
        </w:rPr>
        <w:t>占基本支出预算的</w:t>
      </w:r>
      <w:r>
        <w:rPr>
          <w:rFonts w:hint="eastAsia"/>
          <w:lang w:val="en-US" w:eastAsia="zh-CN"/>
        </w:rPr>
        <w:t>96.32%</w:t>
      </w:r>
      <w:r>
        <w:rPr>
          <w:rFonts w:hint="eastAsia"/>
        </w:rPr>
        <w:t>，较2023年度预算数</w:t>
      </w:r>
      <w:r>
        <w:rPr>
          <w:rFonts w:hint="eastAsia"/>
          <w:lang w:val="en-US" w:eastAsia="zh-CN"/>
        </w:rPr>
        <w:t>1150.71</w:t>
      </w:r>
      <w:r>
        <w:rPr>
          <w:rFonts w:hint="eastAsia"/>
        </w:rPr>
        <w:t>万元，</w:t>
      </w:r>
      <w:r>
        <w:rPr>
          <w:rFonts w:hint="eastAsia"/>
          <w:lang w:val="en-US" w:eastAsia="zh-CN"/>
        </w:rPr>
        <w:t>减少97.30</w:t>
      </w:r>
      <w:r>
        <w:rPr>
          <w:rFonts w:hint="eastAsia"/>
        </w:rPr>
        <w:t>万元，</w:t>
      </w:r>
      <w:r>
        <w:rPr>
          <w:rFonts w:hint="eastAsia"/>
          <w:lang w:val="en-US" w:eastAsia="zh-CN"/>
        </w:rPr>
        <w:t>减少8.46%</w:t>
      </w:r>
      <w:r>
        <w:rPr>
          <w:rFonts w:hint="eastAsia"/>
        </w:rPr>
        <w:t>，主要原因是：</w:t>
      </w:r>
      <w:r>
        <w:rPr>
          <w:rFonts w:hint="eastAsia"/>
          <w:highlight w:val="none"/>
        </w:rPr>
        <w:t>有13人调出，1辞职，其他离校3人（2位岗教师因个人原因未能转岗入编离校，1人入编川山中心校)，3人退休。</w:t>
      </w:r>
    </w:p>
    <w:p>
      <w:pPr>
        <w:pStyle w:val="18"/>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对个人和家庭的补助</w:t>
      </w:r>
      <w:r>
        <w:rPr>
          <w:rFonts w:hint="eastAsia"/>
        </w:rPr>
        <w:t>支出预算</w:t>
      </w:r>
      <w:r>
        <w:rPr>
          <w:rFonts w:hint="eastAsia"/>
          <w:lang w:val="en-US" w:eastAsia="zh-CN"/>
        </w:rPr>
        <w:t>26.35</w:t>
      </w:r>
      <w:r>
        <w:t>万元</w:t>
      </w:r>
      <w:r>
        <w:rPr>
          <w:rFonts w:hint="eastAsia"/>
          <w:lang w:eastAsia="zh-CN"/>
        </w:rPr>
        <w:t>，</w:t>
      </w:r>
      <w:r>
        <w:rPr>
          <w:rFonts w:hint="eastAsia"/>
        </w:rPr>
        <w:t>占基本支出预算的</w:t>
      </w:r>
      <w:r>
        <w:rPr>
          <w:rFonts w:hint="eastAsia"/>
          <w:lang w:val="en-US" w:eastAsia="zh-CN"/>
        </w:rPr>
        <w:t>2.41%</w:t>
      </w:r>
      <w:r>
        <w:rPr>
          <w:rFonts w:hint="eastAsia"/>
        </w:rPr>
        <w:t>，较2023年度预算数</w:t>
      </w:r>
      <w:r>
        <w:rPr>
          <w:rFonts w:hint="eastAsia"/>
          <w:lang w:val="en-US" w:eastAsia="zh-CN"/>
        </w:rPr>
        <w:t>13.37</w:t>
      </w:r>
      <w:r>
        <w:rPr>
          <w:rFonts w:hint="eastAsia"/>
        </w:rPr>
        <w:t>万元，</w:t>
      </w:r>
      <w:r>
        <w:rPr>
          <w:rFonts w:hint="eastAsia"/>
          <w:lang w:val="en-US" w:eastAsia="zh-CN"/>
        </w:rPr>
        <w:t>增长12.98</w:t>
      </w:r>
      <w:r>
        <w:rPr>
          <w:rFonts w:hint="eastAsia"/>
        </w:rPr>
        <w:t>万元，</w:t>
      </w:r>
      <w:r>
        <w:rPr>
          <w:rFonts w:hint="eastAsia"/>
          <w:lang w:val="en-US" w:eastAsia="zh-CN"/>
        </w:rPr>
        <w:t>增长97.08%</w:t>
      </w:r>
      <w:r>
        <w:rPr>
          <w:rFonts w:hint="eastAsia"/>
        </w:rPr>
        <w:t>，主要原因是：</w:t>
      </w:r>
      <w:r>
        <w:rPr>
          <w:rFonts w:hint="eastAsia"/>
          <w:highlight w:val="none"/>
        </w:rPr>
        <w:t>退休人员增加3人，补助标准提高。</w:t>
      </w:r>
    </w:p>
    <w:p>
      <w:pPr>
        <w:pStyle w:val="18"/>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商品和服务支出</w:t>
      </w:r>
      <w:r>
        <w:rPr>
          <w:rFonts w:hint="eastAsia"/>
        </w:rPr>
        <w:t>支出预算</w:t>
      </w:r>
      <w:r>
        <w:rPr>
          <w:rFonts w:hint="eastAsia"/>
          <w:lang w:val="en-US" w:eastAsia="zh-CN"/>
        </w:rPr>
        <w:t>13.90</w:t>
      </w:r>
      <w:r>
        <w:t>万元</w:t>
      </w:r>
      <w:r>
        <w:rPr>
          <w:rFonts w:hint="eastAsia"/>
          <w:lang w:eastAsia="zh-CN"/>
        </w:rPr>
        <w:t>，</w:t>
      </w:r>
      <w:r>
        <w:rPr>
          <w:rFonts w:hint="eastAsia"/>
        </w:rPr>
        <w:t>占基本支出预算的</w:t>
      </w:r>
      <w:r>
        <w:rPr>
          <w:rFonts w:hint="eastAsia"/>
          <w:lang w:val="en-US" w:eastAsia="zh-CN"/>
        </w:rPr>
        <w:t>1.27%</w:t>
      </w:r>
      <w:r>
        <w:rPr>
          <w:rFonts w:hint="eastAsia"/>
        </w:rPr>
        <w:t>，较2023年度预算数</w:t>
      </w:r>
      <w:r>
        <w:rPr>
          <w:rFonts w:hint="eastAsia"/>
          <w:lang w:val="en-US" w:eastAsia="zh-CN"/>
        </w:rPr>
        <w:t>17.75</w:t>
      </w:r>
      <w:r>
        <w:rPr>
          <w:rFonts w:hint="eastAsia"/>
        </w:rPr>
        <w:t>万元，</w:t>
      </w:r>
      <w:r>
        <w:rPr>
          <w:rFonts w:hint="eastAsia"/>
          <w:lang w:val="en-US" w:eastAsia="zh-CN"/>
        </w:rPr>
        <w:t>减少3.85</w:t>
      </w:r>
      <w:r>
        <w:rPr>
          <w:rFonts w:hint="eastAsia"/>
        </w:rPr>
        <w:t>万元，</w:t>
      </w:r>
      <w:r>
        <w:rPr>
          <w:rFonts w:hint="eastAsia"/>
          <w:lang w:val="en-US" w:eastAsia="zh-CN"/>
        </w:rPr>
        <w:t>减少21.69%</w:t>
      </w:r>
      <w:r>
        <w:rPr>
          <w:rFonts w:hint="eastAsia"/>
        </w:rPr>
        <w:t>，主要原因是：</w:t>
      </w:r>
      <w:r>
        <w:rPr>
          <w:rFonts w:hint="eastAsia"/>
          <w:highlight w:val="none"/>
        </w:rPr>
        <w:t>有13人调出，1辞职，其他离校3人（2位岗教师因个人原因未能转岗入编离校，1人入编川山中心校)，3人退休，是工会经费减少的原因。</w:t>
      </w:r>
    </w:p>
    <w:p>
      <w:pPr>
        <w:pStyle w:val="16"/>
        <w:spacing w:after="0" w:line="619" w:lineRule="exact"/>
        <w:ind w:firstLine="620"/>
        <w:jc w:val="left"/>
        <w:rPr>
          <w:rFonts w:hint="eastAsia"/>
          <w:b/>
          <w:bCs/>
        </w:rPr>
      </w:pPr>
      <w:r>
        <w:rPr>
          <w:rFonts w:hint="eastAsia"/>
          <w:b/>
          <w:bCs/>
          <w:lang w:val="en-US" w:eastAsia="zh-CN"/>
        </w:rPr>
        <w:t>七、一般公共预算</w:t>
      </w:r>
      <w:r>
        <w:rPr>
          <w:rFonts w:hint="eastAsia"/>
          <w:b/>
          <w:bCs/>
          <w:lang w:val="zh-CN" w:eastAsia="zh-CN"/>
        </w:rPr>
        <w:t>“三</w:t>
      </w:r>
      <w:r>
        <w:rPr>
          <w:rFonts w:hint="eastAsia"/>
          <w:b/>
          <w:bCs/>
          <w:lang w:val="en-US" w:eastAsia="zh-CN"/>
        </w:rPr>
        <w:t>公”经费支出情况说明</w:t>
      </w:r>
    </w:p>
    <w:p>
      <w:pPr>
        <w:pStyle w:val="16"/>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9295"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w:t>
      </w:r>
      <w:r>
        <w:rPr>
          <w:rFonts w:hint="eastAsia"/>
          <w:b w:val="0"/>
          <w:bCs w:val="0"/>
          <w:sz w:val="28"/>
          <w:szCs w:val="28"/>
          <w:lang w:val="en-US" w:eastAsia="zh-CN"/>
        </w:rPr>
        <w:t>一</w:t>
      </w:r>
      <w:r>
        <w:rPr>
          <w:rFonts w:hint="eastAsia"/>
          <w:b w:val="0"/>
          <w:bCs w:val="0"/>
          <w:sz w:val="28"/>
          <w:szCs w:val="28"/>
          <w:lang w:eastAsia="zh-CN"/>
        </w:rPr>
        <w:t>）</w:t>
      </w:r>
      <w:r>
        <w:rPr>
          <w:sz w:val="28"/>
          <w:u w:color="auto"/>
        </w:rPr>
        <w:t>2024年部门预算共安排</w:t>
      </w:r>
      <w:r>
        <w:rPr>
          <w:rFonts w:hint="eastAsia"/>
          <w:b w:val="0"/>
          <w:bCs w:val="0"/>
          <w:sz w:val="28"/>
          <w:szCs w:val="28"/>
          <w:lang w:val="zh-CN" w:eastAsia="zh-CN"/>
        </w:rPr>
        <w:t>“三公</w:t>
      </w:r>
      <w:r>
        <w:rPr>
          <w:rFonts w:hint="eastAsia"/>
          <w:b w:val="0"/>
          <w:bCs w:val="0"/>
          <w:sz w:val="28"/>
          <w:szCs w:val="28"/>
          <w:lang w:val="en-US" w:eastAsia="zh-CN"/>
        </w:rPr>
        <w:t>"</w:t>
      </w:r>
      <w:r>
        <w:rPr>
          <w:rFonts w:hint="eastAsia"/>
          <w:b w:val="0"/>
          <w:bCs w:val="0"/>
          <w:sz w:val="28"/>
          <w:szCs w:val="28"/>
          <w:lang w:eastAsia="zh-CN"/>
        </w:rPr>
        <w:t>经费支出预算</w:t>
      </w:r>
      <w:r>
        <w:rPr>
          <w:rFonts w:hint="eastAsia"/>
          <w:b w:val="0"/>
          <w:bCs w:val="0"/>
          <w:sz w:val="28"/>
          <w:szCs w:val="28"/>
          <w:lang w:val="en-US" w:eastAsia="zh-CN"/>
        </w:rPr>
        <w:t>0.00</w:t>
      </w:r>
      <w:r>
        <w:rPr>
          <w:rFonts w:hint="eastAsia"/>
          <w:b w:val="0"/>
          <w:bCs w:val="0"/>
          <w:sz w:val="28"/>
          <w:szCs w:val="28"/>
          <w:lang w:eastAsia="zh-CN"/>
        </w:rPr>
        <w:t>万元（全口径），其中：因公出国（境）经费支出预算</w:t>
      </w:r>
      <w:r>
        <w:rPr>
          <w:rFonts w:hint="eastAsia"/>
          <w:b w:val="0"/>
          <w:bCs w:val="0"/>
          <w:sz w:val="28"/>
          <w:szCs w:val="28"/>
          <w:lang w:val="en-US" w:eastAsia="zh-CN"/>
        </w:rPr>
        <w:t>0.00</w:t>
      </w:r>
      <w:r>
        <w:rPr>
          <w:rFonts w:hint="eastAsia"/>
          <w:b w:val="0"/>
          <w:bCs w:val="0"/>
          <w:sz w:val="28"/>
          <w:szCs w:val="28"/>
          <w:lang w:eastAsia="zh-CN"/>
        </w:rPr>
        <w:t>万元，公务接待费支出预算</w:t>
      </w:r>
      <w:r>
        <w:rPr>
          <w:rFonts w:hint="eastAsia"/>
          <w:b w:val="0"/>
          <w:bCs w:val="0"/>
          <w:sz w:val="28"/>
          <w:szCs w:val="28"/>
          <w:lang w:val="en-US" w:eastAsia="zh-CN"/>
        </w:rPr>
        <w:t>0.00</w:t>
      </w:r>
      <w:r>
        <w:rPr>
          <w:rFonts w:hint="eastAsia"/>
          <w:b w:val="0"/>
          <w:bCs w:val="0"/>
          <w:sz w:val="28"/>
          <w:szCs w:val="28"/>
          <w:lang w:eastAsia="zh-CN"/>
        </w:rPr>
        <w:t>万元，公务用车购置及运行费支出预算</w:t>
      </w:r>
      <w:r>
        <w:rPr>
          <w:rFonts w:hint="eastAsia"/>
          <w:b w:val="0"/>
          <w:bCs w:val="0"/>
          <w:sz w:val="28"/>
          <w:szCs w:val="28"/>
          <w:lang w:val="en-US" w:eastAsia="zh-CN"/>
        </w:rPr>
        <w:t>0.00</w:t>
      </w:r>
      <w:r>
        <w:rPr>
          <w:rFonts w:hint="eastAsia"/>
          <w:b w:val="0"/>
          <w:bCs w:val="0"/>
          <w:sz w:val="28"/>
          <w:szCs w:val="28"/>
          <w:lang w:eastAsia="zh-CN"/>
        </w:rPr>
        <w:t>万元（公务用车购置费</w:t>
      </w:r>
      <w:r>
        <w:rPr>
          <w:rFonts w:hint="eastAsia"/>
          <w:b w:val="0"/>
          <w:bCs w:val="0"/>
          <w:sz w:val="28"/>
          <w:szCs w:val="28"/>
          <w:lang w:val="en-US" w:eastAsia="zh-CN"/>
        </w:rPr>
        <w:t>0.00</w:t>
      </w:r>
      <w:r>
        <w:rPr>
          <w:rFonts w:hint="eastAsia"/>
          <w:b w:val="0"/>
          <w:bCs w:val="0"/>
          <w:sz w:val="28"/>
          <w:szCs w:val="28"/>
          <w:lang w:eastAsia="zh-CN"/>
        </w:rPr>
        <w:t>万元,公务用车运行维护费</w:t>
      </w:r>
      <w:r>
        <w:rPr>
          <w:rFonts w:hint="eastAsia"/>
          <w:b w:val="0"/>
          <w:bCs w:val="0"/>
          <w:sz w:val="28"/>
          <w:szCs w:val="28"/>
          <w:lang w:val="en-US" w:eastAsia="zh-CN"/>
        </w:rPr>
        <w:t>0.00</w:t>
      </w:r>
      <w:r>
        <w:rPr>
          <w:rFonts w:hint="eastAsia"/>
          <w:b w:val="0"/>
          <w:bCs w:val="0"/>
          <w:sz w:val="28"/>
          <w:szCs w:val="28"/>
          <w:lang w:eastAsia="zh-CN"/>
        </w:rPr>
        <w:t>万元）。</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w:t>
      </w:r>
      <w:r>
        <w:rPr>
          <w:rFonts w:hint="eastAsia"/>
          <w:b w:val="0"/>
          <w:bCs w:val="0"/>
          <w:sz w:val="28"/>
          <w:szCs w:val="28"/>
          <w:lang w:val="en-US" w:eastAsia="zh-CN"/>
        </w:rPr>
        <w:t>二</w:t>
      </w:r>
      <w:r>
        <w:rPr>
          <w:rFonts w:hint="eastAsia"/>
          <w:b w:val="0"/>
          <w:bCs w:val="0"/>
          <w:sz w:val="28"/>
          <w:szCs w:val="28"/>
          <w:lang w:eastAsia="zh-CN"/>
        </w:rPr>
        <w:t>）</w:t>
      </w:r>
      <w:r>
        <w:rPr>
          <w:sz w:val="28"/>
          <w:u w:color="auto"/>
        </w:rPr>
        <w:t>2024</w:t>
      </w:r>
      <w:r>
        <w:rPr>
          <w:rFonts w:hint="eastAsia"/>
          <w:b w:val="0"/>
          <w:bCs w:val="0"/>
          <w:sz w:val="28"/>
          <w:szCs w:val="28"/>
        </w:rPr>
        <w:t>年一般公共预算安排的“三公”经费支出预算</w:t>
      </w:r>
      <w:r>
        <w:rPr>
          <w:rFonts w:hint="eastAsia"/>
          <w:b w:val="0"/>
          <w:bCs w:val="0"/>
          <w:sz w:val="28"/>
          <w:szCs w:val="28"/>
          <w:lang w:val="en-US" w:eastAsia="zh-CN"/>
        </w:rPr>
        <w:t>0.00</w:t>
      </w:r>
      <w:r>
        <w:rPr>
          <w:rFonts w:hint="eastAsia"/>
          <w:b w:val="0"/>
          <w:bCs w:val="0"/>
          <w:sz w:val="28"/>
          <w:szCs w:val="28"/>
        </w:rPr>
        <w:t>万元，同口径较2023年度预算数</w:t>
      </w:r>
      <w:r>
        <w:rPr>
          <w:rFonts w:hint="eastAsia"/>
          <w:b w:val="0"/>
          <w:bCs w:val="0"/>
          <w:sz w:val="28"/>
          <w:szCs w:val="28"/>
          <w:lang w:val="en-US" w:eastAsia="zh-CN"/>
        </w:rPr>
        <w:t>0.00</w:t>
      </w:r>
      <w:r>
        <w:rPr>
          <w:rFonts w:hint="eastAsia"/>
          <w:b w:val="0"/>
          <w:bCs w:val="0"/>
          <w:sz w:val="28"/>
          <w:szCs w:val="28"/>
        </w:rPr>
        <w:t>万元，</w:t>
      </w:r>
      <w:r>
        <w:rPr>
          <w:rFonts w:hint="eastAsia"/>
          <w:b w:val="0"/>
          <w:bCs w:val="0"/>
          <w:sz w:val="28"/>
          <w:szCs w:val="28"/>
          <w:lang w:val="en-US" w:eastAsia="zh-CN"/>
        </w:rPr>
        <w:t>增长0.00</w:t>
      </w:r>
      <w:r>
        <w:rPr>
          <w:rFonts w:hint="eastAsia"/>
          <w:b w:val="0"/>
          <w:bCs w:val="0"/>
          <w:sz w:val="28"/>
          <w:szCs w:val="28"/>
        </w:rPr>
        <w:t>万元，</w:t>
      </w:r>
      <w:r>
        <w:rPr>
          <w:rFonts w:hint="eastAsia"/>
          <w:b w:val="0"/>
          <w:bCs w:val="0"/>
          <w:sz w:val="28"/>
          <w:szCs w:val="28"/>
          <w:lang w:val="en-US" w:eastAsia="zh-CN"/>
        </w:rPr>
        <w:t>增长0%</w:t>
      </w:r>
      <w:r>
        <w:rPr>
          <w:rFonts w:hint="eastAsia"/>
          <w:b w:val="0"/>
          <w:bCs w:val="0"/>
          <w:sz w:val="28"/>
          <w:szCs w:val="28"/>
        </w:rPr>
        <w:t>，具体如下：</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eastAsia="宋体"/>
          <w:b w:val="0"/>
          <w:bCs w:val="0"/>
          <w:sz w:val="28"/>
          <w:szCs w:val="28"/>
          <w:lang w:eastAsia="zh-CN"/>
        </w:rPr>
      </w:pPr>
      <w:r>
        <w:rPr>
          <w:rFonts w:hint="eastAsia"/>
          <w:b w:val="0"/>
          <w:bCs w:val="0"/>
          <w:sz w:val="28"/>
          <w:szCs w:val="28"/>
        </w:rPr>
        <w:t>1.因公出国（境）费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sz w:val="28"/>
          <w:szCs w:val="28"/>
          <w:highlight w:val="none"/>
          <w:lang w:val="en-US" w:eastAsia="zh-CN"/>
        </w:rPr>
        <w:t>本年度没有预算安排。</w:t>
      </w:r>
      <w:r>
        <w:rPr>
          <w:rFonts w:hint="eastAsia"/>
          <w:b w:val="0"/>
          <w:bCs w:val="0"/>
          <w:sz w:val="28"/>
          <w:szCs w:val="28"/>
        </w:rPr>
        <w:t>。</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eastAsia="宋体"/>
          <w:b w:val="0"/>
          <w:bCs w:val="0"/>
          <w:sz w:val="28"/>
          <w:szCs w:val="28"/>
          <w:lang w:eastAsia="zh-CN"/>
        </w:rPr>
      </w:pPr>
      <w:r>
        <w:rPr>
          <w:rFonts w:hint="eastAsia"/>
          <w:b w:val="0"/>
          <w:bCs w:val="0"/>
          <w:sz w:val="28"/>
          <w:szCs w:val="28"/>
        </w:rPr>
        <w:t>2.公务接待费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sz w:val="28"/>
          <w:szCs w:val="28"/>
          <w:highlight w:val="none"/>
          <w:lang w:val="en-US" w:eastAsia="zh-CN"/>
        </w:rPr>
        <w:t>本年度没有预算安排。</w:t>
      </w:r>
      <w:r>
        <w:rPr>
          <w:rFonts w:hint="eastAsia"/>
          <w:b w:val="0"/>
          <w:bCs w:val="0"/>
          <w:sz w:val="28"/>
          <w:szCs w:val="28"/>
        </w:rPr>
        <w:t>。</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3.公务用车购置及运行费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，其中：</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eastAsia="宋体"/>
          <w:b w:val="0"/>
          <w:bCs w:val="0"/>
          <w:sz w:val="28"/>
          <w:szCs w:val="28"/>
          <w:lang w:eastAsia="zh-CN"/>
        </w:rPr>
      </w:pPr>
      <w:r>
        <w:rPr>
          <w:rFonts w:hint="eastAsia"/>
          <w:b w:val="0"/>
          <w:bCs w:val="0"/>
          <w:sz w:val="28"/>
          <w:szCs w:val="28"/>
        </w:rPr>
        <w:t>公务用车购置费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sz w:val="28"/>
          <w:szCs w:val="28"/>
          <w:highlight w:val="none"/>
          <w:lang w:val="en-US" w:eastAsia="zh-CN"/>
        </w:rPr>
        <w:t>本年度没有预算安排。</w:t>
      </w:r>
      <w:r>
        <w:rPr>
          <w:rFonts w:hint="eastAsia"/>
          <w:b w:val="0"/>
          <w:bCs w:val="0"/>
          <w:sz w:val="28"/>
          <w:szCs w:val="28"/>
        </w:rPr>
        <w:t>。</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公务用车运行维护费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sz w:val="28"/>
          <w:szCs w:val="28"/>
          <w:highlight w:val="none"/>
          <w:lang w:val="en-US" w:eastAsia="zh-CN"/>
        </w:rPr>
        <w:t>本年度没有预算安排。</w:t>
      </w:r>
      <w:r>
        <w:rPr>
          <w:rFonts w:hint="eastAsia"/>
          <w:b w:val="0"/>
          <w:bCs w:val="0"/>
          <w:sz w:val="28"/>
          <w:szCs w:val="28"/>
        </w:rPr>
        <w:t>。</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八</w:t>
      </w:r>
      <w:bookmarkEnd w:id="14"/>
      <w:r>
        <w:rPr>
          <w:rFonts w:hint="eastAsia"/>
          <w:b/>
          <w:bCs/>
          <w:lang w:val="en-US" w:eastAsia="zh-CN"/>
        </w:rPr>
        <w:t>、政府性基金预算支出情况说明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eastAsia="宋体"/>
          <w:sz w:val="28"/>
          <w:szCs w:val="28"/>
          <w:lang w:eastAsia="zh-CN"/>
        </w:rPr>
      </w:pPr>
      <w:r>
        <w:rPr>
          <w:rFonts w:hint="eastAsia"/>
          <w:sz w:val="28"/>
          <w:szCs w:val="28"/>
        </w:rPr>
        <w:t>我部门</w:t>
      </w:r>
      <w:r>
        <w:rPr>
          <w:rFonts w:hint="eastAsia"/>
          <w:b w:val="0"/>
          <w:bCs w:val="0"/>
          <w:sz w:val="28"/>
          <w:szCs w:val="28"/>
          <w:lang w:eastAsia="zh-CN"/>
        </w:rPr>
        <w:t>2024</w:t>
      </w:r>
      <w:r>
        <w:rPr>
          <w:rFonts w:hint="eastAsia"/>
          <w:sz w:val="28"/>
          <w:szCs w:val="28"/>
        </w:rPr>
        <w:t>年政府性基金预算支出共</w:t>
      </w:r>
      <w:r>
        <w:rPr>
          <w:rFonts w:hint="eastAsia"/>
          <w:b w:val="0"/>
          <w:bCs w:val="0"/>
          <w:sz w:val="28"/>
          <w:szCs w:val="28"/>
          <w:lang w:eastAsia="zh-CN"/>
        </w:rPr>
        <w:t>0.00</w:t>
      </w:r>
      <w:r>
        <w:rPr>
          <w:rFonts w:hint="eastAsia"/>
          <w:sz w:val="28"/>
          <w:szCs w:val="28"/>
        </w:rPr>
        <w:t>万元，较2023年度预算数</w:t>
      </w:r>
      <w:r>
        <w:rPr>
          <w:rFonts w:hint="eastAsia"/>
          <w:b w:val="0"/>
          <w:bCs w:val="0"/>
          <w:sz w:val="28"/>
          <w:szCs w:val="28"/>
          <w:lang w:eastAsia="zh-CN"/>
        </w:rPr>
        <w:t>0.00</w:t>
      </w:r>
      <w:r>
        <w:rPr>
          <w:rFonts w:hint="eastAsia"/>
          <w:sz w:val="28"/>
          <w:szCs w:val="28"/>
        </w:rPr>
        <w:t>万元，</w:t>
      </w:r>
      <w:r>
        <w:rPr>
          <w:rFonts w:hint="eastAsia"/>
          <w:b w:val="0"/>
          <w:bCs w:val="0"/>
          <w:sz w:val="28"/>
          <w:szCs w:val="28"/>
          <w:lang w:eastAsia="zh-CN"/>
        </w:rPr>
        <w:t>增加0.00</w:t>
      </w:r>
      <w:r>
        <w:rPr>
          <w:rFonts w:hint="eastAsia"/>
          <w:sz w:val="28"/>
          <w:szCs w:val="28"/>
        </w:rPr>
        <w:t>万元，</w:t>
      </w:r>
      <w:r>
        <w:rPr>
          <w:rFonts w:hint="eastAsia"/>
          <w:b w:val="0"/>
          <w:bCs w:val="0"/>
          <w:sz w:val="28"/>
          <w:szCs w:val="28"/>
          <w:lang w:eastAsia="zh-CN"/>
        </w:rPr>
        <w:t>增长0%</w:t>
      </w:r>
      <w:r>
        <w:rPr>
          <w:rFonts w:hint="eastAsia"/>
          <w:sz w:val="28"/>
          <w:szCs w:val="28"/>
        </w:rPr>
        <w:t>，主要原因是</w:t>
      </w:r>
      <w:r>
        <w:rPr>
          <w:rFonts w:hint="eastAsia"/>
          <w:sz w:val="28"/>
          <w:szCs w:val="28"/>
          <w:highlight w:val="none"/>
          <w:lang w:val="en-US" w:eastAsia="zh-CN"/>
        </w:rPr>
        <w:t>本年度没有预算安排。</w:t>
      </w:r>
      <w:r>
        <w:rPr>
          <w:rFonts w:hint="eastAsia"/>
          <w:sz w:val="28"/>
          <w:szCs w:val="28"/>
        </w:rPr>
        <w:t>。</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九</w:t>
      </w:r>
      <w:bookmarkEnd w:id="15"/>
      <w:r>
        <w:rPr>
          <w:rFonts w:hint="eastAsia"/>
          <w:b/>
          <w:bCs/>
          <w:lang w:val="en-US" w:eastAsia="zh-CN"/>
        </w:rPr>
        <w:t>、国有资本经营预算支出情况说明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eastAsia="宋体"/>
          <w:sz w:val="28"/>
          <w:szCs w:val="28"/>
          <w:lang w:eastAsia="zh-CN"/>
        </w:rPr>
      </w:pPr>
      <w:r>
        <w:rPr>
          <w:rFonts w:hint="eastAsia"/>
          <w:sz w:val="28"/>
          <w:szCs w:val="28"/>
        </w:rPr>
        <w:t>我部门</w:t>
      </w:r>
      <w:r>
        <w:rPr>
          <w:rFonts w:hint="eastAsia"/>
          <w:sz w:val="28"/>
          <w:szCs w:val="28"/>
          <w:lang w:eastAsia="zh-CN"/>
        </w:rPr>
        <w:t>2024</w:t>
      </w:r>
      <w:r>
        <w:rPr>
          <w:rFonts w:hint="eastAsia"/>
          <w:sz w:val="28"/>
          <w:szCs w:val="28"/>
        </w:rPr>
        <w:t>年国有资本经营预算支出共</w:t>
      </w:r>
      <w:r>
        <w:rPr>
          <w:rFonts w:hint="eastAsia"/>
          <w:sz w:val="28"/>
          <w:szCs w:val="28"/>
          <w:lang w:eastAsia="zh-CN"/>
        </w:rPr>
        <w:t>0.00</w:t>
      </w:r>
      <w:r>
        <w:rPr>
          <w:rFonts w:hint="eastAsia"/>
          <w:sz w:val="28"/>
          <w:szCs w:val="28"/>
        </w:rPr>
        <w:t>万元，较2023年度预算数</w:t>
      </w:r>
      <w:r>
        <w:rPr>
          <w:rFonts w:hint="eastAsia"/>
          <w:sz w:val="28"/>
          <w:szCs w:val="28"/>
          <w:lang w:eastAsia="zh-CN"/>
        </w:rPr>
        <w:t>0.00</w:t>
      </w:r>
      <w:r>
        <w:rPr>
          <w:rFonts w:hint="eastAsia"/>
          <w:sz w:val="28"/>
          <w:szCs w:val="28"/>
        </w:rPr>
        <w:t>万元，</w:t>
      </w:r>
      <w:r>
        <w:rPr>
          <w:rFonts w:hint="eastAsia"/>
          <w:sz w:val="28"/>
          <w:szCs w:val="28"/>
          <w:lang w:eastAsia="zh-CN"/>
        </w:rPr>
        <w:t>增加0.00</w:t>
      </w:r>
      <w:r>
        <w:rPr>
          <w:rFonts w:hint="eastAsia"/>
          <w:sz w:val="28"/>
          <w:szCs w:val="28"/>
        </w:rPr>
        <w:t>万元，</w:t>
      </w:r>
      <w:r>
        <w:rPr>
          <w:rFonts w:hint="eastAsia"/>
          <w:sz w:val="28"/>
          <w:szCs w:val="28"/>
          <w:lang w:eastAsia="zh-CN"/>
        </w:rPr>
        <w:t>增长0%</w:t>
      </w:r>
      <w:r>
        <w:rPr>
          <w:rFonts w:hint="eastAsia"/>
          <w:sz w:val="28"/>
          <w:szCs w:val="28"/>
        </w:rPr>
        <w:t>，主要原因是</w:t>
      </w:r>
      <w:r>
        <w:rPr>
          <w:rFonts w:hint="eastAsia"/>
          <w:sz w:val="28"/>
          <w:szCs w:val="28"/>
          <w:lang w:val="en-US" w:eastAsia="zh-CN"/>
        </w:rPr>
        <w:t>本年度没有预算安排。</w:t>
      </w:r>
      <w:r>
        <w:rPr>
          <w:rFonts w:hint="eastAsia"/>
          <w:sz w:val="28"/>
          <w:szCs w:val="28"/>
        </w:rPr>
        <w:t>。</w:t>
      </w:r>
    </w:p>
    <w:p>
      <w:pPr>
        <w:pStyle w:val="16"/>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十、其他重要事项</w:t>
      </w:r>
      <w:r>
        <w:rPr>
          <w:rFonts w:hint="eastAsia"/>
          <w:b/>
          <w:bCs/>
          <w:lang w:val="en-US" w:eastAsia="zh-CN"/>
        </w:rPr>
        <w:t>情况</w:t>
      </w:r>
      <w:r>
        <w:rPr>
          <w:b/>
          <w:bCs/>
        </w:rPr>
        <w:t>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（一）机关运行经费安排情况说明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2024</w:t>
      </w:r>
      <w:r>
        <w:rPr>
          <w:rFonts w:ascii="宋体" w:hAnsi="宋体" w:eastAsia="宋体" w:cs="宋体"/>
          <w:sz w:val="28"/>
          <w:u w:color="auto"/>
        </w:rPr>
        <w:t>年本部门机关运行经费预算</w:t>
      </w:r>
      <w:r>
        <w:rPr>
          <w:rFonts w:hint="eastAsia" w:ascii="宋体" w:hAnsi="宋体" w:eastAsia="宋体" w:cs="宋体"/>
          <w:sz w:val="28"/>
          <w:szCs w:val="28"/>
          <w:lang w:val="en-US" w:eastAsia="zh-CN"/>
        </w:rPr>
        <w:t>13.90</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17.75</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减少3.85</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下降21.69%</w:t>
      </w:r>
      <w:r>
        <w:rPr>
          <w:rFonts w:hint="eastAsia" w:ascii="宋体" w:hAnsi="宋体" w:eastAsia="宋体" w:cs="宋体"/>
          <w:sz w:val="28"/>
          <w:szCs w:val="28"/>
          <w:lang w:eastAsia="zh-CN"/>
        </w:rPr>
        <w:t>，主要原因是：</w:t>
      </w:r>
      <w:r>
        <w:rPr>
          <w:rFonts w:hint="eastAsia" w:ascii="宋体" w:hAnsi="宋体" w:eastAsia="宋体" w:cs="宋体"/>
          <w:sz w:val="28"/>
          <w:szCs w:val="28"/>
          <w:lang w:val="en-US" w:eastAsia="zh-CN"/>
        </w:rPr>
        <w:t>是工会经费减少的原因</w:t>
      </w:r>
      <w:r>
        <w:rPr>
          <w:rFonts w:hint="eastAsia" w:ascii="宋体" w:hAnsi="宋体" w:eastAsia="宋体" w:cs="宋体"/>
          <w:sz w:val="28"/>
          <w:szCs w:val="28"/>
          <w:lang w:eastAsia="zh-CN"/>
        </w:rPr>
        <w:t>。</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（二）政府采购预算安排情况说明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eastAsia="zh-CN"/>
        </w:rPr>
        <w:t>我部门2024年政府采购预算总金额</w:t>
      </w: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万元。其中：货物类采购</w:t>
      </w: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万元、工程类采购</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万元、服务类采购</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主要用于：购买办公设备及办公耗材等等。</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（三）国有资产占用情况说明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截至2023年12月31日，本部门共有车辆</w:t>
      </w:r>
      <w:r>
        <w:rPr>
          <w:rFonts w:hint="eastAsia"/>
          <w:sz w:val="28"/>
          <w:szCs w:val="28"/>
          <w:highlight w:val="none"/>
          <w:lang w:val="en-US" w:eastAsia="zh-CN"/>
        </w:rPr>
        <w:t>0</w:t>
      </w:r>
      <w:r>
        <w:rPr>
          <w:rFonts w:hint="eastAsia" w:ascii="宋体" w:hAnsi="宋体" w:eastAsia="宋体" w:cs="宋体"/>
          <w:sz w:val="28"/>
          <w:szCs w:val="28"/>
          <w:lang w:eastAsia="zh-CN"/>
        </w:rPr>
        <w:t>辆，其中，应急机要通信用车</w:t>
      </w:r>
      <w:r>
        <w:rPr>
          <w:rFonts w:hint="eastAsia"/>
          <w:sz w:val="28"/>
          <w:szCs w:val="28"/>
          <w:highlight w:val="none"/>
          <w:lang w:val="en-US" w:eastAsia="zh-CN"/>
        </w:rPr>
        <w:t>0</w:t>
      </w:r>
      <w:r>
        <w:rPr>
          <w:rFonts w:hint="eastAsia" w:ascii="宋体" w:hAnsi="宋体" w:eastAsia="宋体" w:cs="宋体"/>
          <w:sz w:val="28"/>
          <w:szCs w:val="28"/>
          <w:lang w:eastAsia="zh-CN"/>
        </w:rPr>
        <w:t>辆、一般执法执勤用车</w:t>
      </w:r>
      <w:r>
        <w:rPr>
          <w:rFonts w:hint="eastAsia"/>
          <w:sz w:val="28"/>
          <w:szCs w:val="28"/>
          <w:highlight w:val="none"/>
          <w:lang w:val="en-US" w:eastAsia="zh-CN"/>
        </w:rPr>
        <w:t>0</w:t>
      </w:r>
      <w:r>
        <w:rPr>
          <w:rFonts w:hint="eastAsia" w:ascii="宋体" w:hAnsi="宋体" w:eastAsia="宋体" w:cs="宋体"/>
          <w:sz w:val="28"/>
          <w:szCs w:val="28"/>
          <w:lang w:eastAsia="zh-CN"/>
        </w:rPr>
        <w:t>辆、特种专业技术用车</w:t>
      </w:r>
      <w:r>
        <w:rPr>
          <w:rFonts w:hint="eastAsia"/>
          <w:sz w:val="28"/>
          <w:szCs w:val="28"/>
          <w:highlight w:val="none"/>
          <w:lang w:val="en-US" w:eastAsia="zh-CN"/>
        </w:rPr>
        <w:t>0</w:t>
      </w:r>
      <w:r>
        <w:rPr>
          <w:rFonts w:hint="eastAsia" w:ascii="宋体" w:hAnsi="宋体" w:eastAsia="宋体" w:cs="宋体"/>
          <w:sz w:val="28"/>
          <w:szCs w:val="28"/>
          <w:lang w:eastAsia="zh-CN"/>
        </w:rPr>
        <w:t>辆、其他用车</w:t>
      </w:r>
      <w:r>
        <w:rPr>
          <w:rFonts w:hint="eastAsia"/>
          <w:sz w:val="28"/>
          <w:szCs w:val="28"/>
          <w:highlight w:val="none"/>
          <w:lang w:val="en-US" w:eastAsia="zh-CN"/>
        </w:rPr>
        <w:t>0</w:t>
      </w:r>
      <w:r>
        <w:rPr>
          <w:rFonts w:hint="eastAsia" w:ascii="宋体" w:hAnsi="宋体" w:eastAsia="宋体" w:cs="宋体"/>
          <w:sz w:val="28"/>
          <w:szCs w:val="28"/>
          <w:lang w:eastAsia="zh-CN"/>
        </w:rPr>
        <w:t>辆，单位价值200万元以上大型设备</w:t>
      </w:r>
      <w:r>
        <w:rPr>
          <w:rFonts w:hint="eastAsia"/>
          <w:sz w:val="28"/>
          <w:szCs w:val="28"/>
          <w:highlight w:val="none"/>
          <w:lang w:val="en-US" w:eastAsia="zh-CN"/>
        </w:rPr>
        <w:t>0</w:t>
      </w:r>
      <w:r>
        <w:rPr>
          <w:rFonts w:hint="eastAsia" w:ascii="宋体" w:hAnsi="宋体" w:eastAsia="宋体" w:cs="宋体"/>
          <w:sz w:val="28"/>
          <w:szCs w:val="28"/>
          <w:lang w:eastAsia="zh-CN"/>
        </w:rPr>
        <w:t>台（套）。</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（四）预算绩效目标情况说明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1.我部门2024年所有项目支出全面实施绩效目标管理，涉及项目</w:t>
      </w:r>
      <w:r>
        <w:rPr>
          <w:rFonts w:hint="eastAsia"/>
          <w:sz w:val="28"/>
          <w:szCs w:val="28"/>
          <w:highlight w:val="none"/>
          <w:lang w:val="en-US" w:eastAsia="zh-CN"/>
        </w:rPr>
        <w:t>1.我部门2024年所有项目支出全面实施绩效目标管理，涉及项目9个。</w:t>
      </w:r>
      <w:r>
        <w:rPr>
          <w:rFonts w:hint="eastAsia" w:ascii="宋体" w:hAnsi="宋体" w:eastAsia="宋体" w:cs="宋体"/>
          <w:sz w:val="28"/>
          <w:szCs w:val="28"/>
          <w:lang w:eastAsia="zh-CN"/>
        </w:rPr>
        <w:t>个，预算资金</w:t>
      </w:r>
      <w:r>
        <w:rPr>
          <w:rFonts w:hint="eastAsia"/>
          <w:sz w:val="28"/>
          <w:szCs w:val="28"/>
          <w:highlight w:val="none"/>
          <w:lang w:val="en-US" w:eastAsia="zh-CN"/>
        </w:rPr>
        <w:t>44.51万元</w:t>
      </w:r>
      <w:r>
        <w:rPr>
          <w:rFonts w:hint="eastAsia" w:ascii="宋体" w:hAnsi="宋体" w:eastAsia="宋体" w:cs="宋体"/>
          <w:sz w:val="28"/>
          <w:szCs w:val="28"/>
          <w:lang w:eastAsia="zh-CN"/>
        </w:rPr>
        <w:t>万元。绩效目标情况详见报表（日常运转类项目、工资类人员经费项目和涉密项目等除外）。</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2.重点项目预算绩效目标说明。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1、451226220420100006020-营养改善计划膳食补助资金，通过学生营养改善计划膳食补助经费开支，解决家庭经济困难生活问题，提高学生的生活质量。2、451226220420100006191-义务教育阶段家庭经济困难学生生活中央补助资金，通过发放义务教育阶殷家庭困难困难学生生活费补助资金补贴，解决家庭经济困难生活问题提高学生的生活质量。</w:t>
      </w:r>
    </w:p>
    <w:p>
      <w:pPr>
        <w:pStyle w:val="18"/>
        <w:spacing w:line="624" w:lineRule="exact"/>
        <w:ind w:firstLine="600"/>
        <w:jc w:val="left"/>
        <w:rPr>
          <w:rFonts w:hint="eastAsia"/>
          <w:sz w:val="28"/>
          <w:szCs w:val="28"/>
          <w:highlight w:val="none"/>
          <w:lang w:val="en-US" w:eastAsia="zh-CN"/>
        </w:rPr>
      </w:pPr>
    </w:p>
    <w:p>
      <w:pPr>
        <w:pStyle w:val="18"/>
        <w:spacing w:line="624" w:lineRule="exact"/>
        <w:jc w:val="left"/>
        <w:rPr>
          <w:rFonts w:hint="default"/>
          <w:sz w:val="28"/>
          <w:szCs w:val="28"/>
          <w:highlight w:val="none"/>
          <w:lang w:val="en-US" w:eastAsia="zh-CN"/>
        </w:rPr>
        <w:sectPr>
          <w:headerReference r:id="rId4" w:type="default"/>
          <w:footerReference r:id="rId5" w:type="default"/>
          <w:pgSz w:w="11900" w:h="16840"/>
          <w:pgMar w:top="1440" w:right="1800" w:bottom="1440" w:left="1800" w:header="0" w:footer="1077" w:gutter="0"/>
          <w:pgBorders>
            <w:top w:val="none" w:sz="0" w:space="0"/>
            <w:left w:val="none" w:sz="0" w:space="0"/>
            <w:bottom w:val="none" w:sz="0" w:space="0"/>
            <w:right w:val="none" w:sz="0" w:space="0"/>
          </w:pgBorders>
          <w:pgNumType w:fmt="decimal"/>
          <w:cols w:space="720" w:num="1"/>
          <w:docGrid w:linePitch="360" w:charSpace="0"/>
        </w:sectPr>
      </w:pPr>
    </w:p>
    <w:bookmarkEnd w:id="10"/>
    <w:bookmarkEnd w:id="11"/>
    <w:bookmarkEnd w:id="12"/>
    <w:p>
      <w:pPr>
        <w:pStyle w:val="12"/>
        <w:keepNext/>
        <w:keepLines/>
        <w:spacing w:after="980"/>
        <w:jc w:val="center"/>
        <w:rPr>
          <w:rFonts w:hint="eastAsia" w:ascii="宋体" w:hAnsi="宋体" w:eastAsia="宋体" w:cs="宋体"/>
          <w:b/>
          <w:bCs/>
          <w:sz w:val="36"/>
          <w:szCs w:val="36"/>
        </w:rPr>
      </w:pPr>
      <w:r>
        <w:rPr>
          <w:rFonts w:hint="eastAsia" w:ascii="宋体" w:hAnsi="宋体" w:eastAsia="宋体" w:cs="宋体"/>
          <w:b/>
          <w:bCs/>
          <w:sz w:val="36"/>
          <w:szCs w:val="36"/>
        </w:rPr>
        <w:t>第</w:t>
      </w:r>
      <w:r>
        <w:rPr>
          <w:rFonts w:hint="eastAsia" w:ascii="宋体" w:hAnsi="宋体" w:eastAsia="宋体" w:cs="宋体"/>
          <w:b/>
          <w:bCs/>
          <w:sz w:val="36"/>
          <w:szCs w:val="36"/>
          <w:lang w:val="en-US" w:eastAsia="zh-CN"/>
        </w:rPr>
        <w:t>三</w:t>
      </w:r>
      <w:r>
        <w:rPr>
          <w:rFonts w:hint="eastAsia" w:ascii="宋体" w:hAnsi="宋体" w:eastAsia="宋体" w:cs="宋体"/>
          <w:b/>
          <w:bCs/>
          <w:sz w:val="36"/>
          <w:szCs w:val="36"/>
        </w:rPr>
        <w:t>部分</w:t>
      </w:r>
      <w:r>
        <w:rPr>
          <w:rFonts w:hint="eastAsia" w:ascii="宋体" w:hAnsi="宋体" w:eastAsia="宋体" w:cs="宋体"/>
          <w:b/>
          <w:bCs/>
          <w:sz w:val="36"/>
          <w:szCs w:val="36"/>
          <w:lang w:eastAsia="zh-CN"/>
        </w:rPr>
        <w:t>环江毛南族自治县川山镇初级中学</w:t>
      </w:r>
      <w:r>
        <w:rPr>
          <w:rFonts w:ascii="宋体" w:hAnsi="宋体" w:eastAsia="宋体" w:cs="宋体"/>
          <w:b/>
          <w:sz w:val="36"/>
          <w:u w:color="auto"/>
        </w:rPr>
        <w:t>2024年</w:t>
      </w:r>
      <w:r>
        <w:rPr>
          <w:rFonts w:hint="eastAsia" w:ascii="宋体" w:hAnsi="宋体" w:eastAsia="宋体" w:cs="宋体"/>
          <w:b/>
          <w:bCs/>
          <w:sz w:val="36"/>
          <w:szCs w:val="36"/>
        </w:rPr>
        <w:t>部门预算表</w:t>
      </w:r>
    </w:p>
    <w:p>
      <w:pPr>
        <w:pStyle w:val="22"/>
        <w:keepNext/>
        <w:keepLines/>
        <w:spacing w:after="240"/>
        <w:jc w:val="center"/>
      </w:pPr>
      <w:bookmarkStart w:id="16" w:name="bookmark29"/>
      <w:bookmarkStart w:id="17" w:name="bookmark30"/>
      <w:bookmarkStart w:id="18" w:name="bookmark31"/>
      <w:r>
        <w:t>收支总体情况表</w:t>
      </w:r>
      <w:bookmarkEnd w:id="16"/>
      <w:bookmarkEnd w:id="17"/>
      <w:bookmarkEnd w:id="18"/>
    </w:p>
    <w:tbl>
      <w:tblPr>
        <w:tblStyle w:val="4"/>
        <w:tblW w:w="0" w:type="auto"/>
        <w:tblInd w:w="0" w:type="dxa"/>
        <w:tblLayout w:type="fixed"/>
        <w:tblCellMar>
          <w:top w:w="0" w:type="dxa"/>
          <w:left w:w="10" w:type="dxa"/>
          <w:bottom w:w="0" w:type="dxa"/>
          <w:right w:w="10" w:type="dxa"/>
        </w:tblCellMar>
      </w:tblPr>
      <w:tblGrid>
        <w:gridCol w:w="3339"/>
        <w:gridCol w:w="3760"/>
        <w:gridCol w:w="3542"/>
        <w:gridCol w:w="3571"/>
      </w:tblGrid>
      <w:tr>
        <w:tblPrEx>
          <w:tblCellMar>
            <w:top w:w="0" w:type="dxa"/>
            <w:left w:w="10" w:type="dxa"/>
            <w:bottom w:w="0" w:type="dxa"/>
            <w:right w:w="10" w:type="dxa"/>
          </w:tblCellMar>
        </w:tblPrEx>
        <w:trPr>
          <w:trHeight w:val="331" w:hRule="exact"/>
        </w:trPr>
        <w:tc>
          <w:tcPr>
            <w:tcW w:w="10641" w:type="dxa"/>
            <w:gridSpan w:val="3"/>
            <w:tcBorders>
              <w:bottom w:val="single" w:color="auto" w:sz="4" w:space="0"/>
            </w:tcBorders>
            <w:shd w:val="clear" w:color="auto" w:fill="FFFFFF"/>
          </w:tcPr>
          <w:p>
            <w:pPr>
              <w:pStyle w:val="24"/>
              <w:spacing w:line="240" w:lineRule="auto"/>
              <w:ind w:firstLine="0"/>
              <w:jc w:val="left"/>
              <w:rPr>
                <w:sz w:val="17"/>
                <w:szCs w:val="17"/>
              </w:rPr>
            </w:pPr>
            <w:r>
              <w:rPr>
                <w:sz w:val="17"/>
                <w:szCs w:val="17"/>
              </w:rPr>
              <w:t>单位名称：</w:t>
            </w:r>
            <w:r>
              <w:rPr>
                <w:rFonts w:hint="eastAsia"/>
                <w:sz w:val="17"/>
                <w:szCs w:val="17"/>
                <w:lang w:eastAsia="zh-CN"/>
              </w:rPr>
              <w:t>环江毛南族自治县川山镇初级中学</w:t>
            </w:r>
          </w:p>
        </w:tc>
        <w:tc>
          <w:tcPr>
            <w:tcW w:w="3571" w:type="dxa"/>
            <w:tcBorders>
              <w:bottom w:val="single" w:color="auto" w:sz="4" w:space="0"/>
            </w:tcBorders>
            <w:shd w:val="clear" w:color="auto" w:fill="FFFFFF"/>
          </w:tcPr>
          <w:p>
            <w:pPr>
              <w:pStyle w:val="24"/>
              <w:spacing w:line="240" w:lineRule="auto"/>
              <w:ind w:firstLine="2380" w:firstLineChars="1400"/>
              <w:jc w:val="left"/>
              <w:rPr>
                <w:sz w:val="17"/>
                <w:szCs w:val="17"/>
              </w:rPr>
            </w:pPr>
            <w:r>
              <w:rPr>
                <w:sz w:val="17"/>
                <w:szCs w:val="17"/>
              </w:rPr>
              <w:t>单位：万元</w:t>
            </w:r>
          </w:p>
        </w:tc>
      </w:tr>
      <w:tr>
        <w:tblPrEx>
          <w:tblCellMar>
            <w:top w:w="0" w:type="dxa"/>
            <w:left w:w="10" w:type="dxa"/>
            <w:bottom w:w="0" w:type="dxa"/>
            <w:right w:w="10" w:type="dxa"/>
          </w:tblCellMar>
        </w:tblPrEx>
        <w:trPr>
          <w:trHeight w:val="456" w:hRule="exact"/>
        </w:trPr>
        <w:tc>
          <w:tcPr>
            <w:tcW w:w="70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2890" w:firstLineChars="1700"/>
              <w:jc w:val="both"/>
              <w:rPr>
                <w:sz w:val="17"/>
                <w:szCs w:val="17"/>
              </w:rPr>
            </w:pPr>
            <w:r>
              <w:rPr>
                <w:sz w:val="17"/>
                <w:szCs w:val="17"/>
              </w:rPr>
              <w:t>收入</w:t>
            </w:r>
          </w:p>
        </w:tc>
        <w:tc>
          <w:tcPr>
            <w:tcW w:w="7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right="340" w:firstLine="2890" w:firstLineChars="1700"/>
              <w:jc w:val="both"/>
              <w:rPr>
                <w:sz w:val="17"/>
                <w:szCs w:val="17"/>
              </w:rPr>
            </w:pPr>
            <w:r>
              <w:rPr>
                <w:sz w:val="17"/>
                <w:szCs w:val="17"/>
              </w:rPr>
              <w:t>支出</w:t>
            </w:r>
          </w:p>
        </w:tc>
      </w:tr>
      <w:tr>
        <w:tblPrEx>
          <w:tblCellMar>
            <w:top w:w="0" w:type="dxa"/>
            <w:left w:w="10" w:type="dxa"/>
            <w:bottom w:w="0" w:type="dxa"/>
            <w:right w:w="10" w:type="dxa"/>
          </w:tblCellMar>
        </w:tblPrEx>
        <w:trPr>
          <w:trHeight w:val="432"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项目</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预算数</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tabs>
                <w:tab w:val="left" w:pos="894"/>
              </w:tabs>
              <w:spacing w:line="240" w:lineRule="auto"/>
              <w:jc w:val="left"/>
              <w:rPr>
                <w:sz w:val="17"/>
                <w:szCs w:val="17"/>
              </w:rPr>
            </w:pPr>
            <w:r>
              <w:rPr>
                <w:sz w:val="17"/>
                <w:szCs w:val="17"/>
              </w:rPr>
              <w:t>项</w:t>
            </w:r>
            <w:r>
              <w:rPr>
                <w:sz w:val="17"/>
                <w:szCs w:val="17"/>
              </w:rPr>
              <w:tab/>
            </w:r>
            <w:r>
              <w:rPr>
                <w:sz w:val="17"/>
                <w:szCs w:val="17"/>
              </w:rPr>
              <w:t>目（按支出功能科目分类）</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预算数</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一、一般公共预算拨款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1110.76</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一、一般公共服务支出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13.90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二、外交支出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1110.76</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三、国防支出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二、政府性基金预算拨款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四、公共安全支出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五、教育支出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943.09</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六、科学技术支出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三、国有资本经营预算拨款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七、文化旅游体育与传媒支出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八、社会保障和就业支出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98.51</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九、卫生健康支出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四、财政专户管理资金收入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十、节能环保支出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五、事业收入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十一、城乡社区支出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六、事业单位经营收入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十二、农林水支出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七、上级补助收入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十三、交通运输支出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八、附属单位上缴收入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十四、资源勘探工业信息等支出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九、其他收入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十五、商业服务业等支出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十六、金融支出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十七、援助其他地区支出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十八、自然资源海洋气象等支出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十九、住房保障支出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82.67</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二十、粮油物资储备支出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二十一、国有资本经营预算支出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二十二、灾害防治及应急管理支出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二十三、其他支出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二十四、债务还本支出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二十五、债务付息支出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二十六、债务发行费用支出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本年收入合计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1110.76</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本年支出合计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1138.17</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上年结转结余</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27.41</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结转下年支出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收入总计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1138.17</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支出总计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1138.17</w:t>
            </w:r>
          </w:p>
        </w:tc>
      </w:tr>
    </w:tbl>
    <w:p>
      <w:pPr>
        <w:pStyle w:val="26"/>
        <w:ind w:left="101"/>
        <w:jc w:val="left"/>
      </w:pPr>
      <w:r>
        <w:t>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r:id="rId6" w:type="default"/>
          <w:footerReference r:id="rId7" w:type="default"/>
          <w:pgSz w:w="16840" w:h="11900" w:orient="landscape"/>
          <w:pgMar w:top="2397" w:right="761" w:bottom="1966" w:left="739" w:header="0" w:footer="1474" w:gutter="0"/>
          <w:pgBorders>
            <w:top w:val="none" w:sz="0" w:space="0"/>
            <w:left w:val="none" w:sz="0" w:space="0"/>
            <w:bottom w:val="none" w:sz="0" w:space="0"/>
            <w:right w:val="none" w:sz="0" w:space="0"/>
          </w:pgBorders>
          <w:pgNumType w:fmt="decimal"/>
          <w:cols w:space="720" w:num="1"/>
          <w:docGrid w:linePitch="360" w:charSpace="0"/>
        </w:sectPr>
      </w:pPr>
    </w:p>
    <w:p>
      <w:pPr>
        <w:tabs>
          <w:tab w:val="left" w:pos="859"/>
        </w:tabs>
        <w:jc w:val="left"/>
        <w:rPr>
          <w:rFonts w:eastAsia="宋体"/>
          <w:lang w:eastAsia="zh-CN"/>
        </w:rPr>
      </w:pPr>
    </w:p>
    <w:p>
      <w:pPr>
        <w:tabs>
          <w:tab w:val="left" w:pos="859"/>
        </w:tabs>
        <w:jc w:val="center"/>
        <w:rPr>
          <w:rFonts w:hint="eastAsia" w:eastAsia="宋体"/>
          <w:lang w:val="en-US" w:eastAsia="zh-CN"/>
        </w:rPr>
      </w:pPr>
    </w:p>
    <w:p>
      <w:pPr>
        <w:tabs>
          <w:tab w:val="left" w:pos="859"/>
        </w:tabs>
        <w:jc w:val="center"/>
        <w:rPr>
          <w:rFonts w:hint="eastAsia" w:eastAsia="宋体"/>
          <w:lang w:val="en-US" w:eastAsia="zh-CN"/>
        </w:rPr>
      </w:pPr>
      <w:r>
        <w:rPr>
          <w:rFonts w:hint="eastAsia" w:eastAsia="宋体"/>
          <w:lang w:val="en-US" w:eastAsia="zh-CN"/>
        </w:rPr>
        <w:t>收入总体情况表</w:t>
      </w:r>
    </w:p>
    <w:p>
      <w:pPr>
        <w:tabs>
          <w:tab w:val="left" w:pos="859"/>
        </w:tabs>
        <w:jc w:val="center"/>
        <w:rPr>
          <w:rFonts w:hint="eastAsia" w:eastAsia="宋体"/>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481" w:type="dxa"/>
            <w:gridSpan w:val="13"/>
            <w:tcBorders>
              <w:top w:val="nil"/>
              <w:left w:val="nil"/>
              <w:right w:val="nil"/>
            </w:tcBorders>
          </w:tcPr>
          <w:p>
            <w:pPr>
              <w:pStyle w:val="26"/>
              <w:jc w:val="both"/>
              <w:rPr>
                <w:rFonts w:hint="eastAsia"/>
                <w:lang w:val="en-US" w:eastAsia="zh-CN"/>
              </w:rPr>
            </w:pPr>
            <w:r>
              <w:rPr>
                <w:sz w:val="17"/>
                <w:szCs w:val="17"/>
              </w:rPr>
              <w:t>单位名称：</w:t>
            </w:r>
            <w:r>
              <w:rPr>
                <w:rFonts w:hint="eastAsia"/>
                <w:sz w:val="17"/>
                <w:szCs w:val="17"/>
                <w:lang w:eastAsia="zh-CN"/>
              </w:rPr>
              <w:t>环江毛南族自治县川山镇初级中学</w:t>
            </w:r>
            <w:r>
              <w:rPr>
                <w:rFonts w:hint="eastAsia"/>
                <w:lang w:val="en-US" w:eastAsia="zh-CN"/>
              </w:rPr>
              <w:t xml:space="preserve">                                                                                  </w:t>
            </w:r>
          </w:p>
        </w:tc>
        <w:tc>
          <w:tcPr>
            <w:tcW w:w="2076" w:type="dxa"/>
            <w:gridSpan w:val="3"/>
            <w:tcBorders>
              <w:top w:val="nil"/>
              <w:left w:val="nil"/>
              <w:right w:val="nil"/>
            </w:tcBorders>
          </w:tcPr>
          <w:p>
            <w:pPr>
              <w:pStyle w:val="26"/>
              <w:ind w:firstLine="340" w:firstLineChars="200"/>
              <w:jc w:val="left"/>
              <w:rPr>
                <w:rFonts w:hint="eastAsia"/>
                <w:lang w:val="en-US" w:eastAsia="zh-CN"/>
              </w:rPr>
            </w:pPr>
            <w:r>
              <w:rPr>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Merge w:val="restart"/>
            <w:vAlign w:val="center"/>
          </w:tcPr>
          <w:p>
            <w:pPr>
              <w:tabs>
                <w:tab w:val="left" w:pos="859"/>
              </w:tabs>
              <w:jc w:val="center"/>
              <w:rPr>
                <w:rFonts w:hint="eastAsia" w:eastAsia="宋体"/>
                <w:vertAlign w:val="baseline"/>
                <w:lang w:val="en-US" w:eastAsia="zh-CN"/>
              </w:rPr>
            </w:pPr>
            <w:r>
              <w:rPr>
                <w:sz w:val="17"/>
                <w:szCs w:val="17"/>
              </w:rPr>
              <w:t>部门（单位）代码</w:t>
            </w:r>
          </w:p>
        </w:tc>
        <w:tc>
          <w:tcPr>
            <w:tcW w:w="1279" w:type="dxa"/>
            <w:vMerge w:val="restart"/>
            <w:vAlign w:val="center"/>
          </w:tcPr>
          <w:p>
            <w:pPr>
              <w:tabs>
                <w:tab w:val="left" w:pos="859"/>
              </w:tabs>
              <w:jc w:val="center"/>
              <w:rPr>
                <w:rFonts w:hint="eastAsia" w:eastAsia="宋体"/>
                <w:vertAlign w:val="baseline"/>
                <w:lang w:val="en-US" w:eastAsia="zh-CN"/>
              </w:rPr>
            </w:pPr>
            <w:r>
              <w:rPr>
                <w:sz w:val="17"/>
                <w:szCs w:val="17"/>
              </w:rPr>
              <w:t>部门（单位）名称</w:t>
            </w:r>
          </w:p>
        </w:tc>
        <w:tc>
          <w:tcPr>
            <w:tcW w:w="990" w:type="dxa"/>
            <w:vMerge w:val="restart"/>
            <w:vAlign w:val="center"/>
          </w:tcPr>
          <w:p>
            <w:pPr>
              <w:pStyle w:val="24"/>
              <w:spacing w:line="240" w:lineRule="auto"/>
              <w:ind w:left="0" w:leftChars="0" w:firstLine="0" w:firstLineChars="0"/>
              <w:jc w:val="center"/>
              <w:rPr>
                <w:rFonts w:hint="eastAsia" w:eastAsia="宋体"/>
                <w:vertAlign w:val="baseline"/>
                <w:lang w:val="en-US" w:eastAsia="zh-CN"/>
              </w:rPr>
            </w:pPr>
            <w:r>
              <w:rPr>
                <w:rFonts w:hint="eastAsia"/>
                <w:sz w:val="17"/>
                <w:szCs w:val="17"/>
                <w:lang w:val="en-US" w:eastAsia="zh-CN"/>
              </w:rPr>
              <w:t>合</w:t>
            </w:r>
            <w:r>
              <w:rPr>
                <w:sz w:val="17"/>
                <w:szCs w:val="17"/>
              </w:rPr>
              <w:t>计</w:t>
            </w:r>
          </w:p>
        </w:tc>
        <w:tc>
          <w:tcPr>
            <w:tcW w:w="5843" w:type="dxa"/>
            <w:gridSpan w:val="6"/>
          </w:tcPr>
          <w:p>
            <w:pPr>
              <w:tabs>
                <w:tab w:val="left" w:pos="859"/>
              </w:tabs>
              <w:jc w:val="center"/>
              <w:rPr>
                <w:rFonts w:hint="eastAsia" w:eastAsia="宋体"/>
                <w:vertAlign w:val="baseline"/>
                <w:lang w:val="en-US" w:eastAsia="zh-CN"/>
              </w:rPr>
            </w:pPr>
            <w:r>
              <w:rPr>
                <w:sz w:val="17"/>
                <w:szCs w:val="17"/>
              </w:rPr>
              <w:t>本年收入</w:t>
            </w:r>
          </w:p>
        </w:tc>
        <w:tc>
          <w:tcPr>
            <w:tcW w:w="5809" w:type="dxa"/>
            <w:gridSpan w:val="7"/>
          </w:tcPr>
          <w:p>
            <w:pPr>
              <w:tabs>
                <w:tab w:val="left" w:pos="859"/>
              </w:tabs>
              <w:jc w:val="center"/>
              <w:rPr>
                <w:rFonts w:hint="eastAsia" w:eastAsia="宋体"/>
                <w:vertAlign w:val="baseline"/>
                <w:lang w:val="en-US" w:eastAsia="zh-CN"/>
              </w:rPr>
            </w:pPr>
            <w:r>
              <w:rPr>
                <w:sz w:val="17"/>
                <w:szCs w:val="17"/>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636" w:type="dxa"/>
            <w:vMerge w:val="continue"/>
          </w:tcPr>
          <w:p>
            <w:pPr>
              <w:tabs>
                <w:tab w:val="left" w:pos="859"/>
              </w:tabs>
              <w:jc w:val="center"/>
              <w:rPr>
                <w:rFonts w:hint="eastAsia" w:eastAsia="宋体"/>
                <w:vertAlign w:val="baseline"/>
                <w:lang w:val="en-US" w:eastAsia="zh-CN"/>
              </w:rPr>
            </w:pPr>
          </w:p>
        </w:tc>
        <w:tc>
          <w:tcPr>
            <w:tcW w:w="1279" w:type="dxa"/>
            <w:vMerge w:val="continue"/>
          </w:tcPr>
          <w:p>
            <w:pPr>
              <w:tabs>
                <w:tab w:val="left" w:pos="859"/>
              </w:tabs>
              <w:jc w:val="center"/>
              <w:rPr>
                <w:rFonts w:hint="eastAsia" w:eastAsia="宋体"/>
                <w:vertAlign w:val="baseline"/>
                <w:lang w:val="en-US" w:eastAsia="zh-CN"/>
              </w:rPr>
            </w:pPr>
          </w:p>
        </w:tc>
        <w:tc>
          <w:tcPr>
            <w:tcW w:w="990" w:type="dxa"/>
            <w:vMerge w:val="continue"/>
            <w:vAlign w:val="center"/>
          </w:tcPr>
          <w:p>
            <w:pPr>
              <w:pStyle w:val="24"/>
              <w:spacing w:line="240" w:lineRule="auto"/>
              <w:ind w:firstLine="300" w:firstLineChars="0"/>
              <w:jc w:val="center"/>
              <w:rPr>
                <w:rFonts w:hint="eastAsia" w:eastAsia="宋体"/>
                <w:vertAlign w:val="baseline"/>
                <w:lang w:val="en-US" w:eastAsia="zh-CN"/>
              </w:rPr>
            </w:pPr>
          </w:p>
        </w:tc>
        <w:tc>
          <w:tcPr>
            <w:tcW w:w="926" w:type="dxa"/>
            <w:vAlign w:val="center"/>
          </w:tcPr>
          <w:p>
            <w:pPr>
              <w:pStyle w:val="24"/>
              <w:spacing w:line="240" w:lineRule="auto"/>
              <w:ind w:firstLine="300" w:firstLineChars="0"/>
              <w:jc w:val="center"/>
              <w:rPr>
                <w:rFonts w:hint="eastAsia" w:eastAsia="宋体"/>
                <w:vertAlign w:val="baseline"/>
                <w:lang w:val="en-US" w:eastAsia="zh-CN"/>
              </w:rPr>
            </w:pPr>
            <w:r>
              <w:rPr>
                <w:sz w:val="17"/>
                <w:szCs w:val="17"/>
              </w:rPr>
              <w:t>小计</w:t>
            </w:r>
          </w:p>
        </w:tc>
        <w:tc>
          <w:tcPr>
            <w:tcW w:w="909" w:type="dxa"/>
            <w:vAlign w:val="center"/>
          </w:tcPr>
          <w:p>
            <w:pPr>
              <w:pStyle w:val="24"/>
              <w:spacing w:line="317" w:lineRule="exact"/>
              <w:ind w:firstLine="0" w:firstLineChars="0"/>
              <w:jc w:val="center"/>
              <w:rPr>
                <w:rFonts w:hint="eastAsia" w:eastAsia="宋体"/>
                <w:vertAlign w:val="baseline"/>
                <w:lang w:val="en-US" w:eastAsia="zh-CN"/>
              </w:rPr>
            </w:pPr>
            <w:r>
              <w:rPr>
                <w:sz w:val="17"/>
                <w:szCs w:val="17"/>
              </w:rPr>
              <w:t>一般公共预算</w:t>
            </w:r>
          </w:p>
        </w:tc>
        <w:tc>
          <w:tcPr>
            <w:tcW w:w="968" w:type="dxa"/>
            <w:vAlign w:val="center"/>
          </w:tcPr>
          <w:p>
            <w:pPr>
              <w:pStyle w:val="24"/>
              <w:spacing w:line="317" w:lineRule="exact"/>
              <w:ind w:firstLine="0" w:firstLineChars="0"/>
              <w:jc w:val="center"/>
              <w:rPr>
                <w:rFonts w:hint="eastAsia" w:eastAsia="宋体"/>
                <w:vertAlign w:val="baseline"/>
                <w:lang w:val="en-US" w:eastAsia="zh-CN"/>
              </w:rPr>
            </w:pPr>
            <w:r>
              <w:rPr>
                <w:sz w:val="17"/>
                <w:szCs w:val="17"/>
              </w:rPr>
              <w:t>政府性基金预算</w:t>
            </w:r>
          </w:p>
        </w:tc>
        <w:tc>
          <w:tcPr>
            <w:tcW w:w="990" w:type="dxa"/>
            <w:vAlign w:val="center"/>
          </w:tcPr>
          <w:p>
            <w:pPr>
              <w:pStyle w:val="24"/>
              <w:spacing w:line="317" w:lineRule="exact"/>
              <w:ind w:firstLine="0" w:firstLineChars="0"/>
              <w:jc w:val="center"/>
              <w:rPr>
                <w:rFonts w:hint="eastAsia" w:eastAsia="宋体"/>
                <w:vertAlign w:val="baseline"/>
                <w:lang w:val="en-US" w:eastAsia="zh-CN"/>
              </w:rPr>
            </w:pPr>
            <w:r>
              <w:rPr>
                <w:sz w:val="17"/>
                <w:szCs w:val="17"/>
              </w:rPr>
              <w:t>国有资本经营预算</w:t>
            </w:r>
          </w:p>
        </w:tc>
        <w:tc>
          <w:tcPr>
            <w:tcW w:w="1078" w:type="dxa"/>
          </w:tcPr>
          <w:p>
            <w:pPr>
              <w:pStyle w:val="24"/>
              <w:spacing w:line="312" w:lineRule="exact"/>
              <w:ind w:firstLine="0"/>
              <w:jc w:val="center"/>
              <w:rPr>
                <w:sz w:val="17"/>
                <w:szCs w:val="17"/>
              </w:rPr>
            </w:pPr>
            <w:r>
              <w:rPr>
                <w:sz w:val="17"/>
                <w:szCs w:val="17"/>
              </w:rPr>
              <w:t>财政专户管理资金</w:t>
            </w:r>
          </w:p>
          <w:p>
            <w:pPr>
              <w:pStyle w:val="24"/>
              <w:spacing w:line="312" w:lineRule="exact"/>
              <w:ind w:firstLine="0" w:firstLineChars="0"/>
              <w:jc w:val="center"/>
              <w:rPr>
                <w:rFonts w:hint="eastAsia" w:eastAsia="宋体"/>
                <w:vertAlign w:val="baseline"/>
                <w:lang w:val="en-US" w:eastAsia="zh-CN"/>
              </w:rPr>
            </w:pPr>
            <w:r>
              <w:rPr>
                <w:sz w:val="17"/>
                <w:szCs w:val="17"/>
              </w:rPr>
              <w:t>收入</w:t>
            </w:r>
          </w:p>
        </w:tc>
        <w:tc>
          <w:tcPr>
            <w:tcW w:w="972" w:type="dxa"/>
            <w:vAlign w:val="center"/>
          </w:tcPr>
          <w:p>
            <w:pPr>
              <w:pStyle w:val="24"/>
              <w:spacing w:line="240" w:lineRule="auto"/>
              <w:ind w:firstLine="0" w:firstLineChars="0"/>
              <w:jc w:val="center"/>
              <w:rPr>
                <w:rFonts w:hint="eastAsia" w:eastAsia="宋体"/>
                <w:vertAlign w:val="baseline"/>
                <w:lang w:val="en-US" w:eastAsia="zh-CN"/>
              </w:rPr>
            </w:pPr>
            <w:r>
              <w:rPr>
                <w:sz w:val="17"/>
                <w:szCs w:val="17"/>
              </w:rPr>
              <w:t>单位资金</w:t>
            </w:r>
          </w:p>
        </w:tc>
        <w:tc>
          <w:tcPr>
            <w:tcW w:w="919" w:type="dxa"/>
            <w:vAlign w:val="center"/>
          </w:tcPr>
          <w:p>
            <w:pPr>
              <w:pStyle w:val="24"/>
              <w:spacing w:line="240" w:lineRule="auto"/>
              <w:ind w:firstLine="300" w:firstLineChars="0"/>
              <w:jc w:val="center"/>
              <w:rPr>
                <w:rFonts w:hint="eastAsia" w:eastAsia="宋体"/>
                <w:vertAlign w:val="baseline"/>
                <w:lang w:val="en-US" w:eastAsia="zh-CN"/>
              </w:rPr>
            </w:pPr>
            <w:r>
              <w:rPr>
                <w:sz w:val="17"/>
                <w:szCs w:val="17"/>
              </w:rPr>
              <w:t>小计</w:t>
            </w:r>
          </w:p>
        </w:tc>
        <w:tc>
          <w:tcPr>
            <w:tcW w:w="1011" w:type="dxa"/>
            <w:vAlign w:val="center"/>
          </w:tcPr>
          <w:p>
            <w:pPr>
              <w:pStyle w:val="24"/>
              <w:spacing w:line="317" w:lineRule="exact"/>
              <w:ind w:firstLine="0" w:firstLineChars="0"/>
              <w:jc w:val="center"/>
              <w:rPr>
                <w:rFonts w:hint="eastAsia" w:eastAsia="宋体"/>
                <w:vertAlign w:val="baseline"/>
                <w:lang w:val="en-US" w:eastAsia="zh-CN"/>
              </w:rPr>
            </w:pPr>
            <w:r>
              <w:rPr>
                <w:sz w:val="17"/>
                <w:szCs w:val="17"/>
              </w:rPr>
              <w:t>一般公共预算</w:t>
            </w:r>
          </w:p>
        </w:tc>
        <w:tc>
          <w:tcPr>
            <w:tcW w:w="859" w:type="dxa"/>
            <w:vAlign w:val="center"/>
          </w:tcPr>
          <w:p>
            <w:pPr>
              <w:pStyle w:val="24"/>
              <w:spacing w:line="317" w:lineRule="exact"/>
              <w:ind w:firstLine="0" w:firstLineChars="0"/>
              <w:jc w:val="center"/>
              <w:rPr>
                <w:rFonts w:hint="eastAsia" w:eastAsia="宋体"/>
                <w:vertAlign w:val="baseline"/>
                <w:lang w:val="en-US" w:eastAsia="zh-CN"/>
              </w:rPr>
            </w:pPr>
            <w:r>
              <w:rPr>
                <w:sz w:val="17"/>
                <w:szCs w:val="17"/>
              </w:rPr>
              <w:t>政府性基金预算</w:t>
            </w:r>
          </w:p>
        </w:tc>
        <w:tc>
          <w:tcPr>
            <w:tcW w:w="1094" w:type="dxa"/>
            <w:gridSpan w:val="2"/>
            <w:vAlign w:val="center"/>
          </w:tcPr>
          <w:p>
            <w:pPr>
              <w:pStyle w:val="24"/>
              <w:spacing w:line="317" w:lineRule="exact"/>
              <w:ind w:firstLine="0" w:firstLineChars="0"/>
              <w:jc w:val="center"/>
              <w:rPr>
                <w:rFonts w:hint="eastAsia" w:eastAsia="宋体"/>
                <w:vertAlign w:val="baseline"/>
                <w:lang w:val="en-US" w:eastAsia="zh-CN"/>
              </w:rPr>
            </w:pPr>
            <w:r>
              <w:rPr>
                <w:sz w:val="17"/>
                <w:szCs w:val="17"/>
              </w:rPr>
              <w:t>国有资本经营预算</w:t>
            </w:r>
          </w:p>
        </w:tc>
        <w:tc>
          <w:tcPr>
            <w:tcW w:w="937" w:type="dxa"/>
          </w:tcPr>
          <w:p>
            <w:pPr>
              <w:pStyle w:val="24"/>
              <w:spacing w:line="312" w:lineRule="exact"/>
              <w:ind w:firstLine="0"/>
              <w:jc w:val="center"/>
              <w:rPr>
                <w:sz w:val="17"/>
                <w:szCs w:val="17"/>
              </w:rPr>
            </w:pPr>
            <w:r>
              <w:rPr>
                <w:sz w:val="17"/>
                <w:szCs w:val="17"/>
              </w:rPr>
              <w:t>财政专户管理资金</w:t>
            </w:r>
          </w:p>
          <w:p>
            <w:pPr>
              <w:pStyle w:val="24"/>
              <w:spacing w:line="312" w:lineRule="exact"/>
              <w:ind w:right="280" w:rightChars="0" w:firstLine="0" w:firstLineChars="0"/>
              <w:jc w:val="center"/>
              <w:rPr>
                <w:rFonts w:hint="eastAsia" w:eastAsia="宋体"/>
                <w:vertAlign w:val="baseline"/>
                <w:lang w:val="en-US" w:eastAsia="zh-CN"/>
              </w:rPr>
            </w:pPr>
            <w:r>
              <w:rPr>
                <w:sz w:val="17"/>
                <w:szCs w:val="17"/>
              </w:rPr>
              <w:t>收入</w:t>
            </w:r>
          </w:p>
        </w:tc>
        <w:tc>
          <w:tcPr>
            <w:tcW w:w="989" w:type="dxa"/>
            <w:vAlign w:val="center"/>
          </w:tcPr>
          <w:p>
            <w:pPr>
              <w:pStyle w:val="24"/>
              <w:spacing w:line="240" w:lineRule="auto"/>
              <w:ind w:firstLine="140" w:firstLineChars="0"/>
              <w:jc w:val="center"/>
              <w:rPr>
                <w:rFonts w:hint="eastAsia" w:eastAsia="宋体"/>
                <w:vertAlign w:val="baseline"/>
                <w:lang w:val="en-US" w:eastAsia="zh-CN"/>
              </w:rPr>
            </w:pPr>
            <w:r>
              <w:rPr>
                <w:sz w:val="17"/>
                <w:szCs w:val="17"/>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Pr>
          <w:p>
            <w:pPr>
              <w:tabs>
                <w:tab w:val="left" w:pos="859"/>
              </w:tabs>
              <w:jc w:val="both"/>
              <w:rPr>
                <w:rFonts w:hint="eastAsia" w:eastAsia="宋体"/>
                <w:vertAlign w:val="baseline"/>
                <w:lang w:val="en-US" w:eastAsia="zh-CN"/>
              </w:rPr>
            </w:pPr>
          </w:p>
        </w:tc>
        <w:tc>
          <w:tcPr>
            <w:tcW w:w="1279" w:type="dxa"/>
          </w:tcPr>
          <w:p>
            <w:pPr>
              <w:tabs>
                <w:tab w:val="left" w:pos="859"/>
              </w:tabs>
              <w:jc w:val="both"/>
              <w:rPr>
                <w:rFonts w:hint="eastAsia" w:eastAsia="宋体"/>
                <w:vertAlign w:val="baseline"/>
                <w:lang w:val="en-US" w:eastAsia="zh-CN"/>
              </w:rPr>
            </w:pPr>
          </w:p>
        </w:tc>
        <w:tc>
          <w:tcPr>
            <w:tcW w:w="990" w:type="dxa"/>
            <w:vAlign w:val="center"/>
          </w:tcPr>
          <w:p>
            <w:pPr>
              <w:pStyle w:val="24"/>
              <w:spacing w:line="240" w:lineRule="auto"/>
              <w:ind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w:t>
            </w:r>
          </w:p>
        </w:tc>
        <w:tc>
          <w:tcPr>
            <w:tcW w:w="926" w:type="dxa"/>
            <w:vAlign w:val="center"/>
          </w:tcPr>
          <w:p>
            <w:pPr>
              <w:pStyle w:val="24"/>
              <w:spacing w:line="240" w:lineRule="auto"/>
              <w:ind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2</w:t>
            </w:r>
          </w:p>
        </w:tc>
        <w:tc>
          <w:tcPr>
            <w:tcW w:w="909" w:type="dxa"/>
            <w:vAlign w:val="center"/>
          </w:tcPr>
          <w:p>
            <w:pPr>
              <w:pStyle w:val="24"/>
              <w:spacing w:line="240" w:lineRule="auto"/>
              <w:ind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3</w:t>
            </w:r>
          </w:p>
        </w:tc>
        <w:tc>
          <w:tcPr>
            <w:tcW w:w="968" w:type="dxa"/>
            <w:vAlign w:val="center"/>
          </w:tcPr>
          <w:p>
            <w:pPr>
              <w:pStyle w:val="24"/>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4</w:t>
            </w:r>
          </w:p>
        </w:tc>
        <w:tc>
          <w:tcPr>
            <w:tcW w:w="990" w:type="dxa"/>
            <w:vAlign w:val="center"/>
          </w:tcPr>
          <w:p>
            <w:pPr>
              <w:pStyle w:val="24"/>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5</w:t>
            </w:r>
          </w:p>
        </w:tc>
        <w:tc>
          <w:tcPr>
            <w:tcW w:w="1078" w:type="dxa"/>
            <w:vAlign w:val="center"/>
          </w:tcPr>
          <w:p>
            <w:pPr>
              <w:pStyle w:val="24"/>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6</w:t>
            </w:r>
          </w:p>
        </w:tc>
        <w:tc>
          <w:tcPr>
            <w:tcW w:w="972" w:type="dxa"/>
            <w:vAlign w:val="center"/>
          </w:tcPr>
          <w:p>
            <w:pPr>
              <w:pStyle w:val="24"/>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7</w:t>
            </w:r>
          </w:p>
        </w:tc>
        <w:tc>
          <w:tcPr>
            <w:tcW w:w="919" w:type="dxa"/>
            <w:vAlign w:val="center"/>
          </w:tcPr>
          <w:p>
            <w:pPr>
              <w:pStyle w:val="24"/>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8</w:t>
            </w:r>
          </w:p>
        </w:tc>
        <w:tc>
          <w:tcPr>
            <w:tcW w:w="1011" w:type="dxa"/>
            <w:vAlign w:val="center"/>
          </w:tcPr>
          <w:p>
            <w:pPr>
              <w:pStyle w:val="24"/>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9</w:t>
            </w:r>
          </w:p>
        </w:tc>
        <w:tc>
          <w:tcPr>
            <w:tcW w:w="859" w:type="dxa"/>
            <w:vAlign w:val="center"/>
          </w:tcPr>
          <w:p>
            <w:pPr>
              <w:pStyle w:val="24"/>
              <w:spacing w:line="240" w:lineRule="auto"/>
              <w:ind w:right="360" w:righ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10</w:t>
            </w:r>
          </w:p>
        </w:tc>
        <w:tc>
          <w:tcPr>
            <w:tcW w:w="1094" w:type="dxa"/>
            <w:gridSpan w:val="2"/>
            <w:vAlign w:val="center"/>
          </w:tcPr>
          <w:p>
            <w:pPr>
              <w:pStyle w:val="24"/>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11</w:t>
            </w:r>
          </w:p>
        </w:tc>
        <w:tc>
          <w:tcPr>
            <w:tcW w:w="937" w:type="dxa"/>
            <w:vAlign w:val="center"/>
          </w:tcPr>
          <w:p>
            <w:pPr>
              <w:pStyle w:val="24"/>
              <w:spacing w:line="240" w:lineRule="auto"/>
              <w:ind w:right="380" w:righ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12</w:t>
            </w:r>
          </w:p>
        </w:tc>
        <w:tc>
          <w:tcPr>
            <w:tcW w:w="989" w:type="dxa"/>
            <w:vAlign w:val="center"/>
          </w:tcPr>
          <w:p>
            <w:pPr>
              <w:pStyle w:val="24"/>
              <w:spacing w:line="240" w:lineRule="auto"/>
              <w:ind w:right="420" w:righ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201046</w:t>
            </w:r>
          </w:p>
        </w:tc>
        <w:tc>
          <w:tcPr>
            <w:tcW w:w="1279" w:type="dxa"/>
          </w:tcPr>
          <w:p>
            <w:pPr>
              <w:pStyle w:val="24"/>
              <w:spacing w:line="326" w:lineRule="exact"/>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环江毛南族自治县川山镇初级中学</w:t>
            </w:r>
          </w:p>
        </w:tc>
        <w:tc>
          <w:tcPr>
            <w:tcW w:w="990" w:type="dxa"/>
            <w:vAlign w:val="center"/>
          </w:tcPr>
          <w:p>
            <w:pPr>
              <w:pStyle w:val="24"/>
              <w:spacing w:line="240" w:lineRule="auto"/>
              <w:ind w:left="0" w:leftChars="0"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1138.17</w:t>
            </w:r>
          </w:p>
        </w:tc>
        <w:tc>
          <w:tcPr>
            <w:tcW w:w="926" w:type="dxa"/>
            <w:vAlign w:val="center"/>
          </w:tcPr>
          <w:p>
            <w:pPr>
              <w:pStyle w:val="24"/>
              <w:spacing w:line="240" w:lineRule="auto"/>
              <w:ind w:left="0" w:leftChars="0"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1110.76</w:t>
            </w:r>
          </w:p>
        </w:tc>
        <w:tc>
          <w:tcPr>
            <w:tcW w:w="909" w:type="dxa"/>
            <w:vAlign w:val="center"/>
          </w:tcPr>
          <w:p>
            <w:pPr>
              <w:pStyle w:val="24"/>
              <w:spacing w:line="240" w:lineRule="auto"/>
              <w:ind w:left="0" w:leftChars="0"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1110.76</w:t>
            </w:r>
          </w:p>
        </w:tc>
        <w:tc>
          <w:tcPr>
            <w:tcW w:w="968" w:type="dxa"/>
            <w:vAlign w:val="center"/>
          </w:tcPr>
          <w:p>
            <w:pPr>
              <w:pStyle w:val="24"/>
              <w:spacing w:line="240" w:lineRule="auto"/>
              <w:ind w:left="0" w:leftChars="0"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990" w:type="dxa"/>
            <w:vAlign w:val="center"/>
          </w:tcPr>
          <w:p>
            <w:pPr>
              <w:pStyle w:val="24"/>
              <w:spacing w:line="240" w:lineRule="auto"/>
              <w:ind w:left="0" w:leftChars="0"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78" w:type="dxa"/>
            <w:vAlign w:val="center"/>
          </w:tcPr>
          <w:p>
            <w:pPr>
              <w:pStyle w:val="24"/>
              <w:spacing w:line="240" w:lineRule="auto"/>
              <w:ind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972" w:type="dxa"/>
            <w:vAlign w:val="center"/>
          </w:tcPr>
          <w:p>
            <w:pPr>
              <w:pStyle w:val="24"/>
              <w:spacing w:line="240" w:lineRule="auto"/>
              <w:ind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919" w:type="dxa"/>
            <w:vAlign w:val="center"/>
          </w:tcPr>
          <w:p>
            <w:pPr>
              <w:spacing w:line="240" w:lineRule="auto"/>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27.41</w:t>
            </w:r>
          </w:p>
        </w:tc>
        <w:tc>
          <w:tcPr>
            <w:tcW w:w="1011" w:type="dxa"/>
            <w:vAlign w:val="center"/>
          </w:tcPr>
          <w:p>
            <w:pPr>
              <w:spacing w:line="240" w:lineRule="auto"/>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27.41</w:t>
            </w:r>
          </w:p>
        </w:tc>
        <w:tc>
          <w:tcPr>
            <w:tcW w:w="859" w:type="dxa"/>
            <w:vAlign w:val="center"/>
          </w:tcPr>
          <w:p>
            <w:pPr>
              <w:spacing w:line="240" w:lineRule="auto"/>
              <w:ind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94" w:type="dxa"/>
            <w:gridSpan w:val="2"/>
            <w:vAlign w:val="center"/>
          </w:tcPr>
          <w:p>
            <w:pPr>
              <w:spacing w:line="240" w:lineRule="auto"/>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937" w:type="dxa"/>
            <w:vAlign w:val="center"/>
          </w:tcPr>
          <w:p>
            <w:pPr>
              <w:spacing w:line="240" w:lineRule="auto"/>
              <w:ind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989" w:type="dxa"/>
            <w:vAlign w:val="center"/>
          </w:tcPr>
          <w:p>
            <w:pPr>
              <w:spacing w:line="240" w:lineRule="auto"/>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6"/>
            <w:tcBorders>
              <w:left w:val="nil"/>
              <w:bottom w:val="nil"/>
              <w:right w:val="nil"/>
            </w:tcBorders>
          </w:tcPr>
          <w:p>
            <w:pPr>
              <w:pStyle w:val="26"/>
              <w:jc w:val="left"/>
              <w:rPr>
                <w:rFonts w:hint="eastAsia" w:eastAsia="宋体"/>
                <w:vertAlign w:val="baseline"/>
                <w:lang w:val="en-US" w:eastAsia="zh-CN"/>
              </w:rPr>
            </w:pPr>
            <w:r>
              <w:t>注：本报表金额单位转换时可能存在四舍五入尾数误差。</w:t>
            </w:r>
          </w:p>
        </w:tc>
      </w:tr>
    </w:tbl>
    <w:p>
      <w:pPr>
        <w:tabs>
          <w:tab w:val="left" w:pos="859"/>
        </w:tabs>
        <w:jc w:val="both"/>
        <w:rPr>
          <w:rFonts w:hint="eastAsia" w:eastAsia="宋体"/>
          <w:lang w:val="en-US" w:eastAsia="zh-CN"/>
        </w:rPr>
      </w:pPr>
    </w:p>
    <w:p>
      <w:pPr>
        <w:tabs>
          <w:tab w:val="left" w:pos="859"/>
        </w:tabs>
        <w:jc w:val="center"/>
        <w:rPr>
          <w:rFonts w:hint="eastAsia" w:eastAsia="宋体"/>
          <w:lang w:val="en-US" w:eastAsia="zh-CN"/>
        </w:rPr>
      </w:pPr>
    </w:p>
    <w:p>
      <w:pPr>
        <w:tabs>
          <w:tab w:val="left" w:pos="859"/>
        </w:tabs>
        <w:jc w:val="both"/>
        <w:rPr>
          <w:rFonts w:hint="eastAsia" w:eastAsia="宋体"/>
          <w:lang w:val="en-US" w:eastAsia="zh-CN"/>
        </w:rPr>
      </w:pPr>
    </w:p>
    <w:p>
      <w:pPr>
        <w:spacing w:line="1" w:lineRule="exact"/>
        <w:jc w:val="left"/>
        <w:rPr>
          <w:lang w:eastAsia="zh-CN"/>
        </w:rPr>
        <w:sectPr>
          <w:headerReference r:id="rId8" w:type="default"/>
          <w:footerReference r:id="rId9" w:type="default"/>
          <w:pgSz w:w="16840" w:h="11900" w:orient="landscape"/>
          <w:pgMar w:top="2709" w:right="764" w:bottom="2709" w:left="735" w:header="2281" w:footer="1474" w:gutter="0"/>
          <w:pgBorders>
            <w:top w:val="none" w:sz="0" w:space="0"/>
            <w:left w:val="none" w:sz="0" w:space="0"/>
            <w:bottom w:val="none" w:sz="0" w:space="0"/>
            <w:right w:val="none" w:sz="0" w:space="0"/>
          </w:pgBorders>
          <w:pgNumType w:fmt="decimal"/>
          <w:cols w:space="720" w:num="1"/>
          <w:docGrid w:linePitch="360" w:charSpace="0"/>
        </w:sectPr>
      </w:pPr>
    </w:p>
    <w:p>
      <w:pPr>
        <w:pStyle w:val="22"/>
        <w:keepNext/>
        <w:keepLines/>
        <w:spacing w:after="240"/>
        <w:jc w:val="center"/>
      </w:pPr>
      <w:bookmarkStart w:id="19" w:name="bookmark41"/>
      <w:bookmarkStart w:id="20" w:name="bookmark42"/>
      <w:bookmarkStart w:id="21" w:name="bookmark43"/>
      <w:r>
        <w:t>支出总体情况表</w:t>
      </w:r>
      <w:bookmarkEnd w:id="19"/>
      <w:bookmarkEnd w:id="20"/>
      <w:bookmarkEnd w:id="21"/>
    </w:p>
    <w:tbl>
      <w:tblPr>
        <w:tblStyle w:val="4"/>
        <w:tblW w:w="0" w:type="auto"/>
        <w:tblInd w:w="0" w:type="dxa"/>
        <w:tblLayout w:type="fixed"/>
        <w:tblCellMar>
          <w:top w:w="0" w:type="dxa"/>
          <w:left w:w="10" w:type="dxa"/>
          <w:bottom w:w="0" w:type="dxa"/>
          <w:right w:w="10" w:type="dxa"/>
        </w:tblCellMar>
      </w:tblPr>
      <w:tblGrid>
        <w:gridCol w:w="1843"/>
        <w:gridCol w:w="1934"/>
        <w:gridCol w:w="2390"/>
        <w:gridCol w:w="2280"/>
        <w:gridCol w:w="2299"/>
        <w:gridCol w:w="2222"/>
        <w:gridCol w:w="2371"/>
      </w:tblGrid>
      <w:tr>
        <w:tblPrEx>
          <w:tblCellMar>
            <w:top w:w="0" w:type="dxa"/>
            <w:left w:w="10" w:type="dxa"/>
            <w:bottom w:w="0" w:type="dxa"/>
            <w:right w:w="10" w:type="dxa"/>
          </w:tblCellMar>
        </w:tblPrEx>
        <w:trPr>
          <w:trHeight w:val="346" w:hRule="exact"/>
        </w:trPr>
        <w:tc>
          <w:tcPr>
            <w:tcW w:w="12968" w:type="dxa"/>
            <w:gridSpan w:val="6"/>
            <w:shd w:val="clear" w:color="auto" w:fill="FFFFFF"/>
          </w:tcPr>
          <w:p>
            <w:pPr>
              <w:pStyle w:val="24"/>
              <w:spacing w:line="240" w:lineRule="auto"/>
              <w:ind w:firstLine="0"/>
              <w:jc w:val="left"/>
              <w:rPr>
                <w:sz w:val="17"/>
                <w:szCs w:val="17"/>
              </w:rPr>
            </w:pPr>
            <w:r>
              <w:rPr>
                <w:sz w:val="17"/>
                <w:szCs w:val="17"/>
              </w:rPr>
              <w:t>单位名称：</w:t>
            </w:r>
            <w:r>
              <w:rPr>
                <w:rFonts w:hint="eastAsia"/>
                <w:sz w:val="17"/>
                <w:szCs w:val="17"/>
                <w:lang w:eastAsia="zh-CN"/>
              </w:rPr>
              <w:t>环江毛南族自治县川山镇初级中学</w:t>
            </w:r>
          </w:p>
        </w:tc>
        <w:tc>
          <w:tcPr>
            <w:tcW w:w="2371" w:type="dxa"/>
            <w:shd w:val="clear" w:color="auto" w:fill="FFFFFF"/>
          </w:tcPr>
          <w:p>
            <w:pPr>
              <w:pStyle w:val="24"/>
              <w:spacing w:line="240" w:lineRule="auto"/>
              <w:ind w:firstLine="1190" w:firstLineChars="700"/>
              <w:jc w:val="left"/>
              <w:rPr>
                <w:sz w:val="17"/>
                <w:szCs w:val="17"/>
              </w:rPr>
            </w:pPr>
            <w:r>
              <w:rPr>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科目编码</w:t>
            </w:r>
          </w:p>
        </w:tc>
        <w:tc>
          <w:tcPr>
            <w:tcW w:w="1934"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jc w:val="left"/>
              <w:rPr>
                <w:sz w:val="17"/>
                <w:szCs w:val="17"/>
              </w:rPr>
            </w:pPr>
            <w:r>
              <w:rPr>
                <w:sz w:val="17"/>
                <w:szCs w:val="17"/>
              </w:rPr>
              <w:t>部门（单位）代码</w:t>
            </w:r>
          </w:p>
        </w:tc>
        <w:tc>
          <w:tcPr>
            <w:tcW w:w="2390" w:type="dxa"/>
            <w:tcBorders>
              <w:top w:val="single" w:color="auto" w:sz="4" w:space="0"/>
              <w:left w:val="single" w:color="auto" w:sz="4" w:space="0"/>
              <w:bottom w:val="single" w:color="auto" w:sz="4" w:space="0"/>
            </w:tcBorders>
            <w:shd w:val="clear" w:color="auto" w:fill="FFFFFF"/>
            <w:vAlign w:val="center"/>
          </w:tcPr>
          <w:p>
            <w:pPr>
              <w:pStyle w:val="24"/>
              <w:spacing w:after="120" w:line="240" w:lineRule="auto"/>
              <w:ind w:firstLine="0"/>
              <w:jc w:val="left"/>
              <w:rPr>
                <w:sz w:val="17"/>
                <w:szCs w:val="17"/>
              </w:rPr>
            </w:pPr>
            <w:r>
              <w:rPr>
                <w:sz w:val="17"/>
                <w:szCs w:val="17"/>
              </w:rPr>
              <w:t>部门（单位）名称</w:t>
            </w:r>
          </w:p>
          <w:p>
            <w:pPr>
              <w:pStyle w:val="24"/>
              <w:spacing w:line="240" w:lineRule="auto"/>
              <w:ind w:firstLine="0"/>
              <w:jc w:val="left"/>
              <w:rPr>
                <w:sz w:val="17"/>
                <w:szCs w:val="17"/>
              </w:rPr>
            </w:pPr>
            <w:r>
              <w:rPr>
                <w:sz w:val="17"/>
                <w:szCs w:val="17"/>
              </w:rPr>
              <w:t>（功能分类科目名称）</w:t>
            </w:r>
          </w:p>
        </w:tc>
        <w:tc>
          <w:tcPr>
            <w:tcW w:w="228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合计</w:t>
            </w:r>
          </w:p>
        </w:tc>
        <w:tc>
          <w:tcPr>
            <w:tcW w:w="2299"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基本支出</w:t>
            </w:r>
          </w:p>
        </w:tc>
        <w:tc>
          <w:tcPr>
            <w:tcW w:w="222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项目支出</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sz w:val="17"/>
                <w:szCs w:val="17"/>
              </w:rPr>
            </w:pPr>
            <w:r>
              <w:rPr>
                <w:sz w:val="17"/>
                <w:szCs w:val="17"/>
              </w:rPr>
              <w:t>结转下年支出</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合计</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1138.17</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1093.66</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44.51</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201046</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1138.17</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1093.66</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44.51</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2012999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其他群众团体事务支出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13.90</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13.90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2050203</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初中教育</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942.71</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898.58</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44.14</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2050701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特殊学校教育</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0.37</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0.37</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2080505</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机关事业单位基本养老保险缴费支出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98.51</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98.51</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2210201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住房公积金</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82.67</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82.67</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bl>
    <w:p>
      <w:pPr>
        <w:pStyle w:val="26"/>
        <w:ind w:left="672"/>
        <w:jc w:val="left"/>
      </w:pPr>
      <w:r>
        <w:t>注：本报表金额单位转换时可能存在四舍五入尾数误差。</w:t>
      </w:r>
      <w:r>
        <w:br w:type="page"/>
      </w:r>
    </w:p>
    <w:p>
      <w:pPr>
        <w:pStyle w:val="22"/>
        <w:keepNext/>
        <w:keepLines/>
        <w:spacing w:after="240"/>
        <w:jc w:val="center"/>
      </w:pPr>
      <w:bookmarkStart w:id="22" w:name="bookmark45"/>
      <w:bookmarkStart w:id="23" w:name="bookmark46"/>
      <w:bookmarkStart w:id="24" w:name="bookmark44"/>
      <w:r>
        <w:t>财政拨款收支总体情况表</w:t>
      </w:r>
      <w:bookmarkEnd w:id="22"/>
      <w:bookmarkEnd w:id="23"/>
      <w:bookmarkEnd w:id="24"/>
    </w:p>
    <w:tbl>
      <w:tblPr>
        <w:tblStyle w:val="4"/>
        <w:tblW w:w="0" w:type="auto"/>
        <w:tblInd w:w="0" w:type="dxa"/>
        <w:tblLayout w:type="fixed"/>
        <w:tblCellMar>
          <w:top w:w="0" w:type="dxa"/>
          <w:left w:w="10" w:type="dxa"/>
          <w:bottom w:w="0" w:type="dxa"/>
          <w:right w:w="10" w:type="dxa"/>
        </w:tblCellMar>
      </w:tblPr>
      <w:tblGrid>
        <w:gridCol w:w="2885"/>
        <w:gridCol w:w="955"/>
        <w:gridCol w:w="3830"/>
        <w:gridCol w:w="3826"/>
        <w:gridCol w:w="3845"/>
        <w:gridCol w:w="1"/>
      </w:tblGrid>
      <w:tr>
        <w:tblPrEx>
          <w:tblCellMar>
            <w:top w:w="0" w:type="dxa"/>
            <w:left w:w="10" w:type="dxa"/>
            <w:bottom w:w="0" w:type="dxa"/>
            <w:right w:w="10" w:type="dxa"/>
          </w:tblCellMar>
        </w:tblPrEx>
        <w:trPr>
          <w:gridAfter w:val="1"/>
          <w:wAfter w:w="1" w:type="dxa"/>
          <w:trHeight w:val="346" w:hRule="exact"/>
        </w:trPr>
        <w:tc>
          <w:tcPr>
            <w:tcW w:w="11496" w:type="dxa"/>
            <w:gridSpan w:val="4"/>
            <w:shd w:val="clear" w:color="auto" w:fill="FFFFFF"/>
          </w:tcPr>
          <w:p>
            <w:pPr>
              <w:pStyle w:val="24"/>
              <w:spacing w:line="240" w:lineRule="auto"/>
              <w:ind w:firstLine="0"/>
              <w:jc w:val="left"/>
              <w:rPr>
                <w:rFonts w:hint="default"/>
                <w:sz w:val="17"/>
                <w:szCs w:val="17"/>
                <w:lang w:val="en-US"/>
              </w:rPr>
            </w:pPr>
            <w:r>
              <w:rPr>
                <w:sz w:val="17"/>
                <w:szCs w:val="17"/>
              </w:rPr>
              <w:t>单位名称：</w:t>
            </w:r>
            <w:r>
              <w:rPr>
                <w:rFonts w:hint="eastAsia"/>
                <w:sz w:val="17"/>
                <w:szCs w:val="17"/>
                <w:lang w:eastAsia="zh-CN"/>
              </w:rPr>
              <w:t>环江毛南族自治县川山镇初级中学</w:t>
            </w:r>
            <w:r>
              <w:rPr>
                <w:rFonts w:hint="eastAsia"/>
                <w:sz w:val="17"/>
                <w:szCs w:val="17"/>
                <w:lang w:val="en-US" w:eastAsia="zh-CN"/>
              </w:rPr>
              <w:t xml:space="preserve">                         </w:t>
            </w:r>
          </w:p>
        </w:tc>
        <w:tc>
          <w:tcPr>
            <w:tcW w:w="3845" w:type="dxa"/>
            <w:shd w:val="clear" w:color="auto" w:fill="FFFFFF"/>
          </w:tcPr>
          <w:p>
            <w:pPr>
              <w:pStyle w:val="24"/>
              <w:spacing w:line="240" w:lineRule="auto"/>
              <w:jc w:val="left"/>
              <w:rPr>
                <w:sz w:val="17"/>
                <w:szCs w:val="17"/>
              </w:rPr>
            </w:pPr>
            <w:r>
              <w:rPr>
                <w:sz w:val="17"/>
                <w:szCs w:val="17"/>
              </w:rPr>
              <w:t>单位：万元</w:t>
            </w:r>
          </w:p>
        </w:tc>
      </w:tr>
      <w:tr>
        <w:tblPrEx>
          <w:tblCellMar>
            <w:top w:w="0" w:type="dxa"/>
            <w:left w:w="10" w:type="dxa"/>
            <w:bottom w:w="0" w:type="dxa"/>
            <w:right w:w="10" w:type="dxa"/>
          </w:tblCellMar>
        </w:tblPrEx>
        <w:trPr>
          <w:gridAfter w:val="1"/>
          <w:wAfter w:w="1" w:type="dxa"/>
          <w:trHeight w:val="437" w:hRule="exact"/>
        </w:trPr>
        <w:tc>
          <w:tcPr>
            <w:tcW w:w="2885" w:type="dxa"/>
            <w:tcBorders>
              <w:top w:val="single" w:color="auto" w:sz="4" w:space="0"/>
              <w:left w:val="single" w:color="auto" w:sz="4" w:space="0"/>
            </w:tcBorders>
            <w:shd w:val="clear" w:color="auto" w:fill="FFFFFF"/>
          </w:tcPr>
          <w:p>
            <w:pPr>
              <w:jc w:val="left"/>
              <w:rPr>
                <w:sz w:val="10"/>
                <w:szCs w:val="10"/>
              </w:rPr>
            </w:pPr>
          </w:p>
        </w:tc>
        <w:tc>
          <w:tcPr>
            <w:tcW w:w="955" w:type="dxa"/>
            <w:tcBorders>
              <w:top w:val="single" w:color="auto" w:sz="4" w:space="0"/>
            </w:tcBorders>
            <w:shd w:val="clear" w:color="auto" w:fill="FFFFFF"/>
            <w:vAlign w:val="center"/>
          </w:tcPr>
          <w:p>
            <w:pPr>
              <w:pStyle w:val="24"/>
              <w:spacing w:line="240" w:lineRule="auto"/>
              <w:ind w:firstLine="0"/>
              <w:jc w:val="left"/>
              <w:rPr>
                <w:sz w:val="17"/>
                <w:szCs w:val="17"/>
              </w:rPr>
            </w:pPr>
            <w:r>
              <w:rPr>
                <w:sz w:val="17"/>
                <w:szCs w:val="17"/>
              </w:rPr>
              <w:t>收</w:t>
            </w:r>
          </w:p>
        </w:tc>
        <w:tc>
          <w:tcPr>
            <w:tcW w:w="3830" w:type="dxa"/>
            <w:tcBorders>
              <w:top w:val="single" w:color="auto" w:sz="4" w:space="0"/>
            </w:tcBorders>
            <w:shd w:val="clear" w:color="auto" w:fill="FFFFFF"/>
            <w:vAlign w:val="center"/>
          </w:tcPr>
          <w:p>
            <w:pPr>
              <w:pStyle w:val="24"/>
              <w:spacing w:line="240" w:lineRule="auto"/>
              <w:ind w:firstLine="340"/>
              <w:jc w:val="left"/>
              <w:rPr>
                <w:sz w:val="17"/>
                <w:szCs w:val="17"/>
              </w:rPr>
            </w:pPr>
            <w:r>
              <w:rPr>
                <w:sz w:val="17"/>
                <w:szCs w:val="17"/>
              </w:rPr>
              <w:t>入</w:t>
            </w:r>
          </w:p>
        </w:tc>
        <w:tc>
          <w:tcPr>
            <w:tcW w:w="3826" w:type="dxa"/>
            <w:tcBorders>
              <w:top w:val="single" w:color="auto" w:sz="4" w:space="0"/>
              <w:left w:val="single" w:color="auto" w:sz="4" w:space="0"/>
            </w:tcBorders>
            <w:shd w:val="clear" w:color="auto" w:fill="FFFFFF"/>
            <w:vAlign w:val="center"/>
          </w:tcPr>
          <w:p>
            <w:pPr>
              <w:pStyle w:val="24"/>
              <w:spacing w:line="240" w:lineRule="auto"/>
              <w:ind w:right="340" w:firstLine="2720" w:firstLineChars="1600"/>
              <w:jc w:val="left"/>
              <w:rPr>
                <w:sz w:val="17"/>
                <w:szCs w:val="17"/>
              </w:rPr>
            </w:pPr>
            <w:r>
              <w:rPr>
                <w:sz w:val="17"/>
                <w:szCs w:val="17"/>
              </w:rPr>
              <w:t>支</w:t>
            </w:r>
          </w:p>
        </w:tc>
        <w:tc>
          <w:tcPr>
            <w:tcW w:w="3845" w:type="dxa"/>
            <w:tcBorders>
              <w:top w:val="single" w:color="auto" w:sz="4" w:space="0"/>
              <w:right w:val="single" w:color="auto" w:sz="4" w:space="0"/>
            </w:tcBorders>
            <w:shd w:val="clear" w:color="auto" w:fill="FFFFFF"/>
            <w:vAlign w:val="center"/>
          </w:tcPr>
          <w:p>
            <w:pPr>
              <w:pStyle w:val="24"/>
              <w:spacing w:line="240" w:lineRule="auto"/>
              <w:ind w:firstLine="935" w:firstLineChars="550"/>
              <w:jc w:val="left"/>
              <w:rPr>
                <w:sz w:val="17"/>
                <w:szCs w:val="17"/>
              </w:rPr>
            </w:pPr>
            <w:r>
              <w:rPr>
                <w:sz w:val="17"/>
                <w:szCs w:val="17"/>
              </w:rPr>
              <w:t>出</w:t>
            </w:r>
          </w:p>
        </w:tc>
      </w:tr>
      <w:tr>
        <w:tblPrEx>
          <w:tblCellMar>
            <w:top w:w="0" w:type="dxa"/>
            <w:left w:w="10" w:type="dxa"/>
            <w:bottom w:w="0" w:type="dxa"/>
            <w:right w:w="10" w:type="dxa"/>
          </w:tblCellMar>
        </w:tblPrEx>
        <w:trPr>
          <w:gridAfter w:val="1"/>
          <w:wAfter w:w="1" w:type="dxa"/>
          <w:trHeight w:val="451" w:hRule="exact"/>
        </w:trPr>
        <w:tc>
          <w:tcPr>
            <w:tcW w:w="3840" w:type="dxa"/>
            <w:gridSpan w:val="2"/>
            <w:tcBorders>
              <w:top w:val="single" w:color="auto" w:sz="4" w:space="0"/>
              <w:left w:val="single" w:color="auto" w:sz="4" w:space="0"/>
            </w:tcBorders>
            <w:shd w:val="clear" w:color="auto" w:fill="FFFFFF"/>
            <w:vAlign w:val="center"/>
          </w:tcPr>
          <w:p>
            <w:pPr>
              <w:pStyle w:val="24"/>
              <w:spacing w:line="240" w:lineRule="auto"/>
              <w:ind w:firstLine="0"/>
              <w:jc w:val="center"/>
              <w:rPr>
                <w:sz w:val="17"/>
                <w:szCs w:val="17"/>
              </w:rPr>
            </w:pPr>
            <w:r>
              <w:rPr>
                <w:sz w:val="17"/>
                <w:szCs w:val="17"/>
              </w:rPr>
              <w:t>项目</w:t>
            </w:r>
          </w:p>
        </w:tc>
        <w:tc>
          <w:tcPr>
            <w:tcW w:w="3830" w:type="dxa"/>
            <w:tcBorders>
              <w:top w:val="single" w:color="auto" w:sz="4" w:space="0"/>
              <w:left w:val="single" w:color="auto" w:sz="4" w:space="0"/>
            </w:tcBorders>
            <w:shd w:val="clear" w:color="auto" w:fill="FFFFFF"/>
            <w:vAlign w:val="center"/>
          </w:tcPr>
          <w:p>
            <w:pPr>
              <w:pStyle w:val="24"/>
              <w:spacing w:line="240" w:lineRule="auto"/>
              <w:ind w:firstLine="0"/>
              <w:jc w:val="center"/>
              <w:rPr>
                <w:sz w:val="17"/>
                <w:szCs w:val="17"/>
              </w:rPr>
            </w:pPr>
            <w:r>
              <w:rPr>
                <w:sz w:val="17"/>
                <w:szCs w:val="17"/>
              </w:rPr>
              <w:t>预算数</w:t>
            </w:r>
          </w:p>
        </w:tc>
        <w:tc>
          <w:tcPr>
            <w:tcW w:w="3826" w:type="dxa"/>
            <w:tcBorders>
              <w:top w:val="single" w:color="auto" w:sz="4" w:space="0"/>
              <w:left w:val="single" w:color="auto" w:sz="4" w:space="0"/>
            </w:tcBorders>
            <w:shd w:val="clear" w:color="auto" w:fill="FFFFFF"/>
            <w:vAlign w:val="center"/>
          </w:tcPr>
          <w:p>
            <w:pPr>
              <w:pStyle w:val="24"/>
              <w:tabs>
                <w:tab w:val="left" w:pos="1034"/>
              </w:tabs>
              <w:spacing w:line="240" w:lineRule="auto"/>
              <w:ind w:firstLine="540"/>
              <w:jc w:val="center"/>
              <w:rPr>
                <w:sz w:val="17"/>
                <w:szCs w:val="17"/>
              </w:rPr>
            </w:pPr>
            <w:r>
              <w:rPr>
                <w:sz w:val="17"/>
                <w:szCs w:val="17"/>
              </w:rPr>
              <w:t>项</w:t>
            </w:r>
            <w:r>
              <w:rPr>
                <w:sz w:val="17"/>
                <w:szCs w:val="17"/>
              </w:rPr>
              <w:tab/>
            </w:r>
            <w:r>
              <w:rPr>
                <w:sz w:val="17"/>
                <w:szCs w:val="17"/>
              </w:rPr>
              <w:t>目（按支出功能科目分类）</w:t>
            </w:r>
          </w:p>
        </w:tc>
        <w:tc>
          <w:tcPr>
            <w:tcW w:w="3845"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sz w:val="17"/>
                <w:szCs w:val="17"/>
              </w:rPr>
            </w:pPr>
            <w:r>
              <w:rPr>
                <w:sz w:val="17"/>
                <w:szCs w:val="17"/>
              </w:rPr>
              <w:t>预算数</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一、一般公共预算拨款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1110.76</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一、一般公共服务支出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13.90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二、外交支出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1110.76</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三、国防支出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二、政府性基金预算拨款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四、公共安全支出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五、教育支出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943.09</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六、科学技术支出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三、国有资本经营预算拨款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七、文化旅游体育与传媒支出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八、社会保障和就业支出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98.51</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九、卫生健康支出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十、节能环保支出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十一、城乡社区支出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十二、农林水支出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十三、交通运输支出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十四、资源勘探工业信息等支出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十五、商业服务业等支出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十六、金融支出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十七、援助其他地区支出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十八、自然资源海洋气象等支出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十九、住房保障支出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82.67</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二十、粮油物资储备支出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二十一、国有资本经营预算支出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二十二、灾害防治及应急管理支出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二十三、其他支出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二十四、债务还本支出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二十五、债务付息支出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二十六、债务发行费用支出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本年收入合计</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1110.76</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本年支出合计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1138.17</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上年结转结余</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27.41</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结转下年支出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收入总计</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1138.17</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支出总计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1138.17</w:t>
            </w:r>
          </w:p>
        </w:tc>
      </w:tr>
      <w:tr>
        <w:tblPrEx>
          <w:tblCellMar>
            <w:top w:w="0" w:type="dxa"/>
            <w:left w:w="10" w:type="dxa"/>
            <w:bottom w:w="0" w:type="dxa"/>
            <w:right w:w="10" w:type="dxa"/>
          </w:tblCellMar>
        </w:tblPrEx>
        <w:trPr>
          <w:trHeight w:val="352" w:hRule="exact"/>
        </w:trPr>
        <w:tc>
          <w:tcPr>
            <w:tcW w:w="15342" w:type="dxa"/>
            <w:gridSpan w:val="6"/>
            <w:tcBorders>
              <w:top w:val="single" w:color="auto" w:sz="4" w:space="0"/>
            </w:tcBorders>
            <w:shd w:val="clear" w:color="auto" w:fill="FFFFFF"/>
          </w:tcPr>
          <w:p>
            <w:pPr>
              <w:jc w:val="left"/>
              <w:rPr>
                <w:sz w:val="10"/>
                <w:szCs w:val="10"/>
                <w:lang w:eastAsia="zh-CN"/>
              </w:rPr>
            </w:pPr>
            <w:r>
              <w:rPr>
                <w:sz w:val="17"/>
                <w:szCs w:val="17"/>
              </w:rPr>
              <w:t>注：表中功能分类科目，根据各部门实际预算编制情况编列。</w:t>
            </w:r>
          </w:p>
        </w:tc>
      </w:tr>
      <w:tr>
        <w:tblPrEx>
          <w:tblCellMar>
            <w:top w:w="0" w:type="dxa"/>
            <w:left w:w="10" w:type="dxa"/>
            <w:bottom w:w="0" w:type="dxa"/>
            <w:right w:w="10" w:type="dxa"/>
          </w:tblCellMar>
        </w:tblPrEx>
        <w:trPr>
          <w:trHeight w:val="274" w:hRule="exact"/>
        </w:trPr>
        <w:tc>
          <w:tcPr>
            <w:tcW w:w="15342" w:type="dxa"/>
            <w:gridSpan w:val="6"/>
            <w:shd w:val="clear" w:color="auto" w:fill="FFFFFF"/>
            <w:vAlign w:val="bottom"/>
          </w:tcPr>
          <w:p>
            <w:pPr>
              <w:jc w:val="left"/>
              <w:rPr>
                <w:sz w:val="10"/>
                <w:szCs w:val="10"/>
                <w:lang w:eastAsia="zh-CN"/>
              </w:rPr>
            </w:pPr>
            <w:r>
              <w:rPr>
                <w:sz w:val="17"/>
                <w:szCs w:val="17"/>
              </w:rPr>
              <w:t>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一般公共预算支出情况表</w:t>
      </w:r>
    </w:p>
    <w:p>
      <w:pPr>
        <w:jc w:val="center"/>
        <w:rPr>
          <w:rFonts w:hint="eastAsia"/>
          <w:lang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6"/>
        <w:gridCol w:w="1529"/>
        <w:gridCol w:w="1491"/>
        <w:gridCol w:w="1829"/>
        <w:gridCol w:w="2136"/>
        <w:gridCol w:w="1889"/>
        <w:gridCol w:w="1707"/>
        <w:gridCol w:w="70"/>
        <w:gridCol w:w="1664"/>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6" w:type="dxa"/>
            <w:gridSpan w:val="7"/>
            <w:tcBorders>
              <w:top w:val="nil"/>
              <w:left w:val="nil"/>
              <w:right w:val="nil"/>
            </w:tcBorders>
          </w:tcPr>
          <w:p>
            <w:pPr>
              <w:jc w:val="left"/>
              <w:rPr>
                <w:rFonts w:hint="eastAsia"/>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环江毛南族自治县川山镇初级中学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hint="eastAsia" w:ascii="宋体" w:hAnsi="宋体" w:eastAsia="宋体" w:cs="宋体"/>
                <w:sz w:val="16"/>
                <w:szCs w:val="16"/>
                <w:vertAlign w:val="baseli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restart"/>
          </w:tcPr>
          <w:p>
            <w:pPr>
              <w:jc w:val="center"/>
              <w:rPr>
                <w:rFonts w:hint="eastAsia"/>
                <w:vertAlign w:val="baseline"/>
                <w:lang w:eastAsia="zh-CN"/>
              </w:rPr>
            </w:pPr>
            <w:r>
              <w:rPr>
                <w:sz w:val="17"/>
                <w:szCs w:val="17"/>
              </w:rPr>
              <w:t>科目编码</w:t>
            </w:r>
          </w:p>
        </w:tc>
        <w:tc>
          <w:tcPr>
            <w:tcW w:w="1676" w:type="dxa"/>
            <w:vMerge w:val="restart"/>
          </w:tcPr>
          <w:p>
            <w:pPr>
              <w:jc w:val="center"/>
              <w:rPr>
                <w:rFonts w:hint="eastAsia"/>
                <w:vertAlign w:val="baseline"/>
                <w:lang w:eastAsia="zh-CN"/>
              </w:rPr>
            </w:pPr>
            <w:r>
              <w:rPr>
                <w:sz w:val="17"/>
                <w:szCs w:val="17"/>
              </w:rPr>
              <w:t>部门（单位）代码</w:t>
            </w:r>
          </w:p>
        </w:tc>
        <w:tc>
          <w:tcPr>
            <w:tcW w:w="1662" w:type="dxa"/>
            <w:vMerge w:val="restart"/>
          </w:tcPr>
          <w:p>
            <w:pPr>
              <w:pStyle w:val="24"/>
              <w:spacing w:after="120" w:line="240" w:lineRule="auto"/>
              <w:ind w:firstLine="0"/>
              <w:jc w:val="center"/>
              <w:rPr>
                <w:sz w:val="17"/>
                <w:szCs w:val="17"/>
              </w:rPr>
            </w:pPr>
            <w:r>
              <w:rPr>
                <w:sz w:val="17"/>
                <w:szCs w:val="17"/>
              </w:rPr>
              <w:t>部门（单位）名称</w:t>
            </w:r>
          </w:p>
          <w:p>
            <w:pPr>
              <w:jc w:val="center"/>
              <w:rPr>
                <w:rFonts w:hint="eastAsia"/>
                <w:vertAlign w:val="baseline"/>
                <w:lang w:eastAsia="zh-CN"/>
              </w:rPr>
            </w:pPr>
            <w:r>
              <w:rPr>
                <w:sz w:val="17"/>
                <w:szCs w:val="17"/>
              </w:rPr>
              <w:t>（功能分类科目名称）</w:t>
            </w:r>
          </w:p>
        </w:tc>
        <w:tc>
          <w:tcPr>
            <w:tcW w:w="1717" w:type="dxa"/>
            <w:vMerge w:val="restart"/>
          </w:tcPr>
          <w:p>
            <w:pPr>
              <w:jc w:val="center"/>
              <w:rPr>
                <w:rFonts w:hint="eastAsia"/>
                <w:vertAlign w:val="baseline"/>
                <w:lang w:eastAsia="zh-CN"/>
              </w:rPr>
            </w:pPr>
            <w:r>
              <w:rPr>
                <w:sz w:val="17"/>
                <w:szCs w:val="17"/>
              </w:rPr>
              <w:t>合计</w:t>
            </w:r>
          </w:p>
        </w:tc>
        <w:tc>
          <w:tcPr>
            <w:tcW w:w="5398" w:type="dxa"/>
            <w:gridSpan w:val="4"/>
          </w:tcPr>
          <w:p>
            <w:pPr>
              <w:jc w:val="center"/>
              <w:rPr>
                <w:rFonts w:hint="eastAsia"/>
                <w:vertAlign w:val="baseline"/>
                <w:lang w:eastAsia="zh-CN"/>
              </w:rPr>
            </w:pPr>
            <w:r>
              <w:rPr>
                <w:sz w:val="17"/>
                <w:szCs w:val="17"/>
              </w:rPr>
              <w:t>基本支出</w:t>
            </w:r>
          </w:p>
        </w:tc>
        <w:tc>
          <w:tcPr>
            <w:tcW w:w="1694" w:type="dxa"/>
            <w:vMerge w:val="restart"/>
          </w:tcPr>
          <w:p>
            <w:pPr>
              <w:jc w:val="center"/>
              <w:rPr>
                <w:rFonts w:hint="eastAsia"/>
                <w:vertAlign w:val="baseline"/>
                <w:lang w:eastAsia="zh-CN"/>
              </w:rPr>
            </w:pPr>
            <w:r>
              <w:rPr>
                <w:sz w:val="17"/>
                <w:szCs w:val="17"/>
              </w:rPr>
              <w:t>项目支出</w:t>
            </w:r>
          </w:p>
        </w:tc>
        <w:tc>
          <w:tcPr>
            <w:tcW w:w="1695" w:type="dxa"/>
            <w:vMerge w:val="restart"/>
          </w:tcPr>
          <w:p>
            <w:pPr>
              <w:jc w:val="center"/>
              <w:rPr>
                <w:rFonts w:hint="eastAsia"/>
                <w:vertAlign w:val="baseline"/>
                <w:lang w:eastAsia="zh-CN"/>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continue"/>
          </w:tcPr>
          <w:p>
            <w:pPr>
              <w:jc w:val="center"/>
              <w:rPr>
                <w:rFonts w:hint="eastAsia"/>
                <w:vertAlign w:val="baseline"/>
                <w:lang w:eastAsia="zh-CN"/>
              </w:rPr>
            </w:pPr>
          </w:p>
        </w:tc>
        <w:tc>
          <w:tcPr>
            <w:tcW w:w="1676" w:type="dxa"/>
            <w:vMerge w:val="continue"/>
          </w:tcPr>
          <w:p>
            <w:pPr>
              <w:jc w:val="center"/>
              <w:rPr>
                <w:rFonts w:hint="eastAsia"/>
                <w:vertAlign w:val="baseline"/>
                <w:lang w:eastAsia="zh-CN"/>
              </w:rPr>
            </w:pPr>
          </w:p>
        </w:tc>
        <w:tc>
          <w:tcPr>
            <w:tcW w:w="1662" w:type="dxa"/>
            <w:vMerge w:val="continue"/>
          </w:tcPr>
          <w:p>
            <w:pPr>
              <w:jc w:val="center"/>
              <w:rPr>
                <w:rFonts w:hint="eastAsia"/>
                <w:vertAlign w:val="baseline"/>
                <w:lang w:eastAsia="zh-CN"/>
              </w:rPr>
            </w:pPr>
          </w:p>
        </w:tc>
        <w:tc>
          <w:tcPr>
            <w:tcW w:w="1717" w:type="dxa"/>
            <w:vMerge w:val="continue"/>
          </w:tcPr>
          <w:p>
            <w:pPr>
              <w:jc w:val="center"/>
              <w:rPr>
                <w:rFonts w:hint="eastAsia"/>
                <w:vertAlign w:val="baseline"/>
                <w:lang w:eastAsia="zh-CN"/>
              </w:rPr>
            </w:pPr>
          </w:p>
        </w:tc>
        <w:tc>
          <w:tcPr>
            <w:tcW w:w="1879" w:type="dxa"/>
            <w:vAlign w:val="center"/>
          </w:tcPr>
          <w:p>
            <w:pPr>
              <w:pStyle w:val="24"/>
              <w:spacing w:line="240" w:lineRule="auto"/>
              <w:ind w:firstLine="0" w:firstLineChars="0"/>
              <w:jc w:val="center"/>
              <w:rPr>
                <w:rFonts w:hint="eastAsia"/>
                <w:vertAlign w:val="baseline"/>
                <w:lang w:eastAsia="zh-CN"/>
              </w:rPr>
            </w:pPr>
            <w:r>
              <w:rPr>
                <w:sz w:val="17"/>
                <w:szCs w:val="17"/>
              </w:rPr>
              <w:t>小计</w:t>
            </w:r>
          </w:p>
        </w:tc>
        <w:tc>
          <w:tcPr>
            <w:tcW w:w="1729" w:type="dxa"/>
            <w:vAlign w:val="center"/>
          </w:tcPr>
          <w:p>
            <w:pPr>
              <w:pStyle w:val="24"/>
              <w:spacing w:line="240" w:lineRule="auto"/>
              <w:ind w:firstLine="0" w:firstLineChars="0"/>
              <w:jc w:val="center"/>
              <w:rPr>
                <w:rFonts w:hint="eastAsia"/>
                <w:vertAlign w:val="baseline"/>
                <w:lang w:eastAsia="zh-CN"/>
              </w:rPr>
            </w:pPr>
            <w:r>
              <w:rPr>
                <w:sz w:val="17"/>
                <w:szCs w:val="17"/>
              </w:rPr>
              <w:t>人员经费</w:t>
            </w:r>
          </w:p>
        </w:tc>
        <w:tc>
          <w:tcPr>
            <w:tcW w:w="1790" w:type="dxa"/>
            <w:gridSpan w:val="2"/>
            <w:vAlign w:val="center"/>
          </w:tcPr>
          <w:p>
            <w:pPr>
              <w:pStyle w:val="24"/>
              <w:spacing w:line="240" w:lineRule="auto"/>
              <w:ind w:firstLine="440" w:firstLineChars="0"/>
              <w:jc w:val="center"/>
              <w:rPr>
                <w:rFonts w:hint="eastAsia"/>
                <w:vertAlign w:val="baseline"/>
                <w:lang w:eastAsia="zh-CN"/>
              </w:rPr>
            </w:pPr>
            <w:r>
              <w:rPr>
                <w:sz w:val="17"/>
                <w:szCs w:val="17"/>
              </w:rPr>
              <w:t>公用经费</w:t>
            </w:r>
          </w:p>
        </w:tc>
        <w:tc>
          <w:tcPr>
            <w:tcW w:w="1694" w:type="dxa"/>
            <w:vMerge w:val="continue"/>
          </w:tcPr>
          <w:p>
            <w:pPr>
              <w:jc w:val="center"/>
              <w:rPr>
                <w:rFonts w:hint="eastAsia"/>
                <w:vertAlign w:val="baseline"/>
                <w:lang w:eastAsia="zh-CN"/>
              </w:rPr>
            </w:pPr>
          </w:p>
        </w:tc>
        <w:tc>
          <w:tcPr>
            <w:tcW w:w="1695" w:type="dxa"/>
            <w:vMerge w:val="continue"/>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1</w:t>
            </w:r>
          </w:p>
        </w:tc>
        <w:tc>
          <w:tcPr>
            <w:tcW w:w="1879"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2</w:t>
            </w:r>
          </w:p>
        </w:tc>
        <w:tc>
          <w:tcPr>
            <w:tcW w:w="1729"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3</w:t>
            </w:r>
          </w:p>
        </w:tc>
        <w:tc>
          <w:tcPr>
            <w:tcW w:w="1790" w:type="dxa"/>
            <w:gridSpan w:val="2"/>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4</w:t>
            </w:r>
          </w:p>
        </w:tc>
        <w:tc>
          <w:tcPr>
            <w:tcW w:w="1694" w:type="dxa"/>
            <w:vAlign w:val="center"/>
          </w:tcPr>
          <w:p>
            <w:pPr>
              <w:pStyle w:val="24"/>
              <w:spacing w:line="240" w:lineRule="auto"/>
              <w:ind w:firstLine="660" w:firstLineChars="0"/>
              <w:jc w:val="center"/>
              <w:rPr>
                <w:rFonts w:hint="eastAsia"/>
                <w:vertAlign w:val="baseline"/>
                <w:lang w:eastAsia="zh-CN"/>
              </w:rPr>
            </w:pPr>
            <w:r>
              <w:rPr>
                <w:rFonts w:ascii="Times New Roman" w:hAnsi="Times New Roman" w:eastAsia="Times New Roman" w:cs="Times New Roman"/>
                <w:b/>
                <w:bCs/>
                <w:sz w:val="17"/>
                <w:szCs w:val="17"/>
              </w:rPr>
              <w:t>5</w:t>
            </w:r>
          </w:p>
        </w:tc>
        <w:tc>
          <w:tcPr>
            <w:tcW w:w="1695" w:type="dxa"/>
            <w:vAlign w:val="center"/>
          </w:tcPr>
          <w:p>
            <w:pPr>
              <w:pStyle w:val="24"/>
              <w:spacing w:line="240" w:lineRule="auto"/>
              <w:ind w:right="700" w:rightChars="0" w:firstLine="0" w:firstLineChars="0"/>
              <w:jc w:val="center"/>
              <w:rPr>
                <w:rFonts w:hint="eastAsia"/>
                <w:vertAlign w:val="baseline"/>
                <w:lang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p>
        </w:tc>
        <w:tc>
          <w:tcPr>
            <w:tcW w:w="1676"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201046</w:t>
            </w:r>
          </w:p>
        </w:tc>
        <w:tc>
          <w:tcPr>
            <w:tcW w:w="1662" w:type="dxa"/>
            <w:vAlign w:val="center"/>
          </w:tcPr>
          <w:p>
            <w:pPr>
              <w:pStyle w:val="24"/>
              <w:spacing w:line="240" w:lineRule="auto"/>
              <w:ind w:firstLine="0" w:firstLineChars="0"/>
              <w:jc w:val="center"/>
              <w:rPr>
                <w:rFonts w:hint="eastAsia"/>
                <w:vertAlign w:val="baseline"/>
                <w:lang w:eastAsia="zh-CN"/>
              </w:rPr>
            </w:pP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1138.17</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1093.66</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1079.76</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13.90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44.51</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2012999</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其他群众团体事务支出</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13.90</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13.90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13.90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2050203</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初中教育</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942.71</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898.58</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898.58</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44.14</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2050701</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特殊学校教育</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0.37</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0.37</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2080505</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机关事业单位基本养老保险缴费支出</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98.51</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98.51</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98.51</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2210201</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住房公积金</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82.67</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82.67</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82.67</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0"/>
            <w:tcBorders>
              <w:left w:val="nil"/>
              <w:bottom w:val="nil"/>
              <w:right w:val="nil"/>
            </w:tcBorders>
          </w:tcPr>
          <w:p>
            <w:pPr>
              <w:jc w:val="left"/>
              <w:rPr>
                <w:rFonts w:hint="eastAsia"/>
                <w:vertAlign w:val="baseline"/>
                <w:lang w:eastAsia="zh-CN"/>
              </w:rPr>
            </w:pPr>
            <w:r>
              <w:rPr>
                <w:sz w:val="16"/>
                <w:szCs w:val="16"/>
              </w:rPr>
              <w:t>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22"/>
        <w:keepNext/>
        <w:keepLines/>
        <w:spacing w:after="240"/>
        <w:jc w:val="center"/>
      </w:pPr>
      <w:bookmarkStart w:id="25" w:name="bookmark57"/>
      <w:bookmarkStart w:id="26" w:name="bookmark58"/>
      <w:bookmarkStart w:id="27" w:name="bookmark56"/>
      <w:r>
        <w:t>一般公共预算基本支出情况表</w:t>
      </w:r>
      <w:bookmarkEnd w:id="25"/>
      <w:bookmarkEnd w:id="26"/>
      <w:bookmarkEnd w:id="27"/>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3111"/>
        <w:gridCol w:w="3111"/>
        <w:gridCol w:w="3112"/>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4" w:type="dxa"/>
            <w:gridSpan w:val="4"/>
            <w:tcBorders>
              <w:top w:val="nil"/>
              <w:left w:val="nil"/>
              <w:right w:val="nil"/>
            </w:tcBorders>
          </w:tcPr>
          <w:p>
            <w:pPr>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环江毛南族自治县川山镇初级中学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221" w:type="dxa"/>
            <w:gridSpan w:val="2"/>
          </w:tcPr>
          <w:p>
            <w:pPr>
              <w:jc w:val="left"/>
              <w:rPr>
                <w:vertAlign w:val="baseline"/>
                <w:lang w:eastAsia="zh-CN"/>
              </w:rPr>
            </w:pPr>
            <w:r>
              <w:rPr>
                <w:sz w:val="17"/>
                <w:szCs w:val="17"/>
              </w:rPr>
              <w:t>部门预算支出经济分类科目</w:t>
            </w:r>
          </w:p>
        </w:tc>
        <w:tc>
          <w:tcPr>
            <w:tcW w:w="9336" w:type="dxa"/>
            <w:gridSpan w:val="3"/>
          </w:tcPr>
          <w:p>
            <w:pPr>
              <w:jc w:val="left"/>
              <w:rPr>
                <w:vertAlign w:val="baseline"/>
                <w:lang w:eastAsia="zh-CN"/>
              </w:rPr>
            </w:pPr>
            <w:r>
              <w:rPr>
                <w:sz w:val="17"/>
                <w:szCs w:val="17"/>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10" w:type="dxa"/>
            <w:vAlign w:val="center"/>
          </w:tcPr>
          <w:p>
            <w:pPr>
              <w:pStyle w:val="24"/>
              <w:spacing w:line="240" w:lineRule="auto"/>
              <w:ind w:firstLine="0" w:firstLineChars="0"/>
              <w:jc w:val="center"/>
              <w:rPr>
                <w:vertAlign w:val="baseline"/>
                <w:lang w:eastAsia="zh-CN"/>
              </w:rPr>
            </w:pPr>
            <w:r>
              <w:rPr>
                <w:sz w:val="17"/>
                <w:szCs w:val="17"/>
              </w:rPr>
              <w:t>科目编码</w:t>
            </w:r>
          </w:p>
        </w:tc>
        <w:tc>
          <w:tcPr>
            <w:tcW w:w="3111" w:type="dxa"/>
            <w:vAlign w:val="center"/>
          </w:tcPr>
          <w:p>
            <w:pPr>
              <w:pStyle w:val="24"/>
              <w:spacing w:line="240" w:lineRule="auto"/>
              <w:ind w:firstLine="0" w:firstLineChars="0"/>
              <w:jc w:val="center"/>
              <w:rPr>
                <w:vertAlign w:val="baseline"/>
                <w:lang w:eastAsia="zh-CN"/>
              </w:rPr>
            </w:pPr>
            <w:r>
              <w:rPr>
                <w:sz w:val="17"/>
                <w:szCs w:val="17"/>
              </w:rPr>
              <w:t>科目名称</w:t>
            </w:r>
          </w:p>
        </w:tc>
        <w:tc>
          <w:tcPr>
            <w:tcW w:w="3111" w:type="dxa"/>
            <w:vAlign w:val="center"/>
          </w:tcPr>
          <w:p>
            <w:pPr>
              <w:pStyle w:val="24"/>
              <w:spacing w:line="240" w:lineRule="auto"/>
              <w:ind w:firstLine="0" w:firstLineChars="0"/>
              <w:jc w:val="center"/>
              <w:rPr>
                <w:vertAlign w:val="baseline"/>
                <w:lang w:eastAsia="zh-CN"/>
              </w:rPr>
            </w:pPr>
            <w:r>
              <w:rPr>
                <w:sz w:val="17"/>
                <w:szCs w:val="17"/>
              </w:rPr>
              <w:t>合计</w:t>
            </w:r>
          </w:p>
        </w:tc>
        <w:tc>
          <w:tcPr>
            <w:tcW w:w="3112" w:type="dxa"/>
            <w:vAlign w:val="center"/>
          </w:tcPr>
          <w:p>
            <w:pPr>
              <w:pStyle w:val="24"/>
              <w:spacing w:line="240" w:lineRule="auto"/>
              <w:ind w:firstLine="0" w:firstLineChars="0"/>
              <w:jc w:val="center"/>
              <w:rPr>
                <w:vertAlign w:val="baseline"/>
                <w:lang w:eastAsia="zh-CN"/>
              </w:rPr>
            </w:pPr>
            <w:r>
              <w:rPr>
                <w:sz w:val="17"/>
                <w:szCs w:val="17"/>
              </w:rPr>
              <w:t>人员经费</w:t>
            </w:r>
          </w:p>
        </w:tc>
        <w:tc>
          <w:tcPr>
            <w:tcW w:w="3113" w:type="dxa"/>
            <w:vAlign w:val="center"/>
          </w:tcPr>
          <w:p>
            <w:pPr>
              <w:pStyle w:val="24"/>
              <w:spacing w:line="240" w:lineRule="auto"/>
              <w:ind w:firstLine="0" w:firstLineChars="0"/>
              <w:jc w:val="center"/>
              <w:rPr>
                <w:vertAlign w:val="baseline"/>
                <w:lang w:eastAsia="zh-CN"/>
              </w:rPr>
            </w:pPr>
            <w:r>
              <w:rPr>
                <w:sz w:val="17"/>
                <w:szCs w:val="17"/>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 xml:space="preserve"> </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合计</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1093.66</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1079.76</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工资福利支出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1053.41</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1053.41</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基本工资</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306.78</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306.78</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津贴补贴</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58.26</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58.26</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奖金</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210.86</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210.86</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30107</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绩效工资</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156.29</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156.29</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30108</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机关事业单位基本养老保险缴费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115.54</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115.54</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30110</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职工基本医疗保险缴费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46.21</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46.21</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其他社会保障缴费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5.21</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5.21</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住房公积金</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97.49</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97.49</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30199</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其他工资福利支出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56.77</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56.77</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商品和服务支出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13.90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办公费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30205</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30206</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电费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30207</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邮电费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差旅费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维修（护）费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30226</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劳务费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30228</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工会经费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13.90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对个人和家庭的补助</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26.35</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26.35</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退休费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25.98</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25.98</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30305</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生活补助</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0.36</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0.36</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30308</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助学金</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310</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资本性支出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31002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办公设备购置</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22"/>
        <w:keepNext/>
        <w:keepLines/>
        <w:spacing w:after="240"/>
        <w:jc w:val="center"/>
        <w:rPr>
          <w:rFonts w:hint="default"/>
          <w:sz w:val="28"/>
          <w:szCs w:val="28"/>
          <w:lang w:val="en-US" w:eastAsia="zh-CN"/>
        </w:rPr>
      </w:pPr>
      <w:bookmarkStart w:id="28" w:name="bookmark65"/>
      <w:bookmarkStart w:id="29" w:name="bookmark67"/>
      <w:bookmarkStart w:id="30" w:name="bookmark66"/>
      <w:r>
        <w:rPr>
          <w:rFonts w:hint="default"/>
          <w:sz w:val="28"/>
          <w:szCs w:val="28"/>
          <w:lang w:val="en-US" w:eastAsia="zh-CN"/>
        </w:rPr>
        <w:t>一般公共预算“三公”经费预算表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6"/>
        <w:gridCol w:w="1918"/>
        <w:gridCol w:w="1884"/>
        <w:gridCol w:w="1895"/>
        <w:gridCol w:w="1888"/>
        <w:gridCol w:w="1890"/>
        <w:gridCol w:w="1895"/>
        <w:gridCol w:w="2"/>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6" w:type="dxa"/>
            <w:gridSpan w:val="7"/>
            <w:tcBorders>
              <w:top w:val="nil"/>
              <w:left w:val="nil"/>
              <w:right w:val="nil"/>
            </w:tcBorders>
          </w:tcPr>
          <w:p>
            <w:pPr>
              <w:pStyle w:val="26"/>
              <w:bidi w:val="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环江毛南族自治县川山镇初级中学                                           </w:t>
            </w:r>
            <w:r>
              <w:rPr>
                <w:rFonts w:hint="eastAsia"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1891" w:type="dxa"/>
            <w:gridSpan w:val="2"/>
            <w:tcBorders>
              <w:top w:val="nil"/>
              <w:left w:val="nil"/>
              <w:right w:val="nil"/>
            </w:tcBorders>
          </w:tcPr>
          <w:p>
            <w:pPr>
              <w:pStyle w:val="26"/>
              <w:bidi w:val="0"/>
              <w:ind w:firstLine="480" w:firstLineChars="30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restart"/>
          </w:tcPr>
          <w:p>
            <w:pPr>
              <w:pStyle w:val="26"/>
              <w:bidi w:val="0"/>
              <w:jc w:val="center"/>
              <w:rPr>
                <w:rFonts w:hint="eastAsia"/>
                <w:vertAlign w:val="baseline"/>
                <w:lang w:val="en-US" w:eastAsia="zh-CN"/>
              </w:rPr>
            </w:pPr>
            <w:r>
              <w:rPr>
                <w:sz w:val="17"/>
                <w:szCs w:val="17"/>
              </w:rPr>
              <w:t>门（单位）代码</w:t>
            </w:r>
          </w:p>
        </w:tc>
        <w:tc>
          <w:tcPr>
            <w:tcW w:w="1918" w:type="dxa"/>
            <w:vMerge w:val="restart"/>
          </w:tcPr>
          <w:p>
            <w:pPr>
              <w:pStyle w:val="26"/>
              <w:bidi w:val="0"/>
              <w:jc w:val="center"/>
              <w:rPr>
                <w:rFonts w:hint="eastAsia"/>
                <w:vertAlign w:val="baseline"/>
                <w:lang w:val="en-US" w:eastAsia="zh-CN"/>
              </w:rPr>
            </w:pPr>
            <w:r>
              <w:rPr>
                <w:sz w:val="17"/>
                <w:szCs w:val="17"/>
              </w:rPr>
              <w:t>部门（单位）名称</w:t>
            </w:r>
          </w:p>
        </w:tc>
        <w:tc>
          <w:tcPr>
            <w:tcW w:w="11343" w:type="dxa"/>
            <w:gridSpan w:val="7"/>
          </w:tcPr>
          <w:p>
            <w:pPr>
              <w:pStyle w:val="26"/>
              <w:bidi w:val="0"/>
              <w:jc w:val="center"/>
              <w:rPr>
                <w:rFonts w:hint="eastAsia"/>
                <w:vertAlign w:val="baseline"/>
                <w:lang w:val="en-US" w:eastAsia="zh-CN"/>
              </w:rPr>
            </w:pPr>
            <w:r>
              <w:rPr>
                <w:sz w:val="17"/>
                <w:szCs w:val="17"/>
                <w:lang w:val="zh-CN" w:eastAsia="zh-CN" w:bidi="zh-CN"/>
              </w:rPr>
              <w:t>“三</w:t>
            </w:r>
            <w:r>
              <w:rPr>
                <w:sz w:val="17"/>
                <w:szCs w:val="17"/>
              </w:rPr>
              <w:t>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26"/>
              <w:bidi w:val="0"/>
              <w:jc w:val="center"/>
              <w:rPr>
                <w:rFonts w:hint="eastAsia"/>
                <w:vertAlign w:val="baseline"/>
                <w:lang w:val="en-US" w:eastAsia="zh-CN"/>
              </w:rPr>
            </w:pPr>
          </w:p>
        </w:tc>
        <w:tc>
          <w:tcPr>
            <w:tcW w:w="1918" w:type="dxa"/>
            <w:vMerge w:val="continue"/>
          </w:tcPr>
          <w:p>
            <w:pPr>
              <w:pStyle w:val="26"/>
              <w:bidi w:val="0"/>
              <w:jc w:val="center"/>
              <w:rPr>
                <w:rFonts w:hint="eastAsia"/>
                <w:vertAlign w:val="baseline"/>
                <w:lang w:val="en-US" w:eastAsia="zh-CN"/>
              </w:rPr>
            </w:pPr>
          </w:p>
        </w:tc>
        <w:tc>
          <w:tcPr>
            <w:tcW w:w="1884" w:type="dxa"/>
            <w:vMerge w:val="restart"/>
          </w:tcPr>
          <w:p>
            <w:pPr>
              <w:pStyle w:val="26"/>
              <w:bidi w:val="0"/>
              <w:jc w:val="center"/>
              <w:rPr>
                <w:rFonts w:hint="eastAsia"/>
                <w:vertAlign w:val="baseline"/>
                <w:lang w:val="en-US" w:eastAsia="zh-CN"/>
              </w:rPr>
            </w:pPr>
            <w:r>
              <w:rPr>
                <w:sz w:val="17"/>
                <w:szCs w:val="17"/>
              </w:rPr>
              <w:t>合计</w:t>
            </w:r>
          </w:p>
        </w:tc>
        <w:tc>
          <w:tcPr>
            <w:tcW w:w="1895" w:type="dxa"/>
            <w:vMerge w:val="restart"/>
          </w:tcPr>
          <w:p>
            <w:pPr>
              <w:pStyle w:val="26"/>
              <w:bidi w:val="0"/>
              <w:jc w:val="center"/>
              <w:rPr>
                <w:rFonts w:hint="eastAsia"/>
                <w:vertAlign w:val="baseline"/>
                <w:lang w:val="en-US" w:eastAsia="zh-CN"/>
              </w:rPr>
            </w:pPr>
            <w:r>
              <w:rPr>
                <w:sz w:val="17"/>
                <w:szCs w:val="17"/>
              </w:rPr>
              <w:t>因公出国（境）费</w:t>
            </w:r>
          </w:p>
        </w:tc>
        <w:tc>
          <w:tcPr>
            <w:tcW w:w="5675" w:type="dxa"/>
            <w:gridSpan w:val="4"/>
          </w:tcPr>
          <w:p>
            <w:pPr>
              <w:pStyle w:val="26"/>
              <w:bidi w:val="0"/>
              <w:jc w:val="center"/>
              <w:rPr>
                <w:rFonts w:hint="eastAsia"/>
                <w:vertAlign w:val="baseline"/>
                <w:lang w:val="en-US" w:eastAsia="zh-CN"/>
              </w:rPr>
            </w:pPr>
            <w:r>
              <w:rPr>
                <w:sz w:val="17"/>
                <w:szCs w:val="17"/>
              </w:rPr>
              <w:t>公务用车购置及运行维护费</w:t>
            </w:r>
          </w:p>
        </w:tc>
        <w:tc>
          <w:tcPr>
            <w:tcW w:w="1889" w:type="dxa"/>
            <w:vMerge w:val="restart"/>
          </w:tcPr>
          <w:p>
            <w:pPr>
              <w:pStyle w:val="26"/>
              <w:bidi w:val="0"/>
              <w:jc w:val="center"/>
              <w:rPr>
                <w:rFonts w:hint="eastAsia"/>
                <w:vertAlign w:val="baseline"/>
                <w:lang w:val="en-US" w:eastAsia="zh-CN"/>
              </w:rPr>
            </w:pPr>
            <w:r>
              <w:rPr>
                <w:sz w:val="17"/>
                <w:szCs w:val="17"/>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26"/>
              <w:bidi w:val="0"/>
              <w:jc w:val="center"/>
              <w:rPr>
                <w:rFonts w:hint="eastAsia"/>
                <w:vertAlign w:val="baseline"/>
                <w:lang w:val="en-US" w:eastAsia="zh-CN"/>
              </w:rPr>
            </w:pPr>
          </w:p>
        </w:tc>
        <w:tc>
          <w:tcPr>
            <w:tcW w:w="1918" w:type="dxa"/>
            <w:vMerge w:val="continue"/>
          </w:tcPr>
          <w:p>
            <w:pPr>
              <w:pStyle w:val="26"/>
              <w:bidi w:val="0"/>
              <w:jc w:val="center"/>
              <w:rPr>
                <w:rFonts w:hint="eastAsia"/>
                <w:vertAlign w:val="baseline"/>
                <w:lang w:val="en-US" w:eastAsia="zh-CN"/>
              </w:rPr>
            </w:pPr>
          </w:p>
        </w:tc>
        <w:tc>
          <w:tcPr>
            <w:tcW w:w="1884" w:type="dxa"/>
            <w:vMerge w:val="continue"/>
          </w:tcPr>
          <w:p>
            <w:pPr>
              <w:pStyle w:val="26"/>
              <w:bidi w:val="0"/>
              <w:jc w:val="center"/>
              <w:rPr>
                <w:rFonts w:hint="eastAsia"/>
                <w:vertAlign w:val="baseline"/>
                <w:lang w:val="en-US" w:eastAsia="zh-CN"/>
              </w:rPr>
            </w:pPr>
          </w:p>
        </w:tc>
        <w:tc>
          <w:tcPr>
            <w:tcW w:w="1895" w:type="dxa"/>
            <w:vMerge w:val="continue"/>
          </w:tcPr>
          <w:p>
            <w:pPr>
              <w:pStyle w:val="26"/>
              <w:bidi w:val="0"/>
              <w:jc w:val="center"/>
              <w:rPr>
                <w:rFonts w:hint="eastAsia"/>
                <w:vertAlign w:val="baseline"/>
                <w:lang w:val="en-US" w:eastAsia="zh-CN"/>
              </w:rPr>
            </w:pPr>
          </w:p>
        </w:tc>
        <w:tc>
          <w:tcPr>
            <w:tcW w:w="1888" w:type="dxa"/>
            <w:vAlign w:val="center"/>
          </w:tcPr>
          <w:p>
            <w:pPr>
              <w:pStyle w:val="24"/>
              <w:spacing w:line="240" w:lineRule="auto"/>
              <w:ind w:firstLine="0" w:firstLineChars="0"/>
              <w:jc w:val="center"/>
              <w:rPr>
                <w:rFonts w:hint="eastAsia"/>
                <w:vertAlign w:val="baseline"/>
                <w:lang w:val="en-US" w:eastAsia="zh-CN"/>
              </w:rPr>
            </w:pPr>
            <w:r>
              <w:rPr>
                <w:sz w:val="17"/>
                <w:szCs w:val="17"/>
              </w:rPr>
              <w:t>小计</w:t>
            </w:r>
          </w:p>
        </w:tc>
        <w:tc>
          <w:tcPr>
            <w:tcW w:w="1890" w:type="dxa"/>
            <w:vAlign w:val="center"/>
          </w:tcPr>
          <w:p>
            <w:pPr>
              <w:pStyle w:val="24"/>
              <w:spacing w:line="240" w:lineRule="auto"/>
              <w:ind w:firstLine="220" w:firstLineChars="0"/>
              <w:jc w:val="center"/>
              <w:rPr>
                <w:rFonts w:hint="eastAsia"/>
                <w:vertAlign w:val="baseline"/>
                <w:lang w:val="en-US" w:eastAsia="zh-CN"/>
              </w:rPr>
            </w:pPr>
            <w:r>
              <w:rPr>
                <w:sz w:val="17"/>
                <w:szCs w:val="17"/>
              </w:rPr>
              <w:t>公务用车运行维护费</w:t>
            </w:r>
          </w:p>
        </w:tc>
        <w:tc>
          <w:tcPr>
            <w:tcW w:w="1897" w:type="dxa"/>
            <w:gridSpan w:val="2"/>
            <w:vAlign w:val="center"/>
          </w:tcPr>
          <w:p>
            <w:pPr>
              <w:pStyle w:val="24"/>
              <w:spacing w:line="240" w:lineRule="auto"/>
              <w:ind w:firstLine="400" w:firstLineChars="0"/>
              <w:jc w:val="center"/>
              <w:rPr>
                <w:rFonts w:hint="eastAsia"/>
                <w:vertAlign w:val="baseline"/>
                <w:lang w:val="en-US" w:eastAsia="zh-CN"/>
              </w:rPr>
            </w:pPr>
            <w:r>
              <w:rPr>
                <w:sz w:val="17"/>
                <w:szCs w:val="17"/>
              </w:rPr>
              <w:t>公务用车购置费</w:t>
            </w:r>
          </w:p>
        </w:tc>
        <w:tc>
          <w:tcPr>
            <w:tcW w:w="1889" w:type="dxa"/>
            <w:vMerge w:val="continue"/>
          </w:tcPr>
          <w:p>
            <w:pPr>
              <w:pStyle w:val="26"/>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1</w:t>
            </w:r>
          </w:p>
        </w:tc>
        <w:tc>
          <w:tcPr>
            <w:tcW w:w="1895"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2</w:t>
            </w:r>
          </w:p>
        </w:tc>
        <w:tc>
          <w:tcPr>
            <w:tcW w:w="1888"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3</w:t>
            </w:r>
          </w:p>
        </w:tc>
        <w:tc>
          <w:tcPr>
            <w:tcW w:w="1890"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4</w:t>
            </w:r>
          </w:p>
        </w:tc>
        <w:tc>
          <w:tcPr>
            <w:tcW w:w="1897" w:type="dxa"/>
            <w:gridSpan w:val="2"/>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5</w:t>
            </w:r>
          </w:p>
        </w:tc>
        <w:tc>
          <w:tcPr>
            <w:tcW w:w="1889"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pStyle w:val="24"/>
              <w:spacing w:line="240" w:lineRule="auto"/>
              <w:ind w:firstLine="0" w:firstLineChars="0"/>
              <w:jc w:val="left"/>
              <w:rPr>
                <w:rFonts w:hint="eastAsia"/>
                <w:vertAlign w:val="baseline"/>
                <w:lang w:val="en-US" w:eastAsia="zh-CN"/>
              </w:rPr>
            </w:pPr>
            <w:r>
              <w:rPr>
                <w:rFonts w:hint="eastAsia" w:ascii="Times New Roman" w:hAnsi="Times New Roman" w:eastAsia="Times New Roman" w:cs="Times New Roman"/>
                <w:b/>
                <w:bCs/>
                <w:sz w:val="17"/>
                <w:szCs w:val="17"/>
                <w:lang w:val="en-US" w:eastAsia="zh-CN"/>
              </w:rPr>
              <w:t>201046</w:t>
            </w:r>
          </w:p>
        </w:tc>
        <w:tc>
          <w:tcPr>
            <w:tcW w:w="1918" w:type="dxa"/>
            <w:vAlign w:val="center"/>
          </w:tcPr>
          <w:p>
            <w:pPr>
              <w:pStyle w:val="24"/>
              <w:spacing w:line="240" w:lineRule="auto"/>
              <w:ind w:firstLine="0" w:firstLineChars="0"/>
              <w:jc w:val="left"/>
              <w:rPr>
                <w:rFonts w:hint="eastAsia"/>
                <w:vertAlign w:val="baseline"/>
                <w:lang w:val="en-US" w:eastAsia="zh-CN"/>
              </w:rPr>
            </w:pPr>
          </w:p>
        </w:tc>
        <w:tc>
          <w:tcPr>
            <w:tcW w:w="1884"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5"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8"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0"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7" w:type="dxa"/>
            <w:gridSpan w:val="2"/>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9"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557" w:type="dxa"/>
            <w:gridSpan w:val="9"/>
            <w:tcBorders>
              <w:left w:val="nil"/>
              <w:bottom w:val="nil"/>
              <w:right w:val="nil"/>
            </w:tcBorders>
          </w:tcPr>
          <w:p>
            <w:pPr>
              <w:pStyle w:val="26"/>
              <w:bidi w:val="0"/>
              <w:jc w:val="both"/>
              <w:rPr>
                <w:rFonts w:hint="eastAsia"/>
                <w:vertAlign w:val="baseline"/>
                <w:lang w:val="en-US" w:eastAsia="zh-CN"/>
              </w:rPr>
            </w:pPr>
            <w:r>
              <w:rPr>
                <w:rFonts w:hint="eastAsia" w:ascii="宋体" w:hAnsi="宋体" w:eastAsia="宋体" w:cs="宋体"/>
                <w:sz w:val="16"/>
                <w:szCs w:val="16"/>
              </w:rPr>
              <w:t>注：本报表金额单位转换时可能存在四舍五入尾数误差</w:t>
            </w:r>
          </w:p>
        </w:tc>
      </w:tr>
    </w:tbl>
    <w:p>
      <w:pPr>
        <w:pStyle w:val="26"/>
        <w:bidi w:val="0"/>
        <w:rPr>
          <w:rFonts w:hint="eastAsia"/>
          <w:lang w:val="en-US" w:eastAsia="zh-CN"/>
        </w:rP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6"/>
        <w:bidi w:val="0"/>
      </w:pPr>
    </w:p>
    <w:p>
      <w:pPr>
        <w:pStyle w:val="22"/>
        <w:keepNext/>
        <w:keepLines/>
        <w:spacing w:after="240"/>
        <w:jc w:val="center"/>
      </w:pPr>
      <w:r>
        <w:t>政府性基金预算支出情况表</w:t>
      </w:r>
      <w:bookmarkEnd w:id="28"/>
      <w:bookmarkEnd w:id="29"/>
      <w:bookmarkEnd w:id="3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394" w:type="dxa"/>
            <w:gridSpan w:val="6"/>
            <w:tcBorders>
              <w:top w:val="nil"/>
              <w:left w:val="nil"/>
              <w:right w:val="nil"/>
            </w:tcBorders>
          </w:tcPr>
          <w:p>
            <w:pPr>
              <w:pStyle w:val="26"/>
              <w:tabs>
                <w:tab w:val="left" w:pos="14213"/>
              </w:tabs>
              <w:ind w:left="101"/>
              <w:jc w:val="left"/>
            </w:pPr>
            <w:r>
              <w:t>单位名称：</w:t>
            </w:r>
            <w:r>
              <w:rPr>
                <w:rFonts w:hint="eastAsia"/>
                <w:lang w:eastAsia="zh-CN"/>
              </w:rPr>
              <w:t>环江毛南族自治县川山镇初级中学</w:t>
            </w:r>
            <w:r>
              <w:tab/>
            </w:r>
            <w:r>
              <w:t>单位：万元</w:t>
            </w:r>
          </w:p>
        </w:tc>
        <w:tc>
          <w:tcPr>
            <w:tcW w:w="2163" w:type="dxa"/>
            <w:tcBorders>
              <w:top w:val="nil"/>
              <w:left w:val="nil"/>
              <w:right w:val="nil"/>
            </w:tcBorders>
          </w:tcPr>
          <w:p>
            <w:pPr>
              <w:pStyle w:val="26"/>
              <w:tabs>
                <w:tab w:val="left" w:pos="14213"/>
              </w:tabs>
              <w:ind w:left="101" w:firstLine="680" w:firstLineChars="400"/>
              <w:jc w:val="left"/>
            </w:pPr>
            <w:r>
              <w:rPr>
                <w:rFonts w:hint="eastAsia"/>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pStyle w:val="26"/>
              <w:bidi w:val="0"/>
              <w:jc w:val="center"/>
              <w:rPr>
                <w:vertAlign w:val="baseline"/>
              </w:rPr>
            </w:pPr>
            <w:r>
              <w:rPr>
                <w:sz w:val="17"/>
                <w:szCs w:val="17"/>
              </w:rPr>
              <w:t>科目编码</w:t>
            </w:r>
          </w:p>
        </w:tc>
        <w:tc>
          <w:tcPr>
            <w:tcW w:w="2161" w:type="dxa"/>
          </w:tcPr>
          <w:p>
            <w:pPr>
              <w:pStyle w:val="26"/>
              <w:bidi w:val="0"/>
              <w:jc w:val="center"/>
              <w:rPr>
                <w:vertAlign w:val="baseline"/>
              </w:rPr>
            </w:pPr>
            <w:r>
              <w:rPr>
                <w:sz w:val="17"/>
                <w:szCs w:val="17"/>
              </w:rPr>
              <w:t>部门（单位）代码</w:t>
            </w:r>
          </w:p>
        </w:tc>
        <w:tc>
          <w:tcPr>
            <w:tcW w:w="2162" w:type="dxa"/>
          </w:tcPr>
          <w:p>
            <w:pPr>
              <w:pStyle w:val="26"/>
              <w:bidi w:val="0"/>
              <w:jc w:val="center"/>
              <w:rPr>
                <w:vertAlign w:val="baseline"/>
              </w:rPr>
            </w:pPr>
            <w:r>
              <w:rPr>
                <w:sz w:val="17"/>
                <w:szCs w:val="17"/>
              </w:rPr>
              <w:t>部门（单位）名称（功能分类科目名称）</w:t>
            </w:r>
          </w:p>
        </w:tc>
        <w:tc>
          <w:tcPr>
            <w:tcW w:w="2222" w:type="dxa"/>
            <w:vAlign w:val="center"/>
          </w:tcPr>
          <w:p>
            <w:pPr>
              <w:pStyle w:val="24"/>
              <w:spacing w:line="240" w:lineRule="auto"/>
              <w:ind w:firstLine="0" w:firstLineChars="0"/>
              <w:jc w:val="center"/>
              <w:rPr>
                <w:vertAlign w:val="baseline"/>
              </w:rPr>
            </w:pPr>
            <w:r>
              <w:rPr>
                <w:sz w:val="17"/>
                <w:szCs w:val="17"/>
              </w:rPr>
              <w:t>合计</w:t>
            </w:r>
          </w:p>
        </w:tc>
        <w:tc>
          <w:tcPr>
            <w:tcW w:w="2161" w:type="dxa"/>
            <w:vAlign w:val="center"/>
          </w:tcPr>
          <w:p>
            <w:pPr>
              <w:pStyle w:val="24"/>
              <w:spacing w:line="240" w:lineRule="auto"/>
              <w:ind w:firstLine="0" w:firstLineChars="0"/>
              <w:jc w:val="center"/>
              <w:rPr>
                <w:vertAlign w:val="baseline"/>
              </w:rPr>
            </w:pPr>
            <w:r>
              <w:rPr>
                <w:sz w:val="17"/>
                <w:szCs w:val="17"/>
              </w:rPr>
              <w:t>基本支出</w:t>
            </w:r>
          </w:p>
        </w:tc>
        <w:tc>
          <w:tcPr>
            <w:tcW w:w="2161" w:type="dxa"/>
            <w:vAlign w:val="center"/>
          </w:tcPr>
          <w:p>
            <w:pPr>
              <w:pStyle w:val="24"/>
              <w:spacing w:line="240" w:lineRule="auto"/>
              <w:ind w:firstLine="0" w:firstLineChars="0"/>
              <w:jc w:val="center"/>
              <w:rPr>
                <w:vertAlign w:val="baseline"/>
              </w:rPr>
            </w:pPr>
            <w:r>
              <w:rPr>
                <w:sz w:val="17"/>
                <w:szCs w:val="17"/>
              </w:rPr>
              <w:t>项目支出</w:t>
            </w:r>
          </w:p>
        </w:tc>
        <w:tc>
          <w:tcPr>
            <w:tcW w:w="2163" w:type="dxa"/>
            <w:vAlign w:val="center"/>
          </w:tcPr>
          <w:p>
            <w:pPr>
              <w:pStyle w:val="24"/>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2012999</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其他群众团体事务支出</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2050203</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初中教育</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2050701</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特殊学校教育</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2080505</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机关事业单位基本养老保险缴费支出</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2210201</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住房公积金</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26"/>
              <w:bidi w:val="0"/>
              <w:jc w:val="both"/>
              <w:rPr>
                <w:vertAlign w:val="baseline"/>
              </w:rPr>
            </w:pPr>
            <w:r>
              <w:t>注：本报表金额单位转换时可能存在四舍五入尾数误差</w:t>
            </w:r>
          </w:p>
        </w:tc>
      </w:tr>
    </w:tbl>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jc w:val="center"/>
        <w:rPr>
          <w:sz w:val="28"/>
          <w:szCs w:val="28"/>
        </w:rPr>
      </w:pPr>
      <w:r>
        <w:rPr>
          <w:sz w:val="28"/>
          <w:szCs w:val="28"/>
        </w:rPr>
        <w:t>国有资本经营预算支出情况表</w:t>
      </w:r>
    </w:p>
    <w:p>
      <w:pPr>
        <w:pStyle w:val="26"/>
        <w:bidi w:val="0"/>
        <w:jc w:val="center"/>
        <w:rPr>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94" w:type="dxa"/>
            <w:gridSpan w:val="6"/>
            <w:tcBorders>
              <w:top w:val="nil"/>
              <w:left w:val="nil"/>
              <w:right w:val="nil"/>
            </w:tcBorders>
          </w:tcPr>
          <w:p>
            <w:pPr>
              <w:pStyle w:val="26"/>
              <w:tabs>
                <w:tab w:val="left" w:pos="14213"/>
              </w:tabs>
              <w:ind w:left="101"/>
              <w:jc w:val="left"/>
            </w:pPr>
            <w:r>
              <w:t>单位名称：</w:t>
            </w:r>
            <w:r>
              <w:rPr>
                <w:rFonts w:hint="eastAsia"/>
                <w:lang w:eastAsia="zh-CN"/>
              </w:rPr>
              <w:t>环江毛南族自治县川山镇初级中学</w:t>
            </w:r>
            <w:r>
              <w:tab/>
            </w:r>
            <w:r>
              <w:t>单位：万元</w:t>
            </w:r>
          </w:p>
        </w:tc>
        <w:tc>
          <w:tcPr>
            <w:tcW w:w="2163" w:type="dxa"/>
            <w:tcBorders>
              <w:top w:val="nil"/>
              <w:left w:val="nil"/>
              <w:right w:val="nil"/>
            </w:tcBorders>
          </w:tcPr>
          <w:p>
            <w:pPr>
              <w:pStyle w:val="26"/>
              <w:tabs>
                <w:tab w:val="left" w:pos="14213"/>
              </w:tabs>
              <w:ind w:left="101"/>
              <w:jc w:val="left"/>
            </w:pPr>
            <w:r>
              <w:rPr>
                <w:rFonts w:hint="eastAsia" w:ascii="宋体" w:hAnsi="宋体" w:eastAsia="宋体" w:cs="宋体"/>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restart"/>
          </w:tcPr>
          <w:p>
            <w:pPr>
              <w:pStyle w:val="26"/>
              <w:bidi w:val="0"/>
              <w:jc w:val="center"/>
              <w:rPr>
                <w:vertAlign w:val="baseline"/>
              </w:rPr>
            </w:pPr>
            <w:r>
              <w:rPr>
                <w:sz w:val="17"/>
                <w:szCs w:val="17"/>
              </w:rPr>
              <w:t>科目编码</w:t>
            </w:r>
          </w:p>
        </w:tc>
        <w:tc>
          <w:tcPr>
            <w:tcW w:w="2161" w:type="dxa"/>
            <w:vMerge w:val="restart"/>
          </w:tcPr>
          <w:p>
            <w:pPr>
              <w:pStyle w:val="26"/>
              <w:bidi w:val="0"/>
              <w:jc w:val="center"/>
              <w:rPr>
                <w:vertAlign w:val="baseline"/>
              </w:rPr>
            </w:pPr>
            <w:r>
              <w:rPr>
                <w:sz w:val="17"/>
                <w:szCs w:val="17"/>
              </w:rPr>
              <w:t>部门（单位）代码</w:t>
            </w:r>
          </w:p>
        </w:tc>
        <w:tc>
          <w:tcPr>
            <w:tcW w:w="2162" w:type="dxa"/>
            <w:vMerge w:val="restart"/>
          </w:tcPr>
          <w:p>
            <w:pPr>
              <w:pStyle w:val="26"/>
              <w:bidi w:val="0"/>
              <w:jc w:val="center"/>
              <w:rPr>
                <w:vertAlign w:val="baseline"/>
              </w:rPr>
            </w:pPr>
            <w:r>
              <w:rPr>
                <w:sz w:val="17"/>
                <w:szCs w:val="17"/>
              </w:rPr>
              <w:t>部门（单位）名称（功能分类科目名称）</w:t>
            </w:r>
          </w:p>
        </w:tc>
        <w:tc>
          <w:tcPr>
            <w:tcW w:w="2222" w:type="dxa"/>
            <w:vAlign w:val="center"/>
          </w:tcPr>
          <w:p>
            <w:pPr>
              <w:pStyle w:val="24"/>
              <w:spacing w:line="240" w:lineRule="auto"/>
              <w:ind w:firstLine="0" w:firstLineChars="0"/>
              <w:jc w:val="center"/>
              <w:rPr>
                <w:vertAlign w:val="baseline"/>
              </w:rPr>
            </w:pPr>
            <w:r>
              <w:rPr>
                <w:sz w:val="17"/>
                <w:szCs w:val="17"/>
              </w:rPr>
              <w:t>合计</w:t>
            </w:r>
          </w:p>
        </w:tc>
        <w:tc>
          <w:tcPr>
            <w:tcW w:w="2161" w:type="dxa"/>
            <w:vAlign w:val="center"/>
          </w:tcPr>
          <w:p>
            <w:pPr>
              <w:pStyle w:val="24"/>
              <w:spacing w:line="240" w:lineRule="auto"/>
              <w:ind w:firstLine="0" w:firstLineChars="0"/>
              <w:jc w:val="center"/>
              <w:rPr>
                <w:vertAlign w:val="baseline"/>
              </w:rPr>
            </w:pPr>
            <w:r>
              <w:rPr>
                <w:sz w:val="17"/>
                <w:szCs w:val="17"/>
              </w:rPr>
              <w:t>基本支出</w:t>
            </w:r>
          </w:p>
        </w:tc>
        <w:tc>
          <w:tcPr>
            <w:tcW w:w="2161" w:type="dxa"/>
            <w:vAlign w:val="center"/>
          </w:tcPr>
          <w:p>
            <w:pPr>
              <w:pStyle w:val="24"/>
              <w:spacing w:line="240" w:lineRule="auto"/>
              <w:ind w:firstLine="0" w:firstLineChars="0"/>
              <w:jc w:val="center"/>
              <w:rPr>
                <w:vertAlign w:val="baseline"/>
              </w:rPr>
            </w:pPr>
            <w:r>
              <w:rPr>
                <w:sz w:val="17"/>
                <w:szCs w:val="17"/>
              </w:rPr>
              <w:t>项目支出</w:t>
            </w:r>
          </w:p>
        </w:tc>
        <w:tc>
          <w:tcPr>
            <w:tcW w:w="2163" w:type="dxa"/>
            <w:vAlign w:val="center"/>
          </w:tcPr>
          <w:p>
            <w:pPr>
              <w:pStyle w:val="24"/>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continue"/>
          </w:tcPr>
          <w:p>
            <w:pPr>
              <w:pStyle w:val="26"/>
              <w:bidi w:val="0"/>
              <w:jc w:val="both"/>
              <w:rPr>
                <w:vertAlign w:val="baseline"/>
              </w:rPr>
            </w:pPr>
          </w:p>
        </w:tc>
        <w:tc>
          <w:tcPr>
            <w:tcW w:w="2161" w:type="dxa"/>
            <w:vMerge w:val="continue"/>
          </w:tcPr>
          <w:p>
            <w:pPr>
              <w:pStyle w:val="26"/>
              <w:bidi w:val="0"/>
              <w:jc w:val="both"/>
              <w:rPr>
                <w:vertAlign w:val="baseline"/>
              </w:rPr>
            </w:pPr>
          </w:p>
        </w:tc>
        <w:tc>
          <w:tcPr>
            <w:tcW w:w="2162" w:type="dxa"/>
            <w:vMerge w:val="continue"/>
          </w:tcPr>
          <w:p>
            <w:pPr>
              <w:pStyle w:val="26"/>
              <w:bidi w:val="0"/>
              <w:jc w:val="both"/>
              <w:rPr>
                <w:vertAlign w:val="baseline"/>
              </w:rPr>
            </w:pPr>
          </w:p>
        </w:tc>
        <w:tc>
          <w:tcPr>
            <w:tcW w:w="2222"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1</w:t>
            </w:r>
          </w:p>
        </w:tc>
        <w:tc>
          <w:tcPr>
            <w:tcW w:w="2161"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2</w:t>
            </w:r>
          </w:p>
        </w:tc>
        <w:tc>
          <w:tcPr>
            <w:tcW w:w="2161"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3</w:t>
            </w:r>
          </w:p>
        </w:tc>
        <w:tc>
          <w:tcPr>
            <w:tcW w:w="2163"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24"/>
              <w:spacing w:line="240" w:lineRule="auto"/>
              <w:ind w:firstLine="0" w:firstLineChars="0"/>
              <w:jc w:val="left"/>
              <w:rPr>
                <w:vertAlign w:val="baseline"/>
              </w:rPr>
            </w:pPr>
            <w:r>
              <w:rPr>
                <w:sz w:val="17"/>
                <w:szCs w:val="17"/>
              </w:rPr>
              <w:t>合计</w:t>
            </w:r>
          </w:p>
        </w:tc>
        <w:tc>
          <w:tcPr>
            <w:tcW w:w="2222" w:type="dxa"/>
            <w:vAlign w:val="center"/>
          </w:tcPr>
          <w:p>
            <w:pPr>
              <w:pStyle w:val="24"/>
              <w:spacing w:line="240" w:lineRule="auto"/>
              <w:ind w:left="1700" w:leftChars="0"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3"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26"/>
              <w:spacing w:line="302" w:lineRule="exact"/>
              <w:ind w:left="672"/>
              <w:jc w:val="left"/>
            </w:pPr>
            <w:r>
              <w:t>注：本报表金额单位转换时可能存在四舍五入尾数误差。本部门</w:t>
            </w:r>
            <w:r>
              <w:rPr>
                <w:rFonts w:hint="eastAsia" w:ascii="Times New Roman" w:hAnsi="Times New Roman" w:cs="Times New Roman"/>
                <w:b/>
                <w:bCs/>
                <w:lang w:eastAsia="zh-CN"/>
              </w:rPr>
              <w:t>2024</w:t>
            </w:r>
            <w:r>
              <w:rPr>
                <w:rFonts w:ascii="Times New Roman" w:hAnsi="Times New Roman" w:cs="Times New Roman"/>
                <w:b/>
                <w:u w:color="auto"/>
              </w:rPr>
              <w:t>年</w:t>
            </w:r>
            <w:r>
              <w:t>度没有国有资本经营预算支出，故本表无数据</w:t>
            </w:r>
          </w:p>
          <w:p>
            <w:pPr>
              <w:pStyle w:val="26"/>
              <w:bidi w:val="0"/>
              <w:jc w:val="both"/>
              <w:rPr>
                <w:vertAlign w:val="baseline"/>
              </w:rPr>
            </w:pPr>
          </w:p>
        </w:tc>
      </w:tr>
    </w:tbl>
    <w:p>
      <w:pPr>
        <w:pStyle w:val="26"/>
        <w:bidi w:val="0"/>
      </w:pPr>
    </w:p>
    <w:p>
      <w:r>
        <w:br w:type="page"/>
      </w:r>
    </w:p>
    <w:p>
      <w:pPr>
        <w:pStyle w:val="22"/>
        <w:keepNext/>
        <w:keepLines/>
        <w:spacing w:after="240"/>
        <w:jc w:val="center"/>
        <w:rPr>
          <w:rFonts w:hint="default" w:eastAsia="宋体"/>
          <w:lang w:val="en-US" w:eastAsia="zh-CN"/>
        </w:rPr>
      </w:pPr>
      <w:r>
        <w:rPr>
          <w:rFonts w:hint="eastAsia"/>
          <w:lang w:val="en-US" w:eastAsia="zh-CN"/>
        </w:rPr>
        <w:t>2024年度预算项目绩效目标公开表</w:t>
      </w:r>
    </w:p>
    <w:tbl>
      <w:tblPr>
        <w:tblStyle w:val="4"/>
        <w:tblW w:w="0" w:type="auto"/>
        <w:tblInd w:w="0" w:type="dxa"/>
        <w:tblLayout w:type="fixed"/>
        <w:tblCellMar>
          <w:top w:w="0" w:type="dxa"/>
          <w:left w:w="10" w:type="dxa"/>
          <w:bottom w:w="0" w:type="dxa"/>
          <w:right w:w="10" w:type="dxa"/>
        </w:tblCellMar>
      </w:tblPr>
      <w:tblGrid>
        <w:gridCol w:w="1843"/>
        <w:gridCol w:w="2559"/>
        <w:gridCol w:w="3350"/>
        <w:gridCol w:w="1511"/>
        <w:gridCol w:w="6076"/>
      </w:tblGrid>
      <w:tr>
        <w:tblPrEx>
          <w:tblCellMar>
            <w:top w:w="0" w:type="dxa"/>
            <w:left w:w="10" w:type="dxa"/>
            <w:bottom w:w="0" w:type="dxa"/>
            <w:right w:w="10" w:type="dxa"/>
          </w:tblCellMar>
        </w:tblPrEx>
        <w:trPr>
          <w:trHeight w:val="346" w:hRule="exact"/>
        </w:trPr>
        <w:tc>
          <w:tcPr>
            <w:tcW w:w="9263" w:type="dxa"/>
            <w:gridSpan w:val="4"/>
            <w:shd w:val="clear" w:color="auto" w:fill="FFFFFF"/>
          </w:tcPr>
          <w:p>
            <w:pPr>
              <w:pStyle w:val="24"/>
              <w:spacing w:line="240" w:lineRule="auto"/>
              <w:ind w:firstLine="0"/>
              <w:jc w:val="left"/>
              <w:rPr>
                <w:rFonts w:hint="default" w:ascii="宋体" w:hAnsi="宋体" w:eastAsia="宋体" w:cs="宋体"/>
                <w:sz w:val="17"/>
                <w:szCs w:val="17"/>
                <w:lang w:val="en-US"/>
              </w:rPr>
            </w:pPr>
            <w:r>
              <w:rPr>
                <w:rFonts w:hint="eastAsia" w:ascii="宋体" w:hAnsi="宋体" w:eastAsia="宋体" w:cs="宋体"/>
                <w:sz w:val="17"/>
                <w:szCs w:val="17"/>
              </w:rPr>
              <w:t>单位名称：</w:t>
            </w:r>
            <w:r>
              <w:rPr>
                <w:rFonts w:hint="eastAsia" w:ascii="宋体" w:hAnsi="宋体" w:eastAsia="宋体" w:cs="宋体"/>
                <w:sz w:val="17"/>
                <w:szCs w:val="17"/>
                <w:lang w:eastAsia="zh-CN"/>
              </w:rPr>
              <w:t>环江毛南族自治县川山镇初级中学</w:t>
            </w:r>
            <w:r>
              <w:rPr>
                <w:rFonts w:hint="eastAsia" w:cs="宋体"/>
                <w:sz w:val="17"/>
                <w:szCs w:val="17"/>
                <w:lang w:val="en-US" w:eastAsia="zh-CN"/>
              </w:rPr>
              <w:t xml:space="preserve">            </w:t>
            </w:r>
          </w:p>
        </w:tc>
        <w:tc>
          <w:tcPr>
            <w:tcW w:w="6076" w:type="dxa"/>
            <w:shd w:val="clear" w:color="auto" w:fill="FFFFFF"/>
          </w:tcPr>
          <w:p>
            <w:pPr>
              <w:pStyle w:val="24"/>
              <w:spacing w:line="240" w:lineRule="auto"/>
              <w:ind w:firstLine="4760" w:firstLineChars="2800"/>
              <w:jc w:val="left"/>
              <w:rPr>
                <w:rFonts w:hint="eastAsia" w:ascii="宋体" w:hAnsi="宋体" w:eastAsia="宋体" w:cs="宋体"/>
                <w:sz w:val="17"/>
                <w:szCs w:val="17"/>
              </w:rPr>
            </w:pPr>
            <w:r>
              <w:rPr>
                <w:rFonts w:hint="eastAsia" w:ascii="宋体" w:hAnsi="宋体" w:eastAsia="宋体" w:cs="宋体"/>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ascii="宋体" w:hAnsi="宋体" w:eastAsia="宋体" w:cs="宋体"/>
                <w:sz w:val="17"/>
                <w:u w:color="auto"/>
              </w:rPr>
              <w:t>单位代码</w:t>
            </w:r>
          </w:p>
        </w:tc>
        <w:tc>
          <w:tcPr>
            <w:tcW w:w="2559"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单位名称</w:t>
            </w:r>
          </w:p>
        </w:tc>
        <w:tc>
          <w:tcPr>
            <w:tcW w:w="335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项目名称</w:t>
            </w:r>
          </w:p>
        </w:tc>
        <w:tc>
          <w:tcPr>
            <w:tcW w:w="1511"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预算金额</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年度绩效目标</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201046</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环江毛南族自治县川山镇初级中学</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义务教育中央级公用经费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8.74</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保障学校正常运转，持续改善学校基本办学条件，促进教育健康发展</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201046</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环江毛南族自治县川山镇初级中学</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营养改善计划膳食补助资金</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16.28</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营养改善计划膳食补助资金用于学生营养午餐，使家长满意，学生满意</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201046</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环江毛南族自治县川山镇初级中学</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义务教育阶段家庭经济困难学生生活中央补助资金</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0.72</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义务教育阶段家庭经济困难学生生活中央补助资金：通过发寄宿生生活困补助资金，解决家庭经济困难生活问题，提高学生的生活质量。</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201046</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环江毛南族自治县川山镇初级中学</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自治区公用经费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0.29</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保障学校正常运转，持续改善学校基本办学条件，促进教育健康发展</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201046</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环江毛南族自治县川山镇初级中学</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川山中学年初预算经费（非三保）</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17.10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根据年初预算，本校2024年门面租金预算，用于教官工资，以保障学校正常运转，持续改善学校基本办公条件，促进教育健康发展。</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201046</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环江毛南族自治县川山镇初级中学</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义务教育阶段家庭经济困难学生生活自治区补助资金</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0.13</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解决困难家庭及学生的经济负担保障学校教育教学正常运转，增强学生体质，保障学生健康成长，促进教育均衡发展。</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201046</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环江毛南族自治县川山镇初级中学</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自治区级乡村教师生活补助</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0.88</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通过发放乡村教师生活补助，改善乡村教师生活质量，提高乡村教师生活水平。</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201046</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环江毛南族自治县川山镇初级中学</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公用经费(特教)自治区补助</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0.37</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可行性和必要性：保障学校正常运转，持续改善学校基本办学条件，促进教育健康发展。支持范围：学校日常办公运行保障学校正常运转，；实施内容：学校日常办公、水电费、网络费、日常维修、教师培训出差等。</w:t>
            </w:r>
          </w:p>
        </w:tc>
      </w:tr>
    </w:tbl>
    <w:p>
      <w:pPr>
        <w:jc w:val="left"/>
        <w:rPr>
          <w:rFonts w:hint="eastAsia"/>
        </w:rPr>
      </w:pPr>
      <w:r>
        <w:t>注：本报表金额单位转换时可能存在四舍五入尾数误差。</w:t>
      </w:r>
    </w:p>
    <w:p>
      <w:pPr>
        <w:jc w:val="left"/>
        <w:rPr>
          <w:rFonts w:hint="eastAsia"/>
          <w:lang w:eastAsia="zh-CN"/>
        </w:rPr>
        <w:sectPr>
          <w:headerReference r:id="rId10" w:type="default"/>
          <w:footerReference r:id="rId11" w:type="default"/>
          <w:pgSz w:w="16840" w:h="11900" w:orient="landscape"/>
          <w:pgMar w:top="2714" w:right="764" w:bottom="2714" w:left="735" w:header="2286" w:footer="1474" w:gutter="0"/>
          <w:pgBorders>
            <w:top w:val="none" w:sz="0" w:space="0"/>
            <w:left w:val="none" w:sz="0" w:space="0"/>
            <w:bottom w:val="none" w:sz="0" w:space="0"/>
            <w:right w:val="none" w:sz="0" w:space="0"/>
          </w:pgBorders>
          <w:pgNumType w:fmt="decimal"/>
          <w:cols w:space="720" w:num="1"/>
          <w:docGrid w:linePitch="360" w:charSpace="0"/>
        </w:sectPr>
      </w:pPr>
    </w:p>
    <w:p>
      <w:pPr>
        <w:pStyle w:val="12"/>
        <w:keepNext/>
        <w:keepLines/>
        <w:spacing w:before="200" w:after="0"/>
        <w:jc w:val="center"/>
        <w:rPr>
          <w:sz w:val="40"/>
          <w:szCs w:val="40"/>
        </w:rPr>
      </w:pPr>
      <w:bookmarkStart w:id="31" w:name="bookmark94"/>
      <w:bookmarkStart w:id="32" w:name="bookmark96"/>
      <w:bookmarkStart w:id="33" w:name="bookmark95"/>
      <w:r>
        <w:rPr>
          <w:sz w:val="40"/>
          <w:szCs w:val="40"/>
        </w:rPr>
        <w:t>第四部</w:t>
      </w:r>
      <w:r>
        <w:rPr>
          <w:rFonts w:hint="eastAsia"/>
          <w:sz w:val="40"/>
          <w:szCs w:val="40"/>
          <w:lang w:val="en-US" w:eastAsia="zh-CN"/>
        </w:rPr>
        <w:t xml:space="preserve">  </w:t>
      </w:r>
      <w:r>
        <w:rPr>
          <w:sz w:val="40"/>
          <w:szCs w:val="40"/>
        </w:rPr>
        <w:t>分名词解释</w:t>
      </w:r>
      <w:bookmarkEnd w:id="31"/>
      <w:bookmarkEnd w:id="32"/>
      <w:bookmarkEnd w:id="33"/>
    </w:p>
    <w:p>
      <w:pPr>
        <w:pStyle w:val="18"/>
        <w:tabs>
          <w:tab w:val="left" w:pos="1270"/>
        </w:tabs>
        <w:spacing w:line="626" w:lineRule="exact"/>
        <w:ind w:firstLine="640"/>
        <w:jc w:val="left"/>
      </w:pPr>
      <w:bookmarkStart w:id="34" w:name="bookmark97"/>
      <w:r>
        <w:t>一</w:t>
      </w:r>
      <w:bookmarkEnd w:id="34"/>
      <w:r>
        <w:t>、</w:t>
      </w:r>
      <w:r>
        <w:tab/>
      </w:r>
      <w:r>
        <w:t>财政拨款收入：指预算单位从本级财政部门取得的财政预算资金收入。</w:t>
      </w:r>
    </w:p>
    <w:p>
      <w:pPr>
        <w:pStyle w:val="18"/>
        <w:tabs>
          <w:tab w:val="left" w:pos="1280"/>
        </w:tabs>
        <w:spacing w:line="626" w:lineRule="exact"/>
        <w:ind w:firstLine="640"/>
        <w:jc w:val="left"/>
      </w:pPr>
      <w:bookmarkStart w:id="35" w:name="bookmark98"/>
      <w:r>
        <w:t>二</w:t>
      </w:r>
      <w:bookmarkEnd w:id="35"/>
      <w:r>
        <w:t>、</w:t>
      </w:r>
      <w:r>
        <w:tab/>
      </w:r>
      <w:r>
        <w:t>事业收入：指事业单位开展专业业务活动及辅助活动所取得的收入。</w:t>
      </w:r>
    </w:p>
    <w:p>
      <w:pPr>
        <w:pStyle w:val="18"/>
        <w:tabs>
          <w:tab w:val="left" w:pos="1275"/>
        </w:tabs>
        <w:spacing w:line="626" w:lineRule="exact"/>
        <w:ind w:firstLine="640"/>
        <w:jc w:val="left"/>
      </w:pPr>
      <w:bookmarkStart w:id="36" w:name="bookmark99"/>
      <w:r>
        <w:t>三</w:t>
      </w:r>
      <w:bookmarkEnd w:id="36"/>
      <w:r>
        <w:t>、</w:t>
      </w:r>
      <w:r>
        <w:tab/>
      </w:r>
      <w:r>
        <w:t>经营收入：指事业单位在专业业务活动及其辅助活动之外开展非独立核算经营活动取得的收入。</w:t>
      </w:r>
    </w:p>
    <w:p>
      <w:pPr>
        <w:pStyle w:val="18"/>
        <w:tabs>
          <w:tab w:val="left" w:pos="1309"/>
        </w:tabs>
        <w:spacing w:line="626" w:lineRule="exact"/>
        <w:ind w:firstLine="640"/>
        <w:jc w:val="left"/>
      </w:pPr>
      <w:bookmarkStart w:id="37" w:name="bookmark100"/>
      <w:r>
        <w:t>四</w:t>
      </w:r>
      <w:bookmarkEnd w:id="37"/>
      <w:r>
        <w:t>、</w:t>
      </w:r>
      <w:r>
        <w:tab/>
      </w:r>
      <w:r>
        <w:t>其他收入：指除上述</w:t>
      </w:r>
      <w:r>
        <w:rPr>
          <w:lang w:val="zh-CN" w:eastAsia="zh-CN" w:bidi="zh-CN"/>
        </w:rPr>
        <w:t>“财</w:t>
      </w:r>
      <w:r>
        <w:t>政拨款收入”、</w:t>
      </w:r>
      <w:r>
        <w:rPr>
          <w:lang w:val="zh-CN" w:eastAsia="zh-CN" w:bidi="zh-CN"/>
        </w:rPr>
        <w:t>“事</w:t>
      </w:r>
      <w:r>
        <w:t>业收入"、</w:t>
      </w:r>
      <w:r>
        <w:rPr>
          <w:lang w:val="zh-CN" w:eastAsia="zh-CN" w:bidi="zh-CN"/>
        </w:rPr>
        <w:t>“经营</w:t>
      </w:r>
      <w:r>
        <w:t>收入"等以外的收入。主要是非本级财政拨款、存款利息收入、事业单位固定资产出租收入等。</w:t>
      </w:r>
    </w:p>
    <w:p>
      <w:pPr>
        <w:pStyle w:val="18"/>
        <w:tabs>
          <w:tab w:val="left" w:pos="1275"/>
        </w:tabs>
        <w:spacing w:line="626" w:lineRule="exact"/>
        <w:ind w:firstLine="640"/>
        <w:jc w:val="left"/>
      </w:pPr>
      <w:bookmarkStart w:id="38" w:name="bookmark101"/>
      <w:r>
        <w:t>五</w:t>
      </w:r>
      <w:bookmarkEnd w:id="38"/>
      <w:r>
        <w:t>、</w:t>
      </w:r>
      <w:r>
        <w:tab/>
      </w:r>
      <w:r>
        <w:t>用事业基金弥补收支差额：指事业单位在用当年的</w:t>
      </w:r>
      <w:r>
        <w:rPr>
          <w:lang w:val="zh-CN" w:eastAsia="zh-CN" w:bidi="zh-CN"/>
        </w:rPr>
        <w:t>“财</w:t>
      </w:r>
      <w:r>
        <w:t>政拨款收入"、</w:t>
      </w:r>
      <w:r>
        <w:rPr>
          <w:lang w:val="zh-CN" w:eastAsia="zh-CN" w:bidi="zh-CN"/>
        </w:rPr>
        <w:t>“事业</w:t>
      </w:r>
      <w:r>
        <w:t>收入"、</w:t>
      </w:r>
      <w:r>
        <w:rPr>
          <w:lang w:val="zh-CN" w:eastAsia="zh-CN" w:bidi="zh-CN"/>
        </w:rPr>
        <w:t>“经营</w:t>
      </w:r>
      <w:r>
        <w:t>收入"、</w:t>
      </w:r>
      <w:r>
        <w:rPr>
          <w:lang w:val="zh-CN" w:eastAsia="zh-CN" w:bidi="zh-CN"/>
        </w:rPr>
        <w:t>“其他</w:t>
      </w:r>
      <w:r>
        <w:t>收入"不足以安排当年支出的情况下，使用以前年度积累的事业基金（事业单位当年收支相抵后按国家规定提取、用于弥补以后年度收支差额的基金）弥补本年度收支缺口的资金。</w:t>
      </w:r>
    </w:p>
    <w:p>
      <w:pPr>
        <w:pStyle w:val="18"/>
        <w:tabs>
          <w:tab w:val="left" w:pos="1270"/>
        </w:tabs>
        <w:spacing w:line="626" w:lineRule="exact"/>
        <w:ind w:firstLine="640"/>
        <w:jc w:val="left"/>
      </w:pPr>
      <w:bookmarkStart w:id="39" w:name="bookmark102"/>
      <w:r>
        <w:t>六</w:t>
      </w:r>
      <w:bookmarkEnd w:id="39"/>
      <w:r>
        <w:t>、</w:t>
      </w:r>
      <w:r>
        <w:tab/>
      </w:r>
      <w:r>
        <w:t>年初结转和结余：指以前年度尚未完成、结转到本年按有关规定继续使用的资金。</w:t>
      </w:r>
    </w:p>
    <w:p>
      <w:pPr>
        <w:pStyle w:val="18"/>
        <w:tabs>
          <w:tab w:val="left" w:pos="1275"/>
        </w:tabs>
        <w:spacing w:line="626" w:lineRule="exact"/>
        <w:ind w:firstLine="640"/>
        <w:jc w:val="left"/>
      </w:pPr>
      <w:bookmarkStart w:id="40" w:name="bookmark103"/>
      <w:r>
        <w:t>七</w:t>
      </w:r>
      <w:bookmarkEnd w:id="40"/>
      <w:r>
        <w:t>、</w:t>
      </w:r>
      <w:r>
        <w:tab/>
      </w:r>
      <w:r>
        <w:t>结余分配：指事业单位按规定提取的职工福利基金、事业基金和缴纳的所得税，以及建设单位按规定应交回的基本建设竣工项目结余资金。</w:t>
      </w:r>
    </w:p>
    <w:p>
      <w:pPr>
        <w:pStyle w:val="18"/>
        <w:tabs>
          <w:tab w:val="left" w:pos="632"/>
        </w:tabs>
        <w:spacing w:line="626" w:lineRule="exact"/>
        <w:ind w:firstLine="640"/>
        <w:jc w:val="left"/>
      </w:pPr>
      <w:bookmarkStart w:id="41" w:name="bookmark104"/>
      <w:r>
        <w:t>八</w:t>
      </w:r>
      <w:bookmarkEnd w:id="41"/>
      <w:r>
        <w:t>、</w:t>
      </w:r>
      <w:r>
        <w:tab/>
      </w:r>
      <w:r>
        <w:t>年末结转和结余：指本年度或以前年度预算安排、因客观条件发生变化无法按原计划实施，需要延迟到以后年度按有关规定继续使用的资金。</w:t>
      </w:r>
    </w:p>
    <w:p>
      <w:pPr>
        <w:pStyle w:val="18"/>
        <w:spacing w:line="628" w:lineRule="exact"/>
        <w:ind w:firstLine="640"/>
        <w:jc w:val="left"/>
      </w:pPr>
      <w:bookmarkStart w:id="42" w:name="bookmark105"/>
      <w:r>
        <w:t>九</w:t>
      </w:r>
      <w:bookmarkEnd w:id="42"/>
      <w:r>
        <w:t>、基本支出：指为保障机构正常运转、完成日常工作任务而发生的人员支出和公用支出。</w:t>
      </w:r>
    </w:p>
    <w:p>
      <w:pPr>
        <w:pStyle w:val="18"/>
        <w:spacing w:line="628" w:lineRule="exact"/>
        <w:ind w:firstLine="640"/>
        <w:jc w:val="left"/>
      </w:pPr>
      <w:r>
        <w:t>十、项目支出：指在基本支出之外为完成特定行政任务和事业发展目标所发生的支出。</w:t>
      </w:r>
    </w:p>
    <w:p>
      <w:pPr>
        <w:pStyle w:val="18"/>
        <w:spacing w:line="628" w:lineRule="exact"/>
        <w:ind w:firstLine="640"/>
        <w:jc w:val="left"/>
      </w:pPr>
      <w:r>
        <w:t>十一、经营支出：指事业单位在专业业务活动及其辅助活动之外开展非独立核算经营活动所发生的支出。</w:t>
      </w:r>
    </w:p>
    <w:p>
      <w:pPr>
        <w:pStyle w:val="18"/>
        <w:spacing w:line="628" w:lineRule="exact"/>
        <w:ind w:firstLine="640"/>
        <w:jc w:val="left"/>
      </w:pPr>
      <w:r>
        <w:t>十二、</w:t>
      </w:r>
      <w:r>
        <w:rPr>
          <w:lang w:val="zh-CN" w:eastAsia="zh-CN" w:bidi="zh-CN"/>
        </w:rPr>
        <w:t>“三</w:t>
      </w:r>
      <w:r>
        <w:t>公”经费：纳入财政预决算管理的</w:t>
      </w:r>
      <w:r>
        <w:rPr>
          <w:lang w:val="zh-CN" w:eastAsia="zh-CN" w:bidi="zh-CN"/>
        </w:rPr>
        <w:t>“三公</w:t>
      </w:r>
      <w:r>
        <w:t>”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18"/>
        <w:spacing w:line="628" w:lineRule="exact"/>
        <w:ind w:firstLine="640"/>
        <w:jc w:val="left"/>
      </w:pPr>
      <w:r>
        <w:t>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12" w:type="default"/>
      <w:footerReference r:id="rId13" w:type="default"/>
      <w:type w:val="continuous"/>
      <w:pgSz w:w="11900" w:h="16840"/>
      <w:pgMar w:top="1302" w:right="1735" w:bottom="1568" w:left="1793" w:header="874" w:footer="1077" w:gutter="0"/>
      <w:pgBorders>
        <w:top w:val="none" w:sz="0" w:space="0"/>
        <w:left w:val="none" w:sz="0" w:space="0"/>
        <w:bottom w:val="none" w:sz="0" w:space="0"/>
        <w:right w:val="none" w:sz="0" w:space="0"/>
      </w:pgBorders>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289"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GlArCsDAgAADAQAAA4AAAAAAAAAAQAgAAAAHwEAAGRycy9lMm9E&#10;b2MueG1sUEsFBgAAAAAGAAYAWQEAAJQ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9297" name="文本框 4"/>
              <wp:cNvGraphicFramePr/>
              <a:graphic xmlns:a="http://schemas.openxmlformats.org/drawingml/2006/main">
                <a:graphicData uri="http://schemas.microsoft.com/office/word/2010/wordprocessingShape">
                  <wps:wsp>
                    <wps:cNvSpPr/>
                    <wps:spPr>
                      <a:xfrm>
                        <a:off x="0" y="0"/>
                        <a:ext cx="394970" cy="16891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4" o:spid="_x0000_s1026" o:spt="1" style="position:absolute;left:0pt;margin-left:202.75pt;margin-top:0pt;height:13.3pt;width:31.1pt;mso-position-horizontal-relative:margin;z-index:251662336;mso-width-relative:page;mso-height-relative:page;" filled="f" stroked="f" coordsize="21600,21600" o:gfxdata="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XXEI9kAAAAHAQAADwAAAAAAAAABACAAAAAi&#10;AAAAZHJzL2Rvd25yZXYueG1sUEsBAhQAFAAAAAgAh07iQKzFxB0JAgAADAQAAA4AAAAAAAAAAQAg&#10;AAAAKAEAAGRycy9lMm9Eb2MueG1sUEsFBgAAAAAGAAYAWQEAAKMFAAAAAA==&#10;">
              <v:fill on="f" focussize="0,0"/>
              <v:stroke on="f"/>
              <v:imagedata o:title=""/>
              <o:lock v:ext="edit" aspectratio="f"/>
              <v:textbox inset="0mm,0mm,0mm,0mm">
                <w:txbxContent>
                  <w:p>
                    <w:pPr>
                      <w:pStyle w:val="2"/>
                    </w:pPr>
                    <w:r>
                      <w:fldChar w:fldCharType="begin"/>
                    </w:r>
                    <w:r>
                      <w:instrText xml:space="preserve"> PAGE  \* MERGEFORMAT </w:instrText>
                    </w:r>
                    <w:r>
                      <w:fldChar w:fldCharType="separate"/>
                    </w:r>
                    <w:r>
                      <w:t>4</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9299" name="文本框 7"/>
              <wp:cNvGraphicFramePr/>
              <a:graphic xmlns:a="http://schemas.openxmlformats.org/drawingml/2006/main">
                <a:graphicData uri="http://schemas.microsoft.com/office/word/2010/wordprocessingShape">
                  <wps:wsp>
                    <wps:cNvSpPr/>
                    <wps:spPr>
                      <a:xfrm>
                        <a:off x="0" y="0"/>
                        <a:ext cx="440055" cy="206375"/>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7" o:spid="_x0000_s1026" o:spt="1" style="position:absolute;left:0pt;margin-left:378.75pt;margin-top:0pt;height:16.25pt;width:34.65pt;mso-position-horizontal-relative:margin;z-index:251663360;mso-width-relative:page;mso-height-relative:page;" filled="f" stroked="f" coordsize="21600,21600" o:gfxdata="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0y47dgAAAAHAQAADwAAAAAAAAABACAAAAAi&#10;AAAAZHJzL2Rvd25yZXYueG1sUEsBAhQAFAAAAAgAh07iQLe2zP4KAgAADAQAAA4AAAAAAAAAAQAg&#10;AAAAJwEAAGRycy9lMm9Eb2MueG1sUEsFBgAAAAAGAAYAWQEAAKMFAAAAAA==&#10;">
              <v:fill on="f" focussize="0,0"/>
              <v:stroke on="f"/>
              <v:imagedata o:title=""/>
              <o:lock v:ext="edit" aspectratio="f"/>
              <v:textbox inset="0mm,0mm,0mm,0mm">
                <w:txbxContent>
                  <w:p>
                    <w:pPr>
                      <w:pStyle w:val="2"/>
                    </w:pPr>
                    <w:r>
                      <w:fldChar w:fldCharType="begin"/>
                    </w:r>
                    <w:r>
                      <w:instrText xml:space="preserve"> PAGE  \* MERGEFORMAT </w:instrText>
                    </w:r>
                    <w:r>
                      <w:fldChar w:fldCharType="separate"/>
                    </w:r>
                    <w:r>
                      <w:t>15</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300"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NORRRkDAgAADAQAAA4AAAAAAAAAAQAgAAAAHwEAAGRycy9lMm9E&#10;b2MueG1sUEsFBgAAAAAGAAYAWQEAAJQ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16</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301"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3zY2lBAIAAA0EAAAOAAAAAAAAAAEAIAAAAB8BAABkcnMvZTJv&#10;RG9jLnhtbFBLBQYAAAAABgAGAFkBAACV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17</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302"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BJn//UBAIAAA0EAAAOAAAAAAAAAAEAIAAAAB8BAABkcnMvZTJv&#10;RG9jLnhtbFBLBQYAAAAABgAGAFkBAACV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25</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9296"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20"/>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7216;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jAixHbAAAADQEAAA8AAAAAAAAAAQAgAAAAIgAAAGRycy9kb3ducmV2LnhtbFBLAQIUABQAAAAI&#10;AIdO4kB5wvYp6gEAAOUDAAAOAAAAAAAAAAEAIAAAACoBAABkcnMvZTJvRG9jLnhtbFBLBQYAAAAA&#10;BgAGAFkBAACGBQAAAAA=&#10;">
              <v:fill on="f" focussize="0,0"/>
              <v:stroke on="f"/>
              <v:imagedata o:title=""/>
              <o:lock v:ext="edit" aspectratio="f"/>
              <v:textbox inset="0mm,0mm,0mm,0mm" style="mso-fit-shape-to-text:t;">
                <w:txbxContent>
                  <w:p>
                    <w:pPr>
                      <w:pStyle w:val="20"/>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9298"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20"/>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6192;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MCLEdsAAAANAQAADwAAAAAAAAABACAAAAAiAAAAZHJzL2Rvd25yZXYueG1sUEsBAhQAFAAAAAgA&#10;h07iQFtR8QnpAQAA5QMAAA4AAAAAAAAAAQAgAAAAKgEAAGRycy9lMm9Eb2MueG1sUEsFBgAAAAAG&#10;AAYAWQEAAIUFAAAAAA==&#10;">
              <v:fill on="f" focussize="0,0"/>
              <v:stroke on="f"/>
              <v:imagedata o:title=""/>
              <o:lock v:ext="edit" aspectratio="f"/>
              <v:textbox inset="0mm,0mm,0mm,0mm" style="mso-fit-shape-to-text:t;">
                <w:txbxContent>
                  <w:p>
                    <w:pPr>
                      <w:pStyle w:val="20"/>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dit="readOnly" w:enforcement="1" w:cryptProviderType="rsaAES" w:cryptAlgorithmClass="hash" w:cryptAlgorithmType="typeAny" w:cryptAlgorithmSid="14" w:cryptSpinCount="100000" w:hash="SD7Cu9+5T0YeZQVUl2tGzlcav9pq+LWp46373SVOgTcgfn2jApOgSaFTcezcKdUcPRgpVjkOnHxX5G2NzV8EZg==" w:salt="ulGRPVm1xDAJ/BuqpSPPhw=="/>
  <w:defaultTabStop w:val="420"/>
  <w:drawingGridHorizontalSpacing w:val="181"/>
  <w:drawingGridVerticalSpacing w:val="181"/>
  <w:noPunctuationKerning w:val="1"/>
  <w:characterSpacingControl w:val="compressPunctuation"/>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mNDg4ZmJkNDJhZjkyNzE5MzgyZjAyYmZiN2MwYTcifQ=="/>
  </w:docVars>
  <w:rsids>
    <w:rsidRoot w:val="00000000"/>
    <w:rsid w:val="2B1C027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omment Text"/>
    <w:basedOn w:val="1"/>
    <w:autoRedefine/>
    <w:qFormat/>
    <w:uiPriority w:val="0"/>
  </w:style>
  <w:style w:type="character" w:customStyle="1" w:styleId="8">
    <w:name w:val="Comment Reference"/>
    <w:basedOn w:val="6"/>
    <w:autoRedefine/>
    <w:qFormat/>
    <w:uiPriority w:val="0"/>
    <w:rPr>
      <w:sz w:val="21"/>
      <w:szCs w:val="21"/>
    </w:rPr>
  </w:style>
  <w:style w:type="character" w:customStyle="1" w:styleId="9">
    <w:name w:val="Body text|5_"/>
    <w:basedOn w:val="6"/>
    <w:link w:val="10"/>
    <w:autoRedefine/>
    <w:qFormat/>
    <w:uiPriority w:val="0"/>
    <w:rPr>
      <w:rFonts w:ascii="宋体" w:hAnsi="宋体" w:eastAsia="宋体" w:cs="宋体"/>
      <w:sz w:val="54"/>
      <w:szCs w:val="54"/>
      <w:u w:val="none"/>
      <w:shd w:val="clear" w:color="auto" w:fill="auto"/>
      <w:lang w:val="zh-TW" w:eastAsia="zh-TW" w:bidi="zh-TW"/>
    </w:rPr>
  </w:style>
  <w:style w:type="paragraph" w:customStyle="1" w:styleId="10">
    <w:name w:val="Body text|5"/>
    <w:basedOn w:val="1"/>
    <w:link w:val="9"/>
    <w:autoRedefine/>
    <w:qFormat/>
    <w:uiPriority w:val="0"/>
    <w:pPr>
      <w:jc w:val="center"/>
    </w:pPr>
    <w:rPr>
      <w:rFonts w:ascii="宋体" w:hAnsi="宋体" w:eastAsia="宋体" w:cs="宋体"/>
      <w:sz w:val="54"/>
      <w:szCs w:val="54"/>
      <w:lang w:val="zh-TW" w:eastAsia="zh-TW" w:bidi="zh-TW"/>
    </w:rPr>
  </w:style>
  <w:style w:type="character" w:customStyle="1" w:styleId="11">
    <w:name w:val="Heading #1|1_"/>
    <w:basedOn w:val="6"/>
    <w:link w:val="12"/>
    <w:autoRedefine/>
    <w:qFormat/>
    <w:uiPriority w:val="0"/>
    <w:rPr>
      <w:rFonts w:ascii="宋体" w:hAnsi="宋体" w:eastAsia="宋体" w:cs="宋体"/>
      <w:sz w:val="44"/>
      <w:szCs w:val="44"/>
      <w:u w:val="none"/>
      <w:shd w:val="clear" w:color="auto" w:fill="auto"/>
      <w:lang w:val="zh-TW" w:eastAsia="zh-TW" w:bidi="zh-TW"/>
    </w:rPr>
  </w:style>
  <w:style w:type="paragraph" w:customStyle="1" w:styleId="12">
    <w:name w:val="Heading #1|1"/>
    <w:basedOn w:val="1"/>
    <w:link w:val="11"/>
    <w:autoRedefine/>
    <w:qFormat/>
    <w:uiPriority w:val="0"/>
    <w:pPr>
      <w:spacing w:after="400"/>
      <w:jc w:val="center"/>
      <w:outlineLvl w:val="0"/>
    </w:pPr>
    <w:rPr>
      <w:rFonts w:ascii="宋体" w:hAnsi="宋体" w:eastAsia="宋体" w:cs="宋体"/>
      <w:sz w:val="44"/>
      <w:szCs w:val="44"/>
      <w:lang w:val="zh-TW" w:eastAsia="zh-TW" w:bidi="zh-TW"/>
    </w:rPr>
  </w:style>
  <w:style w:type="character" w:customStyle="1" w:styleId="13">
    <w:name w:val="Header or footer|2_"/>
    <w:basedOn w:val="6"/>
    <w:link w:val="14"/>
    <w:autoRedefine/>
    <w:qFormat/>
    <w:uiPriority w:val="0"/>
    <w:rPr>
      <w:sz w:val="20"/>
      <w:szCs w:val="20"/>
      <w:u w:val="none"/>
      <w:shd w:val="clear" w:color="auto" w:fill="auto"/>
      <w:lang w:val="zh-TW" w:eastAsia="zh-TW" w:bidi="zh-TW"/>
    </w:rPr>
  </w:style>
  <w:style w:type="paragraph" w:customStyle="1" w:styleId="14">
    <w:name w:val="Header or footer|2"/>
    <w:basedOn w:val="1"/>
    <w:link w:val="13"/>
    <w:autoRedefine/>
    <w:qFormat/>
    <w:uiPriority w:val="0"/>
    <w:rPr>
      <w:sz w:val="20"/>
      <w:szCs w:val="20"/>
      <w:lang w:val="zh-TW" w:eastAsia="zh-TW" w:bidi="zh-TW"/>
    </w:rPr>
  </w:style>
  <w:style w:type="character" w:customStyle="1" w:styleId="15">
    <w:name w:val="Body text|2_"/>
    <w:basedOn w:val="6"/>
    <w:link w:val="16"/>
    <w:autoRedefine/>
    <w:qFormat/>
    <w:uiPriority w:val="0"/>
    <w:rPr>
      <w:rFonts w:ascii="宋体" w:hAnsi="宋体" w:eastAsia="宋体" w:cs="宋体"/>
      <w:sz w:val="32"/>
      <w:szCs w:val="32"/>
      <w:u w:val="none"/>
      <w:shd w:val="clear" w:color="auto" w:fill="auto"/>
      <w:lang w:val="zh-TW" w:eastAsia="zh-TW" w:bidi="zh-TW"/>
    </w:rPr>
  </w:style>
  <w:style w:type="paragraph" w:customStyle="1" w:styleId="16">
    <w:name w:val="Body text|2"/>
    <w:basedOn w:val="1"/>
    <w:link w:val="15"/>
    <w:autoRedefine/>
    <w:qFormat/>
    <w:uiPriority w:val="0"/>
    <w:pPr>
      <w:spacing w:after="240"/>
      <w:ind w:firstLine="560"/>
    </w:pPr>
    <w:rPr>
      <w:rFonts w:ascii="宋体" w:hAnsi="宋体" w:eastAsia="宋体" w:cs="宋体"/>
      <w:sz w:val="32"/>
      <w:szCs w:val="32"/>
      <w:lang w:val="zh-TW" w:eastAsia="zh-TW" w:bidi="zh-TW"/>
    </w:rPr>
  </w:style>
  <w:style w:type="character" w:customStyle="1" w:styleId="17">
    <w:name w:val="Body text|1_"/>
    <w:basedOn w:val="6"/>
    <w:link w:val="18"/>
    <w:autoRedefine/>
    <w:qFormat/>
    <w:uiPriority w:val="0"/>
    <w:rPr>
      <w:rFonts w:ascii="宋体" w:hAnsi="宋体" w:eastAsia="宋体" w:cs="宋体"/>
      <w:sz w:val="28"/>
      <w:szCs w:val="28"/>
      <w:u w:val="none"/>
      <w:shd w:val="clear" w:color="auto" w:fill="auto"/>
      <w:lang w:val="zh-TW" w:eastAsia="zh-TW" w:bidi="zh-TW"/>
    </w:rPr>
  </w:style>
  <w:style w:type="paragraph" w:customStyle="1" w:styleId="18">
    <w:name w:val="Body text|1"/>
    <w:basedOn w:val="1"/>
    <w:link w:val="17"/>
    <w:autoRedefine/>
    <w:qFormat/>
    <w:uiPriority w:val="0"/>
    <w:pPr>
      <w:spacing w:line="468" w:lineRule="auto"/>
      <w:ind w:firstLine="400"/>
    </w:pPr>
    <w:rPr>
      <w:rFonts w:ascii="宋体" w:hAnsi="宋体" w:eastAsia="宋体" w:cs="宋体"/>
      <w:sz w:val="28"/>
      <w:szCs w:val="28"/>
      <w:lang w:val="zh-TW" w:eastAsia="zh-TW" w:bidi="zh-TW"/>
    </w:rPr>
  </w:style>
  <w:style w:type="character" w:customStyle="1" w:styleId="19">
    <w:name w:val="Header or footer|1_"/>
    <w:basedOn w:val="6"/>
    <w:link w:val="20"/>
    <w:autoRedefine/>
    <w:qFormat/>
    <w:uiPriority w:val="0"/>
    <w:rPr>
      <w:b/>
      <w:bCs/>
      <w:sz w:val="17"/>
      <w:szCs w:val="17"/>
      <w:u w:val="none"/>
      <w:shd w:val="clear" w:color="auto" w:fill="auto"/>
      <w:lang w:val="zh-TW" w:eastAsia="zh-TW" w:bidi="zh-TW"/>
    </w:rPr>
  </w:style>
  <w:style w:type="paragraph" w:customStyle="1" w:styleId="20">
    <w:name w:val="Header or footer|1"/>
    <w:basedOn w:val="1"/>
    <w:link w:val="19"/>
    <w:autoRedefine/>
    <w:qFormat/>
    <w:uiPriority w:val="0"/>
    <w:rPr>
      <w:b/>
      <w:bCs/>
      <w:sz w:val="17"/>
      <w:szCs w:val="17"/>
      <w:lang w:val="zh-TW" w:eastAsia="zh-TW" w:bidi="zh-TW"/>
    </w:rPr>
  </w:style>
  <w:style w:type="character" w:customStyle="1" w:styleId="21">
    <w:name w:val="Heading #2|1_"/>
    <w:basedOn w:val="6"/>
    <w:link w:val="22"/>
    <w:autoRedefine/>
    <w:qFormat/>
    <w:uiPriority w:val="0"/>
    <w:rPr>
      <w:rFonts w:ascii="宋体" w:hAnsi="宋体" w:eastAsia="宋体" w:cs="宋体"/>
      <w:sz w:val="26"/>
      <w:szCs w:val="26"/>
      <w:u w:val="none"/>
      <w:shd w:val="clear" w:color="auto" w:fill="auto"/>
      <w:lang w:val="zh-TW" w:eastAsia="zh-TW" w:bidi="zh-TW"/>
    </w:rPr>
  </w:style>
  <w:style w:type="paragraph" w:customStyle="1" w:styleId="22">
    <w:name w:val="Heading #2|1"/>
    <w:basedOn w:val="1"/>
    <w:link w:val="21"/>
    <w:autoRedefine/>
    <w:qFormat/>
    <w:uiPriority w:val="0"/>
    <w:pPr>
      <w:spacing w:after="230"/>
      <w:jc w:val="center"/>
      <w:outlineLvl w:val="1"/>
    </w:pPr>
    <w:rPr>
      <w:rFonts w:ascii="宋体" w:hAnsi="宋体" w:eastAsia="宋体" w:cs="宋体"/>
      <w:sz w:val="26"/>
      <w:szCs w:val="26"/>
      <w:lang w:val="zh-TW" w:eastAsia="zh-TW" w:bidi="zh-TW"/>
    </w:rPr>
  </w:style>
  <w:style w:type="character" w:customStyle="1" w:styleId="23">
    <w:name w:val="Other|1_"/>
    <w:basedOn w:val="6"/>
    <w:link w:val="24"/>
    <w:autoRedefine/>
    <w:qFormat/>
    <w:uiPriority w:val="0"/>
    <w:rPr>
      <w:rFonts w:ascii="宋体" w:hAnsi="宋体" w:eastAsia="宋体" w:cs="宋体"/>
      <w:sz w:val="28"/>
      <w:szCs w:val="28"/>
      <w:u w:val="none"/>
      <w:shd w:val="clear" w:color="auto" w:fill="auto"/>
      <w:lang w:val="zh-TW" w:eastAsia="zh-TW" w:bidi="zh-TW"/>
    </w:rPr>
  </w:style>
  <w:style w:type="paragraph" w:customStyle="1" w:styleId="24">
    <w:name w:val="Other|1"/>
    <w:basedOn w:val="1"/>
    <w:link w:val="23"/>
    <w:autoRedefine/>
    <w:qFormat/>
    <w:uiPriority w:val="0"/>
    <w:pPr>
      <w:spacing w:line="468" w:lineRule="auto"/>
      <w:ind w:firstLine="400"/>
    </w:pPr>
    <w:rPr>
      <w:rFonts w:ascii="宋体" w:hAnsi="宋体" w:eastAsia="宋体" w:cs="宋体"/>
      <w:sz w:val="28"/>
      <w:szCs w:val="28"/>
      <w:lang w:val="zh-TW" w:eastAsia="zh-TW" w:bidi="zh-TW"/>
    </w:rPr>
  </w:style>
  <w:style w:type="character" w:customStyle="1" w:styleId="25">
    <w:name w:val="Table caption|1_"/>
    <w:basedOn w:val="6"/>
    <w:link w:val="26"/>
    <w:autoRedefine/>
    <w:qFormat/>
    <w:uiPriority w:val="0"/>
    <w:rPr>
      <w:rFonts w:ascii="宋体" w:hAnsi="宋体" w:eastAsia="宋体" w:cs="宋体"/>
      <w:sz w:val="17"/>
      <w:szCs w:val="17"/>
      <w:u w:val="none"/>
      <w:shd w:val="clear" w:color="auto" w:fill="auto"/>
      <w:lang w:val="zh-TW" w:eastAsia="zh-TW" w:bidi="zh-TW"/>
    </w:rPr>
  </w:style>
  <w:style w:type="paragraph" w:customStyle="1" w:styleId="26">
    <w:name w:val="Table caption|1"/>
    <w:basedOn w:val="1"/>
    <w:link w:val="25"/>
    <w:autoRedefine/>
    <w:qFormat/>
    <w:uiPriority w:val="0"/>
    <w:rPr>
      <w:rFonts w:ascii="宋体" w:hAnsi="宋体" w:eastAsia="宋体" w:cs="宋体"/>
      <w:sz w:val="17"/>
      <w:szCs w:val="17"/>
      <w:lang w:val="zh-TW" w:eastAsia="zh-TW" w:bidi="zh-TW"/>
    </w:rPr>
  </w:style>
  <w:style w:type="character" w:customStyle="1" w:styleId="27">
    <w:name w:val="Body text|4_"/>
    <w:basedOn w:val="6"/>
    <w:link w:val="28"/>
    <w:autoRedefine/>
    <w:qFormat/>
    <w:uiPriority w:val="0"/>
    <w:rPr>
      <w:rFonts w:ascii="宋体" w:hAnsi="宋体" w:eastAsia="宋体" w:cs="宋体"/>
      <w:sz w:val="17"/>
      <w:szCs w:val="17"/>
      <w:u w:val="none"/>
      <w:shd w:val="clear" w:color="auto" w:fill="auto"/>
      <w:lang w:val="zh-TW" w:eastAsia="zh-TW" w:bidi="zh-TW"/>
    </w:rPr>
  </w:style>
  <w:style w:type="paragraph" w:customStyle="1" w:styleId="28">
    <w:name w:val="Body text|4"/>
    <w:basedOn w:val="1"/>
    <w:link w:val="27"/>
    <w:autoRedefine/>
    <w:qFormat/>
    <w:uiPriority w:val="0"/>
    <w:pPr>
      <w:ind w:firstLine="680"/>
    </w:pPr>
    <w:rPr>
      <w:rFonts w:ascii="宋体" w:hAnsi="宋体" w:eastAsia="宋体" w:cs="宋体"/>
      <w:sz w:val="17"/>
      <w:szCs w:val="17"/>
      <w:lang w:val="zh-TW" w:eastAsia="zh-TW" w:bidi="zh-TW"/>
    </w:rPr>
  </w:style>
  <w:style w:type="character" w:customStyle="1" w:styleId="29">
    <w:name w:val="Body text|3_"/>
    <w:basedOn w:val="6"/>
    <w:link w:val="30"/>
    <w:autoRedefine/>
    <w:qFormat/>
    <w:uiPriority w:val="0"/>
    <w:rPr>
      <w:sz w:val="30"/>
      <w:szCs w:val="30"/>
      <w:u w:val="none"/>
      <w:shd w:val="clear" w:color="auto" w:fill="auto"/>
      <w:lang w:val="zh-TW" w:eastAsia="zh-TW" w:bidi="zh-TW"/>
    </w:rPr>
  </w:style>
  <w:style w:type="paragraph" w:customStyle="1" w:styleId="30">
    <w:name w:val="Body text|3"/>
    <w:basedOn w:val="1"/>
    <w:link w:val="29"/>
    <w:autoRedefine/>
    <w:qFormat/>
    <w:uiPriority w:val="0"/>
    <w:pPr>
      <w:spacing w:after="140" w:line="336" w:lineRule="auto"/>
      <w:ind w:firstLine="370"/>
    </w:pPr>
    <w:rPr>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4.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chart" Target="charts/chart6.xml"/><Relationship Id="rId2" Type="http://schemas.openxmlformats.org/officeDocument/2006/relationships/settings" Target="settings.xml"/><Relationship Id="rId19" Type="http://schemas.openxmlformats.org/officeDocument/2006/relationships/chart" Target="charts/chart5.xml"/><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formatCode>General</c:formatCode>
                <c:ptCount val="1"/>
                <c:pt idx="0">
                  <c:v>1138.17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Pt>
            <c:idx val="2"/>
            <c:bubble3D val="0"/>
          </c:dPt>
          <c:dPt>
            <c:idx val="3"/>
            <c:bubble3D val="0"/>
          </c:dPt>
          <c:dLbls>
            <c:delete val="1"/>
          </c:dLbls>
          <c:cat>
            <c:strRef>
              <c:f>Sheet1!$A$2:$A$5</c:f>
              <c:strCache>
                <c:ptCount val="4"/>
                <c:pt idx="0">
                  <c:v>一般公共服务支出</c:v>
                </c:pt>
                <c:pt idx="1">
                  <c:v>教育支出</c:v>
                </c:pt>
                <c:pt idx="2">
                  <c:v>社会保障和就业支出</c:v>
                </c:pt>
                <c:pt idx="3">
                  <c:v>住房保障支出</c:v>
                </c:pt>
              </c:strCache>
            </c:strRef>
          </c:cat>
          <c:val>
            <c:numRef>
              <c:f>Sheet1!$B$2:$B$5</c:f>
              <c:numCache>
                <c:formatCode>General</c:formatCode>
                <c:ptCount val="4"/>
                <c:pt idx="0">
                  <c:v>13.9</c:v>
                </c:pt>
                <c:pt idx="1">
                  <c:v>915.68</c:v>
                </c:pt>
                <c:pt idx="2">
                  <c:v>98.51</c:v>
                </c:pt>
                <c:pt idx="3">
                  <c:v>82.67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1239.93</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1138.17</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一般公共预算支出情况</a:t>
            </a:r>
            <a:endParaRPr lang="en-US" sz="1100"/>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1093.66</c:v>
                </c:pt>
              </c:numCache>
            </c:numRef>
          </c:val>
        </c:ser>
        <c:ser>
          <c:idx val="1"/>
          <c:order val="1"/>
          <c:tx>
            <c:strRef>
              <c:f>Sheet1!$C$1</c:f>
              <c:strCache>
                <c:ptCount val="1"/>
                <c:pt idx="0">
                  <c:v>结转下年支出</c:v>
                </c:pt>
              </c:strCache>
            </c:strRef>
          </c:tx>
          <c:invertIfNegative val="0"/>
          <c:dLbls>
            <c:delete val="1"/>
          </c:dLbls>
          <c:cat>
            <c:strRef>
              <c:f>Sheet1!$A$2</c:f>
              <c:strCache>
                <c:ptCount val="1"/>
                <c:pt idx="0">
                  <c:v>当年</c:v>
                </c:pt>
              </c:strCache>
            </c:strRef>
          </c:cat>
          <c:val>
            <c:numRef>
              <c:f>Sheet1!$C$2</c:f>
              <c:numCache>
                <c:formatCode>General</c:formatCode>
                <c:ptCount val="1"/>
                <c:pt idx="0">
                  <c:v>0</c:v>
                </c:pt>
              </c:numCache>
            </c:numRef>
          </c:val>
        </c:ser>
        <c:ser>
          <c:idx val="2"/>
          <c:order val="2"/>
          <c:tx>
            <c:strRef>
              <c:f>Sheet1!$D$1</c:f>
              <c:strCache>
                <c:ptCount val="1"/>
                <c:pt idx="0">
                  <c:v>项目支出</c:v>
                </c:pt>
              </c:strCache>
            </c:strRef>
          </c:tx>
          <c:invertIfNegative val="0"/>
          <c:dLbls>
            <c:delete val="1"/>
          </c:dLbls>
          <c:cat>
            <c:strRef>
              <c:f>Sheet1!$A$2</c:f>
              <c:strCache>
                <c:ptCount val="1"/>
                <c:pt idx="0">
                  <c:v>当年</c:v>
                </c:pt>
              </c:strCache>
            </c:strRef>
          </c:cat>
          <c:val>
            <c:numRef>
              <c:f>Sheet1!$D$2</c:f>
              <c:numCache>
                <c:formatCode>General</c:formatCode>
                <c:ptCount val="1"/>
                <c:pt idx="0">
                  <c:v>17.1</c:v>
                </c:pt>
              </c:numCache>
            </c:numRef>
          </c:val>
        </c:ser>
        <c:ser>
          <c:idx val="3"/>
          <c:order val="3"/>
          <c:tx>
            <c:strRef>
              <c:f>Sheet1!$E$1</c:f>
              <c:strCache>
                <c:ptCount val="1"/>
                <c:pt idx="0">
                  <c:v>公用经费</c:v>
                </c:pt>
              </c:strCache>
            </c:strRef>
          </c:tx>
          <c:invertIfNegative val="0"/>
          <c:dLbls>
            <c:delete val="1"/>
          </c:dLbls>
          <c:cat>
            <c:strRef>
              <c:f>Sheet1!$A$2</c:f>
              <c:strCache>
                <c:ptCount val="1"/>
                <c:pt idx="0">
                  <c:v>当年</c:v>
                </c:pt>
              </c:strCache>
            </c:strRef>
          </c:cat>
          <c:val>
            <c:numRef>
              <c:f>Sheet1!$E$2</c:f>
              <c:numCache>
                <c:formatCode>General</c:formatCode>
                <c:ptCount val="1"/>
                <c:pt idx="0">
                  <c:v>13.9</c:v>
                </c:pt>
              </c:numCache>
            </c:numRef>
          </c:val>
        </c:ser>
        <c:ser>
          <c:idx val="4"/>
          <c:order val="4"/>
          <c:tx>
            <c:strRef>
              <c:f>Sheet1!$F$1</c:f>
              <c:strCache>
                <c:ptCount val="1"/>
                <c:pt idx="0">
                  <c:v>人员经费</c:v>
                </c:pt>
              </c:strCache>
            </c:strRef>
          </c:tx>
          <c:invertIfNegative val="0"/>
          <c:dLbls>
            <c:delete val="1"/>
          </c:dLbls>
          <c:cat>
            <c:strRef>
              <c:f>Sheet1!$A$2</c:f>
              <c:strCache>
                <c:ptCount val="1"/>
                <c:pt idx="0">
                  <c:v>当年</c:v>
                </c:pt>
              </c:strCache>
            </c:strRef>
          </c:cat>
          <c:val>
            <c:numRef>
              <c:f>Sheet1!$F$2</c:f>
              <c:numCache>
                <c:formatCode>General</c:formatCode>
                <c:ptCount val="1"/>
                <c:pt idx="0">
                  <c:v>1079.76</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一般公共预算基本支出情况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Lbls>
            <c:delete val="1"/>
          </c:dLbls>
          <c:cat>
            <c:strRef>
              <c:f>Sheet1!$A$2:$A$3</c:f>
              <c:strCache>
                <c:ptCount val="2"/>
                <c:pt idx="0">
                  <c:v>人员经费</c:v>
                </c:pt>
                <c:pt idx="1">
                  <c:v>公用经费</c:v>
                </c:pt>
              </c:strCache>
            </c:strRef>
          </c:cat>
          <c:val>
            <c:numRef>
              <c:f>Sheet1!$B$2:$B$3</c:f>
              <c:numCache>
                <c:formatCode>General</c:formatCode>
                <c:ptCount val="2"/>
                <c:pt idx="0">
                  <c:v>1079.76</c:v>
                </c:pt>
                <c:pt idx="1">
                  <c:v>13.9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c:v>
                </c:pt>
                <c:pt idx="1">
                  <c:v>0</c:v>
                </c:pt>
                <c:pt idx="2">
                  <c:v>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c:v>
                </c:pt>
                <c:pt idx="1">
                  <c:v>0</c:v>
                </c:pt>
                <c:pt idx="2">
                  <c:v>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65F2272583C547A8BCE73C239E2E6D45_13</vt:lpwstr>
  </property>
</Properties>
</file>

<file path=customXml/item3.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Office_12.1.0.16388_F1E327BC-269C-435d-A152-05C5408002CA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PC</cp:lastModifiedBy>
  <dcterms:modified xsi:type="dcterms:W3CDTF">2024-02-29T13:39:52Z</dcterms:modified>
  <cp:revision>3</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f26b5e-2941-48be-8eda-940b0b819c0d}">
  <ds:schemaRefs/>
</ds:datastoreItem>
</file>

<file path=customXml/itemProps3.xml><?xml version="1.0" encoding="utf-8"?>
<ds:datastoreItem xmlns:ds="http://schemas.openxmlformats.org/officeDocument/2006/customXml" ds:itemID="{4ab90d17-4cc1-4dc8-bc9d-bd9a93bd202e}">
  <ds:schemaRefs/>
</ds:datastoreItem>
</file>

<file path=customXml/itemProps4.xml><?xml version="1.0" encoding="utf-8"?>
<ds:datastoreItem xmlns:ds="http://schemas.openxmlformats.org/officeDocument/2006/customXml" ds:itemID="{c7e1faac-4e13-4c32-a413-ad0c47e0a53e}">
  <ds:schemaRefs/>
</ds:datastoreItem>
</file>

<file path=docProps/app.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2023-02-07T06:11:00Z</dcterms:created>
  <dc:creator>蔡冬冬</dc:creator>
  <cp:lastModifiedBy>Administrator</cp:lastModifiedBy>
  <dcterms:modified xsi:type="dcterms:W3CDTF">2024-03-07T03:32:16Z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068A30B37FCA4386851D562F769C9336_13</vt:lpwstr>
  </property>
</Properties>
</file>