
<file path=[Content_Types].xml><?xml version="1.0" encoding="utf-8"?>
<Types xmlns="http://schemas.openxmlformats.org/package/2006/content-types">
  <Default ContentType="application/vnd.openxmlformats-package.relationships+xml" Extension="rels"/>
  <Default ContentType="application/vnd.openxmlformats-officedocument.spreadsheetml.sheet" Extension="xlsx"/>
  <Default ContentType="application/xml" Extension="xml"/>
  <Override ContentType="application/xml" PartName="/customXml/item1.xml"/>
  <Override ContentType="application/xml" PartName="/customXml/item2.xml"/>
  <Override ContentType="application/xml" PartName="/customXml/item3.xml"/>
  <Override ContentType="application/xml" PartName="/customXml/item4.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drawingml.chart+xml" PartName="/word/charts/chart1.xml"/>
  <Override ContentType="application/vnd.openxmlformats-officedocument.drawingml.chart+xml" PartName="/word/charts/chart2.xml"/>
  <Override ContentType="application/vnd.openxmlformats-officedocument.drawingml.chart+xml" PartName="/word/charts/chart3.xml"/>
  <Override ContentType="application/vnd.openxmlformats-officedocument.drawingml.chart+xml" PartName="/word/charts/chart4.xml"/>
  <Override ContentType="application/vnd.openxmlformats-officedocument.drawingml.chart+xml" PartName="/word/charts/chart5.xml"/>
  <Override ContentType="application/vnd.openxmlformats-officedocument.drawingml.chart+xml" PartName="/word/charts/chart6.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header+xml" PartName="/word/header5.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app.xml" Type="http://schemas.openxmlformats.org/officeDocument/2006/relationships/extended-properties"/><Relationship Id="rId3" Target="docProps/core.xml" Type="http://schemas.openxmlformats.org/package/2006/relationships/metadata/core-properties"/><Relationship Id="rId4" Target="docProps/custom.xml" Type="http://schemas.openxmlformats.org/officeDocument/2006/relationships/custom-properties"/></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w15="http://schemas.microsoft.com/office/word/2012/wordml" mc:Ignorable="w14 w15">
  <!-- Generated by Spire.Doc -->
  <w:body>
    <w:p>
      <w:pPr>
        <w:pStyle w:val="Bodytext|5"/>
        <w:jc w:val="center"/>
        <w:rPr>
          <w:rFonts w:hint="eastAsia"/>
          <w:sz w:val="56"/>
          <w:szCs w:val="56"/>
          <w:lang w:eastAsia="zh-CN"/>
        </w:rPr>
      </w:pPr>
      <w:r>
        <w:rPr>
          <w:rFonts w:hint="eastAsia"/>
          <w:sz w:val="56"/>
          <w:szCs w:val="56"/>
          <w:lang w:eastAsia="zh-CN"/>
        </w:rPr>
        <w:t xml:space="preserve">环江毛南族自治县下南乡初级中学</w:t>
      </w:r>
    </w:p>
    <w:p>
      <w:pPr>
        <w:pStyle w:val="Bodytext|5"/>
        <w:jc w:val="center"/>
        <w:rPr>
          <w:sz w:val="56"/>
          <w:szCs w:val="56"/>
        </w:rPr>
        <w:sectPr>
          <w:pgSz w:w="11900" w:h="16840" w:orient="portrait"/>
          <w:pgMar w:top="4713" w:right="1913" w:bottom="4713" w:left="2020" w:header="4285" w:footer="2381" w:gutter="0"/>
          <w:pgBorders>
            <w:top w:val="none" w:sz="0" w:space="0" w:color="auto"/>
            <w:left w:val="none" w:sz="0" w:space="0" w:color="auto"/>
            <w:bottom w:val="none" w:sz="0" w:space="0" w:color="auto"/>
            <w:right w:val="none" w:sz="0" w:space="0" w:color="auto"/>
          </w:pgBorders>
          <w:pgNumType w:fmt="decimal" w:start="1"/>
          <w:cols w:num="1" w:space="720">
            <w:col w:w="7967" w:space="720"/>
          </w:cols>
          <w:docGrid w:linePitch="360" w:charSpace="0"/>
        </w:sectPr>
      </w:pPr>
      <w:r>
        <w:rPr>
          <w:rFonts w:hint="eastAsia"/>
          <w:sz w:val="56"/>
          <w:szCs w:val="56"/>
          <w:lang w:eastAsia="zh-CN"/>
        </w:rPr>
        <w:t xml:space="preserve">2024</w:t>
      </w:r>
      <w:r>
        <w:rPr>
          <w:rFonts w:ascii="宋体" w:eastAsia="宋体" w:hAnsi="宋体" w:asciiTheme="majorEastAsia" w:eastAsiaTheme="majorEastAsia" w:hAnsiTheme="majorEastAsia" w:cs="Times New Roman" w:cstheme="majorEastAsia" w:hint="eastAsia"/>
          <w:sz w:val="56"/>
          <w:szCs w:val="56"/>
          <w:u w:color="auto"/>
        </w:rPr>
        <w:t xml:space="preserve">年</w:t>
      </w:r>
      <w:r>
        <w:rPr>
          <w:rFonts w:ascii="宋体" w:eastAsia="宋体" w:hAnsi="宋体" w:asciiTheme="majorEastAsia" w:eastAsiaTheme="majorEastAsia" w:hAnsiTheme="majorEastAsia" w:cs="Times New Roman" w:cstheme="majorEastAsia" w:hint="eastAsia"/>
          <w:sz w:val="56"/>
          <w:szCs w:val="56"/>
        </w:rPr>
        <w:t xml:space="preserve">度部门预算</w:t>
      </w:r>
    </w:p>
    <w:p>
      <w:pPr>
        <w:pStyle w:val="Heading#1|1"/>
        <w:keepNext/>
        <w:keepLines/>
        <w:spacing w:after="240"/>
        <w:jc w:val="center"/>
      </w:pPr>
      <w:bookmarkStart w:id="0" w:name="bookmark1"/>
      <w:bookmarkStart w:id="1" w:name="bookmark0"/>
      <w:bookmarkStart w:id="2" w:name="bookmark2"/>
      <w:r>
        <w:t xml:space="preserve">目录</w:t>
      </w:r>
      <w:bookmarkEnd w:id="0"/>
      <w:bookmarkEnd w:id="1"/>
      <w:bookmarkEnd w:id="2"/>
    </w:p>
    <w:p>
      <w:pPr>
        <w:pStyle w:val="Bodytext|2"/>
        <w:ind w:left="0" w:firstLine="320" w:leftChars="0" w:firstLineChars="100"/>
        <w:jc w:val="left"/>
      </w:pPr>
      <w:r>
        <w:t xml:space="preserve">第一部分</w:t>
      </w:r>
      <w:r>
        <w:rPr>
          <w:rFonts w:hint="eastAsia"/>
          <w:lang w:eastAsia="zh-CN"/>
        </w:rPr>
        <w:t xml:space="preserve">：</w:t>
      </w:r>
      <w:r>
        <w:rPr>
          <w:u w:color="auto"/>
        </w:rPr>
        <w:t xml:space="preserve">环江毛南族自治县下南乡初级中学</w:t>
      </w:r>
      <w:r>
        <w:rPr>
          <w:u w:color="auto"/>
        </w:rPr>
        <w:t xml:space="preserve">单位</w:t>
      </w:r>
      <w:r>
        <w:t xml:space="preserve">概况</w:t>
      </w:r>
    </w:p>
    <w:p>
      <w:pPr>
        <w:pStyle w:val="Bodytext|2"/>
        <w:jc w:val="left"/>
      </w:pPr>
      <w:r>
        <w:rPr>
          <w:lang w:val="en-US" w:eastAsia="zh-CN" w:bidi="en-US"/>
        </w:rPr>
        <w:t xml:space="preserve">—</w:t>
      </w:r>
      <w:r>
        <w:t xml:space="preserve">、主要职责</w:t>
      </w:r>
    </w:p>
    <w:p>
      <w:pPr>
        <w:pStyle w:val="Bodytext|2"/>
        <w:jc w:val="left"/>
        <w:rPr>
          <w:rFonts w:hint="eastAsia"/>
        </w:rPr>
      </w:pPr>
      <w:r>
        <w:rPr>
          <w:rFonts w:hint="eastAsia"/>
          <w:lang w:val="en-US" w:eastAsia="zh-CN"/>
        </w:rPr>
        <w:t xml:space="preserve">二、</w:t>
      </w:r>
      <w:r>
        <w:rPr>
          <w:rFonts w:hint="eastAsia"/>
        </w:rPr>
        <w:t xml:space="preserve">机构设置情况</w:t>
      </w:r>
    </w:p>
    <w:p>
      <w:pPr>
        <w:pStyle w:val="Bodytext|2"/>
        <w:ind w:left="0" w:firstLine="320" w:leftChars="0" w:firstLineChars="100"/>
        <w:jc w:val="left"/>
      </w:pPr>
      <w:r>
        <w:t xml:space="preserve">第二部分</w:t>
      </w:r>
      <w:r>
        <w:rPr>
          <w:rFonts w:hint="eastAsia"/>
          <w:lang w:eastAsia="zh-CN"/>
        </w:rPr>
        <w:t xml:space="preserve">：</w:t>
      </w:r>
      <w:r>
        <w:rPr>
          <w:u w:color="auto"/>
        </w:rPr>
        <w:t xml:space="preserve">环江毛南族自治县下南乡初级中学</w:t>
      </w:r>
      <w:r>
        <w:rPr>
          <w:u w:color="auto"/>
        </w:rPr>
        <w:t xml:space="preserve">2024</w:t>
      </w:r>
      <w:r>
        <w:t xml:space="preserve">部门预算情况说明</w:t>
      </w:r>
    </w:p>
    <w:p>
      <w:pPr>
        <w:pStyle w:val="Bodytext|2"/>
        <w:numPr>
          <w:ilvl w:val="0"/>
          <w:numId w:val="0"/>
        </w:numPr>
        <w:ind w:firstLine="640" w:firstLineChars="200"/>
        <w:jc w:val="left"/>
        <w:rPr>
          <w:rFonts w:hint="eastAsia"/>
        </w:rPr>
      </w:pPr>
      <w:r>
        <w:rPr>
          <w:rFonts w:hint="eastAsia"/>
        </w:rPr>
        <w:t xml:space="preserve">一、部门收支总体情况说明</w:t>
      </w:r>
    </w:p>
    <w:p>
      <w:pPr>
        <w:pStyle w:val="Bodytext|2"/>
        <w:numPr>
          <w:ilvl w:val="0"/>
          <w:numId w:val="0"/>
        </w:numPr>
        <w:ind w:firstLine="640" w:firstLineChars="200"/>
        <w:jc w:val="left"/>
        <w:rPr>
          <w:rFonts w:hint="eastAsia"/>
        </w:rPr>
      </w:pPr>
      <w:r>
        <w:rPr>
          <w:rFonts w:hint="eastAsia"/>
        </w:rPr>
        <w:t xml:space="preserve">二、部门收入总体情况说明</w:t>
      </w:r>
    </w:p>
    <w:p>
      <w:pPr>
        <w:pStyle w:val="Bodytext|2"/>
        <w:numPr>
          <w:ilvl w:val="0"/>
          <w:numId w:val="0"/>
        </w:numPr>
        <w:ind w:firstLine="640" w:firstLineChars="200"/>
        <w:jc w:val="left"/>
        <w:rPr>
          <w:rFonts w:hint="eastAsia"/>
        </w:rPr>
      </w:pPr>
      <w:r>
        <w:rPr>
          <w:rFonts w:hint="eastAsia"/>
        </w:rPr>
        <w:t xml:space="preserve">三、部门支出总体情况说明</w:t>
      </w:r>
    </w:p>
    <w:p>
      <w:pPr>
        <w:pStyle w:val="Bodytext|2"/>
        <w:numPr>
          <w:ilvl w:val="0"/>
          <w:numId w:val="0"/>
        </w:numPr>
        <w:ind w:firstLine="640" w:firstLineChars="200"/>
        <w:jc w:val="left"/>
        <w:rPr>
          <w:rFonts w:hint="eastAsia"/>
        </w:rPr>
      </w:pPr>
      <w:r>
        <w:rPr>
          <w:rFonts w:hint="eastAsia"/>
        </w:rPr>
        <w:t xml:space="preserve">四、财政拨款收支总体情况说明</w:t>
      </w:r>
    </w:p>
    <w:p>
      <w:pPr>
        <w:pStyle w:val="Bodytext|2"/>
        <w:numPr>
          <w:ilvl w:val="0"/>
          <w:numId w:val="0"/>
        </w:numPr>
        <w:ind w:firstLine="640" w:firstLineChars="200"/>
        <w:jc w:val="left"/>
        <w:rPr>
          <w:rFonts w:hint="eastAsia"/>
        </w:rPr>
      </w:pPr>
      <w:r>
        <w:rPr>
          <w:rFonts w:hint="eastAsia"/>
        </w:rPr>
        <w:t xml:space="preserve">五、一般公共预算支出情况说明</w:t>
      </w:r>
    </w:p>
    <w:p>
      <w:pPr>
        <w:pStyle w:val="Bodytext|2"/>
        <w:numPr>
          <w:ilvl w:val="0"/>
          <w:numId w:val="0"/>
        </w:numPr>
        <w:ind w:firstLine="640" w:firstLineChars="200"/>
        <w:jc w:val="left"/>
        <w:rPr>
          <w:rFonts w:hint="eastAsia"/>
        </w:rPr>
      </w:pPr>
      <w:r>
        <w:rPr>
          <w:rFonts w:hint="eastAsia"/>
        </w:rPr>
        <w:t xml:space="preserve">六、一般公共预算基本支出情况说明</w:t>
      </w:r>
    </w:p>
    <w:p>
      <w:pPr>
        <w:pStyle w:val="Bodytext|2"/>
        <w:numPr>
          <w:ilvl w:val="0"/>
          <w:numId w:val="0"/>
        </w:numPr>
        <w:ind w:firstLine="640" w:firstLineChars="200"/>
        <w:jc w:val="left"/>
        <w:rPr>
          <w:rFonts w:hint="eastAsia"/>
        </w:rPr>
      </w:pPr>
      <w:r>
        <w:rPr>
          <w:rFonts w:hint="eastAsia"/>
        </w:rPr>
        <w:t xml:space="preserve">七、一般公共预算“三公”经费支出情况说明</w:t>
      </w:r>
    </w:p>
    <w:p>
      <w:pPr>
        <w:pStyle w:val="Bodytext|2"/>
        <w:numPr>
          <w:ilvl w:val="0"/>
          <w:numId w:val="0"/>
        </w:numPr>
        <w:ind w:firstLine="640" w:firstLineChars="200"/>
        <w:jc w:val="left"/>
        <w:rPr>
          <w:rFonts w:hint="eastAsia"/>
        </w:rPr>
      </w:pPr>
      <w:r>
        <w:rPr>
          <w:rFonts w:hint="eastAsia"/>
        </w:rPr>
        <w:t xml:space="preserve">八、政府性基金预算支出情况说明</w:t>
      </w:r>
    </w:p>
    <w:p>
      <w:pPr>
        <w:pStyle w:val="Bodytext|2"/>
        <w:numPr>
          <w:ilvl w:val="0"/>
          <w:numId w:val="0"/>
        </w:numPr>
        <w:ind w:firstLine="640" w:firstLineChars="200"/>
        <w:jc w:val="left"/>
        <w:rPr>
          <w:rFonts w:hint="eastAsia"/>
        </w:rPr>
      </w:pPr>
      <w:r>
        <w:rPr>
          <w:rFonts w:hint="eastAsia"/>
        </w:rPr>
        <w:t xml:space="preserve">九、国有资本经营预算支出情况说明</w:t>
      </w:r>
    </w:p>
    <w:p>
      <w:pPr>
        <w:pStyle w:val="Bodytext|2"/>
        <w:numPr>
          <w:ilvl w:val="0"/>
          <w:numId w:val="0"/>
        </w:numPr>
        <w:ind w:firstLine="640" w:firstLineChars="200"/>
        <w:jc w:val="left"/>
      </w:pPr>
      <w:r>
        <w:rPr>
          <w:rFonts w:hint="eastAsia"/>
        </w:rPr>
        <w:t xml:space="preserve">十、其他重要事项情况说明</w:t>
      </w:r>
    </w:p>
    <w:p>
      <w:pPr>
        <w:pStyle w:val="Bodytext|2"/>
        <w:ind w:left="0" w:firstLine="320" w:leftChars="0" w:firstLineChars="100"/>
        <w:jc w:val="left"/>
      </w:pPr>
      <w:r>
        <w:t xml:space="preserve">第三部分</w:t>
      </w:r>
      <w:r>
        <w:rPr>
          <w:rFonts w:hint="eastAsia"/>
          <w:lang w:eastAsia="zh-CN"/>
        </w:rPr>
        <w:t xml:space="preserve">：</w:t>
      </w:r>
      <w:r>
        <w:rPr>
          <w:u w:color="auto"/>
        </w:rPr>
        <w:t xml:space="preserve">环江毛南族自治县下南乡初级中学</w:t>
      </w:r>
      <w:r>
        <w:rPr>
          <w:u w:color="auto"/>
        </w:rPr>
        <w:t xml:space="preserve">2024</w:t>
      </w:r>
      <w:r>
        <w:rPr>
          <w:rFonts w:ascii="Times New Roman" w:hAnsi="Times New Roman" w:cs="Times New Roman"/>
          <w:u w:color="auto"/>
        </w:rPr>
        <w:t xml:space="preserve">年</w:t>
      </w:r>
      <w:r>
        <w:t xml:space="preserve">部门预算</w:t>
      </w:r>
      <w:r>
        <w:rPr>
          <w:rFonts w:hint="eastAsia"/>
          <w:lang w:val="en-US" w:eastAsia="zh-CN"/>
        </w:rPr>
        <w:t xml:space="preserve">相关报</w:t>
      </w:r>
      <w:r>
        <w:t xml:space="preserve">表</w:t>
      </w:r>
    </w:p>
    <w:p>
      <w:pPr>
        <w:pStyle w:val="Bodytext|2"/>
        <w:jc w:val="left"/>
        <w:rPr>
          <w:rFonts w:hint="eastAsia"/>
        </w:rPr>
      </w:pPr>
      <w:r>
        <w:rPr>
          <w:rFonts w:hint="eastAsia"/>
        </w:rPr>
        <w:t xml:space="preserve">一、部门收支总体情况表</w:t>
      </w:r>
    </w:p>
    <w:p>
      <w:pPr>
        <w:pStyle w:val="Bodytext|2"/>
        <w:jc w:val="left"/>
        <w:rPr>
          <w:rFonts w:hint="eastAsia"/>
        </w:rPr>
      </w:pPr>
      <w:r>
        <w:rPr>
          <w:rFonts w:hint="eastAsia"/>
        </w:rPr>
        <w:t xml:space="preserve">二、部门收入总体情况表</w:t>
      </w:r>
    </w:p>
    <w:p>
      <w:pPr>
        <w:pStyle w:val="Bodytext|2"/>
        <w:jc w:val="left"/>
        <w:rPr>
          <w:rFonts w:hint="eastAsia"/>
        </w:rPr>
      </w:pPr>
      <w:r>
        <w:rPr>
          <w:rFonts w:hint="eastAsia"/>
        </w:rPr>
        <w:t xml:space="preserve">三、部门支出总体情况表</w:t>
      </w:r>
    </w:p>
    <w:p>
      <w:pPr>
        <w:pStyle w:val="Bodytext|2"/>
        <w:jc w:val="left"/>
        <w:rPr>
          <w:rFonts w:hint="eastAsia"/>
        </w:rPr>
      </w:pPr>
      <w:r>
        <w:rPr>
          <w:rFonts w:hint="eastAsia"/>
        </w:rPr>
        <w:t xml:space="preserve">四、财政拨款收支总体情况表</w:t>
      </w:r>
    </w:p>
    <w:p>
      <w:pPr>
        <w:pStyle w:val="Bodytext|2"/>
        <w:jc w:val="left"/>
        <w:rPr>
          <w:rFonts w:hint="eastAsia"/>
        </w:rPr>
      </w:pPr>
      <w:r>
        <w:rPr>
          <w:rFonts w:hint="eastAsia"/>
        </w:rPr>
        <w:t xml:space="preserve">五、一般公共预算支出情况表</w:t>
      </w:r>
    </w:p>
    <w:p>
      <w:pPr>
        <w:pStyle w:val="Bodytext|2"/>
        <w:jc w:val="left"/>
        <w:rPr>
          <w:rFonts w:hint="eastAsia"/>
        </w:rPr>
      </w:pPr>
      <w:r>
        <w:rPr>
          <w:rFonts w:hint="eastAsia"/>
        </w:rPr>
        <w:t xml:space="preserve">六、一般公共预算基本支出情况表</w:t>
      </w:r>
    </w:p>
    <w:p>
      <w:pPr>
        <w:pStyle w:val="Bodytext|2"/>
        <w:jc w:val="left"/>
        <w:rPr>
          <w:rFonts w:hint="eastAsia"/>
        </w:rPr>
      </w:pPr>
      <w:r>
        <w:rPr>
          <w:rFonts w:hint="eastAsia"/>
        </w:rPr>
        <w:t xml:space="preserve">七、一般公开预算“三公”经费支出情况表</w:t>
      </w:r>
    </w:p>
    <w:p>
      <w:pPr>
        <w:pStyle w:val="Bodytext|2"/>
        <w:jc w:val="left"/>
        <w:rPr>
          <w:rFonts w:hint="eastAsia"/>
        </w:rPr>
      </w:pPr>
      <w:r>
        <w:rPr>
          <w:rFonts w:hint="eastAsia"/>
        </w:rPr>
        <w:t xml:space="preserve">八、政府性基金预算支出情况表</w:t>
      </w:r>
    </w:p>
    <w:p>
      <w:pPr>
        <w:pStyle w:val="Bodytext|2"/>
        <w:jc w:val="left"/>
        <w:rPr>
          <w:rFonts w:hint="eastAsia"/>
        </w:rPr>
      </w:pPr>
      <w:r>
        <w:rPr>
          <w:rFonts w:hint="eastAsia"/>
        </w:rPr>
        <w:t xml:space="preserve">九、国有资本经营预算支出情况表</w:t>
      </w:r>
    </w:p>
    <w:p>
      <w:pPr>
        <w:pStyle w:val="Bodytext|2"/>
        <w:jc w:val="left"/>
        <w:rPr>
          <w:rFonts w:eastAsia="宋体" w:hint="eastAsia"/>
          <w:lang w:eastAsia="zh-CN"/>
        </w:rPr>
      </w:pPr>
      <w:r>
        <w:rPr>
          <w:rFonts w:hint="eastAsia"/>
        </w:rPr>
        <w:t xml:space="preserve">十、2024年度预算项目绩效目标公开表</w:t>
      </w:r>
    </w:p>
    <w:p>
      <w:pPr>
        <w:pStyle w:val="Bodytext|2"/>
        <w:ind w:left="0" w:firstLine="320" w:leftChars="0" w:firstLineChars="100"/>
        <w:jc w:val="left"/>
        <w:rPr>
          <w:rFonts w:eastAsia="宋体" w:hint="eastAsia"/>
          <w:lang w:eastAsia="zh-CN"/>
        </w:rPr>
        <w:sectPr>
          <w:footerReference w:type="default" r:id="rId5"/>
          <w:pgSz w:w="11900" w:h="16840" w:orient="portrait"/>
          <w:pgMar w:top="1508" w:right="1674" w:bottom="1508" w:left="1851" w:header="0" w:footer="1077" w:gutter="0"/>
          <w:pgBorders>
            <w:top w:val="none" w:sz="0" w:space="0" w:color="auto"/>
            <w:left w:val="none" w:sz="0" w:space="0" w:color="auto"/>
            <w:bottom w:val="none" w:sz="0" w:space="0" w:color="auto"/>
            <w:right w:val="none" w:sz="0" w:space="0" w:color="auto"/>
          </w:pgBorders>
          <w:pgNumType w:fmt="decimal"/>
          <w:cols w:num="1" w:space="720">
            <w:col w:w="8375" w:space="720"/>
          </w:cols>
          <w:docGrid w:linePitch="360" w:charSpace="0"/>
        </w:sectPr>
      </w:pPr>
      <w:r>
        <w:t xml:space="preserve">第四部分</w:t>
      </w:r>
      <w:r>
        <w:rPr>
          <w:rFonts w:hint="eastAsia"/>
          <w:lang w:eastAsia="zh-CN"/>
        </w:rPr>
        <w:t xml:space="preserve">：</w:t>
      </w:r>
      <w:r>
        <w:t xml:space="preserve">名词</w:t>
      </w:r>
      <w:r>
        <w:rPr>
          <w:rFonts w:hint="eastAsia"/>
          <w:lang w:val="en-US" w:eastAsia="zh-CN"/>
        </w:rPr>
        <w:t xml:space="preserve">解释</w:t>
      </w:r>
    </w:p>
    <w:p>
      <w:pPr>
        <w:pStyle w:val="Heading#1|1"/>
        <w:keepNext/>
        <w:keepLines/>
        <w:pageBreakBefore w:val="0"/>
        <w:widowControl w:val="0"/>
        <w:kinsoku/>
        <w:wordWrap/>
        <w:overflowPunct/>
        <w:topLinePunct w:val="0"/>
        <w:autoSpaceDE/>
        <w:autoSpaceDN/>
        <w:bidi w:val="0"/>
        <w:adjustRightInd/>
        <w:snapToGrid/>
        <w:spacing w:before="120" w:after="0" w:line="600" w:lineRule="exact"/>
        <w:jc w:val="both"/>
        <w:textAlignment w:val="auto"/>
        <w:rPr>
          <w:b/>
          <w:bCs/>
          <w:sz w:val="40"/>
          <w:szCs w:val="40"/>
        </w:rPr>
      </w:pPr>
      <w:bookmarkStart w:id="3" w:name="bookmark12"/>
      <w:bookmarkStart w:id="4" w:name="bookmark13"/>
      <w:bookmarkStart w:id="5" w:name="bookmark14"/>
      <w:r>
        <w:rPr>
          <w:b/>
          <w:bCs/>
          <w:sz w:val="40"/>
          <w:szCs w:val="40"/>
        </w:rPr>
        <w:t xml:space="preserve">第一部分</w:t>
      </w:r>
      <w:r>
        <w:rPr>
          <w:rFonts w:hint="eastAsia"/>
          <w:b/>
          <w:bCs/>
          <w:sz w:val="40"/>
          <w:szCs w:val="40"/>
          <w:lang w:eastAsia="zh-CN"/>
        </w:rPr>
        <w:t xml:space="preserve">：</w:t>
      </w:r>
      <w:r>
        <w:rPr>
          <w:b/>
          <w:sz w:val="40"/>
          <w:u w:color="auto"/>
        </w:rPr>
        <w:t xml:space="preserve">环江毛南族自治县下南乡初级中学</w:t>
      </w:r>
      <w:r>
        <w:rPr>
          <w:b/>
          <w:bCs/>
          <w:sz w:val="40"/>
          <w:szCs w:val="40"/>
        </w:rPr>
        <w:t xml:space="preserve">概况</w:t>
      </w:r>
      <w:bookmarkEnd w:id="3"/>
      <w:bookmarkEnd w:id="4"/>
      <w:bookmarkEnd w:id="5"/>
    </w:p>
    <w:p>
      <w:pPr>
        <w:pStyle w:val="Bodytext|2"/>
        <w:spacing w:after="0" w:line="619" w:lineRule="exact"/>
        <w:ind w:firstLine="620"/>
        <w:jc w:val="left"/>
        <w:rPr>
          <w:b/>
          <w:bCs/>
        </w:rPr>
      </w:pPr>
      <w:r>
        <w:rPr>
          <w:rFonts w:hint="eastAsia"/>
          <w:b/>
          <w:bCs/>
          <w:lang w:val="en-US" w:eastAsia="zh-CN"/>
        </w:rPr>
        <w:t xml:space="preserve">一、</w:t>
      </w:r>
      <w:r>
        <w:rPr>
          <w:b/>
          <w:bCs/>
        </w:rPr>
        <w:t xml:space="preserve">主要职责</w:t>
      </w:r>
    </w:p>
    <w:p>
      <w:pPr>
        <w:pStyle w:val="Bodytext|1"/>
        <w:spacing w:line="623" w:lineRule="exact"/>
        <w:ind w:left="0" w:firstLine="560" w:leftChars="0" w:firstLineChars="200"/>
        <w:jc w:val="left"/>
        <w:rPr>
          <w:rFonts w:hint="default"/>
          <w:highlight w:val="yellow"/>
          <w:lang w:val="en-US" w:eastAsia="zh-CN"/>
        </w:rPr>
      </w:pPr>
      <w:r>
        <w:rPr>
          <w:rFonts w:hint="eastAsia"/>
          <w:highlight w:val="none"/>
          <w:lang w:val="en-US" w:eastAsia="zh-CN"/>
        </w:rPr>
        <w:t xml:space="preserve">（一）贯彻执行党和国家的教育方针、政策和法律法规；拟订全校教育改革与发展规划并组织实施。（二）编制本校教育事业发展规划并检查实施情况，向自治县人民政府和上级教育部门作出报告。（三）督促检查全校贯彻执行教育方针、政策、法令、法规和上级的各项规定；评估指导全校教育教学工作。（四）负责推进初中教育均衡发展和促进教育公平。（五）负责全校人才队伍和教师队伍建设，包括校长岗位培训、后备干部队伍建设、教师学历教育、继续教育等。（六）负责组织学籍管理工作。（七）按照中央关于全面推进素质教育要求，负责教育教学管理、教育教学改革及教育教学科学研究工作，检查指导全校实施素质教育工作，并组织推广先进的教育教学经验。（八）检查指导学校教育教学设备的装备、管理和使用工作。（九）检查指导全校开展电化教育和信息化教学工作。（十）负责全校教师初级专业技术职务资格的评审，中、高级专业技术职务资格的申报工作。按照管理权限对教师进行考核、聘任、奖惩、晋升等工作。（十一）负责指导全校学生资助管理工作及安全管理工作。（十二）负责语言文字和指导推广普通话工作。（十三）完成上级部门交办的其他工作。</w:t>
      </w:r>
    </w:p>
    <w:p>
      <w:pPr>
        <w:pStyle w:val="Bodytext|2"/>
        <w:spacing w:after="0" w:line="619" w:lineRule="exact"/>
        <w:ind w:firstLine="620"/>
        <w:jc w:val="left"/>
        <w:rPr>
          <w:rFonts w:hint="eastAsia"/>
          <w:b/>
          <w:bCs/>
          <w:lang w:val="en-US" w:eastAsia="zh-CN"/>
        </w:rPr>
      </w:pPr>
      <w:bookmarkStart w:id="6" w:name="bookmark24"/>
      <w:r>
        <w:rPr>
          <w:rFonts w:hint="eastAsia"/>
          <w:b/>
          <w:bCs/>
          <w:lang w:val="en-US" w:eastAsia="zh-CN"/>
        </w:rPr>
        <w:t xml:space="preserve">二</w:t>
      </w:r>
      <w:bookmarkEnd w:id="6"/>
      <w:r>
        <w:rPr>
          <w:rFonts w:hint="eastAsia"/>
          <w:b/>
          <w:bCs/>
          <w:lang w:val="en-US" w:eastAsia="zh-CN"/>
        </w:rPr>
        <w:t xml:space="preserve">、机构设置情况</w:t>
      </w:r>
    </w:p>
    <w:p>
      <w:pPr>
        <w:pStyle w:val="Bodytext|1"/>
        <w:spacing w:line="623" w:lineRule="exact"/>
        <w:ind w:left="0" w:firstLine="560" w:leftChars="0" w:firstLineChars="200"/>
        <w:jc w:val="left"/>
        <w:rPr>
          <w:rFonts w:hint="default"/>
          <w:highlight w:val="yellow"/>
          <w:lang w:val="en-US" w:eastAsia="zh-CN"/>
        </w:rPr>
      </w:pPr>
      <w:r>
        <w:rPr>
          <w:rFonts w:hint="eastAsia"/>
          <w:highlight w:val="none"/>
          <w:lang w:val="en-US" w:eastAsia="zh-CN"/>
        </w:rPr>
        <w:t xml:space="preserve">2023年我校是独立核算单位，独立编制机构共1个，无内设机构。</w:t>
      </w:r>
    </w:p>
    <w:p>
      <w:pPr>
        <w:pStyle w:val="Bodytext|1"/>
        <w:spacing w:line="623" w:lineRule="exact"/>
        <w:ind w:firstLine="1018" w:firstLineChars="0"/>
        <w:jc w:val="left"/>
        <w:rPr>
          <w:rFonts w:hint="eastAsia"/>
          <w:highlight w:val="none"/>
          <w:lang w:val="en-US" w:eastAsia="zh-CN"/>
        </w:rPr>
      </w:pPr>
    </w:p>
    <w:p>
      <w:pPr>
        <w:pStyle w:val="Bodytext|1"/>
        <w:spacing w:line="623" w:lineRule="exact"/>
        <w:ind w:firstLine="1018" w:firstLineChars="0"/>
        <w:jc w:val="left"/>
        <w:rPr>
          <w:rFonts w:hint="eastAsia"/>
          <w:highlight w:val="none"/>
          <w:lang w:val="en-US" w:eastAsia="zh-CN"/>
        </w:rPr>
      </w:pPr>
    </w:p>
    <w:p>
      <w:pPr/>
      <w:r>
        <w:br w:type="page"/>
      </w:r>
    </w:p>
    <w:p>
      <w:pPr>
        <w:pStyle w:val="Heading#1|1"/>
        <w:keepNext/>
        <w:keepLines/>
        <w:pageBreakBefore w:val="0"/>
        <w:widowControl w:val="0"/>
        <w:kinsoku/>
        <w:wordWrap/>
        <w:overflowPunct/>
        <w:topLinePunct w:val="0"/>
        <w:autoSpaceDE/>
        <w:autoSpaceDN/>
        <w:bidi w:val="0"/>
        <w:adjustRightInd/>
        <w:snapToGrid/>
        <w:spacing w:before="120" w:after="0" w:line="600" w:lineRule="exact"/>
        <w:jc w:val="center"/>
        <w:textAlignment w:val="auto"/>
        <w:rPr>
          <w:b/>
          <w:bCs/>
          <w:sz w:val="40"/>
          <w:szCs w:val="40"/>
        </w:rPr>
      </w:pPr>
      <w:bookmarkStart w:id="7" w:name="bookmark69"/>
      <w:bookmarkStart w:id="8" w:name="bookmark70"/>
      <w:bookmarkStart w:id="9" w:name="bookmark68"/>
      <w:bookmarkStart w:id="10" w:name="bookmark28"/>
      <w:bookmarkStart w:id="11" w:name="bookmark26"/>
      <w:bookmarkStart w:id="12" w:name="bookmark27"/>
      <w:r>
        <w:rPr>
          <w:b/>
          <w:bCs/>
          <w:sz w:val="40"/>
          <w:szCs w:val="40"/>
        </w:rPr>
        <w:t xml:space="preserve">第</w:t>
      </w:r>
      <w:r>
        <w:rPr>
          <w:rFonts w:hint="eastAsia"/>
          <w:b/>
          <w:bCs/>
          <w:sz w:val="40"/>
          <w:szCs w:val="40"/>
          <w:lang w:val="en-US" w:eastAsia="zh-CN"/>
        </w:rPr>
        <w:t xml:space="preserve">二</w:t>
      </w:r>
      <w:r>
        <w:rPr>
          <w:b/>
          <w:bCs/>
          <w:sz w:val="40"/>
          <w:szCs w:val="40"/>
        </w:rPr>
        <w:t xml:space="preserve">部分</w:t>
      </w:r>
      <w:r>
        <w:rPr>
          <w:rFonts w:hint="eastAsia"/>
          <w:b/>
          <w:bCs/>
          <w:sz w:val="40"/>
          <w:szCs w:val="40"/>
          <w:lang w:eastAsia="zh-CN"/>
        </w:rPr>
        <w:t xml:space="preserve">：</w:t>
      </w:r>
      <w:bookmarkEnd w:id="7"/>
      <w:bookmarkEnd w:id="8"/>
      <w:bookmarkEnd w:id="9"/>
      <w:r>
        <w:rPr>
          <w:rFonts w:hint="eastAsia"/>
          <w:b/>
          <w:bCs/>
          <w:sz w:val="40"/>
          <w:szCs w:val="40"/>
          <w:lang w:eastAsia="zh-CN"/>
        </w:rPr>
        <w:t xml:space="preserve">环江毛南族自治县下南乡初级中学</w:t>
      </w:r>
      <w:r>
        <w:rPr>
          <w:b/>
          <w:sz w:val="40"/>
          <w:u w:color="auto"/>
        </w:rPr>
        <w:t xml:space="preserve">2024</w:t>
      </w:r>
      <w:r>
        <w:rPr>
          <w:b/>
          <w:sz w:val="40"/>
          <w:u w:color="auto"/>
        </w:rPr>
        <w:t xml:space="preserve">年部门预算情况说明</w:t>
      </w:r>
    </w:p>
    <w:p>
      <w:pPr>
        <w:pStyle w:val="Bodytext|2"/>
        <w:keepNext w:val="0"/>
        <w:keepLines w:val="0"/>
        <w:pageBreakBefore w:val="0"/>
        <w:widowControl w:val="0"/>
        <w:kinsoku/>
        <w:wordWrap/>
        <w:overflowPunct/>
        <w:topLinePunct w:val="0"/>
        <w:autoSpaceDE/>
        <w:autoSpaceDN/>
        <w:bidi w:val="0"/>
        <w:adjustRightInd/>
        <w:snapToGrid/>
        <w:spacing w:before="120" w:after="0" w:line="600" w:lineRule="exact"/>
        <w:ind w:firstLine="618"/>
        <w:jc w:val="left"/>
        <w:textAlignment w:val="auto"/>
        <w:rPr>
          <w:rFonts w:hint="eastAsia"/>
          <w:b/>
          <w:bCs/>
          <w:lang w:val="en-US" w:eastAsia="zh-CN"/>
        </w:rPr>
      </w:pPr>
      <w:bookmarkStart w:id="13" w:name="bookmark71"/>
      <w:r>
        <w:rPr>
          <w:rFonts w:hint="eastAsia"/>
          <w:b/>
          <w:bCs/>
          <w:lang w:val="en-US" w:eastAsia="zh-CN"/>
        </w:rPr>
        <w:t xml:space="preserve">一</w:t>
      </w:r>
      <w:bookmarkEnd w:id="13"/>
      <w:r>
        <w:rPr>
          <w:rFonts w:hint="eastAsia"/>
          <w:b/>
          <w:bCs/>
          <w:lang w:val="en-US" w:eastAsia="zh-CN"/>
        </w:rPr>
        <w:t xml:space="preserve">、部门预算收支总体情况说明</w:t>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560" w:leftChars="0" w:firstLineChars="200"/>
        <w:jc w:val="left"/>
        <w:textAlignment w:val="auto"/>
        <w:rPr>
          <w:rFonts w:ascii="Times New Roman" w:hAnsi="Times New Roman" w:cs="Times New Roman"/>
          <w:b/>
          <w:bCs/>
          <w:sz w:val="28"/>
          <w:szCs w:val="28"/>
          <w:lang w:val="en-US" w:eastAsia="zh-CN"/>
        </w:rPr>
      </w:pPr>
      <w:r>
        <w:rPr>
          <w:rFonts w:hint="eastAsia"/>
          <w:b w:val="0"/>
          <w:bCs w:val="0"/>
          <w:sz w:val="28"/>
          <w:szCs w:val="28"/>
        </w:rPr>
        <w:t xml:space="preserve">我部门总收入</w:t>
      </w:r>
      <w:r>
        <w:rPr>
          <w:rFonts w:hint="eastAsia"/>
          <w:sz w:val="28"/>
          <w:szCs w:val="28"/>
          <w:lang w:val="en-US" w:eastAsia="zh-CN"/>
        </w:rPr>
        <w:t xml:space="preserve">716.30</w:t>
      </w:r>
      <w:r>
        <w:rPr>
          <w:rFonts w:hint="eastAsia"/>
          <w:b w:val="0"/>
          <w:bCs w:val="0"/>
          <w:sz w:val="28"/>
          <w:szCs w:val="28"/>
        </w:rPr>
        <w:t xml:space="preserve">万元，总支出</w:t>
      </w:r>
      <w:r>
        <w:rPr>
          <w:rFonts w:hint="eastAsia"/>
          <w:sz w:val="28"/>
          <w:szCs w:val="28"/>
          <w:lang w:val="en-US" w:eastAsia="zh-CN"/>
        </w:rPr>
        <w:t xml:space="preserve">716.30</w:t>
      </w:r>
      <w:r>
        <w:rPr>
          <w:rFonts w:hint="eastAsia"/>
          <w:b w:val="0"/>
          <w:bCs w:val="0"/>
          <w:sz w:val="28"/>
          <w:szCs w:val="28"/>
        </w:rPr>
        <w:t xml:space="preserve">万元。总收入较2023年度预算数</w:t>
      </w:r>
      <w:r>
        <w:rPr>
          <w:rFonts w:hint="eastAsia"/>
          <w:sz w:val="28"/>
          <w:szCs w:val="28"/>
          <w:lang w:val="en-US" w:eastAsia="zh-CN"/>
        </w:rPr>
        <w:t xml:space="preserve">800.71</w:t>
      </w:r>
      <w:r>
        <w:rPr>
          <w:rFonts w:hint="eastAsia"/>
          <w:b w:val="0"/>
          <w:bCs w:val="0"/>
          <w:sz w:val="28"/>
          <w:szCs w:val="28"/>
        </w:rPr>
        <w:t xml:space="preserve">万元，</w:t>
      </w:r>
      <w:r>
        <w:rPr>
          <w:rFonts w:hint="eastAsia"/>
          <w:sz w:val="28"/>
          <w:szCs w:val="28"/>
        </w:rPr>
        <w:t xml:space="preserve">减少84.41</w:t>
      </w:r>
      <w:r>
        <w:rPr>
          <w:rFonts w:hint="eastAsia"/>
          <w:b w:val="0"/>
          <w:bCs w:val="0"/>
          <w:sz w:val="28"/>
          <w:szCs w:val="28"/>
        </w:rPr>
        <w:t xml:space="preserve">万元，</w:t>
      </w:r>
      <w:r>
        <w:rPr>
          <w:rFonts w:hint="eastAsia"/>
          <w:sz w:val="28"/>
          <w:szCs w:val="28"/>
        </w:rPr>
        <w:t xml:space="preserve">下降10.54%</w:t>
      </w:r>
      <w:r>
        <w:rPr>
          <w:rFonts w:hint="eastAsia"/>
          <w:b w:val="0"/>
          <w:bCs w:val="0"/>
          <w:sz w:val="28"/>
          <w:szCs w:val="28"/>
        </w:rPr>
        <w:t xml:space="preserve">，主要原因是</w:t>
      </w:r>
      <w:r>
        <w:rPr>
          <w:rFonts w:hint="eastAsia"/>
          <w:highlight w:val="none"/>
          <w:lang w:val="en-US" w:eastAsia="zh-CN"/>
        </w:rPr>
        <w:t xml:space="preserve">2023年度内人员调出9人，调出县外1人，故而较本年度预算收入减少</w:t>
      </w:r>
      <w:r>
        <w:rPr>
          <w:rFonts w:hint="eastAsia"/>
          <w:b w:val="0"/>
          <w:bCs w:val="0"/>
          <w:sz w:val="28"/>
          <w:szCs w:val="28"/>
        </w:rPr>
        <w:t xml:space="preserve">。总支出较2023年度预算数</w:t>
      </w:r>
      <w:r>
        <w:rPr>
          <w:rFonts w:hint="eastAsia"/>
          <w:sz w:val="28"/>
          <w:szCs w:val="28"/>
          <w:lang w:val="en-US" w:eastAsia="zh-CN"/>
        </w:rPr>
        <w:t xml:space="preserve">800.71</w:t>
      </w:r>
      <w:r>
        <w:rPr>
          <w:rFonts w:hint="eastAsia"/>
          <w:b w:val="0"/>
          <w:bCs w:val="0"/>
          <w:sz w:val="28"/>
          <w:szCs w:val="28"/>
        </w:rPr>
        <w:t xml:space="preserve">万元，</w:t>
      </w:r>
      <w:r>
        <w:rPr>
          <w:rFonts w:hint="eastAsia"/>
          <w:sz w:val="28"/>
          <w:szCs w:val="28"/>
        </w:rPr>
        <w:t xml:space="preserve">减少84.41</w:t>
      </w:r>
      <w:r>
        <w:rPr>
          <w:rFonts w:hint="eastAsia"/>
          <w:b w:val="0"/>
          <w:bCs w:val="0"/>
          <w:sz w:val="28"/>
          <w:szCs w:val="28"/>
        </w:rPr>
        <w:t xml:space="preserve">万元，</w:t>
      </w:r>
      <w:r>
        <w:rPr>
          <w:rFonts w:hint="eastAsia"/>
          <w:sz w:val="28"/>
          <w:szCs w:val="28"/>
        </w:rPr>
        <w:t xml:space="preserve">下降10.54%</w:t>
      </w:r>
      <w:r>
        <w:rPr>
          <w:rFonts w:hint="eastAsia"/>
          <w:b w:val="0"/>
          <w:bCs w:val="0"/>
          <w:sz w:val="28"/>
          <w:szCs w:val="28"/>
        </w:rPr>
        <w:t xml:space="preserve">，主要原因是</w:t>
      </w:r>
      <w:r>
        <w:rPr>
          <w:rFonts w:hint="eastAsia"/>
          <w:highlight w:val="none"/>
          <w:lang w:val="en-US" w:eastAsia="zh-CN"/>
        </w:rPr>
        <w:t xml:space="preserve">2023年度内人员调出9人，调出县外1人，故而较本年度总支出减少</w:t>
      </w:r>
      <w:r>
        <w:rPr>
          <w:rFonts w:hint="eastAsia"/>
          <w:b w:val="0"/>
          <w:bCs w:val="0"/>
          <w:sz w:val="28"/>
          <w:szCs w:val="28"/>
        </w:rPr>
        <w:t xml:space="preserve">。</w:t>
      </w:r>
    </w:p>
    <w:p>
      <w:pPr>
        <w:pStyle w:val="Bodytext|2"/>
        <w:keepNext w:val="0"/>
        <w:keepLines w:val="0"/>
        <w:pageBreakBefore w:val="0"/>
        <w:widowControl w:val="0"/>
        <w:kinsoku/>
        <w:wordWrap/>
        <w:overflowPunct/>
        <w:topLinePunct w:val="0"/>
        <w:autoSpaceDE/>
        <w:autoSpaceDN/>
        <w:bidi w:val="0"/>
        <w:adjustRightInd/>
        <w:snapToGrid/>
        <w:spacing w:before="120" w:after="0" w:line="600" w:lineRule="exact"/>
        <w:ind w:firstLine="618"/>
        <w:jc w:val="left"/>
        <w:textAlignment w:val="auto"/>
        <w:rPr>
          <w:rFonts w:hint="eastAsia"/>
          <w:b/>
          <w:bCs/>
          <w:lang w:val="en-US" w:eastAsia="zh-CN"/>
        </w:rPr>
      </w:pPr>
      <w:r>
        <w:rPr>
          <w:rFonts w:hint="eastAsia"/>
          <w:b/>
          <w:bCs/>
          <w:lang w:val="en-US" w:eastAsia="zh-CN"/>
        </w:rPr>
        <w:t xml:space="preserve">二、部门收入总体情况说明</w:t>
      </w:r>
      <w:bookmarkStart w:id="14" w:name="_GoBack"/>
      <w:bookmarkEnd w:id="14"/>
    </w:p>
    <w:p>
      <w:pPr>
        <w:pStyle w:val="Bodytext|1"/>
        <w:spacing w:line="240" w:lineRule="auto"/>
        <w:ind w:firstLine="0"/>
        <w:jc w:val="left"/>
        <w:rPr>
          <w:rFonts w:ascii="Times New Roman" w:hAnsi="Times New Roman" w:cs="Times New Roman"/>
          <w:sz w:val="30"/>
          <w:szCs w:val="30"/>
          <w:lang w:val="en-US" w:eastAsia="zh-CN"/>
        </w:rPr>
      </w:pPr>
      <w:r>
        <w:rPr>
          <w:rFonts w:ascii="Times New Roman" w:hAnsi="Times New Roman" w:cs="Times New Roman"/>
          <w:sz w:val="30"/>
          <w:szCs w:val="30"/>
          <w:lang w:val="en-US" w:eastAsia="zh-CN"/>
        </w:rPr>
        <w:drawing>
          <wp:inline distT="0" distB="0" distL="114300" distR="114300">
            <wp:extent cx="4257040" cy="3139440"/>
            <wp:effectExtent l="4445" t="4445" r="5715" b="18415"/>
            <wp:docPr id="952" name="图表 6" title="{{img_rs_table}}"/>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r:id="rId6"/>
              </a:graphicData>
            </a:graphic>
          </wp:inline>
        </w:drawing>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560" w:leftChars="0" w:firstLineChars="200"/>
        <w:jc w:val="left"/>
        <w:textAlignment w:val="auto"/>
        <w:rPr>
          <w:rFonts w:ascii="宋体" w:eastAsia="宋体" w:hAnsi="宋体" w:cs="宋体" w:hint="eastAsia"/>
          <w:sz w:val="28"/>
          <w:szCs w:val="28"/>
        </w:rPr>
      </w:pPr>
      <w:r>
        <w:rPr>
          <w:rFonts w:ascii="宋体" w:eastAsia="宋体" w:hAnsi="宋体" w:cs="宋体" w:hint="eastAsia"/>
          <w:sz w:val="28"/>
          <w:szCs w:val="28"/>
          <w:u w:color="auto"/>
          <w:lang w:eastAsia="zh-CN"/>
        </w:rPr>
        <w:t xml:space="preserve">2024</w:t>
      </w:r>
      <w:r>
        <w:rPr>
          <w:rFonts w:ascii="宋体" w:eastAsia="宋体" w:hAnsi="宋体" w:cs="宋体" w:hint="eastAsia"/>
          <w:sz w:val="28"/>
          <w:szCs w:val="28"/>
          <w:u w:color="auto"/>
        </w:rPr>
        <w:t xml:space="preserve">年我部门总收入</w:t>
      </w:r>
      <w:r>
        <w:rPr>
          <w:rFonts w:ascii="宋体" w:eastAsia="宋体" w:hAnsi="宋体" w:cs="宋体" w:hint="eastAsia"/>
          <w:sz w:val="28"/>
          <w:szCs w:val="28"/>
          <w:lang w:val="en-US" w:eastAsia="zh-CN"/>
        </w:rPr>
        <w:t xml:space="preserve">716.30</w:t>
      </w:r>
      <w:r>
        <w:rPr>
          <w:rFonts w:ascii="宋体" w:eastAsia="宋体" w:hAnsi="宋体" w:cs="宋体" w:hint="eastAsia"/>
          <w:sz w:val="28"/>
          <w:szCs w:val="28"/>
          <w:u w:color="auto"/>
        </w:rPr>
        <w:t xml:space="preserve">万元，较2023年度预算数</w:t>
      </w:r>
      <w:r>
        <w:rPr>
          <w:rFonts w:ascii="宋体" w:eastAsia="宋体" w:hAnsi="宋体" w:cs="宋体" w:hint="eastAsia"/>
          <w:sz w:val="28"/>
          <w:szCs w:val="28"/>
          <w:lang w:val="en-US" w:eastAsia="zh-CN"/>
        </w:rPr>
        <w:t xml:space="preserve">800.71</w:t>
      </w:r>
      <w:r>
        <w:rPr>
          <w:rFonts w:ascii="宋体" w:eastAsia="宋体" w:hAnsi="宋体" w:cs="宋体" w:hint="eastAsia"/>
          <w:sz w:val="28"/>
          <w:szCs w:val="28"/>
          <w:u w:color="auto"/>
        </w:rPr>
        <w:t xml:space="preserve">万元，</w:t>
      </w:r>
      <w:r>
        <w:rPr>
          <w:rFonts w:ascii="宋体" w:eastAsia="宋体" w:hAnsi="宋体" w:cs="宋体" w:hint="eastAsia"/>
          <w:sz w:val="28"/>
          <w:szCs w:val="28"/>
        </w:rPr>
        <w:t xml:space="preserve">减少84.41</w:t>
      </w:r>
      <w:r>
        <w:rPr>
          <w:rFonts w:ascii="宋体" w:eastAsia="宋体" w:hAnsi="宋体" w:cs="宋体" w:hint="eastAsia"/>
          <w:sz w:val="28"/>
          <w:szCs w:val="28"/>
          <w:u w:color="auto"/>
        </w:rPr>
        <w:t xml:space="preserve">万元，</w:t>
      </w:r>
      <w:r>
        <w:rPr>
          <w:rFonts w:ascii="宋体" w:eastAsia="宋体" w:hAnsi="宋体" w:cs="宋体" w:hint="eastAsia"/>
          <w:sz w:val="28"/>
          <w:szCs w:val="28"/>
        </w:rPr>
        <w:t xml:space="preserve">下降10.54%</w:t>
      </w:r>
      <w:r>
        <w:rPr>
          <w:rFonts w:ascii="宋体" w:eastAsia="宋体" w:hAnsi="宋体" w:cs="宋体" w:hint="eastAsia"/>
          <w:sz w:val="28"/>
          <w:szCs w:val="28"/>
          <w:u w:color="auto"/>
        </w:rPr>
        <w:t xml:space="preserve">，主要原因是</w:t>
      </w:r>
      <w:r>
        <w:rPr>
          <w:rFonts w:hint="eastAsia"/>
          <w:highlight w:val="none"/>
          <w:lang w:val="en-US" w:eastAsia="zh-CN"/>
        </w:rPr>
        <w:t xml:space="preserve">2023年度内人员调出9人，调出县外1人，故而较本年度总收入减少</w:t>
      </w:r>
      <w:r>
        <w:rPr>
          <w:rFonts w:ascii="宋体" w:eastAsia="宋体" w:hAnsi="宋体" w:cs="宋体" w:hint="eastAsia"/>
          <w:sz w:val="28"/>
          <w:szCs w:val="28"/>
          <w:u w:color="auto"/>
        </w:rPr>
        <w:t xml:space="preserve">。</w:t>
      </w:r>
    </w:p>
    <w:p>
      <w:pPr>
        <w:pStyle w:val="Bodytext|2"/>
        <w:keepNext w:val="0"/>
        <w:keepLines w:val="0"/>
        <w:pageBreakBefore w:val="0"/>
        <w:widowControl w:val="0"/>
        <w:kinsoku/>
        <w:wordWrap/>
        <w:overflowPunct/>
        <w:topLinePunct w:val="0"/>
        <w:autoSpaceDE/>
        <w:autoSpaceDN/>
        <w:bidi w:val="0"/>
        <w:adjustRightInd/>
        <w:snapToGrid/>
        <w:spacing w:before="120" w:after="0" w:line="600" w:lineRule="exact"/>
        <w:ind w:firstLine="618"/>
        <w:jc w:val="left"/>
        <w:textAlignment w:val="auto"/>
        <w:rPr>
          <w:rFonts w:hint="eastAsia"/>
          <w:b/>
          <w:bCs/>
          <w:lang w:val="en-US" w:eastAsia="zh-CN"/>
        </w:rPr>
      </w:pPr>
      <w:r>
        <w:rPr>
          <w:rFonts w:hint="eastAsia"/>
          <w:b/>
          <w:bCs/>
          <w:lang w:val="en-US" w:eastAsia="zh-CN"/>
        </w:rPr>
        <w:t xml:space="preserve">三、部门支出总体情况说明</w:t>
      </w:r>
    </w:p>
    <w:p>
      <w:pPr>
        <w:pStyle w:val="Bodytext|1"/>
        <w:spacing w:line="240" w:lineRule="auto"/>
        <w:ind w:firstLine="0"/>
        <w:jc w:val="left"/>
        <w:rPr>
          <w:rFonts w:ascii="Times New Roman" w:eastAsia="Times New Roman" w:hAnsi="Times New Roman" w:cs="Times New Roman"/>
          <w:sz w:val="30"/>
          <w:szCs w:val="30"/>
        </w:rPr>
      </w:pPr>
      <w:r>
        <w:rPr>
          <w:rFonts w:ascii="Times New Roman" w:eastAsia="Times New Roman" w:hAnsi="Times New Roman" w:cs="Times New Roman"/>
          <w:sz w:val="30"/>
          <w:szCs w:val="30"/>
        </w:rPr>
        <w:drawing>
          <wp:inline distT="0" distB="0" distL="114300" distR="114300">
            <wp:extent cx="5080000" cy="3810000"/>
            <wp:effectExtent l="4445" t="4445" r="20955" b="14605"/>
            <wp:docPr id="953" name="图表 14" title="{{img_gnkm_zc_data}}"/>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r:id="rId7"/>
              </a:graphicData>
            </a:graphic>
          </wp:inline>
        </w:drawing>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560" w:leftChars="0" w:firstLineChars="200"/>
        <w:jc w:val="left"/>
        <w:textAlignment w:val="auto"/>
        <w:rPr>
          <w:rFonts w:ascii="Times New Roman" w:hAnsi="Times New Roman" w:cs="Times New Roman" w:hint="eastAsia"/>
          <w:sz w:val="30"/>
          <w:szCs w:val="30"/>
          <w:lang w:eastAsia="zh-CN"/>
        </w:rPr>
      </w:pPr>
      <w:r>
        <w:rPr>
          <w:rFonts w:ascii="宋体" w:eastAsia="宋体" w:hAnsi="宋体" w:cs="宋体" w:hint="eastAsia"/>
          <w:sz w:val="28"/>
          <w:szCs w:val="28"/>
          <w:lang w:eastAsia="zh-CN"/>
        </w:rPr>
        <w:t xml:space="preserve">2024</w:t>
      </w:r>
      <w:r>
        <w:rPr>
          <w:rFonts w:ascii="宋体" w:eastAsia="宋体" w:hAnsi="宋体" w:cs="宋体"/>
          <w:sz w:val="28"/>
          <w:u w:color="auto"/>
        </w:rPr>
        <w:t xml:space="preserve">年我部门总支出</w:t>
      </w:r>
      <w:r>
        <w:rPr>
          <w:rFonts w:ascii="宋体" w:eastAsia="宋体" w:hAnsi="宋体" w:cs="宋体" w:hint="eastAsia"/>
          <w:sz w:val="28"/>
          <w:szCs w:val="28"/>
          <w:lang w:val="en-US" w:eastAsia="zh-CN"/>
        </w:rPr>
        <w:t xml:space="preserve">716.30</w:t>
      </w:r>
      <w:r>
        <w:rPr>
          <w:rFonts w:ascii="宋体" w:eastAsia="宋体" w:hAnsi="宋体" w:cs="宋体" w:hint="eastAsia"/>
          <w:sz w:val="28"/>
          <w:szCs w:val="28"/>
          <w:lang w:eastAsia="zh-CN"/>
        </w:rPr>
        <w:t xml:space="preserve">万元，较2023年度预算数</w:t>
      </w:r>
      <w:r>
        <w:rPr>
          <w:rFonts w:ascii="宋体" w:eastAsia="宋体" w:hAnsi="宋体" w:cs="宋体" w:hint="eastAsia"/>
          <w:sz w:val="28"/>
          <w:szCs w:val="28"/>
          <w:lang w:val="en-US" w:eastAsia="zh-CN"/>
        </w:rPr>
        <w:t xml:space="preserve">800.71</w:t>
      </w:r>
      <w:r>
        <w:rPr>
          <w:rFonts w:ascii="宋体" w:eastAsia="宋体" w:hAnsi="宋体" w:cs="宋体" w:hint="eastAsia"/>
          <w:sz w:val="28"/>
          <w:szCs w:val="28"/>
          <w:lang w:eastAsia="zh-CN"/>
        </w:rPr>
        <w:t xml:space="preserve">万元，</w:t>
      </w:r>
      <w:r>
        <w:rPr>
          <w:rFonts w:ascii="宋体" w:eastAsia="宋体" w:hAnsi="宋体" w:cs="宋体" w:hint="eastAsia"/>
          <w:sz w:val="28"/>
          <w:szCs w:val="28"/>
        </w:rPr>
        <w:t xml:space="preserve">减少84.41</w:t>
      </w:r>
      <w:r>
        <w:rPr>
          <w:rFonts w:ascii="宋体" w:eastAsia="宋体" w:hAnsi="宋体" w:cs="宋体" w:hint="eastAsia"/>
          <w:sz w:val="28"/>
          <w:szCs w:val="28"/>
          <w:lang w:eastAsia="zh-CN"/>
        </w:rPr>
        <w:t xml:space="preserve">万元，</w:t>
      </w:r>
      <w:r>
        <w:rPr>
          <w:rFonts w:ascii="宋体" w:eastAsia="宋体" w:hAnsi="宋体" w:cs="宋体" w:hint="eastAsia"/>
          <w:sz w:val="28"/>
          <w:szCs w:val="28"/>
        </w:rPr>
        <w:t xml:space="preserve">下降10.54%</w:t>
      </w:r>
      <w:r>
        <w:rPr>
          <w:rFonts w:ascii="宋体" w:eastAsia="宋体" w:hAnsi="宋体" w:cs="宋体" w:hint="eastAsia"/>
          <w:sz w:val="28"/>
          <w:szCs w:val="28"/>
          <w:lang w:eastAsia="zh-CN"/>
        </w:rPr>
        <w:t xml:space="preserve">，主要原因是</w:t>
      </w:r>
      <w:r>
        <w:rPr>
          <w:rFonts w:hint="eastAsia"/>
          <w:highlight w:val="none"/>
          <w:lang w:val="en-US" w:eastAsia="zh-CN"/>
        </w:rPr>
        <w:t xml:space="preserve">2023年度内人员调出9人，调出县外1人，故而较本年度总支出减少</w:t>
      </w:r>
      <w:r>
        <w:rPr>
          <w:rFonts w:ascii="Times New Roman" w:hAnsi="Times New Roman" w:cs="Times New Roman" w:hint="eastAsia"/>
          <w:sz w:val="30"/>
          <w:szCs w:val="30"/>
          <w:lang w:eastAsia="zh-CN"/>
        </w:rPr>
        <w:t xml:space="preserve">。主要包括：</w:t>
      </w:r>
      <w:r>
        <w:rPr>
          <w:rFonts w:hint="eastAsia"/>
          <w:highlight w:val="none"/>
          <w:lang w:val="en-US" w:eastAsia="zh-CN"/>
        </w:rPr>
        <w:t xml:space="preserve">2023年度内人员调出9人，调出县外1人，故而较本年度预算收入减少</w:t>
      </w:r>
      <w:r>
        <w:rPr>
          <w:rFonts w:ascii="Times New Roman" w:hAnsi="Times New Roman" w:cs="Times New Roman" w:hint="eastAsia"/>
          <w:sz w:val="30"/>
          <w:szCs w:val="30"/>
          <w:lang w:eastAsia="zh-CN"/>
        </w:rPr>
        <w:t xml:space="preserve">。</w:t>
      </w:r>
    </w:p>
    <w:p>
      <w:pPr>
        <w:pStyle w:val="Bodytext|1"/>
        <w:keepNext w:val="0"/>
        <w:keepLines w:val="0"/>
        <w:pageBreakBefore w:val="0"/>
        <w:widowControl w:val="0"/>
        <w:kinsoku/>
        <w:wordWrap/>
        <w:overflowPunct/>
        <w:topLinePunct w:val="0"/>
        <w:autoSpaceDE/>
        <w:autoSpaceDN/>
        <w:bidi w:val="0"/>
        <w:adjustRightInd/>
        <w:snapToGrid/>
        <w:spacing w:after="140" w:line="600" w:lineRule="exact"/>
        <w:ind w:firstLine="0"/>
        <w:jc w:val="left"/>
        <w:textAlignment w:val="auto"/>
      </w:pPr>
      <w:r>
        <w:t xml:space="preserve">（一）按支出功能分类科目划分，共分为</w:t>
      </w:r>
      <w:r>
        <w:rPr>
          <w:rFonts w:hint="eastAsia"/>
          <w:lang w:val="en-US" w:eastAsia="zh-CN"/>
        </w:rPr>
        <w:t xml:space="preserve">4</w:t>
      </w:r>
      <w:r>
        <w:t xml:space="preserve">类，其中:</w:t>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560" w:leftChars="0" w:firstLineChars="200"/>
        <w:jc w:val="left"/>
        <w:textAlignment w:val="auto"/>
        <w:rPr>
          <w:rFonts w:hint="eastAsia"/>
        </w:rPr>
      </w:pPr>
      <w:r>
        <w:rPr>
          <w:rFonts w:hint="eastAsia"/>
        </w:rPr>
        <w:t xml:space="preserve">(</w:t>
      </w:r>
      <w:r>
        <w:rPr>
          <w:u w:color="auto"/>
        </w:rPr>
        <w:t xml:space="preserve">1</w:t>
      </w:r>
      <w:r>
        <w:rPr>
          <w:u w:color="auto"/>
        </w:rPr>
        <w:t xml:space="preserve">)</w:t>
      </w:r>
      <w:r>
        <w:rPr>
          <w:u w:color="auto"/>
        </w:rPr>
        <w:t xml:space="preserve">社会保障和就业支出</w:t>
      </w:r>
      <w:r>
        <w:rPr>
          <w:rFonts w:hint="eastAsia"/>
          <w:lang w:val="en-US" w:eastAsia="zh-CN"/>
        </w:rPr>
        <w:t xml:space="preserve">61.75</w:t>
      </w:r>
      <w:r>
        <w:rPr>
          <w:rFonts w:hint="eastAsia"/>
        </w:rPr>
        <w:t xml:space="preserve">万元，占支出总预算</w:t>
      </w:r>
      <w:r>
        <w:rPr>
          <w:rFonts w:hint="eastAsia"/>
          <w:lang w:val="en-US" w:eastAsia="zh-CN"/>
        </w:rPr>
        <w:t xml:space="preserve">8.62%</w:t>
      </w:r>
      <w:r>
        <w:rPr>
          <w:rFonts w:hint="eastAsia"/>
        </w:rPr>
        <w:t xml:space="preserve">,比上年</w:t>
      </w:r>
      <w:r>
        <w:rPr>
          <w:rFonts w:hint="eastAsia"/>
          <w:lang w:val="en-US" w:eastAsia="zh-CN"/>
        </w:rPr>
        <w:t xml:space="preserve">减少33.36</w:t>
      </w:r>
      <w:r>
        <w:rPr>
          <w:rFonts w:hint="eastAsia"/>
        </w:rPr>
        <w:t xml:space="preserve">万元，</w:t>
      </w:r>
      <w:r>
        <w:rPr>
          <w:rFonts w:hint="eastAsia"/>
          <w:lang w:val="en-US" w:eastAsia="zh-CN"/>
        </w:rPr>
        <w:t xml:space="preserve">减少35.08%</w:t>
      </w:r>
      <w:r>
        <w:rPr>
          <w:rFonts w:hint="eastAsia"/>
        </w:rPr>
        <w:t xml:space="preserve">,</w:t>
      </w:r>
      <w:r>
        <w:rPr>
          <w:rFonts w:hint="eastAsia"/>
          <w:highlight w:val="none"/>
        </w:rPr>
        <w:t xml:space="preserve">主要原因是：</w:t>
      </w:r>
      <w:r>
        <w:rPr>
          <w:rFonts w:hint="eastAsia"/>
          <w:highlight w:val="none"/>
          <w:lang w:val="en-US" w:eastAsia="zh-CN"/>
        </w:rPr>
        <w:t xml:space="preserve">2023年度内人员调出9人，调出县外1人，故而较本年度社会保障就业支出减少</w:t>
      </w:r>
      <w:r>
        <w:rPr>
          <w:rFonts w:hint="eastAsia"/>
          <w:highlight w:val="none"/>
        </w:rPr>
        <w:t xml:space="preserve">。</w:t>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560" w:leftChars="0" w:firstLineChars="200"/>
        <w:jc w:val="left"/>
        <w:textAlignment w:val="auto"/>
        <w:rPr>
          <w:rFonts w:hint="eastAsia"/>
        </w:rPr>
      </w:pPr>
      <w:r>
        <w:rPr>
          <w:rFonts w:hint="eastAsia"/>
        </w:rPr>
        <w:t xml:space="preserve">(</w:t>
      </w:r>
      <w:r>
        <w:rPr>
          <w:u w:color="auto"/>
        </w:rPr>
        <w:t xml:space="preserve">2</w:t>
      </w:r>
      <w:r>
        <w:rPr>
          <w:u w:color="auto"/>
        </w:rPr>
        <w:t xml:space="preserve">)</w:t>
      </w:r>
      <w:r>
        <w:rPr>
          <w:u w:color="auto"/>
        </w:rPr>
        <w:t xml:space="preserve">教育支出</w:t>
      </w:r>
      <w:r>
        <w:rPr>
          <w:rFonts w:hint="eastAsia"/>
          <w:lang w:val="en-US" w:eastAsia="zh-CN"/>
        </w:rPr>
        <w:t xml:space="preserve">593.82</w:t>
      </w:r>
      <w:r>
        <w:rPr>
          <w:rFonts w:hint="eastAsia"/>
        </w:rPr>
        <w:t xml:space="preserve">万元，占支出总预算</w:t>
      </w:r>
      <w:r>
        <w:rPr>
          <w:rFonts w:hint="eastAsia"/>
          <w:lang w:val="en-US" w:eastAsia="zh-CN"/>
        </w:rPr>
        <w:t xml:space="preserve">82.90%</w:t>
      </w:r>
      <w:r>
        <w:rPr>
          <w:rFonts w:hint="eastAsia"/>
        </w:rPr>
        <w:t xml:space="preserve">,比上年</w:t>
      </w:r>
      <w:r>
        <w:rPr>
          <w:rFonts w:hint="eastAsia"/>
          <w:lang w:val="en-US" w:eastAsia="zh-CN"/>
        </w:rPr>
        <w:t xml:space="preserve">减少29.00</w:t>
      </w:r>
      <w:r>
        <w:rPr>
          <w:rFonts w:hint="eastAsia"/>
        </w:rPr>
        <w:t xml:space="preserve">万元，</w:t>
      </w:r>
      <w:r>
        <w:rPr>
          <w:rFonts w:hint="eastAsia"/>
          <w:lang w:val="en-US" w:eastAsia="zh-CN"/>
        </w:rPr>
        <w:t xml:space="preserve">减少4.66%</w:t>
      </w:r>
      <w:r>
        <w:rPr>
          <w:rFonts w:hint="eastAsia"/>
        </w:rPr>
        <w:t xml:space="preserve">,</w:t>
      </w:r>
      <w:r>
        <w:rPr>
          <w:rFonts w:hint="eastAsia"/>
          <w:highlight w:val="none"/>
        </w:rPr>
        <w:t xml:space="preserve">主要原因是：</w:t>
      </w:r>
      <w:r>
        <w:rPr>
          <w:rFonts w:hint="eastAsia"/>
          <w:highlight w:val="none"/>
          <w:lang w:val="en-US" w:eastAsia="zh-CN"/>
        </w:rPr>
        <w:t xml:space="preserve">2023年度内人员调出9人，调出县外1人，故而较本年度教育支出减少</w:t>
      </w:r>
      <w:r>
        <w:rPr>
          <w:rFonts w:hint="eastAsia"/>
          <w:highlight w:val="none"/>
        </w:rPr>
        <w:t xml:space="preserve">。</w:t>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560" w:leftChars="0" w:firstLineChars="200"/>
        <w:jc w:val="left"/>
        <w:textAlignment w:val="auto"/>
        <w:rPr>
          <w:rFonts w:hint="eastAsia"/>
        </w:rPr>
      </w:pPr>
      <w:r>
        <w:rPr>
          <w:rFonts w:hint="eastAsia"/>
        </w:rPr>
        <w:t xml:space="preserve">(</w:t>
      </w:r>
      <w:r>
        <w:rPr>
          <w:u w:color="auto"/>
        </w:rPr>
        <w:t xml:space="preserve">3</w:t>
      </w:r>
      <w:r>
        <w:rPr>
          <w:u w:color="auto"/>
        </w:rPr>
        <w:t xml:space="preserve">)</w:t>
      </w:r>
      <w:r>
        <w:rPr>
          <w:u w:color="auto"/>
        </w:rPr>
        <w:t xml:space="preserve">住房保障支出</w:t>
      </w:r>
      <w:r>
        <w:rPr>
          <w:rFonts w:hint="eastAsia"/>
          <w:lang w:val="en-US" w:eastAsia="zh-CN"/>
        </w:rPr>
        <w:t xml:space="preserve">51.88</w:t>
      </w:r>
      <w:r>
        <w:rPr>
          <w:rFonts w:hint="eastAsia"/>
        </w:rPr>
        <w:t xml:space="preserve">万元，占支出总预算</w:t>
      </w:r>
      <w:r>
        <w:rPr>
          <w:rFonts w:hint="eastAsia"/>
          <w:lang w:val="en-US" w:eastAsia="zh-CN"/>
        </w:rPr>
        <w:t xml:space="preserve">7.24%</w:t>
      </w:r>
      <w:r>
        <w:rPr>
          <w:rFonts w:hint="eastAsia"/>
        </w:rPr>
        <w:t xml:space="preserve">,比上年</w:t>
      </w:r>
      <w:r>
        <w:rPr>
          <w:rFonts w:hint="eastAsia"/>
          <w:lang w:val="en-US" w:eastAsia="zh-CN"/>
        </w:rPr>
        <w:t xml:space="preserve">减少19.45</w:t>
      </w:r>
      <w:r>
        <w:rPr>
          <w:rFonts w:hint="eastAsia"/>
        </w:rPr>
        <w:t xml:space="preserve">万元，</w:t>
      </w:r>
      <w:r>
        <w:rPr>
          <w:rFonts w:hint="eastAsia"/>
          <w:lang w:val="en-US" w:eastAsia="zh-CN"/>
        </w:rPr>
        <w:t xml:space="preserve">减少27.27%</w:t>
      </w:r>
      <w:r>
        <w:rPr>
          <w:rFonts w:hint="eastAsia"/>
        </w:rPr>
        <w:t xml:space="preserve">,</w:t>
      </w:r>
      <w:r>
        <w:rPr>
          <w:rFonts w:hint="eastAsia"/>
          <w:highlight w:val="none"/>
        </w:rPr>
        <w:t xml:space="preserve">主要原因是：</w:t>
      </w:r>
      <w:r>
        <w:rPr>
          <w:rFonts w:hint="eastAsia"/>
          <w:highlight w:val="none"/>
          <w:lang w:val="en-US" w:eastAsia="zh-CN"/>
        </w:rPr>
        <w:t xml:space="preserve">2023年度内人员调出9人，调出县外1人，故而较本年度预住房保障支出减少</w:t>
      </w:r>
      <w:r>
        <w:rPr>
          <w:rFonts w:hint="eastAsia"/>
          <w:highlight w:val="none"/>
        </w:rPr>
        <w:t xml:space="preserve">。</w:t>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560" w:leftChars="0" w:firstLineChars="200"/>
        <w:jc w:val="left"/>
        <w:textAlignment w:val="auto"/>
        <w:rPr>
          <w:rFonts w:hint="eastAsia"/>
        </w:rPr>
      </w:pPr>
      <w:r>
        <w:rPr>
          <w:rFonts w:hint="eastAsia"/>
        </w:rPr>
        <w:t xml:space="preserve">(</w:t>
      </w:r>
      <w:r>
        <w:rPr>
          <w:u w:color="auto"/>
        </w:rPr>
        <w:t xml:space="preserve">4</w:t>
      </w:r>
      <w:r>
        <w:rPr>
          <w:u w:color="auto"/>
        </w:rPr>
        <w:t xml:space="preserve">)</w:t>
      </w:r>
      <w:r>
        <w:rPr>
          <w:u w:color="auto"/>
        </w:rPr>
        <w:t xml:space="preserve">一般公共服务支出</w:t>
      </w:r>
      <w:r>
        <w:rPr>
          <w:rFonts w:hint="eastAsia"/>
          <w:lang w:val="en-US" w:eastAsia="zh-CN"/>
        </w:rPr>
        <w:t xml:space="preserve">8.86</w:t>
      </w:r>
      <w:r>
        <w:rPr>
          <w:rFonts w:hint="eastAsia"/>
        </w:rPr>
        <w:t xml:space="preserve">万元，占支出总预算</w:t>
      </w:r>
      <w:r>
        <w:rPr>
          <w:rFonts w:hint="eastAsia"/>
          <w:lang w:val="en-US" w:eastAsia="zh-CN"/>
        </w:rPr>
        <w:t xml:space="preserve">1.24%</w:t>
      </w:r>
      <w:r>
        <w:rPr>
          <w:rFonts w:hint="eastAsia"/>
        </w:rPr>
        <w:t xml:space="preserve">,比上年</w:t>
      </w:r>
      <w:r>
        <w:rPr>
          <w:rFonts w:hint="eastAsia"/>
          <w:lang w:val="en-US" w:eastAsia="zh-CN"/>
        </w:rPr>
        <w:t xml:space="preserve">减少2.59</w:t>
      </w:r>
      <w:r>
        <w:rPr>
          <w:rFonts w:hint="eastAsia"/>
        </w:rPr>
        <w:t xml:space="preserve">万元，</w:t>
      </w:r>
      <w:r>
        <w:rPr>
          <w:rFonts w:hint="eastAsia"/>
          <w:lang w:val="en-US" w:eastAsia="zh-CN"/>
        </w:rPr>
        <w:t xml:space="preserve">减少22.62%</w:t>
      </w:r>
      <w:r>
        <w:rPr>
          <w:rFonts w:hint="eastAsia"/>
        </w:rPr>
        <w:t xml:space="preserve">,</w:t>
      </w:r>
      <w:r>
        <w:rPr>
          <w:rFonts w:hint="eastAsia"/>
          <w:highlight w:val="none"/>
        </w:rPr>
        <w:t xml:space="preserve">主要原因是：</w:t>
      </w:r>
      <w:r>
        <w:rPr>
          <w:rFonts w:hint="eastAsia"/>
          <w:highlight w:val="none"/>
          <w:lang w:val="en-US" w:eastAsia="zh-CN"/>
        </w:rPr>
        <w:t xml:space="preserve">2023年度内人员调出9人，调出县外1人，故而较本年度一般公共服务支出减少</w:t>
      </w:r>
      <w:r>
        <w:rPr>
          <w:rFonts w:hint="eastAsia"/>
          <w:highlight w:val="none"/>
        </w:rPr>
        <w:t xml:space="preserve">。</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740"/>
        <w:jc w:val="left"/>
        <w:textAlignment w:val="auto"/>
      </w:pPr>
      <w:r>
        <w:t xml:space="preserve">(二)按支出结构分类划分，分为基本支出预算和项目支出预算。</w:t>
      </w:r>
    </w:p>
    <w:p>
      <w:pPr>
        <w:pStyle w:val="Bodytext|1"/>
        <w:keepNext w:val="0"/>
        <w:keepLines w:val="0"/>
        <w:pageBreakBefore w:val="0"/>
        <w:widowControl w:val="0"/>
        <w:numPr>
          <w:ilvl w:val="0"/>
          <w:numId w:val="3"/>
        </w:numPr>
        <w:kinsoku/>
        <w:wordWrap/>
        <w:overflowPunct/>
        <w:topLinePunct w:val="0"/>
        <w:autoSpaceDE/>
        <w:autoSpaceDN/>
        <w:bidi w:val="0"/>
        <w:adjustRightInd/>
        <w:snapToGrid/>
        <w:spacing w:line="600" w:lineRule="exact"/>
        <w:ind w:left="0" w:firstLine="560" w:leftChars="0" w:firstLineChars="200"/>
        <w:jc w:val="left"/>
        <w:textAlignment w:val="auto"/>
      </w:pPr>
      <w:r>
        <w:t xml:space="preserve">基本支出预算。</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0"/>
        <w:jc w:val="left"/>
        <w:textAlignment w:val="auto"/>
        <w:rPr>
          <w:rFonts w:hint="eastAsia"/>
          <w:lang w:val="en-US" w:eastAsia="zh-CN"/>
        </w:rPr>
      </w:pPr>
      <w:r>
        <w:rPr>
          <w:rFonts w:hint="eastAsia"/>
        </w:rPr>
        <w:t xml:space="preserve">基本支出预算</w:t>
      </w:r>
      <w:r>
        <w:rPr>
          <w:rFonts w:hint="eastAsia"/>
          <w:lang w:val="en-US" w:eastAsia="zh-CN"/>
        </w:rPr>
        <w:t xml:space="preserve">679.44</w:t>
      </w:r>
      <w:r>
        <w:rPr>
          <w:rFonts w:hint="eastAsia"/>
        </w:rPr>
        <w:t xml:space="preserve">万元，占支出预算</w:t>
      </w:r>
      <w:r>
        <w:rPr>
          <w:u w:color="auto"/>
        </w:rPr>
        <w:t xml:space="preserve">94.85%</w:t>
      </w:r>
      <w:r>
        <w:rPr>
          <w:u w:color="auto"/>
        </w:rPr>
        <w:t xml:space="preserve">,比上年</w:t>
      </w:r>
      <w:r>
        <w:rPr>
          <w:u w:color="auto"/>
        </w:rPr>
        <w:t xml:space="preserve">减少87.48</w:t>
      </w:r>
      <w:r>
        <w:rPr>
          <w:u w:color="auto"/>
        </w:rPr>
        <w:t xml:space="preserve">万元，</w:t>
      </w:r>
      <w:r>
        <w:rPr>
          <w:u w:color="auto"/>
        </w:rPr>
        <w:t xml:space="preserve">减少11.41%</w:t>
      </w:r>
      <w:r>
        <w:t xml:space="preserve">。</w:t>
      </w:r>
      <w:r>
        <w:rPr>
          <w:rFonts w:hint="eastAsia"/>
          <w:lang w:val="en-US" w:eastAsia="zh-CN"/>
        </w:rPr>
        <w:t xml:space="preserve">其中：</w:t>
      </w:r>
    </w:p>
    <w:p>
      <w:pPr>
        <w:pStyle w:val="Bodytext|3"/>
        <w:keepNext w:val="0"/>
        <w:keepLines w:val="0"/>
        <w:pageBreakBefore w:val="0"/>
        <w:widowControl w:val="0"/>
        <w:kinsoku/>
        <w:wordWrap/>
        <w:overflowPunct/>
        <w:topLinePunct w:val="0"/>
        <w:autoSpaceDE/>
        <w:autoSpaceDN/>
        <w:bidi w:val="0"/>
        <w:adjustRightInd/>
        <w:snapToGrid/>
        <w:spacing w:after="0" w:line="600" w:lineRule="exact"/>
        <w:ind w:firstLine="740"/>
        <w:jc w:val="left"/>
        <w:textAlignment w:val="auto"/>
        <w:rPr>
          <w:rFonts w:ascii="宋体" w:eastAsia="宋体" w:hAnsi="宋体" w:cs="宋体" w:hint="eastAsia"/>
          <w:sz w:val="28"/>
          <w:szCs w:val="28"/>
          <w:lang w:val="en-US" w:eastAsia="zh-CN"/>
        </w:rPr>
      </w:pPr>
      <w:r>
        <w:rPr>
          <w:rFonts w:ascii="宋体" w:eastAsia="宋体" w:hAnsi="宋体" w:cs="宋体" w:hint="eastAsia"/>
          <w:sz w:val="28"/>
          <w:szCs w:val="28"/>
        </w:rPr>
        <w:t xml:space="preserve">(</w:t>
      </w:r>
      <w:r>
        <w:rPr>
          <w:rFonts w:ascii="宋体" w:eastAsia="宋体" w:hAnsi="宋体" w:cs="宋体"/>
          <w:sz w:val="28"/>
          <w:u w:color="auto"/>
        </w:rPr>
        <w:t xml:space="preserve">1</w:t>
      </w:r>
      <w:r>
        <w:rPr>
          <w:rFonts w:ascii="宋体" w:eastAsia="宋体" w:hAnsi="宋体" w:cs="宋体"/>
          <w:sz w:val="28"/>
          <w:u w:color="auto"/>
        </w:rPr>
        <w:t xml:space="preserve">)</w:t>
      </w:r>
      <w:r>
        <w:rPr>
          <w:rFonts w:ascii="宋体" w:eastAsia="宋体" w:hAnsi="宋体" w:cs="宋体"/>
          <w:sz w:val="28"/>
          <w:u w:color="auto"/>
        </w:rPr>
        <w:t xml:space="preserve">工资福利支出</w:t>
      </w:r>
      <w:r>
        <w:rPr>
          <w:rFonts w:ascii="宋体" w:eastAsia="宋体" w:hAnsi="宋体" w:cs="宋体" w:hint="eastAsia"/>
          <w:sz w:val="28"/>
          <w:szCs w:val="28"/>
          <w:lang w:val="en-US" w:eastAsia="zh-CN"/>
        </w:rPr>
        <w:t xml:space="preserve">641.92</w:t>
      </w:r>
      <w:r>
        <w:rPr>
          <w:rFonts w:ascii="宋体" w:eastAsia="宋体" w:hAnsi="宋体" w:cs="宋体" w:hint="eastAsia"/>
          <w:sz w:val="28"/>
          <w:szCs w:val="28"/>
        </w:rPr>
        <w:t xml:space="preserve">万</w:t>
      </w:r>
      <w:r>
        <w:rPr>
          <w:rFonts w:ascii="宋体" w:eastAsia="宋体" w:hAnsi="宋体" w:cs="宋体"/>
          <w:sz w:val="28"/>
          <w:szCs w:val="28"/>
        </w:rPr>
        <w:t xml:space="preserve">元，占基本</w:t>
      </w:r>
      <w:r>
        <w:rPr>
          <w:rFonts w:ascii="宋体" w:eastAsia="宋体" w:hAnsi="宋体" w:cs="宋体" w:hint="eastAsia"/>
          <w:sz w:val="28"/>
          <w:szCs w:val="28"/>
        </w:rPr>
        <w:t xml:space="preserve">支出总预算</w:t>
      </w:r>
      <w:r>
        <w:rPr>
          <w:rFonts w:ascii="宋体" w:eastAsia="宋体" w:hAnsi="宋体" w:cs="宋体" w:hint="eastAsia"/>
          <w:sz w:val="28"/>
          <w:szCs w:val="28"/>
          <w:lang w:val="en-US" w:eastAsia="zh-CN"/>
        </w:rPr>
        <w:t xml:space="preserve">94.48%</w:t>
      </w:r>
      <w:r>
        <w:rPr>
          <w:rFonts w:ascii="宋体" w:eastAsia="宋体" w:hAnsi="宋体" w:cs="宋体" w:hint="eastAsia"/>
          <w:sz w:val="28"/>
          <w:szCs w:val="28"/>
        </w:rPr>
        <w:t xml:space="preserve">,比上年</w:t>
      </w:r>
      <w:r>
        <w:rPr>
          <w:rFonts w:ascii="宋体" w:eastAsia="宋体" w:hAnsi="宋体" w:cs="宋体"/>
          <w:sz w:val="28"/>
          <w:u w:color="auto"/>
        </w:rPr>
        <w:t xml:space="preserve">减少90.02</w:t>
      </w:r>
      <w:r>
        <w:rPr>
          <w:rFonts w:ascii="宋体" w:eastAsia="宋体" w:hAnsi="宋体" w:cs="宋体"/>
          <w:sz w:val="28"/>
          <w:u w:color="auto"/>
        </w:rPr>
        <w:t xml:space="preserve">万元，</w:t>
      </w:r>
      <w:r>
        <w:rPr>
          <w:rFonts w:ascii="宋体" w:eastAsia="宋体" w:hAnsi="宋体" w:cs="宋体"/>
          <w:sz w:val="28"/>
          <w:u w:color="auto"/>
        </w:rPr>
        <w:t xml:space="preserve">减少12.30%</w:t>
      </w:r>
      <w:r>
        <w:rPr>
          <w:rFonts w:ascii="宋体" w:eastAsia="宋体" w:hAnsi="宋体" w:cs="宋体"/>
          <w:sz w:val="28"/>
          <w:u w:color="auto"/>
        </w:rPr>
        <w:t xml:space="preserve">,主要原因是：2023年度内人员调出9人，调出县外1人，故而较本年度工资福利支出减少</w:t>
      </w:r>
      <w:r>
        <w:rPr>
          <w:rFonts w:ascii="宋体" w:eastAsia="宋体" w:hAnsi="宋体" w:cs="宋体" w:hint="eastAsia"/>
          <w:sz w:val="28"/>
          <w:szCs w:val="28"/>
          <w:lang w:val="en-US" w:eastAsia="zh-CN"/>
        </w:rPr>
        <w:t xml:space="preserve">。</w:t>
      </w:r>
    </w:p>
    <w:p>
      <w:pPr>
        <w:pStyle w:val="Bodytext|3"/>
        <w:keepNext w:val="0"/>
        <w:keepLines w:val="0"/>
        <w:pageBreakBefore w:val="0"/>
        <w:widowControl w:val="0"/>
        <w:kinsoku/>
        <w:wordWrap/>
        <w:overflowPunct/>
        <w:topLinePunct w:val="0"/>
        <w:autoSpaceDE/>
        <w:autoSpaceDN/>
        <w:bidi w:val="0"/>
        <w:adjustRightInd/>
        <w:snapToGrid/>
        <w:spacing w:after="0" w:line="600" w:lineRule="exact"/>
        <w:ind w:firstLine="740"/>
        <w:jc w:val="left"/>
        <w:textAlignment w:val="auto"/>
        <w:rPr>
          <w:rFonts w:ascii="宋体" w:eastAsia="宋体" w:hAnsi="宋体" w:cs="宋体" w:hint="eastAsia"/>
          <w:sz w:val="28"/>
          <w:szCs w:val="28"/>
          <w:lang w:val="en-US" w:eastAsia="zh-CN"/>
        </w:rPr>
      </w:pPr>
      <w:r>
        <w:rPr>
          <w:rFonts w:ascii="宋体" w:eastAsia="宋体" w:hAnsi="宋体" w:cs="宋体" w:hint="eastAsia"/>
          <w:sz w:val="28"/>
          <w:szCs w:val="28"/>
        </w:rPr>
        <w:t xml:space="preserve">(</w:t>
      </w:r>
      <w:r>
        <w:rPr>
          <w:rFonts w:ascii="宋体" w:eastAsia="宋体" w:hAnsi="宋体" w:cs="宋体"/>
          <w:sz w:val="28"/>
          <w:u w:color="auto"/>
        </w:rPr>
        <w:t xml:space="preserve">2</w:t>
      </w:r>
      <w:r>
        <w:rPr>
          <w:rFonts w:ascii="宋体" w:eastAsia="宋体" w:hAnsi="宋体" w:cs="宋体"/>
          <w:sz w:val="28"/>
          <w:u w:color="auto"/>
        </w:rPr>
        <w:t xml:space="preserve">)</w:t>
      </w:r>
      <w:r>
        <w:rPr>
          <w:rFonts w:ascii="宋体" w:eastAsia="宋体" w:hAnsi="宋体" w:cs="宋体"/>
          <w:sz w:val="28"/>
          <w:u w:color="auto"/>
        </w:rPr>
        <w:t xml:space="preserve">对个人和家庭的补助</w:t>
      </w:r>
      <w:r>
        <w:rPr>
          <w:rFonts w:ascii="宋体" w:eastAsia="宋体" w:hAnsi="宋体" w:cs="宋体" w:hint="eastAsia"/>
          <w:sz w:val="28"/>
          <w:szCs w:val="28"/>
          <w:lang w:val="en-US" w:eastAsia="zh-CN"/>
        </w:rPr>
        <w:t xml:space="preserve">28.66</w:t>
      </w:r>
      <w:r>
        <w:rPr>
          <w:rFonts w:ascii="宋体" w:eastAsia="宋体" w:hAnsi="宋体" w:cs="宋体" w:hint="eastAsia"/>
          <w:sz w:val="28"/>
          <w:szCs w:val="28"/>
        </w:rPr>
        <w:t xml:space="preserve">万</w:t>
      </w:r>
      <w:r>
        <w:rPr>
          <w:rFonts w:ascii="宋体" w:eastAsia="宋体" w:hAnsi="宋体" w:cs="宋体"/>
          <w:sz w:val="28"/>
          <w:szCs w:val="28"/>
        </w:rPr>
        <w:t xml:space="preserve">元，占基本</w:t>
      </w:r>
      <w:r>
        <w:rPr>
          <w:rFonts w:ascii="宋体" w:eastAsia="宋体" w:hAnsi="宋体" w:cs="宋体" w:hint="eastAsia"/>
          <w:sz w:val="28"/>
          <w:szCs w:val="28"/>
        </w:rPr>
        <w:t xml:space="preserve">支出总预算</w:t>
      </w:r>
      <w:r>
        <w:rPr>
          <w:rFonts w:ascii="宋体" w:eastAsia="宋体" w:hAnsi="宋体" w:cs="宋体" w:hint="eastAsia"/>
          <w:sz w:val="28"/>
          <w:szCs w:val="28"/>
          <w:lang w:val="en-US" w:eastAsia="zh-CN"/>
        </w:rPr>
        <w:t xml:space="preserve">4.22%</w:t>
      </w:r>
      <w:r>
        <w:rPr>
          <w:rFonts w:ascii="宋体" w:eastAsia="宋体" w:hAnsi="宋体" w:cs="宋体" w:hint="eastAsia"/>
          <w:sz w:val="28"/>
          <w:szCs w:val="28"/>
        </w:rPr>
        <w:t xml:space="preserve">,比上年</w:t>
      </w:r>
      <w:r>
        <w:rPr>
          <w:rFonts w:ascii="宋体" w:eastAsia="宋体" w:hAnsi="宋体" w:cs="宋体"/>
          <w:sz w:val="28"/>
          <w:u w:color="auto"/>
        </w:rPr>
        <w:t xml:space="preserve">增长5.12</w:t>
      </w:r>
      <w:r>
        <w:rPr>
          <w:rFonts w:ascii="宋体" w:eastAsia="宋体" w:hAnsi="宋体" w:cs="宋体"/>
          <w:sz w:val="28"/>
          <w:u w:color="auto"/>
        </w:rPr>
        <w:t xml:space="preserve">万元，</w:t>
      </w:r>
      <w:r>
        <w:rPr>
          <w:rFonts w:ascii="宋体" w:eastAsia="宋体" w:hAnsi="宋体" w:cs="宋体"/>
          <w:sz w:val="28"/>
          <w:u w:color="auto"/>
        </w:rPr>
        <w:t xml:space="preserve">增长21.75%</w:t>
      </w:r>
      <w:r>
        <w:rPr>
          <w:rFonts w:ascii="宋体" w:eastAsia="宋体" w:hAnsi="宋体" w:cs="宋体"/>
          <w:sz w:val="28"/>
          <w:u w:color="auto"/>
        </w:rPr>
        <w:t xml:space="preserve">,主要原因是：2023年度内人员调出9人，调出县外1人，故而较本年度对个人和家庭的补助支出减少</w:t>
      </w:r>
      <w:r>
        <w:rPr>
          <w:rFonts w:ascii="宋体" w:eastAsia="宋体" w:hAnsi="宋体" w:cs="宋体" w:hint="eastAsia"/>
          <w:sz w:val="28"/>
          <w:szCs w:val="28"/>
          <w:lang w:val="en-US" w:eastAsia="zh-CN"/>
        </w:rPr>
        <w:t xml:space="preserve">。</w:t>
      </w:r>
    </w:p>
    <w:p>
      <w:pPr>
        <w:pStyle w:val="Bodytext|3"/>
        <w:keepNext w:val="0"/>
        <w:keepLines w:val="0"/>
        <w:pageBreakBefore w:val="0"/>
        <w:widowControl w:val="0"/>
        <w:kinsoku/>
        <w:wordWrap/>
        <w:overflowPunct/>
        <w:topLinePunct w:val="0"/>
        <w:autoSpaceDE/>
        <w:autoSpaceDN/>
        <w:bidi w:val="0"/>
        <w:adjustRightInd/>
        <w:snapToGrid/>
        <w:spacing w:after="0" w:line="600" w:lineRule="exact"/>
        <w:ind w:firstLine="740"/>
        <w:jc w:val="left"/>
        <w:textAlignment w:val="auto"/>
        <w:rPr>
          <w:rFonts w:ascii="宋体" w:eastAsia="宋体" w:hAnsi="宋体" w:cs="宋体" w:hint="eastAsia"/>
          <w:sz w:val="28"/>
          <w:szCs w:val="28"/>
          <w:lang w:val="en-US" w:eastAsia="zh-CN"/>
        </w:rPr>
      </w:pPr>
      <w:r>
        <w:rPr>
          <w:rFonts w:ascii="宋体" w:eastAsia="宋体" w:hAnsi="宋体" w:cs="宋体" w:hint="eastAsia"/>
          <w:sz w:val="28"/>
          <w:szCs w:val="28"/>
        </w:rPr>
        <w:t xml:space="preserve">(</w:t>
      </w:r>
      <w:r>
        <w:rPr>
          <w:rFonts w:ascii="宋体" w:eastAsia="宋体" w:hAnsi="宋体" w:cs="宋体"/>
          <w:sz w:val="28"/>
          <w:u w:color="auto"/>
        </w:rPr>
        <w:t xml:space="preserve">3</w:t>
      </w:r>
      <w:r>
        <w:rPr>
          <w:rFonts w:ascii="宋体" w:eastAsia="宋体" w:hAnsi="宋体" w:cs="宋体"/>
          <w:sz w:val="28"/>
          <w:u w:color="auto"/>
        </w:rPr>
        <w:t xml:space="preserve">)</w:t>
      </w:r>
      <w:r>
        <w:rPr>
          <w:rFonts w:ascii="宋体" w:eastAsia="宋体" w:hAnsi="宋体" w:cs="宋体"/>
          <w:sz w:val="28"/>
          <w:u w:color="auto"/>
        </w:rPr>
        <w:t xml:space="preserve">商品和服务支出</w:t>
      </w:r>
      <w:r>
        <w:rPr>
          <w:rFonts w:ascii="宋体" w:eastAsia="宋体" w:hAnsi="宋体" w:cs="宋体" w:hint="eastAsia"/>
          <w:sz w:val="28"/>
          <w:szCs w:val="28"/>
          <w:lang w:val="en-US" w:eastAsia="zh-CN"/>
        </w:rPr>
        <w:t xml:space="preserve">8.86</w:t>
      </w:r>
      <w:r>
        <w:rPr>
          <w:rFonts w:ascii="宋体" w:eastAsia="宋体" w:hAnsi="宋体" w:cs="宋体" w:hint="eastAsia"/>
          <w:sz w:val="28"/>
          <w:szCs w:val="28"/>
        </w:rPr>
        <w:t xml:space="preserve">万</w:t>
      </w:r>
      <w:r>
        <w:rPr>
          <w:rFonts w:ascii="宋体" w:eastAsia="宋体" w:hAnsi="宋体" w:cs="宋体"/>
          <w:sz w:val="28"/>
          <w:szCs w:val="28"/>
        </w:rPr>
        <w:t xml:space="preserve">元，占基本</w:t>
      </w:r>
      <w:r>
        <w:rPr>
          <w:rFonts w:ascii="宋体" w:eastAsia="宋体" w:hAnsi="宋体" w:cs="宋体" w:hint="eastAsia"/>
          <w:sz w:val="28"/>
          <w:szCs w:val="28"/>
        </w:rPr>
        <w:t xml:space="preserve">支出总预算</w:t>
      </w:r>
      <w:r>
        <w:rPr>
          <w:rFonts w:ascii="宋体" w:eastAsia="宋体" w:hAnsi="宋体" w:cs="宋体" w:hint="eastAsia"/>
          <w:sz w:val="28"/>
          <w:szCs w:val="28"/>
          <w:lang w:val="en-US" w:eastAsia="zh-CN"/>
        </w:rPr>
        <w:t xml:space="preserve">1.30%</w:t>
      </w:r>
      <w:r>
        <w:rPr>
          <w:rFonts w:ascii="宋体" w:eastAsia="宋体" w:hAnsi="宋体" w:cs="宋体" w:hint="eastAsia"/>
          <w:sz w:val="28"/>
          <w:szCs w:val="28"/>
        </w:rPr>
        <w:t xml:space="preserve">,比上年</w:t>
      </w:r>
      <w:r>
        <w:rPr>
          <w:rFonts w:ascii="宋体" w:eastAsia="宋体" w:hAnsi="宋体" w:cs="宋体"/>
          <w:sz w:val="28"/>
          <w:u w:color="auto"/>
        </w:rPr>
        <w:t xml:space="preserve">减少2.59</w:t>
      </w:r>
      <w:r>
        <w:rPr>
          <w:rFonts w:ascii="宋体" w:eastAsia="宋体" w:hAnsi="宋体" w:cs="宋体"/>
          <w:sz w:val="28"/>
          <w:u w:color="auto"/>
        </w:rPr>
        <w:t xml:space="preserve">万元，</w:t>
      </w:r>
      <w:r>
        <w:rPr>
          <w:rFonts w:ascii="宋体" w:eastAsia="宋体" w:hAnsi="宋体" w:cs="宋体"/>
          <w:sz w:val="28"/>
          <w:u w:color="auto"/>
        </w:rPr>
        <w:t xml:space="preserve">减少22.62%</w:t>
      </w:r>
      <w:r>
        <w:rPr>
          <w:rFonts w:ascii="宋体" w:eastAsia="宋体" w:hAnsi="宋体" w:cs="宋体"/>
          <w:sz w:val="28"/>
          <w:u w:color="auto"/>
        </w:rPr>
        <w:t xml:space="preserve">,主要原因是：2023年度内人员调出9人，调出县外1人，故而较本年度商品和服务支出减少</w:t>
      </w:r>
      <w:r>
        <w:rPr>
          <w:rFonts w:ascii="宋体" w:eastAsia="宋体" w:hAnsi="宋体" w:cs="宋体" w:hint="eastAsia"/>
          <w:sz w:val="28"/>
          <w:szCs w:val="28"/>
          <w:lang w:val="en-US" w:eastAsia="zh-CN"/>
        </w:rPr>
        <w:t xml:space="preserve">。</w:t>
      </w:r>
    </w:p>
    <w:p>
      <w:pPr>
        <w:pStyle w:val="Bodytext|1"/>
        <w:keepNext w:val="0"/>
        <w:keepLines w:val="0"/>
        <w:pageBreakBefore w:val="0"/>
        <w:widowControl w:val="0"/>
        <w:numPr>
          <w:ilvl w:val="0"/>
          <w:numId w:val="3"/>
        </w:numPr>
        <w:kinsoku/>
        <w:wordWrap/>
        <w:overflowPunct/>
        <w:topLinePunct w:val="0"/>
        <w:autoSpaceDE/>
        <w:autoSpaceDN/>
        <w:bidi w:val="0"/>
        <w:adjustRightInd/>
        <w:snapToGrid/>
        <w:spacing w:line="600" w:lineRule="exact"/>
        <w:ind w:left="0" w:firstLine="560" w:leftChars="0" w:firstLineChars="200"/>
        <w:jc w:val="left"/>
        <w:textAlignment w:val="auto"/>
        <w:rPr>
          <w:rFonts w:ascii="宋体" w:eastAsia="宋体" w:hAnsi="宋体" w:cs="宋体" w:hint="eastAsia"/>
          <w:b w:val="0"/>
          <w:bCs w:val="0"/>
          <w:color w:val="000000"/>
          <w:sz w:val="28"/>
          <w:szCs w:val="28"/>
          <w:lang w:val="zh-TW" w:eastAsia="zh-TW" w:bidi="zh-TW"/>
        </w:rPr>
      </w:pPr>
      <w:r>
        <w:rPr>
          <w:rFonts w:ascii="宋体" w:eastAsia="宋体" w:hAnsi="宋体" w:cs="宋体" w:hint="eastAsia"/>
          <w:b w:val="0"/>
          <w:bCs w:val="0"/>
          <w:color w:val="000000"/>
          <w:sz w:val="28"/>
          <w:szCs w:val="28"/>
          <w:lang w:val="zh-TW" w:eastAsia="zh-TW" w:bidi="zh-TW"/>
        </w:rPr>
        <w:t xml:space="preserve">项目支出预算。</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0"/>
        <w:jc w:val="left"/>
        <w:textAlignment w:val="auto"/>
        <w:rPr>
          <w:rFonts w:hint="eastAsia"/>
          <w:lang w:val="en-US" w:eastAsia="zh-CN"/>
        </w:rPr>
      </w:pPr>
      <w:r>
        <w:rPr>
          <w:rFonts w:hint="eastAsia"/>
        </w:rPr>
        <w:t xml:space="preserve">项目支出预算</w:t>
      </w:r>
      <w:r>
        <w:rPr>
          <w:rFonts w:hint="eastAsia"/>
          <w:lang w:val="en-US" w:eastAsia="zh-CN"/>
        </w:rPr>
        <w:t xml:space="preserve">36.86</w:t>
      </w:r>
      <w:r>
        <w:rPr>
          <w:rFonts w:hint="eastAsia"/>
        </w:rPr>
        <w:t xml:space="preserve">万元，占支出预算</w:t>
      </w:r>
      <w:r>
        <w:rPr>
          <w:u w:color="auto"/>
        </w:rPr>
        <w:t xml:space="preserve">5.15%</w:t>
      </w:r>
      <w:r>
        <w:rPr>
          <w:rFonts w:hint="eastAsia"/>
        </w:rPr>
        <w:t xml:space="preserve">,比上年</w:t>
      </w:r>
      <w:r>
        <w:rPr>
          <w:u w:color="auto"/>
        </w:rPr>
        <w:t xml:space="preserve">增长3.07</w:t>
      </w:r>
      <w:r>
        <w:rPr>
          <w:rFonts w:hint="eastAsia"/>
        </w:rPr>
        <w:t xml:space="preserve">万元，</w:t>
      </w:r>
      <w:r>
        <w:rPr>
          <w:u w:color="auto"/>
        </w:rPr>
        <w:t xml:space="preserve">增长9.09%</w:t>
      </w:r>
      <w:r>
        <w:t xml:space="preserve">。</w:t>
      </w:r>
      <w:r>
        <w:rPr>
          <w:rFonts w:hint="eastAsia"/>
          <w:lang w:val="en-US" w:eastAsia="zh-CN"/>
        </w:rPr>
        <w:t xml:space="preserve">其中：</w:t>
      </w:r>
    </w:p>
    <w:p>
      <w:pPr>
        <w:pStyle w:val="Bodytext|3"/>
        <w:keepNext w:val="0"/>
        <w:keepLines w:val="0"/>
        <w:pageBreakBefore w:val="0"/>
        <w:widowControl w:val="0"/>
        <w:kinsoku/>
        <w:wordWrap/>
        <w:overflowPunct/>
        <w:topLinePunct w:val="0"/>
        <w:autoSpaceDE/>
        <w:autoSpaceDN/>
        <w:bidi w:val="0"/>
        <w:adjustRightInd/>
        <w:snapToGrid/>
        <w:spacing w:after="0" w:line="600" w:lineRule="exact"/>
        <w:ind w:firstLine="740"/>
        <w:jc w:val="left"/>
        <w:textAlignment w:val="auto"/>
        <w:rPr>
          <w:rFonts w:ascii="宋体" w:eastAsia="宋体" w:hAnsi="宋体" w:cs="宋体" w:hint="eastAsia"/>
          <w:color w:val="000000"/>
          <w:sz w:val="28"/>
          <w:szCs w:val="28"/>
          <w:lang w:val="en-US" w:eastAsia="zh-CN" w:bidi="zh-TW"/>
        </w:rPr>
      </w:pPr>
      <w:r>
        <w:rPr>
          <w:rFonts w:ascii="宋体" w:eastAsia="宋体" w:hAnsi="宋体" w:cs="宋体" w:hint="eastAsia"/>
          <w:sz w:val="28"/>
          <w:szCs w:val="28"/>
        </w:rPr>
        <w:t xml:space="preserve">(</w:t>
      </w:r>
      <w:r>
        <w:rPr>
          <w:rFonts w:ascii="宋体" w:eastAsia="宋体" w:hAnsi="宋体" w:cs="宋体"/>
          <w:sz w:val="28"/>
          <w:u w:color="auto"/>
        </w:rPr>
        <w:t xml:space="preserve">1</w:t>
      </w:r>
      <w:r>
        <w:rPr>
          <w:rFonts w:ascii="宋体" w:eastAsia="宋体" w:hAnsi="宋体" w:cs="宋体"/>
          <w:sz w:val="28"/>
          <w:u w:color="auto"/>
        </w:rPr>
        <w:t xml:space="preserve">)</w:t>
      </w:r>
      <w:r>
        <w:rPr>
          <w:rFonts w:ascii="宋体" w:eastAsia="宋体" w:hAnsi="宋体" w:cs="宋体"/>
          <w:sz w:val="28"/>
          <w:u w:color="auto"/>
        </w:rPr>
        <w:t xml:space="preserve">商品和服务支出</w:t>
      </w:r>
      <w:r>
        <w:rPr>
          <w:rFonts w:ascii="宋体" w:eastAsia="宋体" w:hAnsi="宋体" w:cs="宋体" w:hint="eastAsia"/>
          <w:sz w:val="28"/>
          <w:szCs w:val="28"/>
          <w:lang w:val="en-US" w:eastAsia="zh-CN"/>
        </w:rPr>
        <w:t xml:space="preserve">24.57</w:t>
      </w:r>
      <w:r>
        <w:rPr>
          <w:rFonts w:ascii="宋体" w:eastAsia="宋体" w:hAnsi="宋体" w:cs="宋体" w:hint="eastAsia"/>
          <w:sz w:val="28"/>
          <w:szCs w:val="28"/>
        </w:rPr>
        <w:t xml:space="preserve">万</w:t>
      </w:r>
      <w:r>
        <w:rPr>
          <w:rFonts w:ascii="宋体" w:eastAsia="宋体" w:hAnsi="宋体" w:cs="宋体"/>
          <w:sz w:val="28"/>
          <w:szCs w:val="28"/>
        </w:rPr>
        <w:t xml:space="preserve">元，占</w:t>
      </w:r>
      <w:r>
        <w:rPr>
          <w:rFonts w:hint="eastAsia"/>
        </w:rPr>
        <w:t xml:space="preserve">项</w:t>
      </w:r>
      <w:r>
        <w:rPr>
          <w:rFonts w:ascii="宋体" w:eastAsia="宋体" w:hAnsi="宋体" w:cs="宋体" w:hint="eastAsia"/>
          <w:color w:val="000000"/>
          <w:sz w:val="28"/>
          <w:szCs w:val="28"/>
          <w:lang w:val="zh-TW" w:eastAsia="zh-TW" w:bidi="zh-TW"/>
        </w:rPr>
        <w:t xml:space="preserve">目支出总预算</w:t>
      </w:r>
      <w:r>
        <w:rPr>
          <w:rFonts w:ascii="宋体" w:eastAsia="宋体" w:hAnsi="宋体" w:cs="宋体" w:hint="eastAsia"/>
          <w:color w:val="000000"/>
          <w:sz w:val="28"/>
          <w:szCs w:val="28"/>
          <w:lang w:val="en-US" w:eastAsia="zh-CN" w:bidi="zh-TW"/>
        </w:rPr>
        <w:t xml:space="preserve">66.66%</w:t>
      </w:r>
      <w:r>
        <w:rPr>
          <w:rFonts w:ascii="宋体" w:eastAsia="宋体" w:hAnsi="宋体" w:cs="宋体" w:hint="eastAsia"/>
          <w:color w:val="000000"/>
          <w:sz w:val="28"/>
          <w:szCs w:val="28"/>
          <w:lang w:val="zh-TW" w:eastAsia="zh-TW" w:bidi="zh-TW"/>
        </w:rPr>
        <w:t xml:space="preserve">,比上年</w:t>
      </w:r>
      <w:r>
        <w:rPr>
          <w:rFonts w:ascii="宋体" w:eastAsia="宋体" w:hAnsi="宋体" w:cs="宋体"/>
          <w:color w:val="000000"/>
          <w:sz w:val="28"/>
          <w:u w:color="auto"/>
        </w:rPr>
        <w:t xml:space="preserve">减少4.98</w:t>
      </w:r>
      <w:r>
        <w:rPr>
          <w:rFonts w:ascii="宋体" w:eastAsia="宋体" w:hAnsi="宋体" w:cs="宋体"/>
          <w:color w:val="000000"/>
          <w:sz w:val="28"/>
          <w:u w:color="auto"/>
        </w:rPr>
        <w:t xml:space="preserve">万元，</w:t>
      </w:r>
      <w:r>
        <w:rPr>
          <w:rFonts w:ascii="宋体" w:eastAsia="宋体" w:hAnsi="宋体" w:cs="宋体"/>
          <w:color w:val="000000"/>
          <w:sz w:val="28"/>
          <w:u w:color="auto"/>
        </w:rPr>
        <w:t xml:space="preserve">减少16.85%</w:t>
      </w:r>
      <w:r>
        <w:rPr>
          <w:rFonts w:ascii="宋体" w:eastAsia="宋体" w:hAnsi="宋体" w:cs="宋体"/>
          <w:color w:val="000000"/>
          <w:sz w:val="28"/>
          <w:u w:color="auto"/>
        </w:rPr>
        <w:t xml:space="preserve">,主要原因是：</w:t>
      </w:r>
      <w:r>
        <w:rPr>
          <w:rFonts w:ascii="宋体" w:eastAsia="宋体" w:hAnsi="宋体" w:cs="宋体" w:hint="eastAsia"/>
          <w:color w:val="000000"/>
          <w:sz w:val="28"/>
          <w:szCs w:val="28"/>
          <w:lang w:val="zh-TW" w:eastAsia="zh-TW" w:bidi="zh-TW"/>
        </w:rPr>
        <w:t xml:space="preserve">2023年度内人员调出9人，调出县外1人，故而较本年度商品和服务支出减少</w:t>
      </w:r>
      <w:r>
        <w:rPr>
          <w:rFonts w:ascii="宋体" w:eastAsia="宋体" w:hAnsi="宋体" w:cs="宋体" w:hint="eastAsia"/>
          <w:color w:val="000000"/>
          <w:sz w:val="28"/>
          <w:szCs w:val="28"/>
          <w:lang w:val="en-US" w:eastAsia="zh-CN" w:bidi="zh-TW"/>
        </w:rPr>
        <w:t xml:space="preserve">。</w:t>
      </w:r>
    </w:p>
    <w:p>
      <w:pPr>
        <w:pStyle w:val="Bodytext|3"/>
        <w:keepNext w:val="0"/>
        <w:keepLines w:val="0"/>
        <w:pageBreakBefore w:val="0"/>
        <w:widowControl w:val="0"/>
        <w:kinsoku/>
        <w:wordWrap/>
        <w:overflowPunct/>
        <w:topLinePunct w:val="0"/>
        <w:autoSpaceDE/>
        <w:autoSpaceDN/>
        <w:bidi w:val="0"/>
        <w:adjustRightInd/>
        <w:snapToGrid/>
        <w:spacing w:after="0" w:line="600" w:lineRule="exact"/>
        <w:ind w:firstLine="740"/>
        <w:jc w:val="left"/>
        <w:textAlignment w:val="auto"/>
        <w:rPr>
          <w:rFonts w:ascii="宋体" w:eastAsia="宋体" w:hAnsi="宋体" w:cs="宋体" w:hint="eastAsia"/>
          <w:color w:val="000000"/>
          <w:sz w:val="28"/>
          <w:szCs w:val="28"/>
          <w:lang w:val="en-US" w:eastAsia="zh-CN" w:bidi="zh-TW"/>
        </w:rPr>
      </w:pPr>
      <w:r>
        <w:rPr>
          <w:rFonts w:ascii="宋体" w:eastAsia="宋体" w:hAnsi="宋体" w:cs="宋体" w:hint="eastAsia"/>
          <w:sz w:val="28"/>
          <w:szCs w:val="28"/>
        </w:rPr>
        <w:t xml:space="preserve">(</w:t>
      </w:r>
      <w:r>
        <w:rPr>
          <w:rFonts w:ascii="宋体" w:eastAsia="宋体" w:hAnsi="宋体" w:cs="宋体"/>
          <w:sz w:val="28"/>
          <w:u w:color="auto"/>
        </w:rPr>
        <w:t xml:space="preserve">2</w:t>
      </w:r>
      <w:r>
        <w:rPr>
          <w:rFonts w:ascii="宋体" w:eastAsia="宋体" w:hAnsi="宋体" w:cs="宋体"/>
          <w:sz w:val="28"/>
          <w:u w:color="auto"/>
        </w:rPr>
        <w:t xml:space="preserve">)</w:t>
      </w:r>
      <w:r>
        <w:rPr>
          <w:rFonts w:ascii="宋体" w:eastAsia="宋体" w:hAnsi="宋体" w:cs="宋体"/>
          <w:sz w:val="28"/>
          <w:u w:color="auto"/>
        </w:rPr>
        <w:t xml:space="preserve">对个人和家庭的补助</w:t>
      </w:r>
      <w:r>
        <w:rPr>
          <w:rFonts w:ascii="宋体" w:eastAsia="宋体" w:hAnsi="宋体" w:cs="宋体" w:hint="eastAsia"/>
          <w:sz w:val="28"/>
          <w:szCs w:val="28"/>
          <w:lang w:val="en-US" w:eastAsia="zh-CN"/>
        </w:rPr>
        <w:t xml:space="preserve">7.72</w:t>
      </w:r>
      <w:r>
        <w:rPr>
          <w:rFonts w:ascii="宋体" w:eastAsia="宋体" w:hAnsi="宋体" w:cs="宋体" w:hint="eastAsia"/>
          <w:sz w:val="28"/>
          <w:szCs w:val="28"/>
        </w:rPr>
        <w:t xml:space="preserve">万</w:t>
      </w:r>
      <w:r>
        <w:rPr>
          <w:rFonts w:ascii="宋体" w:eastAsia="宋体" w:hAnsi="宋体" w:cs="宋体"/>
          <w:sz w:val="28"/>
          <w:szCs w:val="28"/>
        </w:rPr>
        <w:t xml:space="preserve">元，占</w:t>
      </w:r>
      <w:r>
        <w:rPr>
          <w:rFonts w:hint="eastAsia"/>
        </w:rPr>
        <w:t xml:space="preserve">项</w:t>
      </w:r>
      <w:r>
        <w:rPr>
          <w:rFonts w:ascii="宋体" w:eastAsia="宋体" w:hAnsi="宋体" w:cs="宋体" w:hint="eastAsia"/>
          <w:color w:val="000000"/>
          <w:sz w:val="28"/>
          <w:szCs w:val="28"/>
          <w:lang w:val="zh-TW" w:eastAsia="zh-TW" w:bidi="zh-TW"/>
        </w:rPr>
        <w:t xml:space="preserve">目支出总预算</w:t>
      </w:r>
      <w:r>
        <w:rPr>
          <w:rFonts w:ascii="宋体" w:eastAsia="宋体" w:hAnsi="宋体" w:cs="宋体" w:hint="eastAsia"/>
          <w:color w:val="000000"/>
          <w:sz w:val="28"/>
          <w:szCs w:val="28"/>
          <w:lang w:val="en-US" w:eastAsia="zh-CN" w:bidi="zh-TW"/>
        </w:rPr>
        <w:t xml:space="preserve">20.94%</w:t>
      </w:r>
      <w:r>
        <w:rPr>
          <w:rFonts w:ascii="宋体" w:eastAsia="宋体" w:hAnsi="宋体" w:cs="宋体" w:hint="eastAsia"/>
          <w:color w:val="000000"/>
          <w:sz w:val="28"/>
          <w:szCs w:val="28"/>
          <w:lang w:val="zh-TW" w:eastAsia="zh-TW" w:bidi="zh-TW"/>
        </w:rPr>
        <w:t xml:space="preserve">,比上年</w:t>
      </w:r>
      <w:r>
        <w:rPr>
          <w:rFonts w:ascii="宋体" w:eastAsia="宋体" w:hAnsi="宋体" w:cs="宋体"/>
          <w:color w:val="000000"/>
          <w:sz w:val="28"/>
          <w:u w:color="auto"/>
        </w:rPr>
        <w:t xml:space="preserve">增长6.87</w:t>
      </w:r>
      <w:r>
        <w:rPr>
          <w:rFonts w:ascii="宋体" w:eastAsia="宋体" w:hAnsi="宋体" w:cs="宋体"/>
          <w:color w:val="000000"/>
          <w:sz w:val="28"/>
          <w:u w:color="auto"/>
        </w:rPr>
        <w:t xml:space="preserve">万元，</w:t>
      </w:r>
      <w:r>
        <w:rPr>
          <w:rFonts w:ascii="宋体" w:eastAsia="宋体" w:hAnsi="宋体" w:cs="宋体"/>
          <w:color w:val="000000"/>
          <w:sz w:val="28"/>
          <w:u w:color="auto"/>
        </w:rPr>
        <w:t xml:space="preserve">增长808.24%</w:t>
      </w:r>
      <w:r>
        <w:rPr>
          <w:rFonts w:ascii="宋体" w:eastAsia="宋体" w:hAnsi="宋体" w:cs="宋体"/>
          <w:color w:val="000000"/>
          <w:sz w:val="28"/>
          <w:u w:color="auto"/>
        </w:rPr>
        <w:t xml:space="preserve">,主要原因是：</w:t>
      </w:r>
      <w:r>
        <w:rPr>
          <w:rFonts w:ascii="宋体" w:eastAsia="宋体" w:hAnsi="宋体" w:cs="宋体" w:hint="eastAsia"/>
          <w:color w:val="000000"/>
          <w:sz w:val="28"/>
          <w:szCs w:val="28"/>
          <w:lang w:val="zh-TW" w:eastAsia="zh-TW" w:bidi="zh-TW"/>
        </w:rPr>
        <w:t xml:space="preserve">退休教师生活补贴较2023年提高，故而对个人和家庭的补助支出增加</w:t>
      </w:r>
      <w:r>
        <w:rPr>
          <w:rFonts w:ascii="宋体" w:eastAsia="宋体" w:hAnsi="宋体" w:cs="宋体" w:hint="eastAsia"/>
          <w:color w:val="000000"/>
          <w:sz w:val="28"/>
          <w:szCs w:val="28"/>
          <w:lang w:val="en-US" w:eastAsia="zh-CN" w:bidi="zh-TW"/>
        </w:rPr>
        <w:t xml:space="preserve">。</w:t>
      </w:r>
    </w:p>
    <w:p>
      <w:pPr>
        <w:pStyle w:val="Bodytext|3"/>
        <w:keepNext w:val="0"/>
        <w:keepLines w:val="0"/>
        <w:pageBreakBefore w:val="0"/>
        <w:widowControl w:val="0"/>
        <w:kinsoku/>
        <w:wordWrap/>
        <w:overflowPunct/>
        <w:topLinePunct w:val="0"/>
        <w:autoSpaceDE/>
        <w:autoSpaceDN/>
        <w:bidi w:val="0"/>
        <w:adjustRightInd/>
        <w:snapToGrid/>
        <w:spacing w:after="0" w:line="600" w:lineRule="exact"/>
        <w:ind w:firstLine="740"/>
        <w:jc w:val="left"/>
        <w:textAlignment w:val="auto"/>
        <w:rPr>
          <w:rFonts w:ascii="宋体" w:eastAsia="宋体" w:hAnsi="宋体" w:cs="宋体" w:hint="eastAsia"/>
          <w:color w:val="000000"/>
          <w:sz w:val="28"/>
          <w:szCs w:val="28"/>
          <w:lang w:val="en-US" w:eastAsia="zh-CN" w:bidi="zh-TW"/>
        </w:rPr>
      </w:pPr>
      <w:r>
        <w:rPr>
          <w:rFonts w:ascii="宋体" w:eastAsia="宋体" w:hAnsi="宋体" w:cs="宋体" w:hint="eastAsia"/>
          <w:sz w:val="28"/>
          <w:szCs w:val="28"/>
        </w:rPr>
        <w:t xml:space="preserve">(</w:t>
      </w:r>
      <w:r>
        <w:rPr>
          <w:rFonts w:ascii="宋体" w:eastAsia="宋体" w:hAnsi="宋体" w:cs="宋体"/>
          <w:sz w:val="28"/>
          <w:u w:color="auto"/>
        </w:rPr>
        <w:t xml:space="preserve">3</w:t>
      </w:r>
      <w:r>
        <w:rPr>
          <w:rFonts w:ascii="宋体" w:eastAsia="宋体" w:hAnsi="宋体" w:cs="宋体"/>
          <w:sz w:val="28"/>
          <w:u w:color="auto"/>
        </w:rPr>
        <w:t xml:space="preserve">)</w:t>
      </w:r>
      <w:r>
        <w:rPr>
          <w:rFonts w:ascii="宋体" w:eastAsia="宋体" w:hAnsi="宋体" w:cs="宋体"/>
          <w:sz w:val="28"/>
          <w:u w:color="auto"/>
        </w:rPr>
        <w:t xml:space="preserve">资本性支出</w:t>
      </w:r>
      <w:r>
        <w:rPr>
          <w:rFonts w:ascii="宋体" w:eastAsia="宋体" w:hAnsi="宋体" w:cs="宋体" w:hint="eastAsia"/>
          <w:sz w:val="28"/>
          <w:szCs w:val="28"/>
          <w:lang w:val="en-US" w:eastAsia="zh-CN"/>
        </w:rPr>
        <w:t xml:space="preserve">3.66</w:t>
      </w:r>
      <w:r>
        <w:rPr>
          <w:rFonts w:ascii="宋体" w:eastAsia="宋体" w:hAnsi="宋体" w:cs="宋体" w:hint="eastAsia"/>
          <w:sz w:val="28"/>
          <w:szCs w:val="28"/>
        </w:rPr>
        <w:t xml:space="preserve">万</w:t>
      </w:r>
      <w:r>
        <w:rPr>
          <w:rFonts w:ascii="宋体" w:eastAsia="宋体" w:hAnsi="宋体" w:cs="宋体"/>
          <w:sz w:val="28"/>
          <w:szCs w:val="28"/>
        </w:rPr>
        <w:t xml:space="preserve">元，占</w:t>
      </w:r>
      <w:r>
        <w:rPr>
          <w:rFonts w:hint="eastAsia"/>
        </w:rPr>
        <w:t xml:space="preserve">项</w:t>
      </w:r>
      <w:r>
        <w:rPr>
          <w:rFonts w:ascii="宋体" w:eastAsia="宋体" w:hAnsi="宋体" w:cs="宋体" w:hint="eastAsia"/>
          <w:color w:val="000000"/>
          <w:sz w:val="28"/>
          <w:szCs w:val="28"/>
          <w:lang w:val="zh-TW" w:eastAsia="zh-TW" w:bidi="zh-TW"/>
        </w:rPr>
        <w:t xml:space="preserve">目支出总预算</w:t>
      </w:r>
      <w:r>
        <w:rPr>
          <w:rFonts w:ascii="宋体" w:eastAsia="宋体" w:hAnsi="宋体" w:cs="宋体" w:hint="eastAsia"/>
          <w:color w:val="000000"/>
          <w:sz w:val="28"/>
          <w:szCs w:val="28"/>
          <w:lang w:val="en-US" w:eastAsia="zh-CN" w:bidi="zh-TW"/>
        </w:rPr>
        <w:t xml:space="preserve">9.93%</w:t>
      </w:r>
      <w:r>
        <w:rPr>
          <w:rFonts w:ascii="宋体" w:eastAsia="宋体" w:hAnsi="宋体" w:cs="宋体" w:hint="eastAsia"/>
          <w:color w:val="000000"/>
          <w:sz w:val="28"/>
          <w:szCs w:val="28"/>
          <w:lang w:val="zh-TW" w:eastAsia="zh-TW" w:bidi="zh-TW"/>
        </w:rPr>
        <w:t xml:space="preserve">,比上年</w:t>
      </w:r>
      <w:r>
        <w:rPr>
          <w:rFonts w:ascii="宋体" w:eastAsia="宋体" w:hAnsi="宋体" w:cs="宋体"/>
          <w:color w:val="000000"/>
          <w:sz w:val="28"/>
          <w:u w:color="auto"/>
        </w:rPr>
        <w:t xml:space="preserve">增长1.16</w:t>
      </w:r>
      <w:r>
        <w:rPr>
          <w:rFonts w:ascii="宋体" w:eastAsia="宋体" w:hAnsi="宋体" w:cs="宋体"/>
          <w:color w:val="000000"/>
          <w:sz w:val="28"/>
          <w:u w:color="auto"/>
        </w:rPr>
        <w:t xml:space="preserve">万元，</w:t>
      </w:r>
      <w:r>
        <w:rPr>
          <w:rFonts w:ascii="宋体" w:eastAsia="宋体" w:hAnsi="宋体" w:cs="宋体"/>
          <w:color w:val="000000"/>
          <w:sz w:val="28"/>
          <w:u w:color="auto"/>
        </w:rPr>
        <w:t xml:space="preserve">增长46.40%</w:t>
      </w:r>
      <w:r>
        <w:rPr>
          <w:rFonts w:ascii="宋体" w:eastAsia="宋体" w:hAnsi="宋体" w:cs="宋体"/>
          <w:color w:val="000000"/>
          <w:sz w:val="28"/>
          <w:u w:color="auto"/>
        </w:rPr>
        <w:t xml:space="preserve">,主要原因是：</w:t>
      </w:r>
      <w:r>
        <w:rPr>
          <w:rFonts w:ascii="宋体" w:eastAsia="宋体" w:hAnsi="宋体" w:cs="宋体" w:hint="eastAsia"/>
          <w:color w:val="000000"/>
          <w:sz w:val="28"/>
          <w:szCs w:val="28"/>
          <w:lang w:val="zh-TW" w:eastAsia="zh-TW" w:bidi="zh-TW"/>
        </w:rPr>
        <w:t xml:space="preserve">资本性支出增长较去年非税收入增加，设备采购预算增加</w:t>
      </w:r>
      <w:r>
        <w:rPr>
          <w:rFonts w:ascii="宋体" w:eastAsia="宋体" w:hAnsi="宋体" w:cs="宋体" w:hint="eastAsia"/>
          <w:color w:val="000000"/>
          <w:sz w:val="28"/>
          <w:szCs w:val="28"/>
          <w:lang w:val="en-US" w:eastAsia="zh-CN" w:bidi="zh-TW"/>
        </w:rPr>
        <w:t xml:space="preserve">。</w:t>
      </w:r>
    </w:p>
    <w:p>
      <w:pPr>
        <w:pStyle w:val="Bodytext|3"/>
        <w:keepNext w:val="0"/>
        <w:keepLines w:val="0"/>
        <w:pageBreakBefore w:val="0"/>
        <w:widowControl w:val="0"/>
        <w:kinsoku/>
        <w:wordWrap/>
        <w:overflowPunct/>
        <w:topLinePunct w:val="0"/>
        <w:autoSpaceDE/>
        <w:autoSpaceDN/>
        <w:bidi w:val="0"/>
        <w:adjustRightInd/>
        <w:snapToGrid/>
        <w:spacing w:after="0" w:line="600" w:lineRule="exact"/>
        <w:ind w:firstLine="740"/>
        <w:jc w:val="left"/>
        <w:textAlignment w:val="auto"/>
        <w:rPr>
          <w:rFonts w:ascii="宋体" w:eastAsia="宋体" w:hAnsi="宋体" w:cs="宋体" w:hint="eastAsia"/>
          <w:color w:val="000000"/>
          <w:sz w:val="28"/>
          <w:szCs w:val="28"/>
          <w:lang w:val="en-US" w:eastAsia="zh-CN" w:bidi="zh-TW"/>
        </w:rPr>
      </w:pPr>
      <w:r>
        <w:rPr>
          <w:rFonts w:ascii="宋体" w:eastAsia="宋体" w:hAnsi="宋体" w:cs="宋体" w:hint="eastAsia"/>
          <w:sz w:val="28"/>
          <w:szCs w:val="28"/>
        </w:rPr>
        <w:t xml:space="preserve">(</w:t>
      </w:r>
      <w:r>
        <w:rPr>
          <w:rFonts w:ascii="宋体" w:eastAsia="宋体" w:hAnsi="宋体" w:cs="宋体"/>
          <w:sz w:val="28"/>
          <w:u w:color="auto"/>
        </w:rPr>
        <w:t xml:space="preserve">4</w:t>
      </w:r>
      <w:r>
        <w:rPr>
          <w:rFonts w:ascii="宋体" w:eastAsia="宋体" w:hAnsi="宋体" w:cs="宋体"/>
          <w:sz w:val="28"/>
          <w:u w:color="auto"/>
        </w:rPr>
        <w:t xml:space="preserve">)</w:t>
      </w:r>
      <w:r>
        <w:rPr>
          <w:rFonts w:ascii="宋体" w:eastAsia="宋体" w:hAnsi="宋体" w:cs="宋体"/>
          <w:sz w:val="28"/>
          <w:u w:color="auto"/>
        </w:rPr>
        <w:t xml:space="preserve">工资福利支出</w:t>
      </w:r>
      <w:r>
        <w:rPr>
          <w:rFonts w:ascii="宋体" w:eastAsia="宋体" w:hAnsi="宋体" w:cs="宋体" w:hint="eastAsia"/>
          <w:sz w:val="28"/>
          <w:szCs w:val="28"/>
          <w:lang w:val="en-US" w:eastAsia="zh-CN"/>
        </w:rPr>
        <w:t xml:space="preserve">0.91</w:t>
      </w:r>
      <w:r>
        <w:rPr>
          <w:rFonts w:ascii="宋体" w:eastAsia="宋体" w:hAnsi="宋体" w:cs="宋体" w:hint="eastAsia"/>
          <w:sz w:val="28"/>
          <w:szCs w:val="28"/>
        </w:rPr>
        <w:t xml:space="preserve">万</w:t>
      </w:r>
      <w:r>
        <w:rPr>
          <w:rFonts w:ascii="宋体" w:eastAsia="宋体" w:hAnsi="宋体" w:cs="宋体"/>
          <w:sz w:val="28"/>
          <w:szCs w:val="28"/>
        </w:rPr>
        <w:t xml:space="preserve">元，占</w:t>
      </w:r>
      <w:r>
        <w:rPr>
          <w:rFonts w:hint="eastAsia"/>
        </w:rPr>
        <w:t xml:space="preserve">项</w:t>
      </w:r>
      <w:r>
        <w:rPr>
          <w:rFonts w:ascii="宋体" w:eastAsia="宋体" w:hAnsi="宋体" w:cs="宋体" w:hint="eastAsia"/>
          <w:color w:val="000000"/>
          <w:sz w:val="28"/>
          <w:szCs w:val="28"/>
          <w:lang w:val="zh-TW" w:eastAsia="zh-TW" w:bidi="zh-TW"/>
        </w:rPr>
        <w:t xml:space="preserve">目支出总预算</w:t>
      </w:r>
      <w:r>
        <w:rPr>
          <w:rFonts w:ascii="宋体" w:eastAsia="宋体" w:hAnsi="宋体" w:cs="宋体" w:hint="eastAsia"/>
          <w:color w:val="000000"/>
          <w:sz w:val="28"/>
          <w:szCs w:val="28"/>
          <w:lang w:val="en-US" w:eastAsia="zh-CN" w:bidi="zh-TW"/>
        </w:rPr>
        <w:t xml:space="preserve">2.47%</w:t>
      </w:r>
      <w:r>
        <w:rPr>
          <w:rFonts w:ascii="宋体" w:eastAsia="宋体" w:hAnsi="宋体" w:cs="宋体" w:hint="eastAsia"/>
          <w:color w:val="000000"/>
          <w:sz w:val="28"/>
          <w:szCs w:val="28"/>
          <w:lang w:val="zh-TW" w:eastAsia="zh-TW" w:bidi="zh-TW"/>
        </w:rPr>
        <w:t xml:space="preserve">,比上年</w:t>
      </w:r>
      <w:r>
        <w:rPr>
          <w:rFonts w:ascii="宋体" w:eastAsia="宋体" w:hAnsi="宋体" w:cs="宋体"/>
          <w:color w:val="000000"/>
          <w:sz w:val="28"/>
          <w:u w:color="auto"/>
        </w:rPr>
        <w:t xml:space="preserve">增长0.02</w:t>
      </w:r>
      <w:r>
        <w:rPr>
          <w:rFonts w:ascii="宋体" w:eastAsia="宋体" w:hAnsi="宋体" w:cs="宋体"/>
          <w:color w:val="000000"/>
          <w:sz w:val="28"/>
          <w:u w:color="auto"/>
        </w:rPr>
        <w:t xml:space="preserve">万元，</w:t>
      </w:r>
      <w:r>
        <w:rPr>
          <w:rFonts w:ascii="宋体" w:eastAsia="宋体" w:hAnsi="宋体" w:cs="宋体"/>
          <w:color w:val="000000"/>
          <w:sz w:val="28"/>
          <w:u w:color="auto"/>
        </w:rPr>
        <w:t xml:space="preserve">增长2.25%</w:t>
      </w:r>
      <w:r>
        <w:rPr>
          <w:rFonts w:ascii="宋体" w:eastAsia="宋体" w:hAnsi="宋体" w:cs="宋体"/>
          <w:color w:val="000000"/>
          <w:sz w:val="28"/>
          <w:u w:color="auto"/>
        </w:rPr>
        <w:t xml:space="preserve">,主要原因是：</w:t>
      </w:r>
      <w:r>
        <w:rPr>
          <w:rFonts w:ascii="宋体" w:eastAsia="宋体" w:hAnsi="宋体" w:cs="宋体" w:hint="eastAsia"/>
          <w:color w:val="000000"/>
          <w:sz w:val="28"/>
          <w:szCs w:val="28"/>
          <w:lang w:val="zh-TW" w:eastAsia="zh-TW" w:bidi="zh-TW"/>
        </w:rPr>
        <w:t xml:space="preserve">工资标准比2023年有所提高</w:t>
      </w:r>
      <w:r>
        <w:rPr>
          <w:rFonts w:ascii="宋体" w:eastAsia="宋体" w:hAnsi="宋体" w:cs="宋体" w:hint="eastAsia"/>
          <w:color w:val="000000"/>
          <w:sz w:val="28"/>
          <w:szCs w:val="28"/>
          <w:lang w:val="en-US" w:eastAsia="zh-CN" w:bidi="zh-TW"/>
        </w:rPr>
        <w:t xml:space="preserve">。</w:t>
      </w:r>
    </w:p>
    <w:p>
      <w:pPr>
        <w:pStyle w:val="Bodytext|2"/>
        <w:spacing w:after="0" w:line="619" w:lineRule="exact"/>
        <w:ind w:firstLine="620"/>
        <w:jc w:val="left"/>
        <w:rPr>
          <w:rFonts w:hint="eastAsia"/>
          <w:b/>
          <w:bCs/>
          <w:lang w:val="en-US" w:eastAsia="zh-CN"/>
        </w:rPr>
      </w:pPr>
      <w:r>
        <w:rPr>
          <w:rFonts w:hint="eastAsia"/>
          <w:b/>
          <w:bCs/>
          <w:lang w:val="en-US" w:eastAsia="zh-CN"/>
        </w:rPr>
        <w:t xml:space="preserve">四、财政拨款收支总体情况说明</w:t>
      </w:r>
    </w:p>
    <w:p>
      <w:pPr>
        <w:pStyle w:val="Bodytext|1"/>
        <w:spacing w:line="240" w:lineRule="auto"/>
        <w:ind w:firstLine="0"/>
        <w:jc w:val="left"/>
        <w:rPr>
          <w:lang w:val="en-US" w:eastAsia="zh-CN"/>
        </w:rPr>
      </w:pPr>
      <w:r>
        <w:rPr>
          <w:rFonts w:hint="eastAsia"/>
          <w:lang w:val="en-US" w:eastAsia="zh-CN"/>
        </w:rPr>
        <w:drawing>
          <wp:inline distT="0" distB="0" distL="114300" distR="114300">
            <wp:extent cx="5080000" cy="3810000"/>
            <wp:effectExtent l="4445" t="4445" r="5715" b="10795"/>
            <wp:docPr id="954" name="图表 13" title="{{img_sz_cb_data}}"/>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r:id="rId8"/>
              </a:graphicData>
            </a:graphic>
          </wp:inline>
        </w:drawing>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hint="eastAsia"/>
          <w:sz w:val="28"/>
          <w:szCs w:val="28"/>
        </w:rPr>
      </w:pPr>
      <w:r>
        <w:rPr>
          <w:rFonts w:ascii="宋体" w:eastAsia="宋体" w:hAnsi="宋体" w:cs="宋体" w:hint="eastAsia"/>
          <w:sz w:val="28"/>
          <w:szCs w:val="28"/>
          <w:lang w:eastAsia="zh-CN"/>
        </w:rPr>
        <w:t xml:space="preserve">2024</w:t>
      </w:r>
      <w:r>
        <w:rPr>
          <w:rFonts w:ascii="宋体" w:eastAsia="宋体" w:hAnsi="宋体" w:cs="宋体" w:hint="eastAsia"/>
          <w:sz w:val="28"/>
          <w:szCs w:val="28"/>
          <w:u w:color="auto"/>
        </w:rPr>
        <w:t xml:space="preserve">年</w:t>
      </w:r>
      <w:r>
        <w:rPr>
          <w:rFonts w:ascii="宋体" w:eastAsia="宋体" w:hAnsi="宋体" w:cs="宋体" w:hint="eastAsia"/>
          <w:sz w:val="28"/>
          <w:szCs w:val="28"/>
        </w:rPr>
        <w:t xml:space="preserve">财政拨款收入我部门财政拨款总收入</w:t>
      </w:r>
      <w:r>
        <w:rPr>
          <w:rFonts w:ascii="宋体" w:eastAsia="宋体" w:hAnsi="宋体" w:cs="宋体" w:hint="eastAsia"/>
          <w:sz w:val="28"/>
          <w:szCs w:val="28"/>
          <w:lang w:val="en-US" w:eastAsia="zh-CN" w:bidi="en-US"/>
        </w:rPr>
        <w:t xml:space="preserve">716.30</w:t>
      </w:r>
      <w:r>
        <w:rPr>
          <w:rFonts w:ascii="宋体" w:eastAsia="宋体" w:hAnsi="宋体" w:cs="宋体" w:hint="eastAsia"/>
          <w:sz w:val="28"/>
          <w:szCs w:val="28"/>
        </w:rPr>
        <w:t xml:space="preserve">万元，总支出</w:t>
      </w:r>
      <w:r>
        <w:rPr>
          <w:rFonts w:ascii="宋体" w:eastAsia="宋体" w:hAnsi="宋体" w:cs="宋体" w:hint="eastAsia"/>
          <w:sz w:val="28"/>
          <w:szCs w:val="28"/>
          <w:lang w:val="en-US" w:eastAsia="zh-CN" w:bidi="en-US"/>
        </w:rPr>
        <w:t xml:space="preserve">716.30</w:t>
      </w:r>
      <w:r>
        <w:rPr>
          <w:rFonts w:ascii="宋体" w:eastAsia="宋体" w:hAnsi="宋体" w:cs="宋体" w:hint="eastAsia"/>
          <w:sz w:val="28"/>
          <w:szCs w:val="28"/>
        </w:rPr>
        <w:t xml:space="preserve">万元。财政拨款总收入较2023年度预算数</w:t>
      </w:r>
      <w:r>
        <w:rPr>
          <w:rFonts w:ascii="宋体" w:eastAsia="宋体" w:hAnsi="宋体" w:cs="宋体" w:hint="eastAsia"/>
          <w:sz w:val="28"/>
          <w:szCs w:val="28"/>
          <w:lang w:val="en-US" w:eastAsia="zh-CN" w:bidi="en-US"/>
        </w:rPr>
        <w:t xml:space="preserve">800.71</w:t>
      </w:r>
      <w:r>
        <w:rPr>
          <w:rFonts w:ascii="宋体" w:eastAsia="宋体" w:hAnsi="宋体" w:cs="宋体" w:hint="eastAsia"/>
          <w:sz w:val="28"/>
          <w:szCs w:val="28"/>
        </w:rPr>
        <w:t xml:space="preserve">万元，</w:t>
      </w:r>
      <w:r>
        <w:rPr>
          <w:rFonts w:ascii="宋体" w:eastAsia="宋体" w:hAnsi="宋体" w:cs="宋体" w:hint="eastAsia"/>
          <w:sz w:val="28"/>
          <w:szCs w:val="28"/>
          <w:lang w:val="en-US" w:eastAsia="zh-CN" w:bidi="en-US"/>
        </w:rPr>
        <w:t xml:space="preserve">减少84.41</w:t>
      </w:r>
      <w:r>
        <w:rPr>
          <w:rFonts w:ascii="宋体" w:eastAsia="宋体" w:hAnsi="宋体" w:cs="宋体" w:hint="eastAsia"/>
          <w:sz w:val="28"/>
          <w:szCs w:val="28"/>
        </w:rPr>
        <w:t xml:space="preserve">万元，</w:t>
      </w:r>
      <w:r>
        <w:rPr>
          <w:rFonts w:ascii="宋体" w:eastAsia="宋体" w:hAnsi="宋体" w:cs="宋体" w:hint="eastAsia"/>
          <w:sz w:val="28"/>
          <w:szCs w:val="28"/>
          <w:lang w:val="en-US" w:eastAsia="zh-CN" w:bidi="en-US"/>
        </w:rPr>
        <w:t xml:space="preserve">下降10.54%</w:t>
      </w:r>
      <w:r>
        <w:rPr>
          <w:rFonts w:ascii="宋体" w:eastAsia="宋体" w:hAnsi="宋体" w:cs="宋体" w:hint="eastAsia"/>
          <w:sz w:val="28"/>
          <w:szCs w:val="28"/>
        </w:rPr>
        <w:t xml:space="preserve">，主要原因是</w:t>
      </w:r>
      <w:r>
        <w:rPr>
          <w:rFonts w:hint="eastAsia"/>
          <w:highlight w:val="none"/>
          <w:lang w:val="en-US" w:eastAsia="zh-CN"/>
        </w:rPr>
        <w:t xml:space="preserve">2023年度内人员调出9人，调出县外1人，故而财政拨款总收入较去年减少</w:t>
      </w:r>
      <w:r>
        <w:rPr>
          <w:rFonts w:ascii="宋体" w:eastAsia="宋体" w:hAnsi="宋体" w:cs="宋体" w:hint="eastAsia"/>
          <w:sz w:val="28"/>
          <w:szCs w:val="28"/>
        </w:rPr>
        <w:t xml:space="preserve">。财政拨款总支出较2023年度预算数</w:t>
      </w:r>
      <w:r>
        <w:rPr>
          <w:rFonts w:ascii="宋体" w:eastAsia="宋体" w:hAnsi="宋体" w:cs="宋体" w:hint="eastAsia"/>
          <w:sz w:val="28"/>
          <w:szCs w:val="28"/>
          <w:lang w:val="en-US" w:eastAsia="zh-CN" w:bidi="en-US"/>
        </w:rPr>
        <w:t xml:space="preserve">800.71</w:t>
      </w:r>
      <w:r>
        <w:rPr>
          <w:rFonts w:ascii="宋体" w:eastAsia="宋体" w:hAnsi="宋体" w:cs="宋体" w:hint="eastAsia"/>
          <w:sz w:val="28"/>
          <w:szCs w:val="28"/>
        </w:rPr>
        <w:t xml:space="preserve">万元，</w:t>
      </w:r>
      <w:r>
        <w:rPr>
          <w:rFonts w:ascii="宋体" w:eastAsia="宋体" w:hAnsi="宋体" w:cs="宋体" w:hint="eastAsia"/>
          <w:sz w:val="28"/>
          <w:szCs w:val="28"/>
          <w:lang w:val="en-US" w:eastAsia="zh-CN" w:bidi="en-US"/>
        </w:rPr>
        <w:t xml:space="preserve">减少84.41</w:t>
      </w:r>
      <w:r>
        <w:rPr>
          <w:rFonts w:ascii="宋体" w:eastAsia="宋体" w:hAnsi="宋体" w:cs="宋体" w:hint="eastAsia"/>
          <w:sz w:val="28"/>
          <w:szCs w:val="28"/>
        </w:rPr>
        <w:t xml:space="preserve">万元，</w:t>
      </w:r>
      <w:r>
        <w:rPr>
          <w:rFonts w:ascii="宋体" w:eastAsia="宋体" w:hAnsi="宋体" w:cs="宋体" w:hint="eastAsia"/>
          <w:sz w:val="28"/>
          <w:szCs w:val="28"/>
          <w:lang w:val="en-US" w:eastAsia="zh-CN" w:bidi="en-US"/>
        </w:rPr>
        <w:t xml:space="preserve">下降10.54%</w:t>
      </w:r>
      <w:r>
        <w:rPr>
          <w:rFonts w:ascii="宋体" w:eastAsia="宋体" w:hAnsi="宋体" w:cs="宋体" w:hint="eastAsia"/>
          <w:sz w:val="28"/>
          <w:szCs w:val="28"/>
        </w:rPr>
        <w:t xml:space="preserve">，主要原因是</w:t>
      </w:r>
      <w:r>
        <w:rPr>
          <w:rFonts w:hint="eastAsia"/>
          <w:highlight w:val="none"/>
          <w:lang w:val="en-US" w:eastAsia="zh-CN"/>
        </w:rPr>
        <w:t xml:space="preserve">2023年度内人员调出9人，调出县外1人，故而财政拨款总支出较去年减少</w:t>
      </w:r>
      <w:r>
        <w:rPr>
          <w:rFonts w:ascii="宋体" w:eastAsia="宋体" w:hAnsi="宋体" w:cs="宋体" w:hint="eastAsia"/>
          <w:sz w:val="28"/>
          <w:szCs w:val="28"/>
        </w:rPr>
        <w:t xml:space="preserve">。</w:t>
      </w:r>
    </w:p>
    <w:p>
      <w:pPr>
        <w:pStyle w:val="Bodytext|2"/>
        <w:spacing w:after="0" w:line="619" w:lineRule="exact"/>
        <w:ind w:firstLine="620"/>
        <w:jc w:val="left"/>
        <w:rPr>
          <w:rFonts w:hint="eastAsia"/>
          <w:b/>
          <w:bCs/>
          <w:lang w:val="en-US" w:eastAsia="zh-CN"/>
        </w:rPr>
      </w:pPr>
      <w:r>
        <w:rPr>
          <w:rFonts w:hint="eastAsia"/>
          <w:b/>
          <w:bCs/>
          <w:lang w:val="en-US" w:eastAsia="zh-CN"/>
        </w:rPr>
        <w:t xml:space="preserve">五、一般公共预算支出情况说明</w:t>
      </w:r>
    </w:p>
    <w:p>
      <w:pPr>
        <w:pStyle w:val="Bodytext|1"/>
        <w:spacing w:line="240" w:lineRule="auto"/>
        <w:ind w:firstLine="0"/>
        <w:jc w:val="left"/>
        <w:rPr>
          <w:lang w:eastAsia="zh-CN"/>
        </w:rPr>
      </w:pPr>
      <w:r>
        <w:rPr>
          <w:lang w:eastAsia="zh-CN"/>
        </w:rPr>
        <w:drawing>
          <wp:inline distT="0" distB="0" distL="114300" distR="114300">
            <wp:extent cx="5080000" cy="3810000"/>
            <wp:effectExtent l="4445" t="4445" r="20955" b="14605"/>
            <wp:docPr id="955" name="图表 10" title="{{img_zc_yb_data}}"/>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r:id="rId9"/>
              </a:graphicData>
            </a:graphic>
          </wp:inline>
        </w:drawing>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560" w:leftChars="0" w:firstLineChars="200"/>
        <w:jc w:val="left"/>
        <w:textAlignment w:val="auto"/>
        <w:rPr>
          <w:rFonts w:ascii="宋体" w:eastAsia="宋体" w:hAnsi="宋体" w:cs="宋体" w:hint="eastAsia"/>
          <w:sz w:val="28"/>
          <w:szCs w:val="28"/>
        </w:rPr>
      </w:pPr>
      <w:r>
        <w:rPr>
          <w:rFonts w:ascii="宋体" w:eastAsia="宋体" w:hAnsi="宋体" w:cs="宋体" w:hint="eastAsia"/>
          <w:sz w:val="28"/>
          <w:szCs w:val="28"/>
          <w:lang w:eastAsia="zh-CN"/>
        </w:rPr>
        <w:t xml:space="preserve">2024</w:t>
      </w:r>
      <w:r>
        <w:rPr>
          <w:rFonts w:ascii="宋体" w:eastAsia="宋体" w:hAnsi="宋体" w:cs="宋体" w:hint="eastAsia"/>
          <w:sz w:val="28"/>
          <w:szCs w:val="28"/>
          <w:lang w:val="en-US" w:eastAsia="zh-CN"/>
        </w:rPr>
        <w:t xml:space="preserve">年</w:t>
      </w:r>
      <w:r>
        <w:rPr>
          <w:rFonts w:ascii="宋体" w:eastAsia="宋体" w:hAnsi="宋体" w:cs="宋体" w:hint="eastAsia"/>
          <w:sz w:val="28"/>
          <w:szCs w:val="28"/>
        </w:rPr>
        <w:t xml:space="preserve">一般公共预算支出共</w:t>
      </w:r>
      <w:r>
        <w:rPr>
          <w:rFonts w:ascii="宋体" w:eastAsia="宋体" w:hAnsi="宋体" w:cs="宋体" w:hint="eastAsia"/>
          <w:sz w:val="28"/>
          <w:szCs w:val="28"/>
          <w:lang w:val="en-US" w:eastAsia="zh-CN"/>
        </w:rPr>
        <w:t xml:space="preserve">716.30</w:t>
      </w:r>
      <w:r>
        <w:rPr>
          <w:rFonts w:ascii="宋体" w:eastAsia="宋体" w:hAnsi="宋体" w:cs="宋体" w:hint="eastAsia"/>
          <w:sz w:val="28"/>
          <w:szCs w:val="28"/>
        </w:rPr>
        <w:t xml:space="preserve">万元，较2023年度预算数</w:t>
      </w:r>
      <w:r>
        <w:rPr>
          <w:rFonts w:ascii="宋体" w:eastAsia="宋体" w:hAnsi="宋体" w:cs="宋体" w:hint="eastAsia"/>
          <w:sz w:val="28"/>
          <w:szCs w:val="28"/>
          <w:lang w:val="en-US" w:eastAsia="zh-CN"/>
        </w:rPr>
        <w:t xml:space="preserve">800.71</w:t>
      </w:r>
      <w:r>
        <w:rPr>
          <w:rFonts w:ascii="宋体" w:eastAsia="宋体" w:hAnsi="宋体" w:cs="宋体" w:hint="eastAsia"/>
          <w:sz w:val="28"/>
          <w:szCs w:val="28"/>
        </w:rPr>
        <w:t xml:space="preserve">万元，</w:t>
      </w:r>
      <w:r>
        <w:rPr>
          <w:rFonts w:ascii="宋体" w:eastAsia="宋体" w:hAnsi="宋体" w:cs="宋体" w:hint="eastAsia"/>
          <w:sz w:val="28"/>
          <w:szCs w:val="28"/>
          <w:lang w:val="en-US" w:eastAsia="zh-CN"/>
        </w:rPr>
        <w:t xml:space="preserve">减少84.41</w:t>
      </w:r>
      <w:r>
        <w:rPr>
          <w:rFonts w:ascii="宋体" w:eastAsia="宋体" w:hAnsi="宋体" w:cs="宋体" w:hint="eastAsia"/>
          <w:sz w:val="28"/>
          <w:szCs w:val="28"/>
        </w:rPr>
        <w:t xml:space="preserve">万元，</w:t>
      </w:r>
      <w:r>
        <w:rPr>
          <w:rFonts w:ascii="宋体" w:eastAsia="宋体" w:hAnsi="宋体" w:cs="宋体" w:hint="eastAsia"/>
          <w:sz w:val="28"/>
          <w:szCs w:val="28"/>
          <w:lang w:val="en-US" w:eastAsia="zh-CN"/>
        </w:rPr>
        <w:t xml:space="preserve">下降10.54%</w:t>
      </w:r>
      <w:r>
        <w:rPr>
          <w:rFonts w:ascii="宋体" w:eastAsia="宋体" w:hAnsi="宋体" w:cs="宋体" w:hint="eastAsia"/>
          <w:sz w:val="28"/>
          <w:szCs w:val="28"/>
        </w:rPr>
        <w:t xml:space="preserve">，主要原因是</w:t>
      </w:r>
      <w:r>
        <w:rPr>
          <w:rFonts w:hint="eastAsia"/>
          <w:highlight w:val="none"/>
          <w:lang w:val="en-US" w:eastAsia="zh-CN"/>
        </w:rPr>
        <w:t xml:space="preserve">2023年度内人员调出9人，调出县外1人，故而一般公共预算支出较去年减少</w:t>
      </w:r>
      <w:r>
        <w:rPr>
          <w:rFonts w:ascii="宋体" w:eastAsia="宋体" w:hAnsi="宋体" w:cs="宋体" w:hint="eastAsia"/>
          <w:sz w:val="28"/>
          <w:szCs w:val="28"/>
        </w:rPr>
        <w:t xml:space="preserve">。中央提前下达2024年一般公共预算转移支付资金安排的支出</w:t>
      </w:r>
      <w:r>
        <w:rPr>
          <w:rFonts w:ascii="宋体" w:eastAsia="宋体" w:hAnsi="宋体" w:cs="宋体" w:hint="eastAsia"/>
          <w:sz w:val="28"/>
          <w:szCs w:val="28"/>
          <w:lang w:val="en-US" w:eastAsia="zh-CN"/>
        </w:rPr>
        <w:t xml:space="preserve">0.00</w:t>
      </w:r>
      <w:r>
        <w:rPr>
          <w:rFonts w:ascii="宋体" w:eastAsia="宋体" w:hAnsi="宋体" w:cs="宋体" w:hint="eastAsia"/>
          <w:sz w:val="28"/>
          <w:szCs w:val="28"/>
        </w:rPr>
        <w:t xml:space="preserve">万元。具体情况为：</w:t>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560" w:leftChars="0" w:firstLineChars="200"/>
        <w:jc w:val="left"/>
        <w:textAlignment w:val="auto"/>
        <w:rPr>
          <w:rFonts w:ascii="宋体" w:eastAsia="宋体" w:hAnsi="宋体" w:cs="宋体" w:hint="eastAsia"/>
          <w:sz w:val="28"/>
          <w:szCs w:val="28"/>
        </w:rPr>
      </w:pPr>
      <w:r>
        <w:rPr>
          <w:rFonts w:ascii="宋体" w:eastAsia="宋体" w:hAnsi="宋体" w:cs="宋体" w:hint="eastAsia"/>
          <w:sz w:val="28"/>
          <w:szCs w:val="28"/>
        </w:rPr>
        <w:t xml:space="preserve">一般公共服务支出</w:t>
      </w:r>
      <w:r>
        <w:rPr>
          <w:rFonts w:ascii="宋体" w:eastAsia="宋体" w:hAnsi="宋体" w:cs="宋体" w:hint="eastAsia"/>
          <w:sz w:val="28"/>
          <w:szCs w:val="28"/>
        </w:rPr>
        <w:t xml:space="preserve">（类）支出</w:t>
      </w:r>
      <w:r>
        <w:rPr>
          <w:rFonts w:ascii="宋体" w:eastAsia="宋体" w:hAnsi="宋体" w:cs="宋体"/>
          <w:sz w:val="28"/>
          <w:u w:color="auto"/>
        </w:rPr>
        <w:t xml:space="preserve">8.86</w:t>
      </w:r>
      <w:r>
        <w:rPr>
          <w:rFonts w:ascii="宋体" w:eastAsia="宋体" w:hAnsi="宋体" w:cs="宋体" w:hint="eastAsia"/>
          <w:sz w:val="28"/>
          <w:szCs w:val="28"/>
        </w:rPr>
        <w:t xml:space="preserve">万元，占支出总预算的</w:t>
      </w:r>
      <w:r>
        <w:rPr>
          <w:rFonts w:ascii="宋体" w:eastAsia="宋体" w:hAnsi="宋体" w:cs="宋体"/>
          <w:sz w:val="28"/>
          <w:u w:color="auto"/>
        </w:rPr>
        <w:t xml:space="preserve">1.24%</w:t>
      </w:r>
      <w:r>
        <w:rPr>
          <w:rFonts w:ascii="宋体" w:eastAsia="宋体" w:hAnsi="宋体" w:cs="宋体" w:hint="eastAsia"/>
          <w:sz w:val="28"/>
          <w:szCs w:val="28"/>
          <w:lang w:eastAsia="zh-CN"/>
        </w:rPr>
        <w:t xml:space="preserve">，</w:t>
      </w:r>
      <w:r>
        <w:rPr>
          <w:rFonts w:ascii="宋体" w:eastAsia="宋体" w:hAnsi="宋体" w:cs="宋体" w:hint="eastAsia"/>
          <w:sz w:val="28"/>
          <w:szCs w:val="28"/>
        </w:rPr>
        <w:t xml:space="preserve">较2023年度预算数</w:t>
      </w:r>
      <w:r>
        <w:rPr>
          <w:rFonts w:ascii="宋体" w:eastAsia="宋体" w:hAnsi="宋体" w:cs="宋体"/>
          <w:sz w:val="28"/>
          <w:u w:color="auto"/>
        </w:rPr>
        <w:t xml:space="preserve">11.45</w:t>
      </w:r>
      <w:r>
        <w:rPr>
          <w:rFonts w:ascii="宋体" w:eastAsia="宋体" w:hAnsi="宋体" w:cs="宋体" w:hint="eastAsia"/>
          <w:sz w:val="28"/>
          <w:szCs w:val="28"/>
        </w:rPr>
        <w:t xml:space="preserve">万元，</w:t>
      </w:r>
      <w:r>
        <w:rPr>
          <w:rFonts w:ascii="宋体" w:eastAsia="宋体" w:hAnsi="宋体" w:cs="宋体"/>
          <w:sz w:val="28"/>
          <w:u w:color="auto"/>
        </w:rPr>
        <w:t xml:space="preserve">减少2.59</w:t>
      </w:r>
      <w:r>
        <w:rPr>
          <w:rFonts w:ascii="宋体" w:eastAsia="宋体" w:hAnsi="宋体" w:cs="宋体" w:hint="eastAsia"/>
          <w:sz w:val="28"/>
          <w:szCs w:val="28"/>
        </w:rPr>
        <w:t xml:space="preserve">万元，</w:t>
      </w:r>
      <w:r>
        <w:rPr>
          <w:rFonts w:ascii="宋体" w:eastAsia="宋体" w:hAnsi="宋体" w:cs="宋体"/>
          <w:sz w:val="28"/>
          <w:u w:color="auto"/>
        </w:rPr>
        <w:t xml:space="preserve">减少22.62%</w:t>
      </w:r>
      <w:r>
        <w:rPr>
          <w:rFonts w:ascii="宋体" w:eastAsia="宋体" w:hAnsi="宋体" w:cs="宋体" w:hint="eastAsia"/>
          <w:sz w:val="28"/>
          <w:szCs w:val="28"/>
        </w:rPr>
        <w:t xml:space="preserve">，主要原因是：</w:t>
      </w:r>
      <w:r>
        <w:rPr>
          <w:rFonts w:hint="eastAsia"/>
          <w:highlight w:val="none"/>
        </w:rPr>
        <w:t xml:space="preserve">2023年度内人员调出9人，调出县外1人，故而一般公共服务支出（类）支出较去年减少</w:t>
      </w:r>
      <w:r>
        <w:rPr>
          <w:rFonts w:ascii="宋体" w:eastAsia="宋体" w:hAnsi="宋体" w:cs="宋体" w:hint="eastAsia"/>
          <w:sz w:val="28"/>
          <w:szCs w:val="28"/>
        </w:rPr>
        <w:t xml:space="preserve">。</w:t>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560" w:leftChars="0" w:firstLineChars="200"/>
        <w:jc w:val="left"/>
        <w:textAlignment w:val="auto"/>
        <w:rPr>
          <w:rFonts w:ascii="宋体" w:eastAsia="宋体" w:hAnsi="宋体" w:cs="宋体" w:hint="eastAsia"/>
          <w:sz w:val="28"/>
          <w:szCs w:val="28"/>
        </w:rPr>
      </w:pPr>
      <w:r>
        <w:rPr>
          <w:rFonts w:ascii="宋体" w:eastAsia="宋体" w:hAnsi="宋体" w:cs="宋体" w:hint="eastAsia"/>
          <w:sz w:val="28"/>
          <w:szCs w:val="28"/>
        </w:rPr>
        <w:t xml:space="preserve">住房保障支出</w:t>
      </w:r>
      <w:r>
        <w:rPr>
          <w:rFonts w:ascii="宋体" w:eastAsia="宋体" w:hAnsi="宋体" w:cs="宋体" w:hint="eastAsia"/>
          <w:sz w:val="28"/>
          <w:szCs w:val="28"/>
        </w:rPr>
        <w:t xml:space="preserve">（类）支出</w:t>
      </w:r>
      <w:r>
        <w:rPr>
          <w:rFonts w:ascii="宋体" w:eastAsia="宋体" w:hAnsi="宋体" w:cs="宋体"/>
          <w:sz w:val="28"/>
          <w:u w:color="auto"/>
        </w:rPr>
        <w:t xml:space="preserve">51.88</w:t>
      </w:r>
      <w:r>
        <w:rPr>
          <w:rFonts w:ascii="宋体" w:eastAsia="宋体" w:hAnsi="宋体" w:cs="宋体" w:hint="eastAsia"/>
          <w:sz w:val="28"/>
          <w:szCs w:val="28"/>
        </w:rPr>
        <w:t xml:space="preserve">万元，占支出总预算的</w:t>
      </w:r>
      <w:r>
        <w:rPr>
          <w:rFonts w:ascii="宋体" w:eastAsia="宋体" w:hAnsi="宋体" w:cs="宋体"/>
          <w:sz w:val="28"/>
          <w:u w:color="auto"/>
        </w:rPr>
        <w:t xml:space="preserve">7.24%</w:t>
      </w:r>
      <w:r>
        <w:rPr>
          <w:rFonts w:ascii="宋体" w:eastAsia="宋体" w:hAnsi="宋体" w:cs="宋体" w:hint="eastAsia"/>
          <w:sz w:val="28"/>
          <w:szCs w:val="28"/>
          <w:lang w:eastAsia="zh-CN"/>
        </w:rPr>
        <w:t xml:space="preserve">，</w:t>
      </w:r>
      <w:r>
        <w:rPr>
          <w:rFonts w:ascii="宋体" w:eastAsia="宋体" w:hAnsi="宋体" w:cs="宋体" w:hint="eastAsia"/>
          <w:sz w:val="28"/>
          <w:szCs w:val="28"/>
        </w:rPr>
        <w:t xml:space="preserve">较2023年度预算数</w:t>
      </w:r>
      <w:r>
        <w:rPr>
          <w:rFonts w:ascii="宋体" w:eastAsia="宋体" w:hAnsi="宋体" w:cs="宋体"/>
          <w:sz w:val="28"/>
          <w:u w:color="auto"/>
        </w:rPr>
        <w:t xml:space="preserve">71.33</w:t>
      </w:r>
      <w:r>
        <w:rPr>
          <w:rFonts w:ascii="宋体" w:eastAsia="宋体" w:hAnsi="宋体" w:cs="宋体" w:hint="eastAsia"/>
          <w:sz w:val="28"/>
          <w:szCs w:val="28"/>
        </w:rPr>
        <w:t xml:space="preserve">万元，</w:t>
      </w:r>
      <w:r>
        <w:rPr>
          <w:rFonts w:ascii="宋体" w:eastAsia="宋体" w:hAnsi="宋体" w:cs="宋体"/>
          <w:sz w:val="28"/>
          <w:u w:color="auto"/>
        </w:rPr>
        <w:t xml:space="preserve">减少19.45</w:t>
      </w:r>
      <w:r>
        <w:rPr>
          <w:rFonts w:ascii="宋体" w:eastAsia="宋体" w:hAnsi="宋体" w:cs="宋体" w:hint="eastAsia"/>
          <w:sz w:val="28"/>
          <w:szCs w:val="28"/>
        </w:rPr>
        <w:t xml:space="preserve">万元，</w:t>
      </w:r>
      <w:r>
        <w:rPr>
          <w:rFonts w:ascii="宋体" w:eastAsia="宋体" w:hAnsi="宋体" w:cs="宋体"/>
          <w:sz w:val="28"/>
          <w:u w:color="auto"/>
        </w:rPr>
        <w:t xml:space="preserve">减少27.27%</w:t>
      </w:r>
      <w:r>
        <w:rPr>
          <w:rFonts w:ascii="宋体" w:eastAsia="宋体" w:hAnsi="宋体" w:cs="宋体" w:hint="eastAsia"/>
          <w:sz w:val="28"/>
          <w:szCs w:val="28"/>
        </w:rPr>
        <w:t xml:space="preserve">，主要原因是：</w:t>
      </w:r>
      <w:r>
        <w:rPr>
          <w:rFonts w:hint="eastAsia"/>
          <w:highlight w:val="none"/>
        </w:rPr>
        <w:t xml:space="preserve">2023年度内人员调出9人，调出县外1人，故而住房保障支出（类）支出减少</w:t>
      </w:r>
      <w:r>
        <w:rPr>
          <w:rFonts w:ascii="宋体" w:eastAsia="宋体" w:hAnsi="宋体" w:cs="宋体" w:hint="eastAsia"/>
          <w:sz w:val="28"/>
          <w:szCs w:val="28"/>
        </w:rPr>
        <w:t xml:space="preserve">。</w:t>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560" w:leftChars="0" w:firstLineChars="200"/>
        <w:jc w:val="left"/>
        <w:textAlignment w:val="auto"/>
        <w:rPr>
          <w:rFonts w:ascii="宋体" w:eastAsia="宋体" w:hAnsi="宋体" w:cs="宋体" w:hint="eastAsia"/>
          <w:sz w:val="28"/>
          <w:szCs w:val="28"/>
        </w:rPr>
      </w:pPr>
      <w:r>
        <w:rPr>
          <w:rFonts w:ascii="宋体" w:eastAsia="宋体" w:hAnsi="宋体" w:cs="宋体" w:hint="eastAsia"/>
          <w:sz w:val="28"/>
          <w:szCs w:val="28"/>
        </w:rPr>
        <w:t xml:space="preserve">教育支出</w:t>
      </w:r>
      <w:r>
        <w:rPr>
          <w:rFonts w:ascii="宋体" w:eastAsia="宋体" w:hAnsi="宋体" w:cs="宋体" w:hint="eastAsia"/>
          <w:sz w:val="28"/>
          <w:szCs w:val="28"/>
        </w:rPr>
        <w:t xml:space="preserve">（类）支出</w:t>
      </w:r>
      <w:r>
        <w:rPr>
          <w:rFonts w:ascii="宋体" w:eastAsia="宋体" w:hAnsi="宋体" w:cs="宋体"/>
          <w:sz w:val="28"/>
          <w:u w:color="auto"/>
        </w:rPr>
        <w:t xml:space="preserve">593.82</w:t>
      </w:r>
      <w:r>
        <w:rPr>
          <w:rFonts w:ascii="宋体" w:eastAsia="宋体" w:hAnsi="宋体" w:cs="宋体" w:hint="eastAsia"/>
          <w:sz w:val="28"/>
          <w:szCs w:val="28"/>
        </w:rPr>
        <w:t xml:space="preserve">万元，占支出总预算的</w:t>
      </w:r>
      <w:r>
        <w:rPr>
          <w:rFonts w:ascii="宋体" w:eastAsia="宋体" w:hAnsi="宋体" w:cs="宋体"/>
          <w:sz w:val="28"/>
          <w:u w:color="auto"/>
        </w:rPr>
        <w:t xml:space="preserve">82.90%</w:t>
      </w:r>
      <w:r>
        <w:rPr>
          <w:rFonts w:ascii="宋体" w:eastAsia="宋体" w:hAnsi="宋体" w:cs="宋体" w:hint="eastAsia"/>
          <w:sz w:val="28"/>
          <w:szCs w:val="28"/>
          <w:lang w:eastAsia="zh-CN"/>
        </w:rPr>
        <w:t xml:space="preserve">，</w:t>
      </w:r>
      <w:r>
        <w:rPr>
          <w:rFonts w:ascii="宋体" w:eastAsia="宋体" w:hAnsi="宋体" w:cs="宋体" w:hint="eastAsia"/>
          <w:sz w:val="28"/>
          <w:szCs w:val="28"/>
        </w:rPr>
        <w:t xml:space="preserve">较2023年度预算数</w:t>
      </w:r>
      <w:r>
        <w:rPr>
          <w:rFonts w:ascii="宋体" w:eastAsia="宋体" w:hAnsi="宋体" w:cs="宋体"/>
          <w:sz w:val="28"/>
          <w:u w:color="auto"/>
        </w:rPr>
        <w:t xml:space="preserve">622.82</w:t>
      </w:r>
      <w:r>
        <w:rPr>
          <w:rFonts w:ascii="宋体" w:eastAsia="宋体" w:hAnsi="宋体" w:cs="宋体" w:hint="eastAsia"/>
          <w:sz w:val="28"/>
          <w:szCs w:val="28"/>
        </w:rPr>
        <w:t xml:space="preserve">万元，</w:t>
      </w:r>
      <w:r>
        <w:rPr>
          <w:rFonts w:ascii="宋体" w:eastAsia="宋体" w:hAnsi="宋体" w:cs="宋体"/>
          <w:sz w:val="28"/>
          <w:u w:color="auto"/>
        </w:rPr>
        <w:t xml:space="preserve">减少29.00</w:t>
      </w:r>
      <w:r>
        <w:rPr>
          <w:rFonts w:ascii="宋体" w:eastAsia="宋体" w:hAnsi="宋体" w:cs="宋体" w:hint="eastAsia"/>
          <w:sz w:val="28"/>
          <w:szCs w:val="28"/>
        </w:rPr>
        <w:t xml:space="preserve">万元，</w:t>
      </w:r>
      <w:r>
        <w:rPr>
          <w:rFonts w:ascii="宋体" w:eastAsia="宋体" w:hAnsi="宋体" w:cs="宋体"/>
          <w:sz w:val="28"/>
          <w:u w:color="auto"/>
        </w:rPr>
        <w:t xml:space="preserve">减少4.66%</w:t>
      </w:r>
      <w:r>
        <w:rPr>
          <w:rFonts w:ascii="宋体" w:eastAsia="宋体" w:hAnsi="宋体" w:cs="宋体" w:hint="eastAsia"/>
          <w:sz w:val="28"/>
          <w:szCs w:val="28"/>
        </w:rPr>
        <w:t xml:space="preserve">，主要原因是：</w:t>
      </w:r>
      <w:r>
        <w:rPr>
          <w:rFonts w:hint="eastAsia"/>
          <w:highlight w:val="none"/>
        </w:rPr>
        <w:t xml:space="preserve">2023年度内人员调出9人，调出县外1人，故而支出减少</w:t>
      </w:r>
      <w:r>
        <w:rPr>
          <w:rFonts w:ascii="宋体" w:eastAsia="宋体" w:hAnsi="宋体" w:cs="宋体" w:hint="eastAsia"/>
          <w:sz w:val="28"/>
          <w:szCs w:val="28"/>
        </w:rPr>
        <w:t xml:space="preserve">。</w:t>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560" w:leftChars="0" w:firstLineChars="200"/>
        <w:jc w:val="left"/>
        <w:textAlignment w:val="auto"/>
        <w:rPr>
          <w:rFonts w:ascii="宋体" w:eastAsia="宋体" w:hAnsi="宋体" w:cs="宋体" w:hint="eastAsia"/>
          <w:sz w:val="28"/>
          <w:szCs w:val="28"/>
        </w:rPr>
      </w:pPr>
      <w:r>
        <w:rPr>
          <w:rFonts w:ascii="宋体" w:eastAsia="宋体" w:hAnsi="宋体" w:cs="宋体" w:hint="eastAsia"/>
          <w:sz w:val="28"/>
          <w:szCs w:val="28"/>
        </w:rPr>
        <w:t xml:space="preserve">社会保障和就业支出</w:t>
      </w:r>
      <w:r>
        <w:rPr>
          <w:rFonts w:ascii="宋体" w:eastAsia="宋体" w:hAnsi="宋体" w:cs="宋体" w:hint="eastAsia"/>
          <w:sz w:val="28"/>
          <w:szCs w:val="28"/>
        </w:rPr>
        <w:t xml:space="preserve">（类）支出</w:t>
      </w:r>
      <w:r>
        <w:rPr>
          <w:rFonts w:ascii="宋体" w:eastAsia="宋体" w:hAnsi="宋体" w:cs="宋体"/>
          <w:sz w:val="28"/>
          <w:u w:color="auto"/>
        </w:rPr>
        <w:t xml:space="preserve">61.75</w:t>
      </w:r>
      <w:r>
        <w:rPr>
          <w:rFonts w:ascii="宋体" w:eastAsia="宋体" w:hAnsi="宋体" w:cs="宋体" w:hint="eastAsia"/>
          <w:sz w:val="28"/>
          <w:szCs w:val="28"/>
        </w:rPr>
        <w:t xml:space="preserve">万元，占支出总预算的</w:t>
      </w:r>
      <w:r>
        <w:rPr>
          <w:rFonts w:ascii="宋体" w:eastAsia="宋体" w:hAnsi="宋体" w:cs="宋体"/>
          <w:sz w:val="28"/>
          <w:u w:color="auto"/>
        </w:rPr>
        <w:t xml:space="preserve">8.62%</w:t>
      </w:r>
      <w:r>
        <w:rPr>
          <w:rFonts w:ascii="宋体" w:eastAsia="宋体" w:hAnsi="宋体" w:cs="宋体" w:hint="eastAsia"/>
          <w:sz w:val="28"/>
          <w:szCs w:val="28"/>
          <w:lang w:eastAsia="zh-CN"/>
        </w:rPr>
        <w:t xml:space="preserve">，</w:t>
      </w:r>
      <w:r>
        <w:rPr>
          <w:rFonts w:ascii="宋体" w:eastAsia="宋体" w:hAnsi="宋体" w:cs="宋体" w:hint="eastAsia"/>
          <w:sz w:val="28"/>
          <w:szCs w:val="28"/>
        </w:rPr>
        <w:t xml:space="preserve">较2023年度预算数</w:t>
      </w:r>
      <w:r>
        <w:rPr>
          <w:rFonts w:ascii="宋体" w:eastAsia="宋体" w:hAnsi="宋体" w:cs="宋体"/>
          <w:sz w:val="28"/>
          <w:u w:color="auto"/>
        </w:rPr>
        <w:t xml:space="preserve">95.11</w:t>
      </w:r>
      <w:r>
        <w:rPr>
          <w:rFonts w:ascii="宋体" w:eastAsia="宋体" w:hAnsi="宋体" w:cs="宋体" w:hint="eastAsia"/>
          <w:sz w:val="28"/>
          <w:szCs w:val="28"/>
        </w:rPr>
        <w:t xml:space="preserve">万元，</w:t>
      </w:r>
      <w:r>
        <w:rPr>
          <w:rFonts w:ascii="宋体" w:eastAsia="宋体" w:hAnsi="宋体" w:cs="宋体"/>
          <w:sz w:val="28"/>
          <w:u w:color="auto"/>
        </w:rPr>
        <w:t xml:space="preserve">减少33.36</w:t>
      </w:r>
      <w:r>
        <w:rPr>
          <w:rFonts w:ascii="宋体" w:eastAsia="宋体" w:hAnsi="宋体" w:cs="宋体" w:hint="eastAsia"/>
          <w:sz w:val="28"/>
          <w:szCs w:val="28"/>
        </w:rPr>
        <w:t xml:space="preserve">万元，</w:t>
      </w:r>
      <w:r>
        <w:rPr>
          <w:rFonts w:ascii="宋体" w:eastAsia="宋体" w:hAnsi="宋体" w:cs="宋体"/>
          <w:sz w:val="28"/>
          <w:u w:color="auto"/>
        </w:rPr>
        <w:t xml:space="preserve">减少35.08%</w:t>
      </w:r>
      <w:r>
        <w:rPr>
          <w:rFonts w:ascii="宋体" w:eastAsia="宋体" w:hAnsi="宋体" w:cs="宋体" w:hint="eastAsia"/>
          <w:sz w:val="28"/>
          <w:szCs w:val="28"/>
        </w:rPr>
        <w:t xml:space="preserve">，主要原因是：</w:t>
      </w:r>
      <w:r>
        <w:rPr>
          <w:rFonts w:hint="eastAsia"/>
          <w:highlight w:val="none"/>
        </w:rPr>
        <w:t xml:space="preserve">2023年度内人员调出9人，调出县外1人，故而支出减少</w:t>
      </w:r>
      <w:r>
        <w:rPr>
          <w:rFonts w:ascii="宋体" w:eastAsia="宋体" w:hAnsi="宋体" w:cs="宋体" w:hint="eastAsia"/>
          <w:sz w:val="28"/>
          <w:szCs w:val="28"/>
        </w:rPr>
        <w:t xml:space="preserve">。</w:t>
      </w:r>
    </w:p>
    <w:p>
      <w:pPr>
        <w:pStyle w:val="Bodytext|2"/>
        <w:keepNext w:val="0"/>
        <w:keepLines w:val="0"/>
        <w:pageBreakBefore w:val="0"/>
        <w:widowControl w:val="0"/>
        <w:kinsoku/>
        <w:wordWrap/>
        <w:overflowPunct/>
        <w:topLinePunct w:val="0"/>
        <w:autoSpaceDE/>
        <w:autoSpaceDN/>
        <w:bidi w:val="0"/>
        <w:adjustRightInd/>
        <w:snapToGrid/>
        <w:spacing w:before="120" w:after="0" w:line="600" w:lineRule="exact"/>
        <w:ind w:firstLine="618"/>
        <w:jc w:val="left"/>
        <w:textAlignment w:val="auto"/>
        <w:rPr>
          <w:rFonts w:hint="eastAsia"/>
          <w:b/>
          <w:bCs/>
          <w:lang w:val="en-US" w:eastAsia="zh-CN"/>
        </w:rPr>
      </w:pPr>
      <w:r>
        <w:rPr>
          <w:rFonts w:hint="eastAsia"/>
          <w:b/>
          <w:bCs/>
          <w:lang w:val="en-US" w:eastAsia="zh-CN"/>
        </w:rPr>
        <w:t xml:space="preserve">六、一般公共预算基本支出情况说明</w:t>
      </w:r>
    </w:p>
    <w:p>
      <w:pPr>
        <w:pStyle w:val="Bodytext|2"/>
        <w:spacing w:after="0"/>
        <w:ind w:firstLine="0"/>
        <w:jc w:val="left"/>
        <w:rPr>
          <w:highlight w:val="yellow"/>
          <w:lang w:val="en-US" w:eastAsia="zh-CN"/>
        </w:rPr>
      </w:pPr>
      <w:r>
        <w:rPr>
          <w:highlight w:val="none"/>
          <w:lang w:val="en-US" w:eastAsia="zh-CN"/>
        </w:rPr>
        <w:drawing>
          <wp:inline distT="0" distB="0" distL="114300" distR="114300">
            <wp:extent cx="5080000" cy="3810000"/>
            <wp:effectExtent l="4445" t="4445" r="20955" b="14605"/>
            <wp:docPr id="956" name="图表 3" title="{{rep6_yb_data}}"/>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r:id="rId10"/>
              </a:graphicData>
            </a:graphic>
          </wp:inline>
        </w:drawing>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560" w:leftChars="0" w:firstLineChars="200"/>
        <w:jc w:val="left"/>
        <w:textAlignment w:val="auto"/>
        <w:rPr>
          <w:rFonts w:hint="eastAsia"/>
          <w:lang w:val="en-US" w:eastAsia="zh-CN"/>
        </w:rPr>
      </w:pPr>
      <w:r>
        <w:rPr>
          <w:rFonts w:hint="eastAsia"/>
          <w:lang w:val="en-US" w:eastAsia="zh-CN"/>
        </w:rPr>
        <w:t xml:space="preserve">2024</w:t>
      </w:r>
      <w:r>
        <w:rPr>
          <w:u w:color="auto"/>
        </w:rPr>
        <w:t xml:space="preserve">年</w:t>
      </w:r>
      <w:r>
        <w:rPr>
          <w:rFonts w:hint="eastAsia"/>
        </w:rPr>
        <w:t xml:space="preserve">一般公共预算基本支出共</w:t>
      </w:r>
      <w:r>
        <w:rPr>
          <w:rFonts w:hint="eastAsia"/>
          <w:lang w:val="en-US" w:eastAsia="zh-CN"/>
        </w:rPr>
        <w:t xml:space="preserve">679.44</w:t>
      </w:r>
      <w:r>
        <w:rPr>
          <w:rFonts w:hint="eastAsia"/>
        </w:rPr>
        <w:t xml:space="preserve">万元，较2023年度预算数</w:t>
      </w:r>
      <w:r>
        <w:rPr>
          <w:rFonts w:hint="eastAsia"/>
          <w:lang w:val="en-US" w:eastAsia="zh-CN"/>
        </w:rPr>
        <w:t xml:space="preserve">766.92</w:t>
      </w:r>
      <w:r>
        <w:rPr>
          <w:rFonts w:hint="eastAsia"/>
        </w:rPr>
        <w:t xml:space="preserve">万元</w:t>
      </w:r>
      <w:r>
        <w:rPr>
          <w:rFonts w:hint="eastAsia"/>
          <w:lang w:val="en-US" w:eastAsia="zh-CN"/>
        </w:rPr>
        <w:t xml:space="preserve">,</w:t>
      </w:r>
      <w:r>
        <w:rPr>
          <w:u w:color="auto"/>
        </w:rPr>
        <w:t xml:space="preserve">减少87.48</w:t>
      </w:r>
      <w:r>
        <w:rPr>
          <w:rFonts w:hint="eastAsia"/>
        </w:rPr>
        <w:t xml:space="preserve">万元，</w:t>
      </w:r>
      <w:r>
        <w:rPr>
          <w:rFonts w:hint="eastAsia"/>
          <w:lang w:val="en-US" w:eastAsia="zh-CN"/>
        </w:rPr>
        <w:t xml:space="preserve">下降11.41%</w:t>
      </w:r>
      <w:r>
        <w:rPr>
          <w:rFonts w:hint="eastAsia"/>
        </w:rPr>
        <w:t xml:space="preserve">，主要原因是</w:t>
      </w:r>
      <w:r>
        <w:rPr>
          <w:rFonts w:hint="eastAsia"/>
          <w:highlight w:val="none"/>
          <w:lang w:val="en-US" w:eastAsia="zh-CN"/>
        </w:rPr>
        <w:t xml:space="preserve">2023年度内人员调出9人，调出县外1人，故而支出减少</w:t>
      </w:r>
      <w:r>
        <w:rPr>
          <w:rFonts w:hint="eastAsia"/>
        </w:rPr>
        <w:t xml:space="preserve">。具体情况为：</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0"/>
        <w:jc w:val="left"/>
        <w:textAlignment w:val="auto"/>
        <w:rPr>
          <w:rFonts w:hint="default"/>
          <w:lang w:val="en-US" w:eastAsia="zh-CN"/>
        </w:rPr>
      </w:pPr>
      <w:r>
        <w:rPr>
          <w:rFonts w:hint="eastAsia"/>
          <w:lang w:val="en-US" w:eastAsia="zh-CN"/>
        </w:rPr>
        <w:t xml:space="preserve">工资福利支出</w:t>
      </w:r>
      <w:r>
        <w:rPr>
          <w:rFonts w:hint="eastAsia"/>
        </w:rPr>
        <w:t xml:space="preserve">支出预算</w:t>
      </w:r>
      <w:r>
        <w:rPr>
          <w:rFonts w:hint="eastAsia"/>
          <w:lang w:val="en-US" w:eastAsia="zh-CN"/>
        </w:rPr>
        <w:t xml:space="preserve">641.92</w:t>
      </w:r>
      <w:r>
        <w:t xml:space="preserve">万元</w:t>
      </w:r>
      <w:r>
        <w:rPr>
          <w:rFonts w:hint="eastAsia"/>
          <w:lang w:eastAsia="zh-CN"/>
        </w:rPr>
        <w:t xml:space="preserve">，</w:t>
      </w:r>
      <w:r>
        <w:rPr>
          <w:rFonts w:hint="eastAsia"/>
        </w:rPr>
        <w:t xml:space="preserve">占基本支出预算的</w:t>
      </w:r>
      <w:r>
        <w:rPr>
          <w:rFonts w:hint="eastAsia"/>
          <w:lang w:val="en-US" w:eastAsia="zh-CN"/>
        </w:rPr>
        <w:t xml:space="preserve">94.48%</w:t>
      </w:r>
      <w:r>
        <w:rPr>
          <w:rFonts w:hint="eastAsia"/>
        </w:rPr>
        <w:t xml:space="preserve">，较2023年度预算数</w:t>
      </w:r>
      <w:r>
        <w:rPr>
          <w:rFonts w:hint="eastAsia"/>
          <w:lang w:val="en-US" w:eastAsia="zh-CN"/>
        </w:rPr>
        <w:t xml:space="preserve">731.94</w:t>
      </w:r>
      <w:r>
        <w:rPr>
          <w:rFonts w:hint="eastAsia"/>
        </w:rPr>
        <w:t xml:space="preserve">万元，</w:t>
      </w:r>
      <w:r>
        <w:rPr>
          <w:rFonts w:hint="eastAsia"/>
          <w:lang w:val="en-US" w:eastAsia="zh-CN"/>
        </w:rPr>
        <w:t xml:space="preserve">减少90.02</w:t>
      </w:r>
      <w:r>
        <w:rPr>
          <w:rFonts w:hint="eastAsia"/>
        </w:rPr>
        <w:t xml:space="preserve">万元，</w:t>
      </w:r>
      <w:r>
        <w:rPr>
          <w:rFonts w:hint="eastAsia"/>
          <w:lang w:val="en-US" w:eastAsia="zh-CN"/>
        </w:rPr>
        <w:t xml:space="preserve">减少12.30%</w:t>
      </w:r>
      <w:r>
        <w:rPr>
          <w:rFonts w:hint="eastAsia"/>
        </w:rPr>
        <w:t xml:space="preserve">，主要原因是：</w:t>
      </w:r>
      <w:r>
        <w:rPr>
          <w:rFonts w:hint="eastAsia"/>
          <w:highlight w:val="none"/>
        </w:rPr>
        <w:t xml:space="preserve">2023年度内人员调出9人，调出县外1人，故而支出减少</w:t>
      </w:r>
      <w:r>
        <w:rPr>
          <w:rFonts w:hint="eastAsia"/>
          <w:highlight w:val="none"/>
          <w:lang w:val="en-US" w:eastAsia="zh-CN"/>
        </w:rPr>
        <w:t xml:space="preserve">。</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0"/>
        <w:jc w:val="left"/>
        <w:textAlignment w:val="auto"/>
        <w:rPr>
          <w:rFonts w:hint="default"/>
          <w:lang w:val="en-US" w:eastAsia="zh-CN"/>
        </w:rPr>
      </w:pPr>
      <w:r>
        <w:rPr>
          <w:rFonts w:hint="eastAsia"/>
          <w:lang w:val="en-US" w:eastAsia="zh-CN"/>
        </w:rPr>
        <w:t xml:space="preserve">对个人和家庭的补助</w:t>
      </w:r>
      <w:r>
        <w:rPr>
          <w:rFonts w:hint="eastAsia"/>
        </w:rPr>
        <w:t xml:space="preserve">支出预算</w:t>
      </w:r>
      <w:r>
        <w:rPr>
          <w:rFonts w:hint="eastAsia"/>
          <w:lang w:val="en-US" w:eastAsia="zh-CN"/>
        </w:rPr>
        <w:t xml:space="preserve">28.66</w:t>
      </w:r>
      <w:r>
        <w:t xml:space="preserve">万元</w:t>
      </w:r>
      <w:r>
        <w:rPr>
          <w:rFonts w:hint="eastAsia"/>
          <w:lang w:eastAsia="zh-CN"/>
        </w:rPr>
        <w:t xml:space="preserve">，</w:t>
      </w:r>
      <w:r>
        <w:rPr>
          <w:rFonts w:hint="eastAsia"/>
        </w:rPr>
        <w:t xml:space="preserve">占基本支出预算的</w:t>
      </w:r>
      <w:r>
        <w:rPr>
          <w:rFonts w:hint="eastAsia"/>
          <w:lang w:val="en-US" w:eastAsia="zh-CN"/>
        </w:rPr>
        <w:t xml:space="preserve">4.22%</w:t>
      </w:r>
      <w:r>
        <w:rPr>
          <w:rFonts w:hint="eastAsia"/>
        </w:rPr>
        <w:t xml:space="preserve">，较2023年度预算数</w:t>
      </w:r>
      <w:r>
        <w:rPr>
          <w:rFonts w:hint="eastAsia"/>
          <w:lang w:val="en-US" w:eastAsia="zh-CN"/>
        </w:rPr>
        <w:t xml:space="preserve">23.54</w:t>
      </w:r>
      <w:r>
        <w:rPr>
          <w:rFonts w:hint="eastAsia"/>
        </w:rPr>
        <w:t xml:space="preserve">万元，</w:t>
      </w:r>
      <w:r>
        <w:rPr>
          <w:rFonts w:hint="eastAsia"/>
          <w:lang w:val="en-US" w:eastAsia="zh-CN"/>
        </w:rPr>
        <w:t xml:space="preserve">增长5.12</w:t>
      </w:r>
      <w:r>
        <w:rPr>
          <w:rFonts w:hint="eastAsia"/>
        </w:rPr>
        <w:t xml:space="preserve">万元，</w:t>
      </w:r>
      <w:r>
        <w:rPr>
          <w:rFonts w:hint="eastAsia"/>
          <w:lang w:val="en-US" w:eastAsia="zh-CN"/>
        </w:rPr>
        <w:t xml:space="preserve">增长21.75%</w:t>
      </w:r>
      <w:r>
        <w:rPr>
          <w:rFonts w:hint="eastAsia"/>
        </w:rPr>
        <w:t xml:space="preserve">，主要原因是：</w:t>
      </w:r>
      <w:r>
        <w:rPr>
          <w:rFonts w:hint="eastAsia"/>
          <w:highlight w:val="none"/>
        </w:rPr>
        <w:t xml:space="preserve">退休教师生活补贴较2023年提高，故而对个人和家庭的补助支出增加</w:t>
      </w:r>
      <w:r>
        <w:rPr>
          <w:rFonts w:hint="eastAsia"/>
          <w:highlight w:val="none"/>
          <w:lang w:val="en-US" w:eastAsia="zh-CN"/>
        </w:rPr>
        <w:t xml:space="preserve">。</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0"/>
        <w:jc w:val="left"/>
        <w:textAlignment w:val="auto"/>
        <w:rPr>
          <w:rFonts w:hint="default"/>
          <w:lang w:val="en-US" w:eastAsia="zh-CN"/>
        </w:rPr>
      </w:pPr>
      <w:r>
        <w:rPr>
          <w:rFonts w:hint="eastAsia"/>
          <w:lang w:val="en-US" w:eastAsia="zh-CN"/>
        </w:rPr>
        <w:t xml:space="preserve">商品和服务支出</w:t>
      </w:r>
      <w:r>
        <w:rPr>
          <w:rFonts w:hint="eastAsia"/>
        </w:rPr>
        <w:t xml:space="preserve">支出预算</w:t>
      </w:r>
      <w:r>
        <w:rPr>
          <w:rFonts w:hint="eastAsia"/>
          <w:lang w:val="en-US" w:eastAsia="zh-CN"/>
        </w:rPr>
        <w:t xml:space="preserve">8.86</w:t>
      </w:r>
      <w:r>
        <w:t xml:space="preserve">万元</w:t>
      </w:r>
      <w:r>
        <w:rPr>
          <w:rFonts w:hint="eastAsia"/>
          <w:lang w:eastAsia="zh-CN"/>
        </w:rPr>
        <w:t xml:space="preserve">，</w:t>
      </w:r>
      <w:r>
        <w:rPr>
          <w:rFonts w:hint="eastAsia"/>
        </w:rPr>
        <w:t xml:space="preserve">占基本支出预算的</w:t>
      </w:r>
      <w:r>
        <w:rPr>
          <w:rFonts w:hint="eastAsia"/>
          <w:lang w:val="en-US" w:eastAsia="zh-CN"/>
        </w:rPr>
        <w:t xml:space="preserve">1.30%</w:t>
      </w:r>
      <w:r>
        <w:rPr>
          <w:rFonts w:hint="eastAsia"/>
        </w:rPr>
        <w:t xml:space="preserve">，较2023年度预算数</w:t>
      </w:r>
      <w:r>
        <w:rPr>
          <w:rFonts w:hint="eastAsia"/>
          <w:lang w:val="en-US" w:eastAsia="zh-CN"/>
        </w:rPr>
        <w:t xml:space="preserve">11.45</w:t>
      </w:r>
      <w:r>
        <w:rPr>
          <w:rFonts w:hint="eastAsia"/>
        </w:rPr>
        <w:t xml:space="preserve">万元，</w:t>
      </w:r>
      <w:r>
        <w:rPr>
          <w:rFonts w:hint="eastAsia"/>
          <w:lang w:val="en-US" w:eastAsia="zh-CN"/>
        </w:rPr>
        <w:t xml:space="preserve">减少2.59</w:t>
      </w:r>
      <w:r>
        <w:rPr>
          <w:rFonts w:hint="eastAsia"/>
        </w:rPr>
        <w:t xml:space="preserve">万元，</w:t>
      </w:r>
      <w:r>
        <w:rPr>
          <w:rFonts w:hint="eastAsia"/>
          <w:lang w:val="en-US" w:eastAsia="zh-CN"/>
        </w:rPr>
        <w:t xml:space="preserve">减少22.62%</w:t>
      </w:r>
      <w:r>
        <w:rPr>
          <w:rFonts w:hint="eastAsia"/>
        </w:rPr>
        <w:t xml:space="preserve">，主要原因是：</w:t>
      </w:r>
      <w:r>
        <w:rPr>
          <w:rFonts w:hint="eastAsia"/>
          <w:highlight w:val="none"/>
        </w:rPr>
        <w:t xml:space="preserve">2023年度内人员调出9人，调出县外1人，故而支出减少</w:t>
      </w:r>
      <w:r>
        <w:rPr>
          <w:rFonts w:hint="eastAsia"/>
          <w:highlight w:val="none"/>
          <w:lang w:val="en-US" w:eastAsia="zh-CN"/>
        </w:rPr>
        <w:t xml:space="preserve">。</w:t>
      </w:r>
    </w:p>
    <w:p>
      <w:pPr>
        <w:pStyle w:val="Bodytext|2"/>
        <w:spacing w:after="0" w:line="619" w:lineRule="exact"/>
        <w:ind w:firstLine="620"/>
        <w:jc w:val="left"/>
        <w:rPr>
          <w:rFonts w:hint="eastAsia"/>
          <w:b/>
          <w:bCs/>
        </w:rPr>
      </w:pPr>
      <w:r>
        <w:rPr>
          <w:rFonts w:hint="eastAsia"/>
          <w:b/>
          <w:bCs/>
          <w:lang w:val="en-US" w:eastAsia="zh-CN"/>
        </w:rPr>
        <w:t xml:space="preserve">七、一般公共预算</w:t>
      </w:r>
      <w:r>
        <w:rPr>
          <w:rFonts w:hint="eastAsia"/>
          <w:b/>
          <w:bCs/>
          <w:lang w:val="zh-CN" w:eastAsia="zh-CN"/>
        </w:rPr>
        <w:t xml:space="preserve">“三</w:t>
      </w:r>
      <w:r>
        <w:rPr>
          <w:rFonts w:hint="eastAsia"/>
          <w:b/>
          <w:bCs/>
          <w:lang w:val="en-US" w:eastAsia="zh-CN"/>
        </w:rPr>
        <w:t xml:space="preserve">公”经费支出情况说明</w:t>
      </w:r>
    </w:p>
    <w:p>
      <w:pPr>
        <w:pStyle w:val="Bodytext|2"/>
        <w:spacing w:after="0"/>
        <w:ind w:firstLine="0"/>
        <w:jc w:val="left"/>
        <w:rPr>
          <w:highlight w:val="yellow"/>
          <w:lang w:val="en-US" w:eastAsia="zh-CN"/>
        </w:rPr>
      </w:pPr>
      <w:r>
        <w:rPr>
          <w:rFonts w:hint="eastAsia"/>
          <w:highlight w:val="none"/>
          <w:lang w:val="en-US" w:eastAsia="zh-CN"/>
        </w:rPr>
        <w:drawing>
          <wp:inline distT="0" distB="0" distL="114300" distR="114300">
            <wp:extent cx="5080000" cy="3810000"/>
            <wp:effectExtent l="4445" t="4445" r="5715" b="10795"/>
            <wp:docPr id="957" name="图表 23" title="{{img_sgzc_ys_data}}"/>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r:id="rId11"/>
              </a:graphicData>
            </a:graphic>
          </wp:inline>
        </w:drawing>
      </w:r>
    </w:p>
    <w:p>
      <w:pPr>
        <w:pStyle w:val="Bodytext|2"/>
        <w:keepNext w:val="0"/>
        <w:keepLines w:val="0"/>
        <w:pageBreakBefore w:val="0"/>
        <w:widowControl w:val="0"/>
        <w:tabs>
          <w:tab w:val="left" w:pos="1253"/>
        </w:tabs>
        <w:kinsoku/>
        <w:wordWrap/>
        <w:overflowPunct/>
        <w:topLinePunct w:val="0"/>
        <w:autoSpaceDE/>
        <w:autoSpaceDN/>
        <w:bidi w:val="0"/>
        <w:adjustRightInd/>
        <w:snapToGrid/>
        <w:spacing w:after="0" w:line="600" w:lineRule="exact"/>
        <w:ind w:firstLine="601"/>
        <w:jc w:val="left"/>
        <w:textAlignment w:val="auto"/>
        <w:rPr>
          <w:rFonts w:hint="eastAsia"/>
          <w:b w:val="0"/>
          <w:bCs w:val="0"/>
          <w:sz w:val="28"/>
          <w:szCs w:val="28"/>
          <w:lang w:eastAsia="zh-CN"/>
        </w:rPr>
      </w:pPr>
      <w:bookmarkStart w:id="15" w:name="bookmark90"/>
      <w:r>
        <w:rPr>
          <w:rFonts w:hint="eastAsia"/>
          <w:b w:val="0"/>
          <w:bCs w:val="0"/>
          <w:sz w:val="28"/>
          <w:szCs w:val="28"/>
          <w:lang w:eastAsia="zh-CN"/>
        </w:rPr>
        <w:t xml:space="preserve">（</w:t>
      </w:r>
      <w:r>
        <w:rPr>
          <w:rFonts w:hint="eastAsia"/>
          <w:b w:val="0"/>
          <w:bCs w:val="0"/>
          <w:sz w:val="28"/>
          <w:szCs w:val="28"/>
          <w:lang w:val="en-US" w:eastAsia="zh-CN"/>
        </w:rPr>
        <w:t xml:space="preserve">一</w:t>
      </w:r>
      <w:r>
        <w:rPr>
          <w:rFonts w:hint="eastAsia"/>
          <w:b w:val="0"/>
          <w:bCs w:val="0"/>
          <w:sz w:val="28"/>
          <w:szCs w:val="28"/>
          <w:lang w:eastAsia="zh-CN"/>
        </w:rPr>
        <w:t xml:space="preserve">）</w:t>
      </w:r>
      <w:r>
        <w:rPr>
          <w:sz w:val="28"/>
          <w:u w:color="auto"/>
        </w:rPr>
        <w:t xml:space="preserve">2024</w:t>
      </w:r>
      <w:r>
        <w:rPr>
          <w:sz w:val="28"/>
          <w:u w:color="auto"/>
        </w:rPr>
        <w:t xml:space="preserve">年部门预算共安排</w:t>
      </w:r>
      <w:r>
        <w:rPr>
          <w:rFonts w:hint="eastAsia"/>
          <w:b w:val="0"/>
          <w:bCs w:val="0"/>
          <w:sz w:val="28"/>
          <w:szCs w:val="28"/>
          <w:lang w:val="zh-CN" w:eastAsia="zh-CN"/>
        </w:rPr>
        <w:t xml:space="preserve">“三公</w:t>
      </w:r>
      <w:r>
        <w:rPr>
          <w:rFonts w:hint="eastAsia"/>
          <w:b w:val="0"/>
          <w:bCs w:val="0"/>
          <w:sz w:val="28"/>
          <w:szCs w:val="28"/>
          <w:lang w:val="en-US" w:eastAsia="zh-CN"/>
        </w:rPr>
        <w:t xml:space="preserve">"</w:t>
      </w:r>
      <w:r>
        <w:rPr>
          <w:rFonts w:hint="eastAsia"/>
          <w:b w:val="0"/>
          <w:bCs w:val="0"/>
          <w:sz w:val="28"/>
          <w:szCs w:val="28"/>
          <w:lang w:eastAsia="zh-CN"/>
        </w:rPr>
        <w:t xml:space="preserve">经费支出预算</w:t>
      </w:r>
      <w:r>
        <w:rPr>
          <w:rFonts w:hint="eastAsia"/>
          <w:b w:val="0"/>
          <w:bCs w:val="0"/>
          <w:sz w:val="28"/>
          <w:szCs w:val="28"/>
          <w:lang w:val="en-US" w:eastAsia="zh-CN"/>
        </w:rPr>
        <w:t xml:space="preserve">0.00</w:t>
      </w:r>
      <w:r>
        <w:rPr>
          <w:rFonts w:hint="eastAsia"/>
          <w:b w:val="0"/>
          <w:bCs w:val="0"/>
          <w:sz w:val="28"/>
          <w:szCs w:val="28"/>
          <w:lang w:eastAsia="zh-CN"/>
        </w:rPr>
        <w:t xml:space="preserve">万元（全口径），其中：因公出国（境）经费支出预算</w:t>
      </w:r>
      <w:r>
        <w:rPr>
          <w:rFonts w:hint="eastAsia"/>
          <w:b w:val="0"/>
          <w:bCs w:val="0"/>
          <w:sz w:val="28"/>
          <w:szCs w:val="28"/>
          <w:lang w:val="en-US" w:eastAsia="zh-CN"/>
        </w:rPr>
        <w:t xml:space="preserve">0.00</w:t>
      </w:r>
      <w:r>
        <w:rPr>
          <w:rFonts w:hint="eastAsia"/>
          <w:b w:val="0"/>
          <w:bCs w:val="0"/>
          <w:sz w:val="28"/>
          <w:szCs w:val="28"/>
          <w:lang w:eastAsia="zh-CN"/>
        </w:rPr>
        <w:t xml:space="preserve">万元，公务接待费支出预算</w:t>
      </w:r>
      <w:r>
        <w:rPr>
          <w:rFonts w:hint="eastAsia"/>
          <w:b w:val="0"/>
          <w:bCs w:val="0"/>
          <w:sz w:val="28"/>
          <w:szCs w:val="28"/>
          <w:lang w:val="en-US" w:eastAsia="zh-CN"/>
        </w:rPr>
        <w:t xml:space="preserve">0.00</w:t>
      </w:r>
      <w:r>
        <w:rPr>
          <w:rFonts w:hint="eastAsia"/>
          <w:b w:val="0"/>
          <w:bCs w:val="0"/>
          <w:sz w:val="28"/>
          <w:szCs w:val="28"/>
          <w:lang w:eastAsia="zh-CN"/>
        </w:rPr>
        <w:t xml:space="preserve">万元，公务用车购置及运行费支出预算</w:t>
      </w:r>
      <w:r>
        <w:rPr>
          <w:rFonts w:hint="eastAsia"/>
          <w:b w:val="0"/>
          <w:bCs w:val="0"/>
          <w:sz w:val="28"/>
          <w:szCs w:val="28"/>
          <w:lang w:val="en-US" w:eastAsia="zh-CN"/>
        </w:rPr>
        <w:t xml:space="preserve">0.00</w:t>
      </w:r>
      <w:r>
        <w:rPr>
          <w:rFonts w:hint="eastAsia"/>
          <w:b w:val="0"/>
          <w:bCs w:val="0"/>
          <w:sz w:val="28"/>
          <w:szCs w:val="28"/>
          <w:lang w:eastAsia="zh-CN"/>
        </w:rPr>
        <w:t xml:space="preserve">万元（公务用车购置费</w:t>
      </w:r>
      <w:r>
        <w:rPr>
          <w:rFonts w:hint="eastAsia"/>
          <w:b w:val="0"/>
          <w:bCs w:val="0"/>
          <w:sz w:val="28"/>
          <w:szCs w:val="28"/>
          <w:lang w:val="en-US" w:eastAsia="zh-CN"/>
        </w:rPr>
        <w:t xml:space="preserve">0.00</w:t>
      </w:r>
      <w:r>
        <w:rPr>
          <w:rFonts w:hint="eastAsia"/>
          <w:b w:val="0"/>
          <w:bCs w:val="0"/>
          <w:sz w:val="28"/>
          <w:szCs w:val="28"/>
          <w:lang w:eastAsia="zh-CN"/>
        </w:rPr>
        <w:t xml:space="preserve">万元,公务用车运行维护费</w:t>
      </w:r>
      <w:r>
        <w:rPr>
          <w:rFonts w:hint="eastAsia"/>
          <w:b w:val="0"/>
          <w:bCs w:val="0"/>
          <w:sz w:val="28"/>
          <w:szCs w:val="28"/>
          <w:lang w:val="en-US" w:eastAsia="zh-CN"/>
        </w:rPr>
        <w:t xml:space="preserve">0.00</w:t>
      </w:r>
      <w:r>
        <w:rPr>
          <w:rFonts w:hint="eastAsia"/>
          <w:b w:val="0"/>
          <w:bCs w:val="0"/>
          <w:sz w:val="28"/>
          <w:szCs w:val="28"/>
          <w:lang w:eastAsia="zh-CN"/>
        </w:rPr>
        <w:t xml:space="preserve">万元）。</w:t>
      </w:r>
    </w:p>
    <w:p>
      <w:pPr>
        <w:pStyle w:val="Bodytext|2"/>
        <w:keepNext w:val="0"/>
        <w:keepLines w:val="0"/>
        <w:pageBreakBefore w:val="0"/>
        <w:widowControl w:val="0"/>
        <w:tabs>
          <w:tab w:val="left" w:pos="1253"/>
        </w:tabs>
        <w:kinsoku/>
        <w:wordWrap/>
        <w:overflowPunct/>
        <w:topLinePunct w:val="0"/>
        <w:autoSpaceDE/>
        <w:autoSpaceDN/>
        <w:bidi w:val="0"/>
        <w:adjustRightInd/>
        <w:snapToGrid/>
        <w:spacing w:after="0" w:line="600" w:lineRule="exact"/>
        <w:ind w:firstLine="601"/>
        <w:jc w:val="left"/>
        <w:textAlignment w:val="auto"/>
        <w:rPr>
          <w:rFonts w:hint="eastAsia"/>
          <w:b w:val="0"/>
          <w:bCs w:val="0"/>
          <w:sz w:val="28"/>
          <w:szCs w:val="28"/>
        </w:rPr>
      </w:pPr>
      <w:r>
        <w:rPr>
          <w:rFonts w:hint="eastAsia"/>
          <w:b w:val="0"/>
          <w:bCs w:val="0"/>
          <w:sz w:val="28"/>
          <w:szCs w:val="28"/>
          <w:lang w:eastAsia="zh-CN"/>
        </w:rPr>
        <w:t xml:space="preserve">（</w:t>
      </w:r>
      <w:r>
        <w:rPr>
          <w:rFonts w:hint="eastAsia"/>
          <w:b w:val="0"/>
          <w:bCs w:val="0"/>
          <w:sz w:val="28"/>
          <w:szCs w:val="28"/>
          <w:lang w:val="en-US" w:eastAsia="zh-CN"/>
        </w:rPr>
        <w:t xml:space="preserve">二</w:t>
      </w:r>
      <w:r>
        <w:rPr>
          <w:rFonts w:hint="eastAsia"/>
          <w:b w:val="0"/>
          <w:bCs w:val="0"/>
          <w:sz w:val="28"/>
          <w:szCs w:val="28"/>
          <w:lang w:eastAsia="zh-CN"/>
        </w:rPr>
        <w:t xml:space="preserve">）</w:t>
      </w:r>
      <w:r>
        <w:rPr>
          <w:sz w:val="28"/>
          <w:u w:color="auto"/>
        </w:rPr>
        <w:t xml:space="preserve">2024</w:t>
      </w:r>
      <w:r>
        <w:rPr>
          <w:rFonts w:hint="eastAsia"/>
          <w:b w:val="0"/>
          <w:bCs w:val="0"/>
          <w:sz w:val="28"/>
          <w:szCs w:val="28"/>
        </w:rPr>
        <w:t xml:space="preserve">年一般公共预算安排的“三公”经费支出预算</w:t>
      </w:r>
      <w:r>
        <w:rPr>
          <w:rFonts w:hint="eastAsia"/>
          <w:b w:val="0"/>
          <w:bCs w:val="0"/>
          <w:sz w:val="28"/>
          <w:szCs w:val="28"/>
          <w:lang w:val="en-US" w:eastAsia="zh-CN"/>
        </w:rPr>
        <w:t xml:space="preserve">0.00</w:t>
      </w:r>
      <w:r>
        <w:rPr>
          <w:rFonts w:hint="eastAsia"/>
          <w:b w:val="0"/>
          <w:bCs w:val="0"/>
          <w:sz w:val="28"/>
          <w:szCs w:val="28"/>
        </w:rPr>
        <w:t xml:space="preserve">万元，同口径较2023年度预算数</w:t>
      </w:r>
      <w:r>
        <w:rPr>
          <w:rFonts w:hint="eastAsia"/>
          <w:b w:val="0"/>
          <w:bCs w:val="0"/>
          <w:sz w:val="28"/>
          <w:szCs w:val="28"/>
          <w:lang w:val="en-US" w:eastAsia="zh-CN"/>
        </w:rPr>
        <w:t xml:space="preserve">0.00</w:t>
      </w:r>
      <w:r>
        <w:rPr>
          <w:rFonts w:hint="eastAsia"/>
          <w:b w:val="0"/>
          <w:bCs w:val="0"/>
          <w:sz w:val="28"/>
          <w:szCs w:val="28"/>
        </w:rPr>
        <w:t xml:space="preserve">万元，</w:t>
      </w:r>
      <w:r>
        <w:rPr>
          <w:rFonts w:hint="eastAsia"/>
          <w:b w:val="0"/>
          <w:bCs w:val="0"/>
          <w:sz w:val="28"/>
          <w:szCs w:val="28"/>
          <w:lang w:val="en-US" w:eastAsia="zh-CN"/>
        </w:rPr>
        <w:t xml:space="preserve">增长0.00</w:t>
      </w:r>
      <w:r>
        <w:rPr>
          <w:rFonts w:hint="eastAsia"/>
          <w:b w:val="0"/>
          <w:bCs w:val="0"/>
          <w:sz w:val="28"/>
          <w:szCs w:val="28"/>
        </w:rPr>
        <w:t xml:space="preserve">万元，</w:t>
      </w:r>
      <w:r>
        <w:rPr>
          <w:rFonts w:hint="eastAsia"/>
          <w:b w:val="0"/>
          <w:bCs w:val="0"/>
          <w:sz w:val="28"/>
          <w:szCs w:val="28"/>
          <w:lang w:val="en-US" w:eastAsia="zh-CN"/>
        </w:rPr>
        <w:t xml:space="preserve">增长0%</w:t>
      </w:r>
      <w:r>
        <w:rPr>
          <w:rFonts w:hint="eastAsia"/>
          <w:b w:val="0"/>
          <w:bCs w:val="0"/>
          <w:sz w:val="28"/>
          <w:szCs w:val="28"/>
        </w:rPr>
        <w:t xml:space="preserve">，具体如下：</w:t>
      </w:r>
    </w:p>
    <w:p>
      <w:pPr>
        <w:pStyle w:val="Bodytext|2"/>
        <w:keepNext w:val="0"/>
        <w:keepLines w:val="0"/>
        <w:pageBreakBefore w:val="0"/>
        <w:widowControl w:val="0"/>
        <w:tabs>
          <w:tab w:val="left" w:pos="1253"/>
        </w:tabs>
        <w:kinsoku/>
        <w:wordWrap/>
        <w:overflowPunct/>
        <w:topLinePunct w:val="0"/>
        <w:autoSpaceDE/>
        <w:autoSpaceDN/>
        <w:bidi w:val="0"/>
        <w:adjustRightInd/>
        <w:snapToGrid/>
        <w:spacing w:after="0" w:line="600" w:lineRule="exact"/>
        <w:ind w:firstLine="601"/>
        <w:jc w:val="left"/>
        <w:textAlignment w:val="auto"/>
        <w:rPr>
          <w:rFonts w:eastAsia="宋体" w:hint="eastAsia"/>
          <w:b w:val="0"/>
          <w:bCs w:val="0"/>
          <w:sz w:val="28"/>
          <w:szCs w:val="28"/>
          <w:lang w:eastAsia="zh-CN"/>
        </w:rPr>
      </w:pPr>
      <w:r>
        <w:rPr>
          <w:rFonts w:hint="eastAsia"/>
          <w:b w:val="0"/>
          <w:bCs w:val="0"/>
          <w:sz w:val="28"/>
          <w:szCs w:val="28"/>
        </w:rPr>
        <w:t xml:space="preserve">1.因公出国（境）费</w:t>
      </w:r>
      <w:r>
        <w:rPr>
          <w:rFonts w:hint="eastAsia"/>
          <w:b w:val="0"/>
          <w:bCs w:val="0"/>
          <w:sz w:val="28"/>
          <w:szCs w:val="28"/>
          <w:lang w:eastAsia="zh-CN"/>
        </w:rPr>
        <w:t xml:space="preserve">2024</w:t>
      </w:r>
      <w:r>
        <w:rPr>
          <w:rFonts w:hint="eastAsia"/>
          <w:b w:val="0"/>
          <w:bCs w:val="0"/>
          <w:sz w:val="28"/>
          <w:szCs w:val="28"/>
        </w:rPr>
        <w:t xml:space="preserve">年预算安排</w:t>
      </w:r>
      <w:r>
        <w:rPr>
          <w:sz w:val="28"/>
          <w:u w:color="auto"/>
        </w:rPr>
        <w:t xml:space="preserve">0.00</w:t>
      </w:r>
      <w:r>
        <w:rPr>
          <w:rFonts w:hint="eastAsia"/>
          <w:b w:val="0"/>
          <w:bCs w:val="0"/>
          <w:sz w:val="28"/>
          <w:szCs w:val="28"/>
        </w:rPr>
        <w:t xml:space="preserve">万元，较2023年度预算数</w:t>
      </w:r>
      <w:r>
        <w:rPr>
          <w:sz w:val="28"/>
          <w:u w:color="auto"/>
        </w:rPr>
        <w:t xml:space="preserve">0.00</w:t>
      </w:r>
      <w:r>
        <w:rPr>
          <w:rFonts w:hint="eastAsia"/>
          <w:b w:val="0"/>
          <w:bCs w:val="0"/>
          <w:sz w:val="28"/>
          <w:szCs w:val="28"/>
        </w:rPr>
        <w:t xml:space="preserve">万元，</w:t>
      </w:r>
      <w:r>
        <w:rPr>
          <w:sz w:val="28"/>
          <w:u w:color="auto"/>
        </w:rPr>
        <w:t xml:space="preserve">增长0.00</w:t>
      </w:r>
      <w:r>
        <w:rPr>
          <w:rFonts w:hint="eastAsia"/>
          <w:b w:val="0"/>
          <w:bCs w:val="0"/>
          <w:sz w:val="28"/>
          <w:szCs w:val="28"/>
        </w:rPr>
        <w:t xml:space="preserve">万元，</w:t>
      </w:r>
      <w:r>
        <w:rPr>
          <w:sz w:val="28"/>
          <w:u w:color="auto"/>
        </w:rPr>
        <w:t xml:space="preserve">增长0%</w:t>
      </w:r>
      <w:r>
        <w:rPr>
          <w:rFonts w:hint="eastAsia"/>
          <w:b w:val="0"/>
          <w:bCs w:val="0"/>
          <w:sz w:val="28"/>
          <w:szCs w:val="28"/>
        </w:rPr>
        <w:t xml:space="preserve">，主要原因是</w:t>
      </w:r>
      <w:r>
        <w:rPr>
          <w:rFonts w:hint="eastAsia"/>
          <w:highlight w:val="none"/>
          <w:lang w:val="en-US" w:eastAsia="zh-CN"/>
        </w:rPr>
        <w:t xml:space="preserve">我单位无三公经费</w:t>
      </w:r>
      <w:r>
        <w:rPr>
          <w:rFonts w:hint="eastAsia"/>
          <w:b w:val="0"/>
          <w:bCs w:val="0"/>
          <w:sz w:val="28"/>
          <w:szCs w:val="28"/>
        </w:rPr>
        <w:t xml:space="preserve">。</w:t>
      </w:r>
    </w:p>
    <w:p>
      <w:pPr>
        <w:pStyle w:val="Bodytext|2"/>
        <w:keepNext w:val="0"/>
        <w:keepLines w:val="0"/>
        <w:pageBreakBefore w:val="0"/>
        <w:widowControl w:val="0"/>
        <w:tabs>
          <w:tab w:val="left" w:pos="1253"/>
        </w:tabs>
        <w:kinsoku/>
        <w:wordWrap/>
        <w:overflowPunct/>
        <w:topLinePunct w:val="0"/>
        <w:autoSpaceDE/>
        <w:autoSpaceDN/>
        <w:bidi w:val="0"/>
        <w:adjustRightInd/>
        <w:snapToGrid/>
        <w:spacing w:after="0" w:line="600" w:lineRule="exact"/>
        <w:ind w:firstLine="601"/>
        <w:jc w:val="left"/>
        <w:textAlignment w:val="auto"/>
        <w:rPr>
          <w:rFonts w:eastAsia="宋体" w:hint="eastAsia"/>
          <w:b w:val="0"/>
          <w:bCs w:val="0"/>
          <w:sz w:val="28"/>
          <w:szCs w:val="28"/>
          <w:lang w:eastAsia="zh-CN"/>
        </w:rPr>
      </w:pPr>
      <w:r>
        <w:rPr>
          <w:rFonts w:hint="eastAsia"/>
          <w:b w:val="0"/>
          <w:bCs w:val="0"/>
          <w:sz w:val="28"/>
          <w:szCs w:val="28"/>
        </w:rPr>
        <w:t xml:space="preserve">2.公务接待费</w:t>
      </w:r>
      <w:r>
        <w:rPr>
          <w:rFonts w:hint="eastAsia"/>
          <w:b w:val="0"/>
          <w:bCs w:val="0"/>
          <w:sz w:val="28"/>
          <w:szCs w:val="28"/>
          <w:lang w:eastAsia="zh-CN"/>
        </w:rPr>
        <w:t xml:space="preserve">2024</w:t>
      </w:r>
      <w:r>
        <w:rPr>
          <w:rFonts w:hint="eastAsia"/>
          <w:b w:val="0"/>
          <w:bCs w:val="0"/>
          <w:sz w:val="28"/>
          <w:szCs w:val="28"/>
        </w:rPr>
        <w:t xml:space="preserve">年预算安排</w:t>
      </w:r>
      <w:r>
        <w:rPr>
          <w:sz w:val="28"/>
          <w:u w:color="auto"/>
        </w:rPr>
        <w:t xml:space="preserve">0.00</w:t>
      </w:r>
      <w:r>
        <w:rPr>
          <w:rFonts w:hint="eastAsia"/>
          <w:b w:val="0"/>
          <w:bCs w:val="0"/>
          <w:sz w:val="28"/>
          <w:szCs w:val="28"/>
        </w:rPr>
        <w:t xml:space="preserve">万元，较2023年度预算数</w:t>
      </w:r>
      <w:r>
        <w:rPr>
          <w:sz w:val="28"/>
          <w:u w:color="auto"/>
        </w:rPr>
        <w:t xml:space="preserve">0.00</w:t>
      </w:r>
      <w:r>
        <w:rPr>
          <w:rFonts w:hint="eastAsia"/>
          <w:b w:val="0"/>
          <w:bCs w:val="0"/>
          <w:sz w:val="28"/>
          <w:szCs w:val="28"/>
        </w:rPr>
        <w:t xml:space="preserve">万元，</w:t>
      </w:r>
      <w:r>
        <w:rPr>
          <w:sz w:val="28"/>
          <w:u w:color="auto"/>
        </w:rPr>
        <w:t xml:space="preserve">增长0.00</w:t>
      </w:r>
      <w:r>
        <w:rPr>
          <w:rFonts w:hint="eastAsia"/>
          <w:b w:val="0"/>
          <w:bCs w:val="0"/>
          <w:sz w:val="28"/>
          <w:szCs w:val="28"/>
        </w:rPr>
        <w:t xml:space="preserve">万元，</w:t>
      </w:r>
      <w:r>
        <w:rPr>
          <w:sz w:val="28"/>
          <w:u w:color="auto"/>
        </w:rPr>
        <w:t xml:space="preserve">增长0%</w:t>
      </w:r>
      <w:r>
        <w:rPr>
          <w:rFonts w:hint="eastAsia"/>
          <w:b w:val="0"/>
          <w:bCs w:val="0"/>
          <w:sz w:val="28"/>
          <w:szCs w:val="28"/>
        </w:rPr>
        <w:t xml:space="preserve">，主要原因是</w:t>
      </w:r>
      <w:r>
        <w:rPr>
          <w:rFonts w:hint="eastAsia"/>
          <w:highlight w:val="none"/>
          <w:lang w:val="en-US" w:eastAsia="zh-CN"/>
        </w:rPr>
        <w:t xml:space="preserve">我单位无三公经费</w:t>
      </w:r>
      <w:r>
        <w:rPr>
          <w:rFonts w:hint="eastAsia"/>
          <w:b w:val="0"/>
          <w:bCs w:val="0"/>
          <w:sz w:val="28"/>
          <w:szCs w:val="28"/>
        </w:rPr>
        <w:t xml:space="preserve">。</w:t>
      </w:r>
    </w:p>
    <w:p>
      <w:pPr>
        <w:pStyle w:val="Bodytext|2"/>
        <w:keepNext w:val="0"/>
        <w:keepLines w:val="0"/>
        <w:pageBreakBefore w:val="0"/>
        <w:widowControl w:val="0"/>
        <w:tabs>
          <w:tab w:val="left" w:pos="1253"/>
        </w:tabs>
        <w:kinsoku/>
        <w:wordWrap/>
        <w:overflowPunct/>
        <w:topLinePunct w:val="0"/>
        <w:autoSpaceDE/>
        <w:autoSpaceDN/>
        <w:bidi w:val="0"/>
        <w:adjustRightInd/>
        <w:snapToGrid/>
        <w:spacing w:after="0" w:line="600" w:lineRule="exact"/>
        <w:ind w:firstLine="601"/>
        <w:jc w:val="left"/>
        <w:textAlignment w:val="auto"/>
        <w:rPr>
          <w:rFonts w:hint="eastAsia"/>
          <w:b w:val="0"/>
          <w:bCs w:val="0"/>
          <w:sz w:val="28"/>
          <w:szCs w:val="28"/>
        </w:rPr>
      </w:pPr>
      <w:r>
        <w:rPr>
          <w:rFonts w:hint="eastAsia"/>
          <w:b w:val="0"/>
          <w:bCs w:val="0"/>
          <w:sz w:val="28"/>
          <w:szCs w:val="28"/>
        </w:rPr>
        <w:t xml:space="preserve">3.公务用车购置及运行费</w:t>
      </w:r>
      <w:r>
        <w:rPr>
          <w:rFonts w:hint="eastAsia"/>
          <w:b w:val="0"/>
          <w:bCs w:val="0"/>
          <w:sz w:val="28"/>
          <w:szCs w:val="28"/>
          <w:lang w:eastAsia="zh-CN"/>
        </w:rPr>
        <w:t xml:space="preserve">2024</w:t>
      </w:r>
      <w:r>
        <w:rPr>
          <w:rFonts w:hint="eastAsia"/>
          <w:b w:val="0"/>
          <w:bCs w:val="0"/>
          <w:sz w:val="28"/>
          <w:szCs w:val="28"/>
        </w:rPr>
        <w:t xml:space="preserve">年预算安排</w:t>
      </w:r>
      <w:r>
        <w:rPr>
          <w:sz w:val="28"/>
          <w:u w:color="auto"/>
        </w:rPr>
        <w:t xml:space="preserve">0.00</w:t>
      </w:r>
      <w:r>
        <w:rPr>
          <w:rFonts w:hint="eastAsia"/>
          <w:b w:val="0"/>
          <w:bCs w:val="0"/>
          <w:sz w:val="28"/>
          <w:szCs w:val="28"/>
        </w:rPr>
        <w:t xml:space="preserve">万元，较2023年度预算数</w:t>
      </w:r>
      <w:r>
        <w:rPr>
          <w:sz w:val="28"/>
          <w:u w:color="auto"/>
        </w:rPr>
        <w:t xml:space="preserve">0.00</w:t>
      </w:r>
      <w:r>
        <w:rPr>
          <w:rFonts w:hint="eastAsia"/>
          <w:b w:val="0"/>
          <w:bCs w:val="0"/>
          <w:sz w:val="28"/>
          <w:szCs w:val="28"/>
        </w:rPr>
        <w:t xml:space="preserve">万元，</w:t>
      </w:r>
      <w:r>
        <w:rPr>
          <w:sz w:val="28"/>
          <w:u w:color="auto"/>
        </w:rPr>
        <w:t xml:space="preserve">增长0.00</w:t>
      </w:r>
      <w:r>
        <w:rPr>
          <w:rFonts w:hint="eastAsia"/>
          <w:b w:val="0"/>
          <w:bCs w:val="0"/>
          <w:sz w:val="28"/>
          <w:szCs w:val="28"/>
        </w:rPr>
        <w:t xml:space="preserve">万元，</w:t>
      </w:r>
      <w:r>
        <w:rPr>
          <w:sz w:val="28"/>
          <w:u w:color="auto"/>
        </w:rPr>
        <w:t xml:space="preserve">增长0%</w:t>
      </w:r>
      <w:r>
        <w:rPr>
          <w:rFonts w:hint="eastAsia"/>
          <w:b w:val="0"/>
          <w:bCs w:val="0"/>
          <w:sz w:val="28"/>
          <w:szCs w:val="28"/>
        </w:rPr>
        <w:t xml:space="preserve">，其中：</w:t>
      </w:r>
    </w:p>
    <w:p>
      <w:pPr>
        <w:pStyle w:val="Bodytext|2"/>
        <w:keepNext w:val="0"/>
        <w:keepLines w:val="0"/>
        <w:pageBreakBefore w:val="0"/>
        <w:widowControl w:val="0"/>
        <w:tabs>
          <w:tab w:val="left" w:pos="1253"/>
        </w:tabs>
        <w:kinsoku/>
        <w:wordWrap/>
        <w:overflowPunct/>
        <w:topLinePunct w:val="0"/>
        <w:autoSpaceDE/>
        <w:autoSpaceDN/>
        <w:bidi w:val="0"/>
        <w:adjustRightInd/>
        <w:snapToGrid/>
        <w:spacing w:after="0" w:line="600" w:lineRule="exact"/>
        <w:ind w:firstLine="601"/>
        <w:jc w:val="left"/>
        <w:textAlignment w:val="auto"/>
        <w:rPr>
          <w:rFonts w:eastAsia="宋体" w:hint="eastAsia"/>
          <w:b w:val="0"/>
          <w:bCs w:val="0"/>
          <w:sz w:val="28"/>
          <w:szCs w:val="28"/>
          <w:lang w:eastAsia="zh-CN"/>
        </w:rPr>
      </w:pPr>
      <w:r>
        <w:rPr>
          <w:rFonts w:hint="eastAsia"/>
          <w:b w:val="0"/>
          <w:bCs w:val="0"/>
          <w:sz w:val="28"/>
          <w:szCs w:val="28"/>
        </w:rPr>
        <w:t xml:space="preserve">公务用车购置费</w:t>
      </w:r>
      <w:r>
        <w:rPr>
          <w:rFonts w:hint="eastAsia"/>
          <w:b w:val="0"/>
          <w:bCs w:val="0"/>
          <w:sz w:val="28"/>
          <w:szCs w:val="28"/>
          <w:lang w:eastAsia="zh-CN"/>
        </w:rPr>
        <w:t xml:space="preserve">2024</w:t>
      </w:r>
      <w:r>
        <w:rPr>
          <w:rFonts w:hint="eastAsia"/>
          <w:b w:val="0"/>
          <w:bCs w:val="0"/>
          <w:sz w:val="28"/>
          <w:szCs w:val="28"/>
        </w:rPr>
        <w:t xml:space="preserve">年预算安排</w:t>
      </w:r>
      <w:r>
        <w:rPr>
          <w:sz w:val="28"/>
          <w:u w:color="auto"/>
        </w:rPr>
        <w:t xml:space="preserve">0.00</w:t>
      </w:r>
      <w:r>
        <w:rPr>
          <w:rFonts w:hint="eastAsia"/>
          <w:b w:val="0"/>
          <w:bCs w:val="0"/>
          <w:sz w:val="28"/>
          <w:szCs w:val="28"/>
        </w:rPr>
        <w:t xml:space="preserve">万元，较2023年度预算数</w:t>
      </w:r>
      <w:r>
        <w:rPr>
          <w:sz w:val="28"/>
          <w:u w:color="auto"/>
        </w:rPr>
        <w:t xml:space="preserve">0.00</w:t>
      </w:r>
      <w:r>
        <w:rPr>
          <w:rFonts w:hint="eastAsia"/>
          <w:b w:val="0"/>
          <w:bCs w:val="0"/>
          <w:sz w:val="28"/>
          <w:szCs w:val="28"/>
        </w:rPr>
        <w:t xml:space="preserve">万元，</w:t>
      </w:r>
      <w:r>
        <w:rPr>
          <w:sz w:val="28"/>
          <w:u w:color="auto"/>
        </w:rPr>
        <w:t xml:space="preserve">增长0.00</w:t>
      </w:r>
      <w:r>
        <w:rPr>
          <w:rFonts w:hint="eastAsia"/>
          <w:b w:val="0"/>
          <w:bCs w:val="0"/>
          <w:sz w:val="28"/>
          <w:szCs w:val="28"/>
        </w:rPr>
        <w:t xml:space="preserve">万元，</w:t>
      </w:r>
      <w:r>
        <w:rPr>
          <w:sz w:val="28"/>
          <w:u w:color="auto"/>
        </w:rPr>
        <w:t xml:space="preserve">增长0%</w:t>
      </w:r>
      <w:r>
        <w:rPr>
          <w:rFonts w:hint="eastAsia"/>
          <w:b w:val="0"/>
          <w:bCs w:val="0"/>
          <w:sz w:val="28"/>
          <w:szCs w:val="28"/>
        </w:rPr>
        <w:t xml:space="preserve">，主要原因是</w:t>
      </w:r>
      <w:r>
        <w:rPr>
          <w:rFonts w:hint="eastAsia"/>
          <w:highlight w:val="none"/>
          <w:lang w:val="en-US" w:eastAsia="zh-CN"/>
        </w:rPr>
        <w:t xml:space="preserve">我单位无三公经费</w:t>
      </w:r>
      <w:r>
        <w:rPr>
          <w:rFonts w:hint="eastAsia"/>
          <w:b w:val="0"/>
          <w:bCs w:val="0"/>
          <w:sz w:val="28"/>
          <w:szCs w:val="28"/>
        </w:rPr>
        <w:t xml:space="preserve">。</w:t>
      </w:r>
    </w:p>
    <w:p>
      <w:pPr>
        <w:pStyle w:val="Bodytext|2"/>
        <w:keepNext w:val="0"/>
        <w:keepLines w:val="0"/>
        <w:pageBreakBefore w:val="0"/>
        <w:widowControl w:val="0"/>
        <w:tabs>
          <w:tab w:val="left" w:pos="1253"/>
        </w:tabs>
        <w:kinsoku/>
        <w:wordWrap/>
        <w:overflowPunct/>
        <w:topLinePunct w:val="0"/>
        <w:autoSpaceDE/>
        <w:autoSpaceDN/>
        <w:bidi w:val="0"/>
        <w:adjustRightInd/>
        <w:snapToGrid/>
        <w:spacing w:after="0" w:line="600" w:lineRule="exact"/>
        <w:ind w:firstLine="601"/>
        <w:jc w:val="left"/>
        <w:textAlignment w:val="auto"/>
        <w:rPr>
          <w:rFonts w:hint="eastAsia"/>
          <w:b w:val="0"/>
          <w:bCs w:val="0"/>
          <w:sz w:val="28"/>
          <w:szCs w:val="28"/>
        </w:rPr>
      </w:pPr>
      <w:r>
        <w:rPr>
          <w:rFonts w:hint="eastAsia"/>
          <w:b w:val="0"/>
          <w:bCs w:val="0"/>
          <w:sz w:val="28"/>
          <w:szCs w:val="28"/>
        </w:rPr>
        <w:t xml:space="preserve">公务用车运行维护费</w:t>
      </w:r>
      <w:r>
        <w:rPr>
          <w:rFonts w:hint="eastAsia"/>
          <w:b w:val="0"/>
          <w:bCs w:val="0"/>
          <w:sz w:val="28"/>
          <w:szCs w:val="28"/>
          <w:lang w:eastAsia="zh-CN"/>
        </w:rPr>
        <w:t xml:space="preserve">2024</w:t>
      </w:r>
      <w:r>
        <w:rPr>
          <w:rFonts w:hint="eastAsia"/>
          <w:b w:val="0"/>
          <w:bCs w:val="0"/>
          <w:sz w:val="28"/>
          <w:szCs w:val="28"/>
        </w:rPr>
        <w:t xml:space="preserve">年预算安排</w:t>
      </w:r>
      <w:r>
        <w:rPr>
          <w:sz w:val="28"/>
          <w:u w:color="auto"/>
        </w:rPr>
        <w:t xml:space="preserve">0.00</w:t>
      </w:r>
      <w:r>
        <w:rPr>
          <w:rFonts w:hint="eastAsia"/>
          <w:b w:val="0"/>
          <w:bCs w:val="0"/>
          <w:sz w:val="28"/>
          <w:szCs w:val="28"/>
        </w:rPr>
        <w:t xml:space="preserve">万元，较2023年度预算数</w:t>
      </w:r>
      <w:r>
        <w:rPr>
          <w:sz w:val="28"/>
          <w:u w:color="auto"/>
        </w:rPr>
        <w:t xml:space="preserve">0.00</w:t>
      </w:r>
      <w:r>
        <w:rPr>
          <w:rFonts w:hint="eastAsia"/>
          <w:b w:val="0"/>
          <w:bCs w:val="0"/>
          <w:sz w:val="28"/>
          <w:szCs w:val="28"/>
        </w:rPr>
        <w:t xml:space="preserve">万元，</w:t>
      </w:r>
      <w:r>
        <w:rPr>
          <w:sz w:val="28"/>
          <w:u w:color="auto"/>
        </w:rPr>
        <w:t xml:space="preserve">增长0.00</w:t>
      </w:r>
      <w:r>
        <w:rPr>
          <w:rFonts w:hint="eastAsia"/>
          <w:b w:val="0"/>
          <w:bCs w:val="0"/>
          <w:sz w:val="28"/>
          <w:szCs w:val="28"/>
        </w:rPr>
        <w:t xml:space="preserve">万元，</w:t>
      </w:r>
      <w:r>
        <w:rPr>
          <w:sz w:val="28"/>
          <w:u w:color="auto"/>
        </w:rPr>
        <w:t xml:space="preserve">增长0%</w:t>
      </w:r>
      <w:r>
        <w:rPr>
          <w:rFonts w:hint="eastAsia"/>
          <w:b w:val="0"/>
          <w:bCs w:val="0"/>
          <w:sz w:val="28"/>
          <w:szCs w:val="28"/>
        </w:rPr>
        <w:t xml:space="preserve">，主要原因是</w:t>
      </w:r>
      <w:r>
        <w:rPr>
          <w:rFonts w:hint="eastAsia"/>
          <w:highlight w:val="none"/>
          <w:lang w:val="en-US" w:eastAsia="zh-CN"/>
        </w:rPr>
        <w:t xml:space="preserve">我单位无三公经费</w:t>
      </w:r>
      <w:r>
        <w:rPr>
          <w:rFonts w:hint="eastAsia"/>
          <w:b w:val="0"/>
          <w:bCs w:val="0"/>
          <w:sz w:val="28"/>
          <w:szCs w:val="28"/>
        </w:rPr>
        <w:t xml:space="preserve">。</w:t>
      </w:r>
    </w:p>
    <w:p>
      <w:pPr>
        <w:pStyle w:val="Bodytext|2"/>
        <w:keepNext w:val="0"/>
        <w:keepLines w:val="0"/>
        <w:pageBreakBefore w:val="0"/>
        <w:widowControl w:val="0"/>
        <w:kinsoku/>
        <w:wordWrap/>
        <w:overflowPunct/>
        <w:topLinePunct w:val="0"/>
        <w:autoSpaceDE/>
        <w:autoSpaceDN/>
        <w:bidi w:val="0"/>
        <w:adjustRightInd/>
        <w:snapToGrid/>
        <w:spacing w:before="120" w:after="0" w:line="600" w:lineRule="exact"/>
        <w:ind w:firstLine="618"/>
        <w:jc w:val="left"/>
        <w:textAlignment w:val="auto"/>
        <w:rPr>
          <w:rFonts w:hint="eastAsia"/>
          <w:b/>
          <w:bCs/>
          <w:lang w:val="en-US" w:eastAsia="zh-CN"/>
        </w:rPr>
      </w:pPr>
      <w:r>
        <w:rPr>
          <w:rFonts w:hint="eastAsia"/>
          <w:b/>
          <w:bCs/>
          <w:lang w:val="en-US" w:eastAsia="zh-CN"/>
        </w:rPr>
        <w:t xml:space="preserve">八</w:t>
      </w:r>
      <w:bookmarkEnd w:id="15"/>
      <w:r>
        <w:rPr>
          <w:rFonts w:hint="eastAsia"/>
          <w:b/>
          <w:bCs/>
          <w:lang w:val="en-US" w:eastAsia="zh-CN"/>
        </w:rPr>
        <w:t xml:space="preserve">、政府性基金预算支出情况说明</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eastAsia="宋体" w:hint="eastAsia"/>
          <w:lang w:eastAsia="zh-CN"/>
        </w:rPr>
      </w:pPr>
      <w:r>
        <w:rPr>
          <w:rFonts w:hint="eastAsia"/>
        </w:rPr>
        <w:t xml:space="preserve">我部门</w:t>
      </w:r>
      <w:r>
        <w:rPr>
          <w:rFonts w:hint="eastAsia"/>
          <w:b w:val="0"/>
          <w:bCs w:val="0"/>
          <w:sz w:val="28"/>
          <w:szCs w:val="28"/>
          <w:lang w:eastAsia="zh-CN"/>
        </w:rPr>
        <w:t xml:space="preserve">2024</w:t>
      </w:r>
      <w:r>
        <w:rPr>
          <w:rFonts w:hint="eastAsia"/>
        </w:rPr>
        <w:t xml:space="preserve">年政府性基金预算支出共</w:t>
      </w:r>
      <w:r>
        <w:rPr>
          <w:rFonts w:hint="eastAsia"/>
          <w:b w:val="0"/>
          <w:bCs w:val="0"/>
          <w:sz w:val="28"/>
          <w:szCs w:val="28"/>
          <w:lang w:eastAsia="zh-CN"/>
        </w:rPr>
        <w:t xml:space="preserve">0.00</w:t>
      </w:r>
      <w:r>
        <w:rPr>
          <w:rFonts w:hint="eastAsia"/>
        </w:rPr>
        <w:t xml:space="preserve">万元，较2023年度预算数</w:t>
      </w:r>
      <w:r>
        <w:rPr>
          <w:rFonts w:hint="eastAsia"/>
          <w:b w:val="0"/>
          <w:bCs w:val="0"/>
          <w:sz w:val="28"/>
          <w:szCs w:val="28"/>
          <w:lang w:eastAsia="zh-CN"/>
        </w:rPr>
        <w:t xml:space="preserve">0.00</w:t>
      </w:r>
      <w:r>
        <w:rPr>
          <w:rFonts w:hint="eastAsia"/>
        </w:rPr>
        <w:t xml:space="preserve">万元，</w:t>
      </w:r>
      <w:r>
        <w:rPr>
          <w:rFonts w:hint="eastAsia"/>
          <w:b w:val="0"/>
          <w:bCs w:val="0"/>
          <w:sz w:val="28"/>
          <w:szCs w:val="28"/>
          <w:lang w:eastAsia="zh-CN"/>
        </w:rPr>
        <w:t xml:space="preserve">增加0.00</w:t>
      </w:r>
      <w:r>
        <w:rPr>
          <w:rFonts w:hint="eastAsia"/>
        </w:rPr>
        <w:t xml:space="preserve">万元，</w:t>
      </w:r>
      <w:r>
        <w:rPr>
          <w:rFonts w:hint="eastAsia"/>
          <w:b w:val="0"/>
          <w:bCs w:val="0"/>
          <w:sz w:val="28"/>
          <w:szCs w:val="28"/>
          <w:lang w:eastAsia="zh-CN"/>
        </w:rPr>
        <w:t xml:space="preserve">增长0%</w:t>
      </w:r>
      <w:r>
        <w:rPr>
          <w:rFonts w:hint="eastAsia"/>
        </w:rPr>
        <w:t xml:space="preserve">，主要原因是</w:t>
      </w:r>
      <w:r>
        <w:rPr>
          <w:rFonts w:hint="eastAsia"/>
          <w:highlight w:val="none"/>
          <w:lang w:val="en-US" w:eastAsia="zh-CN"/>
        </w:rPr>
        <w:t xml:space="preserve">我部门无政府性基金支出</w:t>
      </w:r>
      <w:r>
        <w:rPr>
          <w:rFonts w:hint="eastAsia"/>
        </w:rPr>
        <w:t xml:space="preserve">。</w:t>
      </w:r>
    </w:p>
    <w:p>
      <w:pPr>
        <w:pStyle w:val="Bodytext|2"/>
        <w:keepNext w:val="0"/>
        <w:keepLines w:val="0"/>
        <w:pageBreakBefore w:val="0"/>
        <w:widowControl w:val="0"/>
        <w:kinsoku/>
        <w:wordWrap/>
        <w:overflowPunct/>
        <w:topLinePunct w:val="0"/>
        <w:autoSpaceDE/>
        <w:autoSpaceDN/>
        <w:bidi w:val="0"/>
        <w:adjustRightInd/>
        <w:snapToGrid/>
        <w:spacing w:before="120" w:after="0" w:line="600" w:lineRule="exact"/>
        <w:ind w:firstLine="618"/>
        <w:jc w:val="left"/>
        <w:textAlignment w:val="auto"/>
        <w:rPr>
          <w:rFonts w:hint="eastAsia"/>
          <w:b/>
          <w:bCs/>
          <w:lang w:val="en-US" w:eastAsia="zh-CN"/>
        </w:rPr>
      </w:pPr>
      <w:bookmarkStart w:id="16" w:name="bookmark91"/>
      <w:r>
        <w:rPr>
          <w:rFonts w:hint="eastAsia"/>
          <w:b/>
          <w:bCs/>
          <w:lang w:val="en-US" w:eastAsia="zh-CN"/>
        </w:rPr>
        <w:t xml:space="preserve">九</w:t>
      </w:r>
      <w:bookmarkEnd w:id="16"/>
      <w:r>
        <w:rPr>
          <w:rFonts w:hint="eastAsia"/>
          <w:b/>
          <w:bCs/>
          <w:lang w:val="en-US" w:eastAsia="zh-CN"/>
        </w:rPr>
        <w:t xml:space="preserve">、国有资本经营预算支出情况说明</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eastAsia="宋体" w:hint="eastAsia"/>
          <w:lang w:eastAsia="zh-CN"/>
        </w:rPr>
      </w:pPr>
      <w:r>
        <w:rPr>
          <w:rFonts w:hint="eastAsia"/>
        </w:rPr>
        <w:t xml:space="preserve">我部门</w:t>
      </w:r>
      <w:r>
        <w:rPr>
          <w:rFonts w:hint="eastAsia"/>
          <w:lang w:eastAsia="zh-CN"/>
        </w:rPr>
        <w:t xml:space="preserve">2024</w:t>
      </w:r>
      <w:r>
        <w:rPr>
          <w:rFonts w:hint="eastAsia"/>
        </w:rPr>
        <w:t xml:space="preserve">年国有资本经营预算支出共</w:t>
      </w:r>
      <w:r>
        <w:rPr>
          <w:rFonts w:hint="eastAsia"/>
          <w:lang w:eastAsia="zh-CN"/>
        </w:rPr>
        <w:t xml:space="preserve">0.00</w:t>
      </w:r>
      <w:r>
        <w:rPr>
          <w:rFonts w:hint="eastAsia"/>
        </w:rPr>
        <w:t xml:space="preserve">万元，较2023年度预算数</w:t>
      </w:r>
      <w:r>
        <w:rPr>
          <w:rFonts w:hint="eastAsia"/>
          <w:lang w:eastAsia="zh-CN"/>
        </w:rPr>
        <w:t xml:space="preserve">0.00</w:t>
      </w:r>
      <w:r>
        <w:rPr>
          <w:rFonts w:hint="eastAsia"/>
        </w:rPr>
        <w:t xml:space="preserve">万元，</w:t>
      </w:r>
      <w:r>
        <w:rPr>
          <w:rFonts w:hint="eastAsia"/>
          <w:lang w:eastAsia="zh-CN"/>
        </w:rPr>
        <w:t xml:space="preserve">增加0.00</w:t>
      </w:r>
      <w:r>
        <w:rPr>
          <w:rFonts w:hint="eastAsia"/>
        </w:rPr>
        <w:t xml:space="preserve">万元，</w:t>
      </w:r>
      <w:r>
        <w:rPr>
          <w:rFonts w:hint="eastAsia"/>
          <w:lang w:eastAsia="zh-CN"/>
        </w:rPr>
        <w:t xml:space="preserve">增长0%</w:t>
      </w:r>
      <w:r>
        <w:rPr>
          <w:rFonts w:hint="eastAsia"/>
        </w:rPr>
        <w:t xml:space="preserve">，主要原因是</w:t>
      </w:r>
      <w:r>
        <w:rPr>
          <w:rFonts w:hint="eastAsia"/>
          <w:lang w:val="en-US" w:eastAsia="zh-CN"/>
        </w:rPr>
        <w:t xml:space="preserve">我部门无国有资本经营预算支出</w:t>
      </w:r>
      <w:r>
        <w:rPr>
          <w:rFonts w:hint="eastAsia"/>
        </w:rPr>
        <w:t xml:space="preserve">。</w:t>
      </w:r>
    </w:p>
    <w:p>
      <w:pPr>
        <w:pStyle w:val="Bodytext|2"/>
        <w:keepNext w:val="0"/>
        <w:keepLines w:val="0"/>
        <w:pageBreakBefore w:val="0"/>
        <w:widowControl w:val="0"/>
        <w:tabs>
          <w:tab w:val="left" w:pos="1235"/>
        </w:tabs>
        <w:kinsoku/>
        <w:wordWrap/>
        <w:overflowPunct/>
        <w:topLinePunct w:val="0"/>
        <w:autoSpaceDE/>
        <w:autoSpaceDN/>
        <w:bidi w:val="0"/>
        <w:adjustRightInd/>
        <w:snapToGrid/>
        <w:spacing w:before="120" w:after="0" w:line="600" w:lineRule="exact"/>
        <w:ind w:firstLine="578"/>
        <w:jc w:val="left"/>
        <w:textAlignment w:val="auto"/>
        <w:rPr>
          <w:b/>
          <w:bCs/>
        </w:rPr>
      </w:pPr>
      <w:r>
        <w:rPr>
          <w:b/>
          <w:bCs/>
        </w:rPr>
        <w:t xml:space="preserve">十、其他重要事项</w:t>
      </w:r>
      <w:r>
        <w:rPr>
          <w:rFonts w:hint="eastAsia"/>
          <w:b/>
          <w:bCs/>
          <w:lang w:val="en-US" w:eastAsia="zh-CN"/>
        </w:rPr>
        <w:t xml:space="preserve">情况</w:t>
      </w:r>
      <w:r>
        <w:rPr>
          <w:b/>
          <w:bCs/>
        </w:rPr>
        <w:t xml:space="preserve">说明</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ascii="宋体" w:eastAsia="宋体" w:hAnsi="宋体" w:cs="宋体" w:hint="eastAsia"/>
          <w:sz w:val="28"/>
          <w:szCs w:val="28"/>
          <w:lang w:eastAsia="zh-CN"/>
        </w:rPr>
      </w:pPr>
      <w:r>
        <w:rPr>
          <w:rFonts w:ascii="宋体" w:eastAsia="宋体" w:hAnsi="宋体" w:cs="宋体" w:hint="eastAsia"/>
          <w:sz w:val="28"/>
          <w:szCs w:val="28"/>
          <w:lang w:eastAsia="zh-CN"/>
        </w:rPr>
        <w:t xml:space="preserve">（一）机关运行经费安排情况说明</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ascii="宋体" w:eastAsia="宋体" w:hAnsi="宋体" w:cs="宋体" w:hint="eastAsia"/>
          <w:sz w:val="28"/>
          <w:szCs w:val="28"/>
          <w:lang w:eastAsia="zh-CN"/>
        </w:rPr>
      </w:pPr>
      <w:r>
        <w:rPr>
          <w:rFonts w:ascii="宋体" w:eastAsia="宋体" w:hAnsi="宋体" w:cs="宋体" w:hint="eastAsia"/>
          <w:sz w:val="28"/>
          <w:szCs w:val="28"/>
          <w:lang w:eastAsia="zh-CN"/>
        </w:rPr>
        <w:t xml:space="preserve">2024</w:t>
      </w:r>
      <w:r>
        <w:rPr>
          <w:rFonts w:ascii="宋体" w:eastAsia="宋体" w:hAnsi="宋体" w:cs="宋体" w:hint="eastAsia"/>
          <w:sz w:val="28"/>
          <w:szCs w:val="28"/>
          <w:lang w:eastAsia="zh-CN"/>
        </w:rPr>
        <w:t xml:space="preserve">年本部门机关运行经费预算</w:t>
      </w:r>
      <w:r>
        <w:rPr>
          <w:rFonts w:ascii="宋体" w:eastAsia="宋体" w:hAnsi="宋体" w:cs="宋体" w:hint="eastAsia"/>
          <w:sz w:val="28"/>
          <w:szCs w:val="28"/>
          <w:lang w:val="en-US" w:eastAsia="zh-CN"/>
        </w:rPr>
        <w:t xml:space="preserve">8.86</w:t>
      </w:r>
      <w:r>
        <w:rPr>
          <w:rFonts w:ascii="宋体" w:eastAsia="宋体" w:hAnsi="宋体" w:cs="宋体" w:hint="eastAsia"/>
          <w:sz w:val="28"/>
          <w:szCs w:val="28"/>
          <w:lang w:eastAsia="zh-CN"/>
        </w:rPr>
        <w:t xml:space="preserve">万元，较2023年度预算数</w:t>
      </w:r>
      <w:r>
        <w:rPr>
          <w:rFonts w:ascii="宋体" w:eastAsia="宋体" w:hAnsi="宋体" w:cs="宋体" w:hint="eastAsia"/>
          <w:sz w:val="28"/>
          <w:szCs w:val="28"/>
          <w:lang w:val="en-US" w:eastAsia="zh-CN"/>
        </w:rPr>
        <w:t xml:space="preserve">11.45</w:t>
      </w:r>
      <w:r>
        <w:rPr>
          <w:rFonts w:ascii="宋体" w:eastAsia="宋体" w:hAnsi="宋体" w:cs="宋体" w:hint="eastAsia"/>
          <w:sz w:val="28"/>
          <w:szCs w:val="28"/>
          <w:lang w:eastAsia="zh-CN"/>
        </w:rPr>
        <w:t xml:space="preserve">万元，</w:t>
      </w:r>
      <w:r>
        <w:rPr>
          <w:rFonts w:ascii="宋体" w:eastAsia="宋体" w:hAnsi="宋体" w:cs="宋体" w:hint="eastAsia"/>
          <w:sz w:val="28"/>
          <w:szCs w:val="28"/>
          <w:lang w:val="en-US" w:eastAsia="zh-CN"/>
        </w:rPr>
        <w:t xml:space="preserve">减少2.59</w:t>
      </w:r>
      <w:r>
        <w:rPr>
          <w:rFonts w:ascii="宋体" w:eastAsia="宋体" w:hAnsi="宋体" w:cs="宋体" w:hint="eastAsia"/>
          <w:sz w:val="28"/>
          <w:szCs w:val="28"/>
          <w:lang w:eastAsia="zh-CN"/>
        </w:rPr>
        <w:t xml:space="preserve">万元，</w:t>
      </w:r>
      <w:r>
        <w:rPr>
          <w:rFonts w:ascii="宋体" w:eastAsia="宋体" w:hAnsi="宋体" w:cs="宋体" w:hint="eastAsia"/>
          <w:sz w:val="28"/>
          <w:szCs w:val="28"/>
          <w:lang w:val="en-US" w:eastAsia="zh-CN"/>
        </w:rPr>
        <w:t xml:space="preserve">下降22.62%</w:t>
      </w:r>
      <w:r>
        <w:rPr>
          <w:rFonts w:ascii="宋体" w:eastAsia="宋体" w:hAnsi="宋体" w:cs="宋体" w:hint="eastAsia"/>
          <w:sz w:val="28"/>
          <w:szCs w:val="28"/>
          <w:lang w:eastAsia="zh-CN"/>
        </w:rPr>
        <w:t xml:space="preserve">，主要原因是：</w:t>
      </w:r>
      <w:r>
        <w:rPr>
          <w:rFonts w:ascii="宋体" w:eastAsia="宋体" w:hAnsi="宋体" w:cs="宋体" w:hint="eastAsia"/>
          <w:sz w:val="28"/>
          <w:szCs w:val="28"/>
          <w:lang w:val="en-US" w:eastAsia="zh-CN"/>
        </w:rPr>
        <w:t xml:space="preserve">本年度非税收入减少</w:t>
      </w:r>
      <w:r>
        <w:rPr>
          <w:rFonts w:ascii="宋体" w:eastAsia="宋体" w:hAnsi="宋体" w:cs="宋体" w:hint="eastAsia"/>
          <w:sz w:val="28"/>
          <w:szCs w:val="28"/>
          <w:lang w:eastAsia="zh-CN"/>
        </w:rPr>
        <w:t xml:space="preserve">。</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ascii="宋体" w:eastAsia="宋体" w:hAnsi="宋体" w:cs="宋体" w:hint="eastAsia"/>
          <w:sz w:val="28"/>
          <w:szCs w:val="28"/>
          <w:lang w:eastAsia="zh-CN"/>
        </w:rPr>
      </w:pPr>
      <w:r>
        <w:rPr>
          <w:rFonts w:ascii="宋体" w:eastAsia="宋体" w:hAnsi="宋体" w:cs="宋体" w:hint="eastAsia"/>
          <w:sz w:val="28"/>
          <w:szCs w:val="28"/>
          <w:lang w:eastAsia="zh-CN"/>
        </w:rPr>
        <w:t xml:space="preserve">（二）政府采购预算安排情况说明</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ascii="宋体" w:eastAsia="宋体" w:hAnsi="宋体" w:cs="宋体" w:hint="default"/>
          <w:sz w:val="28"/>
          <w:szCs w:val="28"/>
          <w:lang w:val="en-US" w:eastAsia="zh-CN"/>
        </w:rPr>
      </w:pPr>
      <w:r>
        <w:rPr>
          <w:rFonts w:ascii="宋体" w:eastAsia="宋体" w:hAnsi="宋体" w:cs="宋体" w:hint="eastAsia"/>
          <w:sz w:val="28"/>
          <w:szCs w:val="28"/>
          <w:lang w:eastAsia="zh-CN"/>
        </w:rPr>
        <w:t xml:space="preserve">我部门2024年政府采购预算总金额</w:t>
      </w:r>
      <w:r>
        <w:rPr>
          <w:rFonts w:ascii="宋体" w:eastAsia="宋体" w:hAnsi="宋体" w:cs="宋体" w:hint="eastAsia"/>
          <w:sz w:val="28"/>
          <w:szCs w:val="28"/>
          <w:lang w:val="en-US" w:eastAsia="zh-CN"/>
        </w:rPr>
        <w:t xml:space="preserve">0</w:t>
      </w:r>
      <w:r>
        <w:rPr>
          <w:rFonts w:ascii="宋体" w:eastAsia="宋体" w:hAnsi="宋体" w:cs="宋体" w:hint="eastAsia"/>
          <w:sz w:val="28"/>
          <w:szCs w:val="28"/>
          <w:lang w:eastAsia="zh-CN"/>
        </w:rPr>
        <w:t xml:space="preserve">万元。其中：货物类采购</w:t>
      </w:r>
      <w:r>
        <w:rPr>
          <w:rFonts w:ascii="宋体" w:eastAsia="宋体" w:hAnsi="宋体" w:cs="宋体" w:hint="eastAsia"/>
          <w:sz w:val="28"/>
          <w:szCs w:val="28"/>
          <w:lang w:val="en-US" w:eastAsia="zh-CN"/>
        </w:rPr>
        <w:t xml:space="preserve">0</w:t>
      </w:r>
      <w:r>
        <w:rPr>
          <w:rFonts w:ascii="宋体" w:eastAsia="宋体" w:hAnsi="宋体" w:cs="宋体" w:hint="eastAsia"/>
          <w:sz w:val="28"/>
          <w:szCs w:val="28"/>
          <w:lang w:eastAsia="zh-CN"/>
        </w:rPr>
        <w:t xml:space="preserve">万元、工程类采购</w:t>
      </w:r>
      <w:r>
        <w:rPr>
          <w:rFonts w:ascii="宋体" w:eastAsia="宋体" w:hAnsi="宋体" w:cs="宋体" w:hint="eastAsia"/>
          <w:sz w:val="28"/>
          <w:szCs w:val="28"/>
          <w:lang w:val="en-US" w:eastAsia="zh-CN"/>
        </w:rPr>
        <w:t xml:space="preserve">0</w:t>
      </w:r>
      <w:r>
        <w:rPr>
          <w:rFonts w:ascii="宋体" w:eastAsia="宋体" w:hAnsi="宋体" w:cs="宋体" w:hint="eastAsia"/>
          <w:sz w:val="28"/>
          <w:szCs w:val="28"/>
          <w:lang w:eastAsia="zh-CN"/>
        </w:rPr>
        <w:t xml:space="preserve">万元、服务类采购</w:t>
      </w:r>
      <w:r>
        <w:rPr>
          <w:rFonts w:ascii="宋体" w:eastAsia="宋体" w:hAnsi="宋体" w:cs="宋体" w:hint="eastAsia"/>
          <w:sz w:val="28"/>
          <w:szCs w:val="28"/>
          <w:lang w:val="en-US" w:eastAsia="zh-CN"/>
        </w:rPr>
        <w:t xml:space="preserve">0</w:t>
      </w:r>
      <w:r>
        <w:rPr>
          <w:rFonts w:ascii="宋体" w:eastAsia="宋体" w:hAnsi="宋体" w:cs="宋体" w:hint="eastAsia"/>
          <w:sz w:val="28"/>
          <w:szCs w:val="28"/>
          <w:lang w:eastAsia="zh-CN"/>
        </w:rPr>
        <w:t xml:space="preserve">万元。</w:t>
      </w:r>
      <w:r>
        <w:rPr>
          <w:rFonts w:ascii="宋体" w:eastAsia="宋体" w:hAnsi="宋体" w:cs="宋体" w:hint="eastAsia"/>
          <w:sz w:val="28"/>
          <w:szCs w:val="28"/>
          <w:lang w:val="en-US" w:eastAsia="zh-CN"/>
        </w:rPr>
        <w:t xml:space="preserve">主要用于：无</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ascii="宋体" w:eastAsia="宋体" w:hAnsi="宋体" w:cs="宋体" w:hint="eastAsia"/>
          <w:sz w:val="28"/>
          <w:szCs w:val="28"/>
          <w:lang w:eastAsia="zh-CN"/>
        </w:rPr>
      </w:pPr>
      <w:r>
        <w:rPr>
          <w:rFonts w:ascii="宋体" w:eastAsia="宋体" w:hAnsi="宋体" w:cs="宋体" w:hint="eastAsia"/>
          <w:sz w:val="28"/>
          <w:szCs w:val="28"/>
          <w:lang w:eastAsia="zh-CN"/>
        </w:rPr>
        <w:t xml:space="preserve">（三）国有资产占用情况说明</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ascii="宋体" w:eastAsia="宋体" w:hAnsi="宋体" w:cs="宋体" w:hint="eastAsia"/>
          <w:sz w:val="28"/>
          <w:szCs w:val="28"/>
          <w:lang w:eastAsia="zh-CN"/>
        </w:rPr>
      </w:pPr>
      <w:r>
        <w:rPr>
          <w:rFonts w:ascii="宋体" w:eastAsia="宋体" w:hAnsi="宋体" w:cs="宋体" w:hint="eastAsia"/>
          <w:sz w:val="28"/>
          <w:szCs w:val="28"/>
          <w:lang w:eastAsia="zh-CN"/>
        </w:rPr>
        <w:t xml:space="preserve">截至2023年12月31日，本部门共有车辆</w:t>
      </w:r>
      <w:r>
        <w:rPr>
          <w:rFonts w:hint="eastAsia"/>
          <w:highlight w:val="none"/>
          <w:lang w:val="en-US" w:eastAsia="zh-CN"/>
        </w:rPr>
        <w:t xml:space="preserve">0</w:t>
      </w:r>
      <w:r>
        <w:rPr>
          <w:rFonts w:ascii="宋体" w:eastAsia="宋体" w:hAnsi="宋体" w:cs="宋体" w:hint="eastAsia"/>
          <w:sz w:val="28"/>
          <w:szCs w:val="28"/>
          <w:lang w:eastAsia="zh-CN"/>
        </w:rPr>
        <w:t xml:space="preserve">辆，其中，应急机要通信用车</w:t>
      </w:r>
      <w:r>
        <w:rPr>
          <w:rFonts w:hint="eastAsia"/>
          <w:highlight w:val="none"/>
          <w:lang w:val="en-US" w:eastAsia="zh-CN"/>
        </w:rPr>
        <w:t xml:space="preserve">0</w:t>
      </w:r>
      <w:r>
        <w:rPr>
          <w:rFonts w:ascii="宋体" w:eastAsia="宋体" w:hAnsi="宋体" w:cs="宋体" w:hint="eastAsia"/>
          <w:sz w:val="28"/>
          <w:szCs w:val="28"/>
          <w:lang w:eastAsia="zh-CN"/>
        </w:rPr>
        <w:t xml:space="preserve">辆、一般执法执勤用车</w:t>
      </w:r>
      <w:r>
        <w:rPr>
          <w:rFonts w:hint="eastAsia"/>
          <w:highlight w:val="none"/>
          <w:lang w:val="en-US" w:eastAsia="zh-CN"/>
        </w:rPr>
        <w:t xml:space="preserve">0</w:t>
      </w:r>
      <w:r>
        <w:rPr>
          <w:rFonts w:ascii="宋体" w:eastAsia="宋体" w:hAnsi="宋体" w:cs="宋体" w:hint="eastAsia"/>
          <w:sz w:val="28"/>
          <w:szCs w:val="28"/>
          <w:lang w:eastAsia="zh-CN"/>
        </w:rPr>
        <w:t xml:space="preserve">辆、特种专业技术用车</w:t>
      </w:r>
      <w:r>
        <w:rPr>
          <w:rFonts w:hint="eastAsia"/>
          <w:highlight w:val="none"/>
          <w:lang w:val="en-US" w:eastAsia="zh-CN"/>
        </w:rPr>
        <w:t xml:space="preserve">0</w:t>
      </w:r>
      <w:r>
        <w:rPr>
          <w:rFonts w:ascii="宋体" w:eastAsia="宋体" w:hAnsi="宋体" w:cs="宋体" w:hint="eastAsia"/>
          <w:sz w:val="28"/>
          <w:szCs w:val="28"/>
          <w:lang w:eastAsia="zh-CN"/>
        </w:rPr>
        <w:t xml:space="preserve">辆、其他用车</w:t>
      </w:r>
      <w:r>
        <w:rPr>
          <w:rFonts w:hint="eastAsia"/>
          <w:highlight w:val="none"/>
          <w:lang w:val="en-US" w:eastAsia="zh-CN"/>
        </w:rPr>
        <w:t xml:space="preserve">0</w:t>
      </w:r>
      <w:r>
        <w:rPr>
          <w:rFonts w:ascii="宋体" w:eastAsia="宋体" w:hAnsi="宋体" w:cs="宋体" w:hint="eastAsia"/>
          <w:sz w:val="28"/>
          <w:szCs w:val="28"/>
          <w:lang w:eastAsia="zh-CN"/>
        </w:rPr>
        <w:t xml:space="preserve">辆，单位价值200万元以上大型设备</w:t>
      </w:r>
      <w:r>
        <w:rPr>
          <w:rFonts w:hint="eastAsia"/>
          <w:highlight w:val="none"/>
          <w:lang w:val="en-US" w:eastAsia="zh-CN"/>
        </w:rPr>
        <w:t xml:space="preserve">0</w:t>
      </w:r>
      <w:r>
        <w:rPr>
          <w:rFonts w:ascii="宋体" w:eastAsia="宋体" w:hAnsi="宋体" w:cs="宋体" w:hint="eastAsia"/>
          <w:sz w:val="28"/>
          <w:szCs w:val="28"/>
          <w:lang w:eastAsia="zh-CN"/>
        </w:rPr>
        <w:t xml:space="preserve">台（套）。</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ascii="宋体" w:eastAsia="宋体" w:hAnsi="宋体" w:cs="宋体" w:hint="eastAsia"/>
          <w:sz w:val="28"/>
          <w:szCs w:val="28"/>
          <w:lang w:eastAsia="zh-CN"/>
        </w:rPr>
      </w:pPr>
      <w:r>
        <w:rPr>
          <w:rFonts w:ascii="宋体" w:eastAsia="宋体" w:hAnsi="宋体" w:cs="宋体" w:hint="eastAsia"/>
          <w:sz w:val="28"/>
          <w:szCs w:val="28"/>
          <w:lang w:eastAsia="zh-CN"/>
        </w:rPr>
        <w:t xml:space="preserve">（四）预算绩效目标情况说明</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ascii="宋体" w:eastAsia="宋体" w:hAnsi="宋体" w:cs="宋体" w:hint="eastAsia"/>
          <w:sz w:val="28"/>
          <w:szCs w:val="28"/>
          <w:lang w:eastAsia="zh-CN"/>
        </w:rPr>
      </w:pPr>
      <w:r>
        <w:rPr>
          <w:rFonts w:ascii="宋体" w:eastAsia="宋体" w:hAnsi="宋体" w:cs="宋体" w:hint="eastAsia"/>
          <w:sz w:val="28"/>
          <w:szCs w:val="28"/>
          <w:lang w:eastAsia="zh-CN"/>
        </w:rPr>
        <w:t xml:space="preserve">1.我部门2024年所有项目支出全面实施绩效目标管理，涉及项目</w:t>
      </w:r>
      <w:r>
        <w:rPr>
          <w:rFonts w:hint="eastAsia"/>
          <w:highlight w:val="none"/>
          <w:lang w:val="en-US" w:eastAsia="zh-CN"/>
        </w:rPr>
        <w:t xml:space="preserve">6</w:t>
      </w:r>
      <w:r>
        <w:rPr>
          <w:rFonts w:ascii="宋体" w:eastAsia="宋体" w:hAnsi="宋体" w:cs="宋体" w:hint="eastAsia"/>
          <w:sz w:val="28"/>
          <w:szCs w:val="28"/>
          <w:lang w:eastAsia="zh-CN"/>
        </w:rPr>
        <w:t xml:space="preserve">个，预算资金</w:t>
      </w:r>
      <w:r>
        <w:rPr>
          <w:rFonts w:hint="eastAsia"/>
          <w:highlight w:val="none"/>
          <w:lang w:val="en-US" w:eastAsia="zh-CN"/>
        </w:rPr>
        <w:t xml:space="preserve">36.86</w:t>
      </w:r>
      <w:r>
        <w:rPr>
          <w:rFonts w:ascii="宋体" w:eastAsia="宋体" w:hAnsi="宋体" w:cs="宋体" w:hint="eastAsia"/>
          <w:sz w:val="28"/>
          <w:szCs w:val="28"/>
          <w:lang w:eastAsia="zh-CN"/>
        </w:rPr>
        <w:t xml:space="preserve">万元。绩效目标情况详见报表（日常运转类项目、工资类人员经费项目和涉密项目等除外）。</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ascii="宋体" w:eastAsia="宋体" w:hAnsi="宋体" w:cs="宋体" w:hint="eastAsia"/>
          <w:sz w:val="28"/>
          <w:szCs w:val="28"/>
          <w:lang w:eastAsia="zh-CN"/>
        </w:rPr>
      </w:pPr>
      <w:r>
        <w:rPr>
          <w:rFonts w:ascii="宋体" w:eastAsia="宋体" w:hAnsi="宋体" w:cs="宋体" w:hint="eastAsia"/>
          <w:sz w:val="28"/>
          <w:szCs w:val="28"/>
          <w:lang w:eastAsia="zh-CN"/>
        </w:rPr>
        <w:t xml:space="preserve">2.重点项目预算绩效目标说明。</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hint="eastAsia"/>
          <w:highlight w:val="none"/>
          <w:lang w:val="en-US" w:eastAsia="zh-CN"/>
        </w:rPr>
      </w:pPr>
      <w:r>
        <w:rPr>
          <w:rFonts w:hint="eastAsia"/>
          <w:highlight w:val="none"/>
          <w:lang w:val="en-US" w:eastAsia="zh-CN"/>
        </w:rPr>
        <w:t xml:space="preserve">重点项目一、义务教育中央级公用经费，保障学校日常办公运行保障学校正常运转；重点项目二、营养改善计划膳食补助资金，通过学生营养改善计划膳食补助经费，解决学生家庭经济困难生活问题，提高学生的生活质量；重点项目三、自治区级乡村教师生活补助，通过乡村教师生活补助的发放，提高乡村教师待遇，激发工作积极性；重点项目四、自治区公用经费，保障学校的正常运转，自治区公用经费用于学校日常办公、水电费、网络费、日常维修、教师培训出差等；重点项目五、下南乡初级中学年初预算经费（门面租金收入）（三保），下南乡初级中学年初预算经费（门面租金收入）；重点项目六、下南乡初级中学年初预算经费（门面租金收入），下南乡初级中学年初预算经费（门面租金收入）,该项目资金用于学校日常维修，水电费支出以及其他办公用品购置等。</w:t>
      </w:r>
    </w:p>
    <w:p>
      <w:pPr>
        <w:pStyle w:val="Bodytext|1"/>
        <w:spacing w:line="624" w:lineRule="exact"/>
        <w:ind w:firstLine="600"/>
        <w:jc w:val="left"/>
        <w:rPr>
          <w:rFonts w:hint="eastAsia"/>
          <w:highlight w:val="none"/>
          <w:lang w:val="en-US" w:eastAsia="zh-CN"/>
        </w:rPr>
      </w:pPr>
    </w:p>
    <w:p>
      <w:pPr>
        <w:pStyle w:val="Bodytext|1"/>
        <w:spacing w:line="624" w:lineRule="exact"/>
        <w:jc w:val="left"/>
        <w:rPr>
          <w:rFonts w:hint="default"/>
          <w:highlight w:val="none"/>
          <w:lang w:val="en-US" w:eastAsia="zh-CN"/>
        </w:rPr>
        <w:sectPr>
          <w:headerReference w:type="default" r:id="rId12"/>
          <w:footerReference w:type="default" r:id="rId13"/>
          <w:pgSz w:w="11900" w:h="16840" w:orient="portrait"/>
          <w:pgMar w:top="1440" w:right="1800" w:bottom="1440" w:left="1800" w:header="0" w:footer="1077" w:gutter="0"/>
          <w:pgBorders>
            <w:top w:val="none" w:sz="0" w:space="0" w:color="auto"/>
            <w:left w:val="none" w:sz="0" w:space="0" w:color="auto"/>
            <w:bottom w:val="none" w:sz="0" w:space="0" w:color="auto"/>
            <w:right w:val="none" w:sz="0" w:space="0" w:color="auto"/>
          </w:pgBorders>
          <w:pgNumType w:fmt="decimal"/>
          <w:cols w:num="1" w:space="720">
            <w:col w:w="8300" w:space="720"/>
          </w:cols>
          <w:docGrid w:linePitch="360" w:charSpace="0"/>
        </w:sectPr>
      </w:pPr>
    </w:p>
    <w:p>
      <w:pPr>
        <w:pStyle w:val="Heading#1|1"/>
        <w:keepNext/>
        <w:keepLines/>
        <w:spacing w:after="980"/>
        <w:jc w:val="center"/>
        <w:rPr>
          <w:rFonts w:ascii="宋体" w:eastAsia="宋体" w:hAnsi="宋体" w:cs="宋体" w:hint="eastAsia"/>
          <w:b/>
          <w:bCs/>
          <w:sz w:val="36"/>
          <w:szCs w:val="36"/>
        </w:rPr>
      </w:pPr>
      <w:bookmarkEnd w:id="10"/>
      <w:bookmarkEnd w:id="11"/>
      <w:bookmarkEnd w:id="12"/>
      <w:r>
        <w:rPr>
          <w:rFonts w:ascii="宋体" w:eastAsia="宋体" w:hAnsi="宋体" w:cs="宋体" w:hint="eastAsia"/>
          <w:b/>
          <w:bCs/>
          <w:sz w:val="36"/>
          <w:szCs w:val="36"/>
        </w:rPr>
        <w:t xml:space="preserve">第</w:t>
      </w:r>
      <w:r>
        <w:rPr>
          <w:rFonts w:ascii="宋体" w:eastAsia="宋体" w:hAnsi="宋体" w:cs="宋体" w:hint="eastAsia"/>
          <w:b/>
          <w:bCs/>
          <w:sz w:val="36"/>
          <w:szCs w:val="36"/>
          <w:lang w:val="en-US" w:eastAsia="zh-CN"/>
        </w:rPr>
        <w:t xml:space="preserve">三</w:t>
      </w:r>
      <w:r>
        <w:rPr>
          <w:rFonts w:ascii="宋体" w:eastAsia="宋体" w:hAnsi="宋体" w:cs="宋体" w:hint="eastAsia"/>
          <w:b/>
          <w:bCs/>
          <w:sz w:val="36"/>
          <w:szCs w:val="36"/>
        </w:rPr>
        <w:t xml:space="preserve">部分</w:t>
      </w:r>
      <w:r>
        <w:rPr>
          <w:rFonts w:ascii="宋体" w:eastAsia="宋体" w:hAnsi="宋体" w:cs="宋体" w:hint="eastAsia"/>
          <w:b/>
          <w:bCs/>
          <w:sz w:val="36"/>
          <w:szCs w:val="36"/>
          <w:lang w:eastAsia="zh-CN"/>
        </w:rPr>
        <w:t xml:space="preserve">环江毛南族自治县下南乡初级中学</w:t>
      </w:r>
      <w:r>
        <w:rPr>
          <w:rFonts w:ascii="宋体" w:eastAsia="宋体" w:hAnsi="宋体" w:cs="宋体"/>
          <w:b/>
          <w:sz w:val="36"/>
          <w:u w:color="auto"/>
        </w:rPr>
        <w:t xml:space="preserve">2024</w:t>
      </w:r>
      <w:r>
        <w:rPr>
          <w:rFonts w:ascii="宋体" w:eastAsia="宋体" w:hAnsi="宋体" w:cs="宋体"/>
          <w:b/>
          <w:sz w:val="36"/>
          <w:u w:color="auto"/>
        </w:rPr>
        <w:t xml:space="preserve">年</w:t>
      </w:r>
      <w:r>
        <w:rPr>
          <w:rFonts w:ascii="宋体" w:eastAsia="宋体" w:hAnsi="宋体" w:cs="宋体" w:hint="eastAsia"/>
          <w:b/>
          <w:bCs/>
          <w:sz w:val="36"/>
          <w:szCs w:val="36"/>
        </w:rPr>
        <w:t xml:space="preserve">部门预算表</w:t>
      </w:r>
    </w:p>
    <w:p>
      <w:pPr>
        <w:pStyle w:val="Heading#2|1"/>
        <w:keepNext/>
        <w:keepLines/>
        <w:spacing w:after="240"/>
        <w:jc w:val="center"/>
      </w:pPr>
      <w:bookmarkStart w:id="17" w:name="bookmark29"/>
      <w:bookmarkStart w:id="18" w:name="bookmark31"/>
      <w:bookmarkStart w:id="19" w:name="bookmark30"/>
      <w:r>
        <w:t xml:space="preserve">收支总体情况表</w:t>
      </w:r>
      <w:bookmarkEnd w:id="17"/>
      <w:bookmarkEnd w:id="18"/>
      <w:bookmarkEnd w:id="19"/>
    </w:p>
    <w:tbl>
      <w:tblPr>
        <w:tblStyle w:val="NormalTable"/>
        <w:tblW w:w="0" w:type="auto"/>
        <w:tblInd w:w="0" w:type="dxa"/>
        <w:tblLayout w:type="fixed"/>
        <w:tblCellMar>
          <w:top w:w="0" w:type="dxa"/>
          <w:left w:w="10" w:type="dxa"/>
          <w:bottom w:w="0" w:type="dxa"/>
          <w:right w:w="10" w:type="dxa"/>
        </w:tblCellMar>
        <w:tblLook w:firstRow="0" w:lastRow="0" w:firstColumn="0" w:lastColumn="0" w:noHBand="1" w:noVBand="1"/>
      </w:tblPr>
      <w:tblGrid>
        <w:gridCol w:w="3339"/>
        <w:gridCol w:w="3760"/>
        <w:gridCol w:w="3542"/>
        <w:gridCol w:w="3571"/>
      </w:tblGrid>
      <w:tr>
        <w:tblPrEx>
          <w:tblW w:w="0" w:type="auto"/>
          <w:tblInd w:w="0" w:type="dxa"/>
          <w:tblLayout w:type="fixed"/>
          <w:tblCellMar>
            <w:top w:w="0" w:type="dxa"/>
            <w:left w:w="10" w:type="dxa"/>
            <w:bottom w:w="0" w:type="dxa"/>
            <w:right w:w="10" w:type="dxa"/>
          </w:tblCellMar>
        </w:tblPrEx>
        <w:trPr>
          <w:trHeight w:hRule="exact" w:val="331"/>
        </w:trPr>
        <w:tc>
          <w:tcPr>
            <w:tcW w:w="10641" w:type="dxa"/>
            <w:gridSpan w:val="3"/>
            <w:tcBorders>
              <w:bottom w:val="single" w:sz="4" w:space="0" w:color="auto"/>
            </w:tcBorders>
            <w:shd w:val="clear" w:color="auto" w:fill="FFFFFF"/>
          </w:tcPr>
          <w:p>
            <w:pPr>
              <w:pStyle w:val="Other|1"/>
              <w:spacing w:line="240" w:lineRule="auto"/>
              <w:ind w:firstLine="0"/>
              <w:jc w:val="left"/>
              <w:rPr>
                <w:sz w:val="17"/>
                <w:szCs w:val="17"/>
              </w:rPr>
            </w:pPr>
            <w:r>
              <w:rPr>
                <w:sz w:val="17"/>
                <w:szCs w:val="17"/>
              </w:rPr>
              <w:t xml:space="preserve">单位名称：</w:t>
            </w:r>
            <w:r>
              <w:rPr>
                <w:rFonts w:hint="eastAsia"/>
                <w:sz w:val="17"/>
                <w:szCs w:val="17"/>
                <w:lang w:eastAsia="zh-CN"/>
              </w:rPr>
              <w:t xml:space="preserve">环江毛南族自治县下南乡初级中学</w:t>
            </w:r>
          </w:p>
        </w:tc>
        <w:tc>
          <w:tcPr>
            <w:tcW w:w="3571" w:type="dxa"/>
            <w:tcBorders>
              <w:bottom w:val="single" w:sz="4" w:space="0" w:color="auto"/>
            </w:tcBorders>
            <w:shd w:val="clear" w:color="auto" w:fill="FFFFFF"/>
          </w:tcPr>
          <w:p>
            <w:pPr>
              <w:pStyle w:val="Other|1"/>
              <w:spacing w:line="240" w:lineRule="auto"/>
              <w:ind w:firstLine="2380" w:firstLineChars="1400"/>
              <w:jc w:val="left"/>
              <w:rPr>
                <w:sz w:val="17"/>
                <w:szCs w:val="17"/>
              </w:rPr>
            </w:pPr>
            <w:r>
              <w:rPr>
                <w:sz w:val="17"/>
                <w:szCs w:val="17"/>
              </w:rPr>
              <w:t xml:space="preserve">单位：万元</w:t>
            </w:r>
          </w:p>
        </w:tc>
      </w:tr>
      <w:tr>
        <w:tblPrEx>
          <w:tblW w:w="0" w:type="auto"/>
          <w:tblInd w:w="0" w:type="dxa"/>
          <w:tblLayout w:type="fixed"/>
          <w:tblCellMar>
            <w:top w:w="0" w:type="dxa"/>
            <w:left w:w="10" w:type="dxa"/>
            <w:bottom w:w="0" w:type="dxa"/>
            <w:right w:w="10" w:type="dxa"/>
          </w:tblCellMar>
        </w:tblPrEx>
        <w:trPr>
          <w:trHeight w:hRule="exact" w:val="456"/>
        </w:trPr>
        <w:tc>
          <w:tcPr>
            <w:tcW w:w="7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2890" w:firstLineChars="1700"/>
              <w:jc w:val="both"/>
              <w:rPr>
                <w:sz w:val="17"/>
                <w:szCs w:val="17"/>
              </w:rPr>
            </w:pPr>
            <w:r>
              <w:rPr>
                <w:sz w:val="17"/>
                <w:szCs w:val="17"/>
              </w:rPr>
              <w:t xml:space="preserve">收入</w:t>
            </w:r>
          </w:p>
        </w:tc>
        <w:tc>
          <w:tcPr>
            <w:tcW w:w="71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right="340" w:firstLine="2890" w:firstLineChars="1700"/>
              <w:jc w:val="both"/>
              <w:rPr>
                <w:sz w:val="17"/>
                <w:szCs w:val="17"/>
              </w:rPr>
            </w:pPr>
            <w:r>
              <w:rPr>
                <w:sz w:val="17"/>
                <w:szCs w:val="17"/>
              </w:rPr>
              <w:t xml:space="preserve">支出</w:t>
            </w:r>
          </w:p>
        </w:tc>
      </w:tr>
      <w:tr>
        <w:tblPrEx>
          <w:tblW w:w="0" w:type="auto"/>
          <w:tblInd w:w="0" w:type="dxa"/>
          <w:tblLayout w:type="fixed"/>
          <w:tblCellMar>
            <w:top w:w="0" w:type="dxa"/>
            <w:left w:w="10" w:type="dxa"/>
            <w:bottom w:w="0" w:type="dxa"/>
            <w:right w:w="10" w:type="dxa"/>
          </w:tblCellMar>
        </w:tblPrEx>
        <w:trPr>
          <w:trHeight w:hRule="exact" w:val="432"/>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sz w:val="17"/>
                <w:szCs w:val="17"/>
              </w:rPr>
            </w:pPr>
            <w:r>
              <w:rPr>
                <w:sz w:val="17"/>
                <w:szCs w:val="17"/>
              </w:rPr>
              <w:t xml:space="preserve">项目</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sz w:val="17"/>
                <w:szCs w:val="17"/>
              </w:rPr>
            </w:pPr>
            <w:r>
              <w:rPr>
                <w:sz w:val="17"/>
                <w:szCs w:val="17"/>
              </w:rPr>
              <w:t xml:space="preserve">预算数</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tabs>
                <w:tab w:val="left" w:pos="894"/>
              </w:tabs>
              <w:spacing w:line="240" w:lineRule="auto"/>
              <w:jc w:val="left"/>
              <w:rPr>
                <w:sz w:val="17"/>
                <w:szCs w:val="17"/>
              </w:rPr>
            </w:pPr>
            <w:r>
              <w:rPr>
                <w:sz w:val="17"/>
                <w:szCs w:val="17"/>
              </w:rPr>
              <w:t xml:space="preserve">项</w:t>
            </w:r>
            <w:r>
              <w:rPr>
                <w:sz w:val="17"/>
                <w:szCs w:val="17"/>
              </w:rPr>
              <w:tab/>
            </w:r>
            <w:r>
              <w:rPr>
                <w:sz w:val="17"/>
                <w:szCs w:val="17"/>
              </w:rPr>
              <w:t xml:space="preserve">目（按支出功能科目分类）</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sz w:val="17"/>
                <w:szCs w:val="17"/>
              </w:rPr>
            </w:pPr>
            <w:r>
              <w:rPr>
                <w:sz w:val="17"/>
                <w:szCs w:val="17"/>
              </w:rPr>
              <w:t xml:space="preserve">预算数</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一、一般公共预算拨款</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689.44</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一、一般公共服务支出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8.86</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1、上级补助</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二、外交支出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2、本级</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689.44</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三、国防支出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二、政府性基金预算拨款</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四、公共安全支出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1、上级补助</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五、教育支出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593.82</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2、本级</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六、科学技术支出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三、国有资本经营预算拨款</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七、文化旅游体育与传媒支出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1、上级补助</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八、社会保障和就业支出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61.75</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2、本级</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九、卫生健康支出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四、财政专户管理资金收入</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十、节能环保支出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五、事业收入</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十一、城乡社区支出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六、事业单位经营收入</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十二、农林水支出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七、上级补助收入</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十三、交通运输支出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八、附属单位上缴收入</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十四、资源勘探工业信息等支出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九、其他收入</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十五、商业服务业等支出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十六、金融支出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十七、援助其他地区支出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十八、自然资源海洋气象等支出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十九、住房保障支出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51.88</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二十、粮油物资储备支出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二十一、国有资本经营预算支出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二十二、灾害防治及应急管理支出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二十三、其他支出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二十四、债务还本支出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二十五、债务付息支出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二十六、债务发行费用支出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本年收入合计</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689.44</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本年支出合计</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716.30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上年结转结余</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26.86</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结转下年支出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收入总计</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716.30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支出总计</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716.30</w:t>
            </w:r>
          </w:p>
        </w:tc>
      </w:tr>
    </w:tbl>
    <w:p>
      <w:pPr>
        <w:pStyle w:val="Tablecaption|1"/>
        <w:ind w:left="101"/>
        <w:jc w:val="left"/>
      </w:pPr>
      <w:r>
        <w:t xml:space="preserve">注：报表金额单位转换时可能存在四舍五入尾数误差。</w:t>
      </w:r>
    </w:p>
    <w:p>
      <w:pPr>
        <w:tabs>
          <w:tab w:val="left" w:pos="859"/>
        </w:tabs>
        <w:jc w:val="left"/>
        <w:rPr>
          <w:rFonts w:eastAsia="宋体"/>
          <w:lang w:eastAsia="zh-CN"/>
        </w:rPr>
      </w:pPr>
    </w:p>
    <w:p>
      <w:pPr>
        <w:tabs>
          <w:tab w:val="left" w:pos="859"/>
        </w:tabs>
        <w:jc w:val="left"/>
        <w:rPr>
          <w:rFonts w:eastAsia="宋体"/>
          <w:lang w:eastAsia="zh-CN"/>
        </w:rPr>
      </w:pPr>
    </w:p>
    <w:p>
      <w:pPr>
        <w:tabs>
          <w:tab w:val="left" w:pos="859"/>
        </w:tabs>
        <w:jc w:val="left"/>
        <w:rPr>
          <w:rFonts w:eastAsia="宋体"/>
          <w:lang w:eastAsia="zh-CN"/>
        </w:rPr>
      </w:pPr>
    </w:p>
    <w:p>
      <w:pPr>
        <w:tabs>
          <w:tab w:val="left" w:pos="859"/>
        </w:tabs>
        <w:jc w:val="left"/>
        <w:rPr>
          <w:rFonts w:eastAsia="宋体"/>
          <w:lang w:eastAsia="zh-CN"/>
        </w:rPr>
        <w:sectPr>
          <w:headerReference w:type="default" r:id="rId14"/>
          <w:footerReference w:type="default" r:id="rId15"/>
          <w:pgSz w:w="16840" w:h="11900" w:orient="landscape"/>
          <w:pgMar w:top="2397" w:right="761" w:bottom="1966" w:left="739" w:header="0" w:footer="1474" w:gutter="0"/>
          <w:pgBorders>
            <w:top w:val="none" w:sz="0" w:space="0" w:color="auto"/>
            <w:left w:val="none" w:sz="0" w:space="0" w:color="auto"/>
            <w:bottom w:val="none" w:sz="0" w:space="0" w:color="auto"/>
            <w:right w:val="none" w:sz="0" w:space="0" w:color="auto"/>
          </w:pgBorders>
          <w:pgNumType w:fmt="decimal"/>
          <w:cols w:num="1" w:space="720">
            <w:col w:w="15340" w:space="720"/>
          </w:cols>
          <w:docGrid w:linePitch="360" w:charSpace="0"/>
        </w:sectPr>
      </w:pPr>
    </w:p>
    <w:p>
      <w:pPr>
        <w:tabs>
          <w:tab w:val="left" w:pos="859"/>
        </w:tabs>
        <w:jc w:val="left"/>
        <w:rPr>
          <w:rFonts w:eastAsia="宋体"/>
          <w:lang w:eastAsia="zh-CN"/>
        </w:rPr>
      </w:pPr>
    </w:p>
    <w:p>
      <w:pPr>
        <w:tabs>
          <w:tab w:val="left" w:pos="859"/>
        </w:tabs>
        <w:jc w:val="center"/>
        <w:rPr>
          <w:rFonts w:eastAsia="宋体" w:hint="eastAsia"/>
          <w:lang w:val="en-US" w:eastAsia="zh-CN"/>
        </w:rPr>
      </w:pPr>
    </w:p>
    <w:p>
      <w:pPr>
        <w:tabs>
          <w:tab w:val="left" w:pos="859"/>
        </w:tabs>
        <w:jc w:val="center"/>
        <w:rPr>
          <w:rFonts w:eastAsia="宋体" w:hint="eastAsia"/>
          <w:lang w:val="en-US" w:eastAsia="zh-CN"/>
        </w:rPr>
      </w:pPr>
      <w:r>
        <w:rPr>
          <w:rFonts w:eastAsia="宋体" w:hint="eastAsia"/>
          <w:lang w:val="en-US" w:eastAsia="zh-CN"/>
        </w:rPr>
        <w:t xml:space="preserve">收入总体情况表</w:t>
      </w:r>
    </w:p>
    <w:p>
      <w:pPr>
        <w:tabs>
          <w:tab w:val="left" w:pos="859"/>
        </w:tabs>
        <w:jc w:val="center"/>
        <w:rPr>
          <w:rFonts w:eastAsia="宋体" w:hint="eastAsia"/>
          <w:lang w:val="en-US" w:eastAsia="zh-CN"/>
        </w:rPr>
      </w:pP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Look w:firstRow="0" w:lastRow="0" w:firstColumn="0" w:lastColumn="0" w:noHBand="1" w:noVBand="1"/>
      </w:tblPr>
      <w:tblGrid>
        <w:gridCol w:w="1636"/>
        <w:gridCol w:w="1279"/>
        <w:gridCol w:w="990"/>
        <w:gridCol w:w="926"/>
        <w:gridCol w:w="909"/>
        <w:gridCol w:w="1161"/>
        <w:gridCol w:w="1031"/>
        <w:gridCol w:w="844"/>
        <w:gridCol w:w="856"/>
        <w:gridCol w:w="1035"/>
        <w:gridCol w:w="1011"/>
        <w:gridCol w:w="859"/>
        <w:gridCol w:w="944"/>
        <w:gridCol w:w="150"/>
        <w:gridCol w:w="872"/>
        <w:gridCol w:w="1054"/>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270"/>
        </w:trPr>
        <w:tc>
          <w:tcPr>
            <w:tcW w:w="13481" w:type="dxa"/>
            <w:gridSpan w:val="13"/>
            <w:tcBorders>
              <w:top w:val="nil"/>
              <w:left w:val="nil"/>
              <w:right w:val="nil"/>
            </w:tcBorders>
          </w:tcPr>
          <w:p>
            <w:pPr>
              <w:pStyle w:val="Tablecaption|1"/>
              <w:jc w:val="both"/>
              <w:rPr>
                <w:rFonts w:hint="eastAsia"/>
                <w:lang w:val="en-US" w:eastAsia="zh-CN"/>
              </w:rPr>
            </w:pPr>
            <w:r>
              <w:rPr>
                <w:sz w:val="17"/>
                <w:szCs w:val="17"/>
              </w:rPr>
              <w:t xml:space="preserve">单位名称：</w:t>
            </w:r>
            <w:r>
              <w:rPr>
                <w:rFonts w:hint="eastAsia"/>
                <w:sz w:val="17"/>
                <w:szCs w:val="17"/>
                <w:lang w:eastAsia="zh-CN"/>
              </w:rPr>
              <w:t xml:space="preserve">环江毛南族自治县下南乡初级中学</w:t>
            </w:r>
          </w:p>
        </w:tc>
        <w:tc>
          <w:tcPr>
            <w:tcW w:w="2076" w:type="dxa"/>
            <w:gridSpan w:val="3"/>
            <w:tcBorders>
              <w:top w:val="nil"/>
              <w:left w:val="nil"/>
              <w:right w:val="nil"/>
            </w:tcBorders>
          </w:tcPr>
          <w:p>
            <w:pPr>
              <w:pStyle w:val="Tablecaption|1"/>
              <w:ind w:firstLine="340" w:firstLineChars="200"/>
              <w:jc w:val="left"/>
              <w:rPr>
                <w:rFonts w:hint="eastAsia"/>
                <w:lang w:val="en-US" w:eastAsia="zh-CN"/>
              </w:rPr>
            </w:pPr>
            <w:r>
              <w:rPr>
                <w:sz w:val="17"/>
                <w:szCs w:val="17"/>
              </w:rPr>
              <w:t xml:space="preserve">单位：万元</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c>
          <w:tcPr>
            <w:tcW w:w="1636" w:type="dxa"/>
            <w:vMerge w:val="restart"/>
          </w:tcPr>
          <w:p>
            <w:pPr>
              <w:tabs>
                <w:tab w:val="left" w:pos="859"/>
              </w:tabs>
              <w:jc w:val="both"/>
              <w:rPr>
                <w:rFonts w:eastAsia="宋体" w:hint="eastAsia"/>
                <w:vertAlign w:val="baseline"/>
                <w:lang w:val="en-US" w:eastAsia="zh-CN"/>
              </w:rPr>
            </w:pPr>
            <w:r>
              <w:rPr>
                <w:sz w:val="17"/>
                <w:szCs w:val="17"/>
              </w:rPr>
              <w:t xml:space="preserve">部门（单位）代码</w:t>
            </w:r>
          </w:p>
        </w:tc>
        <w:tc>
          <w:tcPr>
            <w:tcW w:w="1279" w:type="dxa"/>
            <w:vMerge w:val="restart"/>
          </w:tcPr>
          <w:p>
            <w:pPr>
              <w:tabs>
                <w:tab w:val="left" w:pos="859"/>
              </w:tabs>
              <w:jc w:val="both"/>
              <w:rPr>
                <w:rFonts w:eastAsia="宋体" w:hint="eastAsia"/>
                <w:vertAlign w:val="baseline"/>
                <w:lang w:val="en-US" w:eastAsia="zh-CN"/>
              </w:rPr>
            </w:pPr>
            <w:r>
              <w:rPr>
                <w:sz w:val="17"/>
                <w:szCs w:val="17"/>
              </w:rPr>
              <w:t xml:space="preserve">部门（单位）名称</w:t>
            </w:r>
          </w:p>
        </w:tc>
        <w:tc>
          <w:tcPr>
            <w:tcW w:w="990" w:type="dxa"/>
            <w:vMerge w:val="restart"/>
          </w:tcPr>
          <w:p>
            <w:pPr>
              <w:pStyle w:val="Other|1"/>
              <w:spacing w:line="240" w:lineRule="auto"/>
              <w:ind w:firstLine="300" w:firstLineChars="0"/>
              <w:jc w:val="left"/>
              <w:rPr>
                <w:rFonts w:eastAsia="宋体" w:hint="eastAsia"/>
                <w:vertAlign w:val="baseline"/>
                <w:lang w:val="en-US" w:eastAsia="zh-CN"/>
              </w:rPr>
            </w:pPr>
            <w:r>
              <w:rPr>
                <w:rFonts w:hint="eastAsia"/>
                <w:sz w:val="17"/>
                <w:szCs w:val="17"/>
                <w:lang w:val="en-US" w:eastAsia="zh-CN"/>
              </w:rPr>
              <w:t xml:space="preserve">合</w:t>
            </w:r>
            <w:r>
              <w:rPr>
                <w:sz w:val="17"/>
                <w:szCs w:val="17"/>
              </w:rPr>
              <w:t xml:space="preserve">计</w:t>
            </w:r>
          </w:p>
        </w:tc>
        <w:tc>
          <w:tcPr>
            <w:tcW w:w="4871" w:type="dxa"/>
            <w:gridSpan w:val="5"/>
          </w:tcPr>
          <w:p>
            <w:pPr>
              <w:tabs>
                <w:tab w:val="left" w:pos="859"/>
              </w:tabs>
              <w:jc w:val="both"/>
              <w:rPr>
                <w:rFonts w:eastAsia="宋体" w:hint="eastAsia"/>
                <w:vertAlign w:val="baseline"/>
                <w:lang w:val="en-US" w:eastAsia="zh-CN"/>
              </w:rPr>
            </w:pPr>
            <w:r>
              <w:rPr>
                <w:sz w:val="17"/>
                <w:szCs w:val="17"/>
              </w:rPr>
              <w:t xml:space="preserve">本年收入</w:t>
            </w:r>
          </w:p>
        </w:tc>
        <w:tc>
          <w:tcPr>
            <w:tcW w:w="6781" w:type="dxa"/>
            <w:gridSpan w:val="8"/>
          </w:tcPr>
          <w:p>
            <w:pPr>
              <w:tabs>
                <w:tab w:val="left" w:pos="859"/>
              </w:tabs>
              <w:jc w:val="both"/>
              <w:rPr>
                <w:rFonts w:eastAsia="宋体" w:hint="eastAsia"/>
                <w:vertAlign w:val="baseline"/>
                <w:lang w:val="en-US" w:eastAsia="zh-CN"/>
              </w:rPr>
            </w:pPr>
            <w:r>
              <w:rPr>
                <w:sz w:val="17"/>
                <w:szCs w:val="17"/>
              </w:rPr>
              <w:t xml:space="preserve">上年结转结余</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1058"/>
        </w:trPr>
        <w:tc>
          <w:tcPr>
            <w:tcW w:w="1636" w:type="dxa"/>
            <w:vMerge/>
          </w:tcPr>
          <w:p>
            <w:pPr>
              <w:tabs>
                <w:tab w:val="left" w:pos="859"/>
              </w:tabs>
              <w:jc w:val="both"/>
              <w:rPr>
                <w:rFonts w:eastAsia="宋体" w:hint="eastAsia"/>
                <w:vertAlign w:val="baseline"/>
                <w:lang w:val="en-US" w:eastAsia="zh-CN"/>
              </w:rPr>
            </w:pPr>
          </w:p>
        </w:tc>
        <w:tc>
          <w:tcPr>
            <w:tcW w:w="1279" w:type="dxa"/>
            <w:vMerge/>
          </w:tcPr>
          <w:p>
            <w:pPr>
              <w:tabs>
                <w:tab w:val="left" w:pos="859"/>
              </w:tabs>
              <w:jc w:val="both"/>
              <w:rPr>
                <w:rFonts w:eastAsia="宋体" w:hint="eastAsia"/>
                <w:vertAlign w:val="baseline"/>
                <w:lang w:val="en-US" w:eastAsia="zh-CN"/>
              </w:rPr>
            </w:pPr>
          </w:p>
        </w:tc>
        <w:tc>
          <w:tcPr>
            <w:tcW w:w="990" w:type="dxa"/>
            <w:vMerge/>
            <w:vAlign w:val="center"/>
          </w:tcPr>
          <w:p>
            <w:pPr>
              <w:pStyle w:val="Other|1"/>
              <w:spacing w:line="240" w:lineRule="auto"/>
              <w:ind w:firstLine="300" w:firstLineChars="0"/>
              <w:jc w:val="left"/>
              <w:rPr>
                <w:rFonts w:eastAsia="宋体" w:hint="eastAsia"/>
                <w:vertAlign w:val="baseline"/>
                <w:lang w:val="en-US" w:eastAsia="zh-CN"/>
              </w:rPr>
            </w:pPr>
          </w:p>
        </w:tc>
        <w:tc>
          <w:tcPr>
            <w:tcW w:w="926" w:type="dxa"/>
            <w:vAlign w:val="center"/>
          </w:tcPr>
          <w:p>
            <w:pPr>
              <w:pStyle w:val="Other|1"/>
              <w:spacing w:line="240" w:lineRule="auto"/>
              <w:ind w:firstLine="300" w:firstLineChars="0"/>
              <w:jc w:val="left"/>
              <w:rPr>
                <w:rFonts w:eastAsia="宋体" w:hint="eastAsia"/>
                <w:vertAlign w:val="baseline"/>
                <w:lang w:val="en-US" w:eastAsia="zh-CN"/>
              </w:rPr>
            </w:pPr>
            <w:r>
              <w:rPr>
                <w:sz w:val="17"/>
                <w:szCs w:val="17"/>
              </w:rPr>
              <w:t xml:space="preserve">小计</w:t>
            </w:r>
          </w:p>
        </w:tc>
        <w:tc>
          <w:tcPr>
            <w:tcW w:w="909" w:type="dxa"/>
            <w:vAlign w:val="center"/>
          </w:tcPr>
          <w:p>
            <w:pPr>
              <w:pStyle w:val="Other|1"/>
              <w:spacing w:line="317" w:lineRule="exact"/>
              <w:ind w:firstLine="0" w:firstLineChars="0"/>
              <w:jc w:val="left"/>
              <w:rPr>
                <w:rFonts w:eastAsia="宋体" w:hint="eastAsia"/>
                <w:vertAlign w:val="baseline"/>
                <w:lang w:val="en-US" w:eastAsia="zh-CN"/>
              </w:rPr>
            </w:pPr>
            <w:r>
              <w:rPr>
                <w:sz w:val="17"/>
                <w:szCs w:val="17"/>
              </w:rPr>
              <w:t xml:space="preserve">一般公共预算</w:t>
            </w:r>
          </w:p>
        </w:tc>
        <w:tc>
          <w:tcPr>
            <w:tcW w:w="1161" w:type="dxa"/>
            <w:vAlign w:val="center"/>
          </w:tcPr>
          <w:p>
            <w:pPr>
              <w:pStyle w:val="Other|1"/>
              <w:spacing w:line="317" w:lineRule="exact"/>
              <w:ind w:firstLine="0" w:firstLineChars="0"/>
              <w:jc w:val="left"/>
              <w:rPr>
                <w:rFonts w:eastAsia="宋体" w:hint="eastAsia"/>
                <w:vertAlign w:val="baseline"/>
                <w:lang w:val="en-US" w:eastAsia="zh-CN"/>
              </w:rPr>
            </w:pPr>
            <w:r>
              <w:rPr>
                <w:sz w:val="17"/>
                <w:szCs w:val="17"/>
              </w:rPr>
              <w:t xml:space="preserve">政府性基金预算</w:t>
            </w:r>
          </w:p>
        </w:tc>
        <w:tc>
          <w:tcPr>
            <w:tcW w:w="1031" w:type="dxa"/>
            <w:vAlign w:val="center"/>
          </w:tcPr>
          <w:p>
            <w:pPr>
              <w:pStyle w:val="Other|1"/>
              <w:spacing w:line="317" w:lineRule="exact"/>
              <w:ind w:firstLine="0" w:firstLineChars="0"/>
              <w:jc w:val="left"/>
              <w:rPr>
                <w:rFonts w:eastAsia="宋体" w:hint="eastAsia"/>
                <w:vertAlign w:val="baseline"/>
                <w:lang w:val="en-US" w:eastAsia="zh-CN"/>
              </w:rPr>
            </w:pPr>
            <w:r>
              <w:rPr>
                <w:sz w:val="17"/>
                <w:szCs w:val="17"/>
              </w:rPr>
              <w:t xml:space="preserve">国有资本经营预算</w:t>
            </w:r>
          </w:p>
        </w:tc>
        <w:tc>
          <w:tcPr>
            <w:tcW w:w="844" w:type="dxa"/>
          </w:tcPr>
          <w:p>
            <w:pPr>
              <w:pStyle w:val="Other|1"/>
              <w:spacing w:line="312" w:lineRule="exact"/>
              <w:ind w:firstLine="0"/>
              <w:jc w:val="left"/>
              <w:rPr>
                <w:sz w:val="17"/>
                <w:szCs w:val="17"/>
              </w:rPr>
            </w:pPr>
            <w:r>
              <w:rPr>
                <w:sz w:val="17"/>
                <w:szCs w:val="17"/>
              </w:rPr>
              <w:t xml:space="preserve">财政专户管理资金</w:t>
            </w:r>
          </w:p>
          <w:p>
            <w:pPr>
              <w:pStyle w:val="Other|1"/>
              <w:spacing w:line="312" w:lineRule="exact"/>
              <w:ind w:firstLine="0" w:firstLineChars="0"/>
              <w:jc w:val="left"/>
              <w:rPr>
                <w:rFonts w:eastAsia="宋体" w:hint="eastAsia"/>
                <w:vertAlign w:val="baseline"/>
                <w:lang w:val="en-US" w:eastAsia="zh-CN"/>
              </w:rPr>
            </w:pPr>
            <w:r>
              <w:rPr>
                <w:sz w:val="17"/>
                <w:szCs w:val="17"/>
              </w:rPr>
              <w:t xml:space="preserve">收入</w:t>
            </w:r>
          </w:p>
        </w:tc>
        <w:tc>
          <w:tcPr>
            <w:tcW w:w="856" w:type="dxa"/>
            <w:vAlign w:val="center"/>
          </w:tcPr>
          <w:p>
            <w:pPr>
              <w:pStyle w:val="Other|1"/>
              <w:spacing w:line="240" w:lineRule="auto"/>
              <w:ind w:firstLine="0" w:firstLineChars="0"/>
              <w:jc w:val="left"/>
              <w:rPr>
                <w:rFonts w:eastAsia="宋体" w:hint="eastAsia"/>
                <w:vertAlign w:val="baseline"/>
                <w:lang w:val="en-US" w:eastAsia="zh-CN"/>
              </w:rPr>
            </w:pPr>
            <w:r>
              <w:rPr>
                <w:sz w:val="17"/>
                <w:szCs w:val="17"/>
              </w:rPr>
              <w:t xml:space="preserve">单位资金</w:t>
            </w:r>
          </w:p>
        </w:tc>
        <w:tc>
          <w:tcPr>
            <w:tcW w:w="1035" w:type="dxa"/>
            <w:vAlign w:val="center"/>
          </w:tcPr>
          <w:p>
            <w:pPr>
              <w:pStyle w:val="Other|1"/>
              <w:spacing w:line="240" w:lineRule="auto"/>
              <w:ind w:firstLine="300" w:firstLineChars="0"/>
              <w:jc w:val="left"/>
              <w:rPr>
                <w:rFonts w:eastAsia="宋体" w:hint="eastAsia"/>
                <w:vertAlign w:val="baseline"/>
                <w:lang w:val="en-US" w:eastAsia="zh-CN"/>
              </w:rPr>
            </w:pPr>
            <w:r>
              <w:rPr>
                <w:sz w:val="17"/>
                <w:szCs w:val="17"/>
              </w:rPr>
              <w:t xml:space="preserve">小计</w:t>
            </w:r>
          </w:p>
        </w:tc>
        <w:tc>
          <w:tcPr>
            <w:tcW w:w="1011" w:type="dxa"/>
            <w:vAlign w:val="center"/>
          </w:tcPr>
          <w:p>
            <w:pPr>
              <w:pStyle w:val="Other|1"/>
              <w:spacing w:line="317" w:lineRule="exact"/>
              <w:ind w:firstLine="0" w:firstLineChars="0"/>
              <w:jc w:val="left"/>
              <w:rPr>
                <w:rFonts w:eastAsia="宋体" w:hint="eastAsia"/>
                <w:vertAlign w:val="baseline"/>
                <w:lang w:val="en-US" w:eastAsia="zh-CN"/>
              </w:rPr>
            </w:pPr>
            <w:r>
              <w:rPr>
                <w:sz w:val="17"/>
                <w:szCs w:val="17"/>
              </w:rPr>
              <w:t xml:space="preserve">一般公共预算</w:t>
            </w:r>
          </w:p>
        </w:tc>
        <w:tc>
          <w:tcPr>
            <w:tcW w:w="859" w:type="dxa"/>
            <w:vAlign w:val="center"/>
          </w:tcPr>
          <w:p>
            <w:pPr>
              <w:pStyle w:val="Other|1"/>
              <w:spacing w:line="317" w:lineRule="exact"/>
              <w:ind w:firstLine="0" w:firstLineChars="0"/>
              <w:jc w:val="left"/>
              <w:rPr>
                <w:rFonts w:eastAsia="宋体" w:hint="eastAsia"/>
                <w:vertAlign w:val="baseline"/>
                <w:lang w:val="en-US" w:eastAsia="zh-CN"/>
              </w:rPr>
            </w:pPr>
            <w:r>
              <w:rPr>
                <w:sz w:val="17"/>
                <w:szCs w:val="17"/>
              </w:rPr>
              <w:t xml:space="preserve">政府性基金预算</w:t>
            </w:r>
          </w:p>
        </w:tc>
        <w:tc>
          <w:tcPr>
            <w:tcW w:w="1094" w:type="dxa"/>
            <w:gridSpan w:val="2"/>
            <w:vAlign w:val="center"/>
          </w:tcPr>
          <w:p>
            <w:pPr>
              <w:pStyle w:val="Other|1"/>
              <w:spacing w:line="317" w:lineRule="exact"/>
              <w:ind w:firstLine="0" w:firstLineChars="0"/>
              <w:jc w:val="left"/>
              <w:rPr>
                <w:rFonts w:eastAsia="宋体" w:hint="eastAsia"/>
                <w:vertAlign w:val="baseline"/>
                <w:lang w:val="en-US" w:eastAsia="zh-CN"/>
              </w:rPr>
            </w:pPr>
            <w:r>
              <w:rPr>
                <w:sz w:val="17"/>
                <w:szCs w:val="17"/>
              </w:rPr>
              <w:t xml:space="preserve">国有资本经营预算</w:t>
            </w:r>
          </w:p>
        </w:tc>
        <w:tc>
          <w:tcPr>
            <w:tcW w:w="872" w:type="dxa"/>
          </w:tcPr>
          <w:p>
            <w:pPr>
              <w:pStyle w:val="Other|1"/>
              <w:spacing w:line="312" w:lineRule="exact"/>
              <w:ind w:firstLine="0"/>
              <w:jc w:val="left"/>
              <w:rPr>
                <w:sz w:val="17"/>
                <w:szCs w:val="17"/>
              </w:rPr>
            </w:pPr>
            <w:r>
              <w:rPr>
                <w:sz w:val="17"/>
                <w:szCs w:val="17"/>
              </w:rPr>
              <w:t xml:space="preserve">财政专户管理资金</w:t>
            </w:r>
          </w:p>
          <w:p>
            <w:pPr>
              <w:pStyle w:val="Other|1"/>
              <w:spacing w:line="312" w:lineRule="exact"/>
              <w:ind w:right="280" w:firstLine="0" w:rightChars="0" w:firstLineChars="0"/>
              <w:jc w:val="left"/>
              <w:rPr>
                <w:rFonts w:eastAsia="宋体" w:hint="eastAsia"/>
                <w:vertAlign w:val="baseline"/>
                <w:lang w:val="en-US" w:eastAsia="zh-CN"/>
              </w:rPr>
            </w:pPr>
            <w:r>
              <w:rPr>
                <w:sz w:val="17"/>
                <w:szCs w:val="17"/>
              </w:rPr>
              <w:t xml:space="preserve">收入</w:t>
            </w:r>
          </w:p>
        </w:tc>
        <w:tc>
          <w:tcPr>
            <w:tcW w:w="1054" w:type="dxa"/>
            <w:vAlign w:val="center"/>
          </w:tcPr>
          <w:p>
            <w:pPr>
              <w:pStyle w:val="Other|1"/>
              <w:spacing w:line="240" w:lineRule="auto"/>
              <w:ind w:firstLine="140" w:firstLineChars="0"/>
              <w:jc w:val="left"/>
              <w:rPr>
                <w:rFonts w:eastAsia="宋体" w:hint="eastAsia"/>
                <w:vertAlign w:val="baseline"/>
                <w:lang w:val="en-US" w:eastAsia="zh-CN"/>
              </w:rPr>
            </w:pPr>
            <w:r>
              <w:rPr>
                <w:sz w:val="17"/>
                <w:szCs w:val="17"/>
              </w:rPr>
              <w:t xml:space="preserve">单位资金</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c>
          <w:tcPr>
            <w:tcW w:w="1636" w:type="dxa"/>
          </w:tcPr>
          <w:p>
            <w:pPr>
              <w:tabs>
                <w:tab w:val="left" w:pos="859"/>
              </w:tabs>
              <w:jc w:val="both"/>
              <w:rPr>
                <w:rFonts w:eastAsia="宋体" w:hint="eastAsia"/>
                <w:vertAlign w:val="baseline"/>
                <w:lang w:val="en-US" w:eastAsia="zh-CN"/>
              </w:rPr>
            </w:pPr>
          </w:p>
        </w:tc>
        <w:tc>
          <w:tcPr>
            <w:tcW w:w="1279" w:type="dxa"/>
          </w:tcPr>
          <w:p>
            <w:pPr>
              <w:tabs>
                <w:tab w:val="left" w:pos="859"/>
              </w:tabs>
              <w:jc w:val="both"/>
              <w:rPr>
                <w:rFonts w:eastAsia="宋体" w:hint="eastAsia"/>
                <w:vertAlign w:val="baseline"/>
                <w:lang w:val="en-US" w:eastAsia="zh-CN"/>
              </w:rPr>
            </w:pPr>
          </w:p>
        </w:tc>
        <w:tc>
          <w:tcPr>
            <w:tcW w:w="990" w:type="dxa"/>
            <w:vAlign w:val="center"/>
          </w:tcPr>
          <w:p>
            <w:pPr>
              <w:pStyle w:val="Other|1"/>
              <w:spacing w:line="240" w:lineRule="auto"/>
              <w:ind w:firstLine="0" w:firstLineChars="0"/>
              <w:jc w:val="left"/>
              <w:rPr>
                <w:rFonts w:eastAsia="宋体" w:hint="eastAsia"/>
                <w:vertAlign w:val="baseline"/>
                <w:lang w:val="en-US" w:eastAsia="zh-CN"/>
              </w:rPr>
            </w:pPr>
            <w:r>
              <w:rPr>
                <w:rFonts w:ascii="Times New Roman" w:eastAsia="Times New Roman" w:hAnsi="Times New Roman" w:cs="Times New Roman"/>
                <w:b/>
                <w:bCs/>
                <w:sz w:val="17"/>
                <w:szCs w:val="17"/>
              </w:rPr>
              <w:t xml:space="preserve">1</w:t>
            </w:r>
          </w:p>
        </w:tc>
        <w:tc>
          <w:tcPr>
            <w:tcW w:w="926" w:type="dxa"/>
            <w:vAlign w:val="center"/>
          </w:tcPr>
          <w:p>
            <w:pPr>
              <w:pStyle w:val="Other|1"/>
              <w:spacing w:line="240" w:lineRule="auto"/>
              <w:ind w:firstLine="0" w:firstLineChars="0"/>
              <w:jc w:val="left"/>
              <w:rPr>
                <w:rFonts w:eastAsia="宋体" w:hint="eastAsia"/>
                <w:vertAlign w:val="baseline"/>
                <w:lang w:val="en-US" w:eastAsia="zh-CN"/>
              </w:rPr>
            </w:pPr>
            <w:r>
              <w:rPr>
                <w:rFonts w:ascii="Times New Roman" w:eastAsia="Times New Roman" w:hAnsi="Times New Roman" w:cs="Times New Roman"/>
                <w:b/>
                <w:bCs/>
                <w:sz w:val="17"/>
                <w:szCs w:val="17"/>
              </w:rPr>
              <w:t xml:space="preserve">2</w:t>
            </w:r>
          </w:p>
        </w:tc>
        <w:tc>
          <w:tcPr>
            <w:tcW w:w="909" w:type="dxa"/>
            <w:vAlign w:val="center"/>
          </w:tcPr>
          <w:p>
            <w:pPr>
              <w:pStyle w:val="Other|1"/>
              <w:spacing w:line="240" w:lineRule="auto"/>
              <w:ind w:firstLine="0" w:firstLineChars="0"/>
              <w:jc w:val="left"/>
              <w:rPr>
                <w:rFonts w:eastAsia="宋体" w:hint="eastAsia"/>
                <w:vertAlign w:val="baseline"/>
                <w:lang w:val="en-US" w:eastAsia="zh-CN"/>
              </w:rPr>
            </w:pPr>
            <w:r>
              <w:rPr>
                <w:rFonts w:ascii="Times New Roman" w:eastAsia="Times New Roman" w:hAnsi="Times New Roman" w:cs="Times New Roman"/>
                <w:b/>
                <w:bCs/>
                <w:sz w:val="17"/>
                <w:szCs w:val="17"/>
              </w:rPr>
              <w:t xml:space="preserve">3</w:t>
            </w:r>
          </w:p>
        </w:tc>
        <w:tc>
          <w:tcPr>
            <w:tcW w:w="1161" w:type="dxa"/>
            <w:vAlign w:val="center"/>
          </w:tcPr>
          <w:p>
            <w:pPr>
              <w:pStyle w:val="Other|1"/>
              <w:spacing w:line="240" w:lineRule="auto"/>
              <w:ind w:firstLine="440" w:firstLineChars="0"/>
              <w:jc w:val="left"/>
              <w:rPr>
                <w:rFonts w:eastAsia="宋体" w:hint="eastAsia"/>
                <w:vertAlign w:val="baseline"/>
                <w:lang w:val="en-US" w:eastAsia="zh-CN"/>
              </w:rPr>
            </w:pPr>
            <w:r>
              <w:rPr>
                <w:rFonts w:ascii="Times New Roman" w:eastAsia="Times New Roman" w:hAnsi="Times New Roman" w:cs="Times New Roman"/>
                <w:b/>
                <w:bCs/>
                <w:sz w:val="17"/>
                <w:szCs w:val="17"/>
              </w:rPr>
              <w:t xml:space="preserve">4</w:t>
            </w:r>
          </w:p>
        </w:tc>
        <w:tc>
          <w:tcPr>
            <w:tcW w:w="1031" w:type="dxa"/>
            <w:vAlign w:val="center"/>
          </w:tcPr>
          <w:p>
            <w:pPr>
              <w:pStyle w:val="Other|1"/>
              <w:spacing w:line="240" w:lineRule="auto"/>
              <w:ind w:firstLine="420" w:firstLineChars="0"/>
              <w:jc w:val="left"/>
              <w:rPr>
                <w:rFonts w:eastAsia="宋体" w:hint="eastAsia"/>
                <w:vertAlign w:val="baseline"/>
                <w:lang w:val="en-US" w:eastAsia="zh-CN"/>
              </w:rPr>
            </w:pPr>
            <w:r>
              <w:rPr>
                <w:rFonts w:ascii="Times New Roman" w:eastAsia="Times New Roman" w:hAnsi="Times New Roman" w:cs="Times New Roman"/>
                <w:b/>
                <w:bCs/>
                <w:sz w:val="17"/>
                <w:szCs w:val="17"/>
              </w:rPr>
              <w:t xml:space="preserve">5</w:t>
            </w:r>
          </w:p>
        </w:tc>
        <w:tc>
          <w:tcPr>
            <w:tcW w:w="844" w:type="dxa"/>
            <w:vAlign w:val="center"/>
          </w:tcPr>
          <w:p>
            <w:pPr>
              <w:pStyle w:val="Other|1"/>
              <w:spacing w:line="240" w:lineRule="auto"/>
              <w:ind w:firstLine="420" w:firstLineChars="0"/>
              <w:jc w:val="left"/>
              <w:rPr>
                <w:rFonts w:eastAsia="宋体" w:hint="eastAsia"/>
                <w:vertAlign w:val="baseline"/>
                <w:lang w:val="en-US" w:eastAsia="zh-CN"/>
              </w:rPr>
            </w:pPr>
            <w:r>
              <w:rPr>
                <w:rFonts w:ascii="Times New Roman" w:eastAsia="Times New Roman" w:hAnsi="Times New Roman" w:cs="Times New Roman"/>
                <w:b/>
                <w:bCs/>
                <w:sz w:val="17"/>
                <w:szCs w:val="17"/>
              </w:rPr>
              <w:t xml:space="preserve">6</w:t>
            </w:r>
          </w:p>
        </w:tc>
        <w:tc>
          <w:tcPr>
            <w:tcW w:w="856" w:type="dxa"/>
            <w:vAlign w:val="center"/>
          </w:tcPr>
          <w:p>
            <w:pPr>
              <w:pStyle w:val="Other|1"/>
              <w:spacing w:line="240" w:lineRule="auto"/>
              <w:ind w:firstLine="440" w:firstLineChars="0"/>
              <w:jc w:val="left"/>
              <w:rPr>
                <w:rFonts w:eastAsia="宋体" w:hint="eastAsia"/>
                <w:vertAlign w:val="baseline"/>
                <w:lang w:val="en-US" w:eastAsia="zh-CN"/>
              </w:rPr>
            </w:pPr>
            <w:r>
              <w:rPr>
                <w:rFonts w:ascii="Times New Roman" w:eastAsia="Times New Roman" w:hAnsi="Times New Roman" w:cs="Times New Roman"/>
                <w:b/>
                <w:bCs/>
                <w:sz w:val="17"/>
                <w:szCs w:val="17"/>
              </w:rPr>
              <w:t xml:space="preserve">7</w:t>
            </w:r>
          </w:p>
        </w:tc>
        <w:tc>
          <w:tcPr>
            <w:tcW w:w="1035" w:type="dxa"/>
            <w:vAlign w:val="center"/>
          </w:tcPr>
          <w:p>
            <w:pPr>
              <w:pStyle w:val="Other|1"/>
              <w:spacing w:line="240" w:lineRule="auto"/>
              <w:ind w:firstLine="440" w:firstLineChars="0"/>
              <w:jc w:val="left"/>
              <w:rPr>
                <w:rFonts w:eastAsia="宋体" w:hint="eastAsia"/>
                <w:vertAlign w:val="baseline"/>
                <w:lang w:val="en-US" w:eastAsia="zh-CN"/>
              </w:rPr>
            </w:pPr>
            <w:r>
              <w:rPr>
                <w:rFonts w:ascii="Times New Roman" w:eastAsia="Times New Roman" w:hAnsi="Times New Roman" w:cs="Times New Roman"/>
                <w:b/>
                <w:bCs/>
                <w:sz w:val="17"/>
                <w:szCs w:val="17"/>
              </w:rPr>
              <w:t xml:space="preserve">8</w:t>
            </w:r>
          </w:p>
        </w:tc>
        <w:tc>
          <w:tcPr>
            <w:tcW w:w="1011" w:type="dxa"/>
            <w:vAlign w:val="center"/>
          </w:tcPr>
          <w:p>
            <w:pPr>
              <w:pStyle w:val="Other|1"/>
              <w:spacing w:line="240" w:lineRule="auto"/>
              <w:ind w:firstLine="420" w:firstLineChars="0"/>
              <w:jc w:val="left"/>
              <w:rPr>
                <w:rFonts w:eastAsia="宋体" w:hint="eastAsia"/>
                <w:vertAlign w:val="baseline"/>
                <w:lang w:val="en-US" w:eastAsia="zh-CN"/>
              </w:rPr>
            </w:pPr>
            <w:r>
              <w:rPr>
                <w:rFonts w:ascii="Times New Roman" w:eastAsia="Times New Roman" w:hAnsi="Times New Roman" w:cs="Times New Roman"/>
                <w:b/>
                <w:bCs/>
                <w:sz w:val="17"/>
                <w:szCs w:val="17"/>
              </w:rPr>
              <w:t xml:space="preserve">9</w:t>
            </w:r>
          </w:p>
        </w:tc>
        <w:tc>
          <w:tcPr>
            <w:tcW w:w="859" w:type="dxa"/>
            <w:vAlign w:val="center"/>
          </w:tcPr>
          <w:p>
            <w:pPr>
              <w:pStyle w:val="Other|1"/>
              <w:spacing w:line="240" w:lineRule="auto"/>
              <w:ind w:right="360" w:firstLine="0" w:rightChars="0" w:firstLineChars="0"/>
              <w:jc w:val="left"/>
              <w:rPr>
                <w:rFonts w:eastAsia="宋体" w:hint="eastAsia"/>
                <w:vertAlign w:val="baseline"/>
                <w:lang w:val="en-US" w:eastAsia="zh-CN"/>
              </w:rPr>
            </w:pPr>
            <w:r>
              <w:rPr>
                <w:rFonts w:ascii="Times New Roman" w:eastAsia="Times New Roman" w:hAnsi="Times New Roman" w:cs="Times New Roman"/>
                <w:b/>
                <w:bCs/>
                <w:sz w:val="17"/>
                <w:szCs w:val="17"/>
              </w:rPr>
              <w:t xml:space="preserve">10</w:t>
            </w:r>
          </w:p>
        </w:tc>
        <w:tc>
          <w:tcPr>
            <w:tcW w:w="1094" w:type="dxa"/>
            <w:gridSpan w:val="2"/>
            <w:vAlign w:val="center"/>
          </w:tcPr>
          <w:p>
            <w:pPr>
              <w:pStyle w:val="Other|1"/>
              <w:spacing w:line="240" w:lineRule="auto"/>
              <w:ind w:firstLine="440" w:firstLineChars="0"/>
              <w:jc w:val="left"/>
              <w:rPr>
                <w:rFonts w:eastAsia="宋体" w:hint="eastAsia"/>
                <w:vertAlign w:val="baseline"/>
                <w:lang w:val="en-US" w:eastAsia="zh-CN"/>
              </w:rPr>
            </w:pPr>
            <w:r>
              <w:rPr>
                <w:rFonts w:ascii="Times New Roman" w:eastAsia="Times New Roman" w:hAnsi="Times New Roman" w:cs="Times New Roman"/>
                <w:b/>
                <w:bCs/>
                <w:sz w:val="17"/>
                <w:szCs w:val="17"/>
              </w:rPr>
              <w:t xml:space="preserve">11</w:t>
            </w:r>
          </w:p>
        </w:tc>
        <w:tc>
          <w:tcPr>
            <w:tcW w:w="872" w:type="dxa"/>
            <w:vAlign w:val="center"/>
          </w:tcPr>
          <w:p>
            <w:pPr>
              <w:pStyle w:val="Other|1"/>
              <w:spacing w:line="240" w:lineRule="auto"/>
              <w:ind w:right="380" w:firstLine="0" w:rightChars="0" w:firstLineChars="0"/>
              <w:jc w:val="left"/>
              <w:rPr>
                <w:rFonts w:eastAsia="宋体" w:hint="eastAsia"/>
                <w:vertAlign w:val="baseline"/>
                <w:lang w:val="en-US" w:eastAsia="zh-CN"/>
              </w:rPr>
            </w:pPr>
            <w:r>
              <w:rPr>
                <w:rFonts w:ascii="Times New Roman" w:eastAsia="Times New Roman" w:hAnsi="Times New Roman" w:cs="Times New Roman"/>
                <w:b/>
                <w:bCs/>
                <w:sz w:val="17"/>
                <w:szCs w:val="17"/>
              </w:rPr>
              <w:t xml:space="preserve">12</w:t>
            </w:r>
          </w:p>
        </w:tc>
        <w:tc>
          <w:tcPr>
            <w:tcW w:w="1054" w:type="dxa"/>
            <w:vAlign w:val="center"/>
          </w:tcPr>
          <w:p>
            <w:pPr>
              <w:pStyle w:val="Other|1"/>
              <w:spacing w:line="240" w:lineRule="auto"/>
              <w:ind w:right="420" w:firstLine="0" w:rightChars="0" w:firstLineChars="0"/>
              <w:jc w:val="left"/>
              <w:rPr>
                <w:rFonts w:eastAsia="宋体" w:hint="eastAsia"/>
                <w:vertAlign w:val="baseline"/>
                <w:lang w:val="en-US" w:eastAsia="zh-CN"/>
              </w:rPr>
            </w:pPr>
            <w:r>
              <w:rPr>
                <w:rFonts w:ascii="Times New Roman" w:eastAsia="Times New Roman" w:hAnsi="Times New Roman" w:cs="Times New Roman"/>
                <w:b/>
                <w:bCs/>
                <w:sz w:val="17"/>
                <w:szCs w:val="17"/>
              </w:rPr>
              <w:t xml:space="preserve">13</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c>
          <w:tcPr>
            <w:tcW w:w="1636" w:type="dxa"/>
            <w:vAlign w:val="center"/>
          </w:tcPr>
          <w:p>
            <w:pPr>
              <w:pStyle w:val="Other|1"/>
              <w:spacing w:line="240" w:lineRule="auto"/>
              <w:ind w:firstLine="0" w:firstLineChars="0"/>
              <w:jc w:val="left"/>
              <w:rPr>
                <w:rFonts w:eastAsia="宋体" w:hint="eastAsia"/>
                <w:vertAlign w:val="baseline"/>
                <w:lang w:val="en-US" w:eastAsia="zh-CN"/>
              </w:rPr>
            </w:pPr>
          </w:p>
        </w:tc>
        <w:tc>
          <w:tcPr>
            <w:tcW w:w="1279" w:type="dxa"/>
          </w:tcPr>
          <w:p>
            <w:pPr>
              <w:pStyle w:val="Other|1"/>
              <w:spacing w:line="326" w:lineRule="exact"/>
              <w:ind w:firstLine="0" w:firstLineChars="0"/>
              <w:jc w:val="left"/>
              <w:rPr>
                <w:rFonts w:eastAsia="宋体" w:hint="eastAsia"/>
                <w:vertAlign w:val="baseline"/>
                <w:lang w:val="en-US" w:eastAsia="zh-CN"/>
              </w:rPr>
            </w:pPr>
            <w:r>
              <w:rPr>
                <w:rFonts w:hint="eastAsia"/>
                <w:sz w:val="17"/>
                <w:szCs w:val="17"/>
                <w:lang w:val="en-US" w:eastAsia="zh-CN"/>
              </w:rPr>
              <w:t xml:space="preserve">合计</w:t>
            </w:r>
          </w:p>
        </w:tc>
        <w:tc>
          <w:tcPr>
            <w:tcW w:w="990" w:type="dxa"/>
            <w:vAlign w:val="center"/>
          </w:tcPr>
          <w:p>
            <w:pPr>
              <w:pStyle w:val="Other|1"/>
              <w:spacing w:line="240" w:lineRule="auto"/>
              <w:ind w:firstLine="480" w:firstLineChars="0"/>
              <w:jc w:val="left"/>
              <w:rPr>
                <w:rFonts w:eastAsia="宋体" w:hint="eastAsia"/>
                <w:vertAlign w:val="baseline"/>
                <w:lang w:val="en-US" w:eastAsia="zh-CN"/>
              </w:rPr>
            </w:pPr>
            <w:r>
              <w:rPr>
                <w:rFonts w:ascii="Times New Roman" w:hAnsi="Times New Roman" w:cs="Times New Roman" w:hint="eastAsia"/>
                <w:b/>
                <w:bCs/>
                <w:sz w:val="17"/>
                <w:szCs w:val="17"/>
                <w:lang w:val="en-US" w:eastAsia="zh-CN" w:bidi="en-US"/>
              </w:rPr>
              <w:t xml:space="preserve">716.30</w:t>
            </w:r>
          </w:p>
        </w:tc>
        <w:tc>
          <w:tcPr>
            <w:tcW w:w="926" w:type="dxa"/>
            <w:vAlign w:val="center"/>
          </w:tcPr>
          <w:p>
            <w:pPr>
              <w:pStyle w:val="Other|1"/>
              <w:spacing w:line="240" w:lineRule="auto"/>
              <w:ind w:firstLine="300" w:firstLineChars="0"/>
              <w:jc w:val="left"/>
              <w:rPr>
                <w:rFonts w:eastAsia="宋体" w:hint="eastAsia"/>
                <w:vertAlign w:val="baseline"/>
                <w:lang w:val="en-US" w:eastAsia="zh-CN"/>
              </w:rPr>
            </w:pPr>
            <w:r>
              <w:rPr>
                <w:rFonts w:hint="eastAsia"/>
                <w:sz w:val="17"/>
                <w:szCs w:val="17"/>
                <w:lang w:val="en-US" w:eastAsia="zh-CN"/>
              </w:rPr>
              <w:t xml:space="preserve">716.30</w:t>
            </w:r>
          </w:p>
        </w:tc>
        <w:tc>
          <w:tcPr>
            <w:tcW w:w="909" w:type="dxa"/>
            <w:vAlign w:val="center"/>
          </w:tcPr>
          <w:p>
            <w:pPr>
              <w:pStyle w:val="Other|1"/>
              <w:spacing w:line="240" w:lineRule="auto"/>
              <w:ind w:firstLine="280" w:firstLineChars="0"/>
              <w:jc w:val="left"/>
              <w:rPr>
                <w:rFonts w:eastAsia="宋体" w:hint="eastAsia"/>
                <w:vertAlign w:val="baseline"/>
                <w:lang w:val="en-US" w:eastAsia="zh-CN"/>
              </w:rPr>
            </w:pPr>
            <w:r>
              <w:rPr>
                <w:rFonts w:ascii="Times New Roman" w:hAnsi="Times New Roman" w:cs="Times New Roman" w:hint="eastAsia"/>
                <w:b/>
                <w:bCs/>
                <w:sz w:val="17"/>
                <w:szCs w:val="17"/>
                <w:lang w:val="en-US" w:eastAsia="zh-CN" w:bidi="en-US"/>
              </w:rPr>
              <w:t xml:space="preserve">716.30</w:t>
            </w:r>
          </w:p>
        </w:tc>
        <w:tc>
          <w:tcPr>
            <w:tcW w:w="1161" w:type="dxa"/>
            <w:vAlign w:val="center"/>
          </w:tcPr>
          <w:p>
            <w:pPr>
              <w:pStyle w:val="Other|1"/>
              <w:spacing w:line="240" w:lineRule="auto"/>
              <w:ind w:firstLine="520" w:firstLineChars="0"/>
              <w:jc w:val="left"/>
              <w:rPr>
                <w:rFonts w:eastAsia="宋体" w:hint="eastAsia"/>
                <w:vertAlign w:val="baseline"/>
                <w:lang w:val="en-US" w:eastAsia="zh-CN"/>
              </w:rPr>
            </w:pPr>
            <w:r>
              <w:rPr>
                <w:rFonts w:hint="eastAsia"/>
                <w:sz w:val="17"/>
                <w:szCs w:val="17"/>
                <w:lang w:val="en-US" w:eastAsia="zh-CN"/>
              </w:rPr>
              <w:t xml:space="preserve">0.00</w:t>
            </w:r>
          </w:p>
        </w:tc>
        <w:tc>
          <w:tcPr>
            <w:tcW w:w="1031" w:type="dxa"/>
            <w:vAlign w:val="center"/>
          </w:tcPr>
          <w:p>
            <w:pPr>
              <w:pStyle w:val="Other|1"/>
              <w:spacing w:line="240" w:lineRule="auto"/>
              <w:ind w:firstLine="480" w:firstLineChars="0"/>
              <w:jc w:val="left"/>
              <w:rPr>
                <w:rFonts w:eastAsia="宋体" w:hint="eastAsia"/>
                <w:vertAlign w:val="baseline"/>
                <w:lang w:val="en-US" w:eastAsia="zh-CN"/>
              </w:rPr>
            </w:pPr>
            <w:r>
              <w:rPr>
                <w:rFonts w:ascii="Times New Roman" w:hAnsi="Times New Roman" w:cs="Times New Roman" w:hint="eastAsia"/>
                <w:b/>
                <w:bCs/>
                <w:sz w:val="17"/>
                <w:szCs w:val="17"/>
                <w:lang w:val="en-US" w:eastAsia="zh-CN" w:bidi="en-US"/>
              </w:rPr>
              <w:t xml:space="preserve">0.00</w:t>
            </w:r>
          </w:p>
        </w:tc>
        <w:tc>
          <w:tcPr>
            <w:tcW w:w="844" w:type="dxa"/>
            <w:vAlign w:val="center"/>
          </w:tcPr>
          <w:p>
            <w:pPr>
              <w:pStyle w:val="Other|1"/>
              <w:spacing w:line="240" w:lineRule="auto"/>
              <w:ind w:firstLine="0" w:firstLineChars="0"/>
              <w:jc w:val="left"/>
              <w:rPr>
                <w:rFonts w:eastAsia="宋体" w:hint="eastAsia"/>
                <w:vertAlign w:val="baseline"/>
                <w:lang w:val="en-US" w:eastAsia="zh-CN"/>
              </w:rPr>
            </w:pPr>
            <w:r>
              <w:rPr>
                <w:rFonts w:ascii="Times New Roman" w:hAnsi="Times New Roman" w:cs="Times New Roman" w:hint="eastAsia"/>
                <w:b/>
                <w:bCs/>
                <w:sz w:val="17"/>
                <w:szCs w:val="17"/>
                <w:lang w:val="en-US" w:eastAsia="zh-CN" w:bidi="en-US"/>
              </w:rPr>
              <w:t xml:space="preserve">0.00</w:t>
            </w:r>
          </w:p>
        </w:tc>
        <w:tc>
          <w:tcPr>
            <w:tcW w:w="856" w:type="dxa"/>
            <w:vAlign w:val="center"/>
          </w:tcPr>
          <w:p>
            <w:pPr>
              <w:pStyle w:val="Other|1"/>
              <w:spacing w:line="240" w:lineRule="auto"/>
              <w:ind w:firstLine="0" w:firstLineChars="0"/>
              <w:jc w:val="left"/>
              <w:rPr>
                <w:rFonts w:eastAsia="宋体" w:hint="eastAsia"/>
                <w:vertAlign w:val="baseline"/>
                <w:lang w:val="en-US" w:eastAsia="zh-CN"/>
              </w:rPr>
            </w:pPr>
            <w:r>
              <w:rPr>
                <w:rFonts w:ascii="Times New Roman" w:hAnsi="Times New Roman" w:cs="Times New Roman" w:hint="eastAsia"/>
                <w:b/>
                <w:bCs/>
                <w:sz w:val="17"/>
                <w:szCs w:val="17"/>
                <w:lang w:val="en-US" w:eastAsia="zh-CN" w:bidi="en-US"/>
              </w:rPr>
              <w:t xml:space="preserve">0.00</w:t>
            </w:r>
          </w:p>
        </w:tc>
        <w:tc>
          <w:tcPr>
            <w:tcW w:w="1035" w:type="dxa"/>
            <w:vAlign w:val="center"/>
          </w:tcPr>
          <w:p>
            <w:pPr>
              <w:pStyle w:val="Other|1"/>
              <w:spacing w:line="240" w:lineRule="auto"/>
              <w:ind w:firstLine="520" w:firstLineChars="0"/>
              <w:jc w:val="left"/>
              <w:rPr>
                <w:rFonts w:eastAsia="宋体" w:hint="eastAsia"/>
                <w:vertAlign w:val="baseline"/>
                <w:lang w:val="en-US" w:eastAsia="zh-CN"/>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c>
          <w:tcPr>
            <w:tcW w:w="1011" w:type="dxa"/>
            <w:vAlign w:val="center"/>
          </w:tcPr>
          <w:p>
            <w:pPr>
              <w:pStyle w:val="Other|1"/>
              <w:spacing w:line="240" w:lineRule="auto"/>
              <w:ind w:firstLine="480" w:firstLineChars="0"/>
              <w:jc w:val="left"/>
              <w:rPr>
                <w:rFonts w:eastAsia="宋体" w:hint="eastAsia"/>
                <w:vertAlign w:val="baseline"/>
                <w:lang w:val="en-US" w:eastAsia="zh-CN"/>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c>
          <w:tcPr>
            <w:tcW w:w="859" w:type="dxa"/>
            <w:vAlign w:val="center"/>
          </w:tcPr>
          <w:p>
            <w:pPr>
              <w:pStyle w:val="Other|1"/>
              <w:spacing w:line="240" w:lineRule="auto"/>
              <w:ind w:firstLine="0" w:firstLineChars="0"/>
              <w:jc w:val="left"/>
              <w:rPr>
                <w:rFonts w:eastAsia="宋体" w:hint="eastAsia"/>
                <w:vertAlign w:val="baseline"/>
                <w:lang w:val="en-US" w:eastAsia="zh-CN"/>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c>
          <w:tcPr>
            <w:tcW w:w="1094" w:type="dxa"/>
            <w:gridSpan w:val="2"/>
            <w:vAlign w:val="center"/>
          </w:tcPr>
          <w:p>
            <w:pPr>
              <w:pStyle w:val="Other|1"/>
              <w:spacing w:line="240" w:lineRule="auto"/>
              <w:ind w:firstLine="580" w:firstLineChars="0"/>
              <w:jc w:val="left"/>
              <w:rPr>
                <w:rFonts w:eastAsia="宋体" w:hint="eastAsia"/>
                <w:vertAlign w:val="baseline"/>
                <w:lang w:val="en-US" w:eastAsia="zh-CN"/>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c>
          <w:tcPr>
            <w:tcW w:w="872" w:type="dxa"/>
            <w:vAlign w:val="center"/>
          </w:tcPr>
          <w:p>
            <w:pPr>
              <w:pStyle w:val="Other|1"/>
              <w:spacing w:line="240" w:lineRule="auto"/>
              <w:ind w:firstLine="0" w:firstLineChars="0"/>
              <w:jc w:val="left"/>
              <w:rPr>
                <w:rFonts w:eastAsia="宋体" w:hint="eastAsia"/>
                <w:vertAlign w:val="baseline"/>
                <w:lang w:val="en-US" w:eastAsia="zh-CN"/>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c>
          <w:tcPr>
            <w:tcW w:w="1054" w:type="dxa"/>
            <w:vAlign w:val="center"/>
          </w:tcPr>
          <w:p>
            <w:pPr>
              <w:pStyle w:val="Other|1"/>
              <w:spacing w:line="240" w:lineRule="auto"/>
              <w:ind w:firstLine="540" w:firstLineChars="0"/>
              <w:jc w:val="left"/>
              <w:rPr>
                <w:rFonts w:eastAsia="宋体" w:hint="eastAsia"/>
                <w:vertAlign w:val="baseline"/>
                <w:lang w:val="en-US" w:eastAsia="zh-CN"/>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c>
          <w:tcPr>
            <w:tcW w:w="1636" w:type="dxa"/>
            <w:vAlign w:val="center"/>
          </w:tcPr>
          <w:p>
            <w:pPr>
              <w:pStyle w:val="Other|1"/>
              <w:spacing w:line="240" w:lineRule="auto"/>
              <w:ind w:firstLine="0" w:firstLineChars="0"/>
              <w:jc w:val="left"/>
              <w:rPr>
                <w:rFonts w:eastAsia="宋体" w:hint="eastAsia"/>
                <w:vertAlign w:val="baseline"/>
                <w:lang w:val="en-US" w:eastAsia="zh-CN"/>
              </w:rPr>
            </w:pPr>
            <w:r>
              <w:rPr>
                <w:rFonts w:ascii="Times New Roman" w:hAnsi="Times New Roman" w:cs="Times New Roman" w:hint="eastAsia"/>
                <w:b/>
                <w:bCs/>
                <w:sz w:val="17"/>
                <w:szCs w:val="17"/>
                <w:lang w:val="en-US" w:eastAsia="zh-CN"/>
              </w:rPr>
              <w:t xml:space="preserve">201045</w:t>
            </w:r>
          </w:p>
        </w:tc>
        <w:tc>
          <w:tcPr>
            <w:tcW w:w="1279" w:type="dxa"/>
          </w:tcPr>
          <w:p>
            <w:pPr>
              <w:pStyle w:val="Other|1"/>
              <w:spacing w:line="326" w:lineRule="exact"/>
              <w:ind w:firstLine="0" w:firstLineChars="0"/>
              <w:jc w:val="left"/>
              <w:rPr>
                <w:rFonts w:eastAsia="宋体" w:hint="eastAsia"/>
                <w:vertAlign w:val="baseline"/>
                <w:lang w:val="en-US" w:eastAsia="zh-CN"/>
              </w:rPr>
            </w:pPr>
          </w:p>
        </w:tc>
        <w:tc>
          <w:tcPr>
            <w:tcW w:w="990" w:type="dxa"/>
            <w:vAlign w:val="center"/>
          </w:tcPr>
          <w:p>
            <w:pPr>
              <w:pStyle w:val="Other|1"/>
              <w:spacing w:line="240" w:lineRule="auto"/>
              <w:ind w:firstLine="480" w:firstLineChars="0"/>
              <w:jc w:val="left"/>
              <w:rPr>
                <w:rFonts w:eastAsia="宋体" w:hint="eastAsia"/>
                <w:vertAlign w:val="baseline"/>
                <w:lang w:val="en-US" w:eastAsia="zh-CN"/>
              </w:rPr>
            </w:pPr>
            <w:r>
              <w:rPr>
                <w:rFonts w:ascii="Times New Roman" w:hAnsi="Times New Roman" w:cs="Times New Roman" w:hint="eastAsia"/>
                <w:b/>
                <w:bCs/>
                <w:sz w:val="17"/>
                <w:szCs w:val="17"/>
                <w:lang w:val="en-US" w:eastAsia="zh-CN" w:bidi="en-US"/>
              </w:rPr>
              <w:t xml:space="preserve">716.30</w:t>
            </w:r>
          </w:p>
        </w:tc>
        <w:tc>
          <w:tcPr>
            <w:tcW w:w="926" w:type="dxa"/>
            <w:vAlign w:val="center"/>
          </w:tcPr>
          <w:p>
            <w:pPr>
              <w:pStyle w:val="Other|1"/>
              <w:spacing w:line="240" w:lineRule="auto"/>
              <w:ind w:firstLine="300" w:firstLineChars="0"/>
              <w:jc w:val="left"/>
              <w:rPr>
                <w:rFonts w:eastAsia="宋体" w:hint="eastAsia"/>
                <w:vertAlign w:val="baseline"/>
                <w:lang w:val="en-US" w:eastAsia="zh-CN"/>
              </w:rPr>
            </w:pPr>
            <w:r>
              <w:rPr>
                <w:rFonts w:hint="eastAsia"/>
                <w:sz w:val="17"/>
                <w:szCs w:val="17"/>
                <w:lang w:val="en-US" w:eastAsia="zh-CN"/>
              </w:rPr>
              <w:t xml:space="preserve">716.30</w:t>
            </w:r>
          </w:p>
        </w:tc>
        <w:tc>
          <w:tcPr>
            <w:tcW w:w="909" w:type="dxa"/>
            <w:vAlign w:val="center"/>
          </w:tcPr>
          <w:p>
            <w:pPr>
              <w:pStyle w:val="Other|1"/>
              <w:spacing w:line="240" w:lineRule="auto"/>
              <w:ind w:firstLine="280" w:firstLineChars="0"/>
              <w:jc w:val="left"/>
              <w:rPr>
                <w:rFonts w:eastAsia="宋体" w:hint="eastAsia"/>
                <w:vertAlign w:val="baseline"/>
                <w:lang w:val="en-US" w:eastAsia="zh-CN"/>
              </w:rPr>
            </w:pPr>
            <w:r>
              <w:rPr>
                <w:rFonts w:ascii="Times New Roman" w:hAnsi="Times New Roman" w:cs="Times New Roman" w:hint="eastAsia"/>
                <w:b/>
                <w:bCs/>
                <w:sz w:val="17"/>
                <w:szCs w:val="17"/>
                <w:lang w:val="en-US" w:eastAsia="zh-CN" w:bidi="en-US"/>
              </w:rPr>
              <w:t xml:space="preserve">716.30</w:t>
            </w:r>
          </w:p>
        </w:tc>
        <w:tc>
          <w:tcPr>
            <w:tcW w:w="1161" w:type="dxa"/>
            <w:vAlign w:val="center"/>
          </w:tcPr>
          <w:p>
            <w:pPr>
              <w:pStyle w:val="Other|1"/>
              <w:spacing w:line="240" w:lineRule="auto"/>
              <w:ind w:firstLine="520" w:firstLineChars="0"/>
              <w:jc w:val="left"/>
              <w:rPr>
                <w:rFonts w:eastAsia="宋体" w:hint="eastAsia"/>
                <w:vertAlign w:val="baseline"/>
                <w:lang w:val="en-US" w:eastAsia="zh-CN"/>
              </w:rPr>
            </w:pPr>
            <w:r>
              <w:rPr>
                <w:rFonts w:hint="eastAsia"/>
                <w:sz w:val="17"/>
                <w:szCs w:val="17"/>
                <w:lang w:val="en-US" w:eastAsia="zh-CN"/>
              </w:rPr>
              <w:t xml:space="preserve">0.00</w:t>
            </w:r>
          </w:p>
        </w:tc>
        <w:tc>
          <w:tcPr>
            <w:tcW w:w="1031" w:type="dxa"/>
            <w:vAlign w:val="center"/>
          </w:tcPr>
          <w:p>
            <w:pPr>
              <w:pStyle w:val="Other|1"/>
              <w:spacing w:line="240" w:lineRule="auto"/>
              <w:ind w:firstLine="480" w:firstLineChars="0"/>
              <w:jc w:val="left"/>
              <w:rPr>
                <w:rFonts w:eastAsia="宋体" w:hint="eastAsia"/>
                <w:vertAlign w:val="baseline"/>
                <w:lang w:val="en-US" w:eastAsia="zh-CN"/>
              </w:rPr>
            </w:pPr>
            <w:r>
              <w:rPr>
                <w:rFonts w:ascii="Times New Roman" w:hAnsi="Times New Roman" w:cs="Times New Roman" w:hint="eastAsia"/>
                <w:b/>
                <w:bCs/>
                <w:sz w:val="17"/>
                <w:szCs w:val="17"/>
                <w:lang w:val="en-US" w:eastAsia="zh-CN" w:bidi="en-US"/>
              </w:rPr>
              <w:t xml:space="preserve">0.00</w:t>
            </w:r>
          </w:p>
        </w:tc>
        <w:tc>
          <w:tcPr>
            <w:tcW w:w="844" w:type="dxa"/>
            <w:vAlign w:val="center"/>
          </w:tcPr>
          <w:p>
            <w:pPr>
              <w:pStyle w:val="Other|1"/>
              <w:spacing w:line="240" w:lineRule="auto"/>
              <w:ind w:firstLine="0" w:firstLineChars="0"/>
              <w:jc w:val="left"/>
              <w:rPr>
                <w:rFonts w:eastAsia="宋体" w:hint="eastAsia"/>
                <w:vertAlign w:val="baseline"/>
                <w:lang w:val="en-US" w:eastAsia="zh-CN"/>
              </w:rPr>
            </w:pPr>
            <w:r>
              <w:rPr>
                <w:rFonts w:ascii="Times New Roman" w:hAnsi="Times New Roman" w:cs="Times New Roman" w:hint="eastAsia"/>
                <w:b/>
                <w:bCs/>
                <w:sz w:val="17"/>
                <w:szCs w:val="17"/>
                <w:lang w:val="en-US" w:eastAsia="zh-CN" w:bidi="en-US"/>
              </w:rPr>
              <w:t xml:space="preserve">0.00</w:t>
            </w:r>
          </w:p>
        </w:tc>
        <w:tc>
          <w:tcPr>
            <w:tcW w:w="856" w:type="dxa"/>
            <w:vAlign w:val="center"/>
          </w:tcPr>
          <w:p>
            <w:pPr>
              <w:pStyle w:val="Other|1"/>
              <w:spacing w:line="240" w:lineRule="auto"/>
              <w:ind w:firstLine="0" w:firstLineChars="0"/>
              <w:jc w:val="left"/>
              <w:rPr>
                <w:rFonts w:eastAsia="宋体" w:hint="eastAsia"/>
                <w:vertAlign w:val="baseline"/>
                <w:lang w:val="en-US" w:eastAsia="zh-CN"/>
              </w:rPr>
            </w:pPr>
            <w:r>
              <w:rPr>
                <w:rFonts w:ascii="Times New Roman" w:hAnsi="Times New Roman" w:cs="Times New Roman" w:hint="eastAsia"/>
                <w:b/>
                <w:bCs/>
                <w:sz w:val="17"/>
                <w:szCs w:val="17"/>
                <w:lang w:val="en-US" w:eastAsia="zh-CN" w:bidi="en-US"/>
              </w:rPr>
              <w:t xml:space="preserve">0.00</w:t>
            </w:r>
          </w:p>
        </w:tc>
        <w:tc>
          <w:tcPr>
            <w:tcW w:w="1035" w:type="dxa"/>
            <w:vAlign w:val="center"/>
          </w:tcPr>
          <w:p>
            <w:pPr>
              <w:pStyle w:val="Other|1"/>
              <w:spacing w:line="240" w:lineRule="auto"/>
              <w:ind w:firstLine="520" w:firstLineChars="0"/>
              <w:jc w:val="left"/>
              <w:rPr>
                <w:rFonts w:eastAsia="宋体" w:hint="eastAsia"/>
                <w:vertAlign w:val="baseline"/>
                <w:lang w:val="en-US" w:eastAsia="zh-CN"/>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c>
          <w:tcPr>
            <w:tcW w:w="1011" w:type="dxa"/>
            <w:vAlign w:val="center"/>
          </w:tcPr>
          <w:p>
            <w:pPr>
              <w:pStyle w:val="Other|1"/>
              <w:spacing w:line="240" w:lineRule="auto"/>
              <w:ind w:firstLine="480" w:firstLineChars="0"/>
              <w:jc w:val="left"/>
              <w:rPr>
                <w:rFonts w:eastAsia="宋体" w:hint="eastAsia"/>
                <w:vertAlign w:val="baseline"/>
                <w:lang w:val="en-US" w:eastAsia="zh-CN"/>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c>
          <w:tcPr>
            <w:tcW w:w="859" w:type="dxa"/>
            <w:vAlign w:val="center"/>
          </w:tcPr>
          <w:p>
            <w:pPr>
              <w:pStyle w:val="Other|1"/>
              <w:spacing w:line="240" w:lineRule="auto"/>
              <w:ind w:firstLine="0" w:firstLineChars="0"/>
              <w:jc w:val="left"/>
              <w:rPr>
                <w:rFonts w:eastAsia="宋体" w:hint="eastAsia"/>
                <w:vertAlign w:val="baseline"/>
                <w:lang w:val="en-US" w:eastAsia="zh-CN"/>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c>
          <w:tcPr>
            <w:tcW w:w="1094" w:type="dxa"/>
            <w:gridSpan w:val="2"/>
            <w:vAlign w:val="center"/>
          </w:tcPr>
          <w:p>
            <w:pPr>
              <w:pStyle w:val="Other|1"/>
              <w:spacing w:line="240" w:lineRule="auto"/>
              <w:ind w:firstLine="580" w:firstLineChars="0"/>
              <w:jc w:val="left"/>
              <w:rPr>
                <w:rFonts w:eastAsia="宋体" w:hint="eastAsia"/>
                <w:vertAlign w:val="baseline"/>
                <w:lang w:val="en-US" w:eastAsia="zh-CN"/>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c>
          <w:tcPr>
            <w:tcW w:w="872" w:type="dxa"/>
            <w:vAlign w:val="center"/>
          </w:tcPr>
          <w:p>
            <w:pPr>
              <w:pStyle w:val="Other|1"/>
              <w:spacing w:line="240" w:lineRule="auto"/>
              <w:ind w:firstLine="0" w:firstLineChars="0"/>
              <w:jc w:val="left"/>
              <w:rPr>
                <w:rFonts w:eastAsia="宋体" w:hint="eastAsia"/>
                <w:vertAlign w:val="baseline"/>
                <w:lang w:val="en-US" w:eastAsia="zh-CN"/>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c>
          <w:tcPr>
            <w:tcW w:w="1054" w:type="dxa"/>
            <w:vAlign w:val="center"/>
          </w:tcPr>
          <w:p>
            <w:pPr>
              <w:pStyle w:val="Other|1"/>
              <w:spacing w:line="240" w:lineRule="auto"/>
              <w:ind w:firstLine="540" w:firstLineChars="0"/>
              <w:jc w:val="left"/>
              <w:rPr>
                <w:rFonts w:eastAsia="宋体" w:hint="eastAsia"/>
                <w:vertAlign w:val="baseline"/>
                <w:lang w:val="en-US" w:eastAsia="zh-CN"/>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c>
          <w:tcPr>
            <w:tcW w:w="15557" w:type="dxa"/>
            <w:gridSpan w:val="16"/>
            <w:tcBorders>
              <w:left w:val="nil"/>
              <w:bottom w:val="nil"/>
              <w:right w:val="nil"/>
            </w:tcBorders>
          </w:tcPr>
          <w:p>
            <w:pPr>
              <w:pStyle w:val="Tablecaption|1"/>
              <w:jc w:val="left"/>
              <w:rPr>
                <w:rFonts w:eastAsia="宋体" w:hint="eastAsia"/>
                <w:vertAlign w:val="baseline"/>
                <w:lang w:val="en-US" w:eastAsia="zh-CN"/>
              </w:rPr>
            </w:pPr>
            <w:r>
              <w:t xml:space="preserve">注：本报表金额单位转换时可能存在四舍五入尾数误差。</w:t>
            </w:r>
          </w:p>
        </w:tc>
      </w:tr>
    </w:tbl>
    <w:p>
      <w:pPr>
        <w:tabs>
          <w:tab w:val="left" w:pos="859"/>
        </w:tabs>
        <w:jc w:val="both"/>
        <w:rPr>
          <w:rFonts w:eastAsia="宋体" w:hint="eastAsia"/>
          <w:lang w:val="en-US" w:eastAsia="zh-CN"/>
        </w:rPr>
      </w:pPr>
    </w:p>
    <w:p>
      <w:pPr>
        <w:tabs>
          <w:tab w:val="left" w:pos="859"/>
        </w:tabs>
        <w:jc w:val="center"/>
        <w:rPr>
          <w:rFonts w:eastAsia="宋体" w:hint="eastAsia"/>
          <w:lang w:val="en-US" w:eastAsia="zh-CN"/>
        </w:rPr>
      </w:pPr>
    </w:p>
    <w:p>
      <w:pPr>
        <w:tabs>
          <w:tab w:val="left" w:pos="859"/>
        </w:tabs>
        <w:jc w:val="both"/>
        <w:rPr>
          <w:rFonts w:eastAsia="宋体" w:hint="eastAsia"/>
          <w:lang w:val="en-US" w:eastAsia="zh-CN"/>
        </w:rPr>
      </w:pPr>
    </w:p>
    <w:p>
      <w:pPr>
        <w:spacing w:line="1" w:lineRule="exact"/>
        <w:jc w:val="left"/>
        <w:rPr>
          <w:lang w:eastAsia="zh-CN"/>
        </w:rPr>
        <w:sectPr>
          <w:headerReference w:type="default" r:id="rId16"/>
          <w:footerReference w:type="default" r:id="rId17"/>
          <w:pgSz w:w="16840" w:h="11900" w:orient="landscape"/>
          <w:pgMar w:top="2709" w:right="764" w:bottom="2709" w:left="735" w:header="2281" w:footer="1474" w:gutter="0"/>
          <w:pgBorders>
            <w:top w:val="none" w:sz="0" w:space="0" w:color="auto"/>
            <w:left w:val="none" w:sz="0" w:space="0" w:color="auto"/>
            <w:bottom w:val="none" w:sz="0" w:space="0" w:color="auto"/>
            <w:right w:val="none" w:sz="0" w:space="0" w:color="auto"/>
          </w:pgBorders>
          <w:pgNumType w:fmt="decimal"/>
          <w:cols w:num="1" w:space="720">
            <w:col w:w="15341" w:space="720"/>
          </w:cols>
          <w:docGrid w:linePitch="360" w:charSpace="0"/>
        </w:sectPr>
      </w:pPr>
    </w:p>
    <w:p>
      <w:pPr>
        <w:pStyle w:val="Heading#2|1"/>
        <w:keepNext/>
        <w:keepLines/>
        <w:spacing w:after="240"/>
        <w:jc w:val="center"/>
      </w:pPr>
      <w:bookmarkStart w:id="20" w:name="bookmark41"/>
      <w:bookmarkStart w:id="21" w:name="bookmark43"/>
      <w:bookmarkStart w:id="22" w:name="bookmark42"/>
      <w:r>
        <w:t xml:space="preserve">支出总体情况表</w:t>
      </w:r>
      <w:bookmarkEnd w:id="20"/>
      <w:bookmarkEnd w:id="21"/>
      <w:bookmarkEnd w:id="22"/>
    </w:p>
    <w:tbl>
      <w:tblPr>
        <w:tblStyle w:val="NormalTable"/>
        <w:tblW w:w="0" w:type="auto"/>
        <w:tblInd w:w="0" w:type="dxa"/>
        <w:tblLayout w:type="fixed"/>
        <w:tblCellMar>
          <w:top w:w="0" w:type="dxa"/>
          <w:left w:w="10" w:type="dxa"/>
          <w:bottom w:w="0" w:type="dxa"/>
          <w:right w:w="10" w:type="dxa"/>
        </w:tblCellMar>
        <w:tblLook w:firstRow="0" w:lastRow="0" w:firstColumn="0" w:lastColumn="0" w:noHBand="1" w:noVBand="1"/>
      </w:tblPr>
      <w:tblGrid>
        <w:gridCol w:w="1843"/>
        <w:gridCol w:w="1934"/>
        <w:gridCol w:w="2390"/>
        <w:gridCol w:w="2280"/>
        <w:gridCol w:w="2299"/>
        <w:gridCol w:w="2222"/>
        <w:gridCol w:w="2371"/>
      </w:tblGrid>
      <w:tr>
        <w:tblPrEx>
          <w:tblW w:w="0" w:type="auto"/>
          <w:tblInd w:w="0" w:type="dxa"/>
          <w:tblLayout w:type="fixed"/>
          <w:tblCellMar>
            <w:top w:w="0" w:type="dxa"/>
            <w:left w:w="10" w:type="dxa"/>
            <w:bottom w:w="0" w:type="dxa"/>
            <w:right w:w="10" w:type="dxa"/>
          </w:tblCellMar>
        </w:tblPrEx>
        <w:trPr>
          <w:trHeight w:hRule="exact" w:val="346"/>
        </w:trPr>
        <w:tc>
          <w:tcPr>
            <w:tcW w:w="12968" w:type="dxa"/>
            <w:gridSpan w:val="6"/>
            <w:shd w:val="clear" w:color="auto" w:fill="FFFFFF"/>
          </w:tcPr>
          <w:p>
            <w:pPr>
              <w:pStyle w:val="Other|1"/>
              <w:spacing w:line="240" w:lineRule="auto"/>
              <w:ind w:firstLine="0"/>
              <w:jc w:val="left"/>
              <w:rPr>
                <w:sz w:val="17"/>
                <w:szCs w:val="17"/>
              </w:rPr>
            </w:pPr>
            <w:r>
              <w:rPr>
                <w:sz w:val="17"/>
                <w:szCs w:val="17"/>
              </w:rPr>
              <w:t xml:space="preserve">单位名称：</w:t>
            </w:r>
            <w:r>
              <w:rPr>
                <w:rFonts w:hint="eastAsia"/>
                <w:sz w:val="17"/>
                <w:szCs w:val="17"/>
                <w:lang w:eastAsia="zh-CN"/>
              </w:rPr>
              <w:t xml:space="preserve">环江毛南族自治县下南乡初级中学</w:t>
            </w:r>
          </w:p>
        </w:tc>
        <w:tc>
          <w:tcPr>
            <w:tcW w:w="2371" w:type="dxa"/>
            <w:shd w:val="clear" w:color="auto" w:fill="FFFFFF"/>
          </w:tcPr>
          <w:p>
            <w:pPr>
              <w:pStyle w:val="Other|1"/>
              <w:spacing w:line="240" w:lineRule="auto"/>
              <w:ind w:firstLine="1190" w:firstLineChars="700"/>
              <w:jc w:val="left"/>
              <w:rPr>
                <w:sz w:val="17"/>
                <w:szCs w:val="17"/>
              </w:rPr>
            </w:pPr>
            <w:r>
              <w:rPr>
                <w:sz w:val="17"/>
                <w:szCs w:val="17"/>
              </w:rPr>
              <w:t xml:space="preserve">单位：万元</w:t>
            </w:r>
          </w:p>
        </w:tc>
      </w:tr>
      <w:tr>
        <w:tblPrEx>
          <w:tblW w:w="0" w:type="auto"/>
          <w:tblInd w:w="0" w:type="dxa"/>
          <w:tblLayout w:type="fixed"/>
          <w:tblCellMar>
            <w:top w:w="0" w:type="dxa"/>
            <w:left w:w="10" w:type="dxa"/>
            <w:bottom w:w="0" w:type="dxa"/>
            <w:right w:w="10" w:type="dxa"/>
          </w:tblCellMar>
        </w:tblPrEx>
        <w:trPr>
          <w:trHeight w:hRule="exact" w:val="854"/>
        </w:trPr>
        <w:tc>
          <w:tcPr>
            <w:tcW w:w="1843"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0"/>
              <w:jc w:val="left"/>
              <w:rPr>
                <w:sz w:val="17"/>
                <w:szCs w:val="17"/>
              </w:rPr>
            </w:pPr>
            <w:r>
              <w:rPr>
                <w:sz w:val="17"/>
                <w:szCs w:val="17"/>
              </w:rPr>
              <w:t xml:space="preserve">科目编码</w:t>
            </w:r>
          </w:p>
        </w:tc>
        <w:tc>
          <w:tcPr>
            <w:tcW w:w="1934"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40"/>
              <w:jc w:val="left"/>
              <w:rPr>
                <w:sz w:val="17"/>
                <w:szCs w:val="17"/>
              </w:rPr>
            </w:pPr>
            <w:r>
              <w:rPr>
                <w:sz w:val="17"/>
                <w:szCs w:val="17"/>
              </w:rPr>
              <w:t xml:space="preserve">部门（单位）代码</w:t>
            </w:r>
          </w:p>
        </w:tc>
        <w:tc>
          <w:tcPr>
            <w:tcW w:w="2390" w:type="dxa"/>
            <w:tcBorders>
              <w:top w:val="single" w:sz="4" w:space="0" w:color="auto"/>
              <w:left w:val="single" w:sz="4" w:space="0" w:color="auto"/>
              <w:bottom w:val="single" w:sz="4" w:space="0" w:color="auto"/>
            </w:tcBorders>
            <w:shd w:val="clear" w:color="auto" w:fill="FFFFFF"/>
            <w:vAlign w:val="center"/>
          </w:tcPr>
          <w:p>
            <w:pPr>
              <w:pStyle w:val="Other|1"/>
              <w:spacing w:after="120" w:line="240" w:lineRule="auto"/>
              <w:ind w:firstLine="0"/>
              <w:jc w:val="left"/>
              <w:rPr>
                <w:sz w:val="17"/>
                <w:szCs w:val="17"/>
              </w:rPr>
            </w:pPr>
            <w:r>
              <w:rPr>
                <w:sz w:val="17"/>
                <w:szCs w:val="17"/>
              </w:rPr>
              <w:t xml:space="preserve">部门（单位）名称</w:t>
            </w:r>
          </w:p>
          <w:p>
            <w:pPr>
              <w:pStyle w:val="Other|1"/>
              <w:spacing w:line="240" w:lineRule="auto"/>
              <w:ind w:firstLine="0"/>
              <w:jc w:val="left"/>
              <w:rPr>
                <w:sz w:val="17"/>
                <w:szCs w:val="17"/>
              </w:rPr>
            </w:pPr>
            <w:r>
              <w:rPr>
                <w:sz w:val="17"/>
                <w:szCs w:val="17"/>
              </w:rPr>
              <w:t xml:space="preserve">（功能分类科目名称）</w:t>
            </w:r>
          </w:p>
        </w:tc>
        <w:tc>
          <w:tcPr>
            <w:tcW w:w="228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0"/>
              <w:jc w:val="left"/>
              <w:rPr>
                <w:sz w:val="17"/>
                <w:szCs w:val="17"/>
              </w:rPr>
            </w:pPr>
            <w:r>
              <w:rPr>
                <w:sz w:val="17"/>
                <w:szCs w:val="17"/>
              </w:rPr>
              <w:t xml:space="preserve">合计</w:t>
            </w:r>
          </w:p>
        </w:tc>
        <w:tc>
          <w:tcPr>
            <w:tcW w:w="2299"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0"/>
              <w:jc w:val="left"/>
              <w:rPr>
                <w:sz w:val="17"/>
                <w:szCs w:val="17"/>
              </w:rPr>
            </w:pPr>
            <w:r>
              <w:rPr>
                <w:sz w:val="17"/>
                <w:szCs w:val="17"/>
              </w:rPr>
              <w:t xml:space="preserve">基本支出</w:t>
            </w:r>
          </w:p>
        </w:tc>
        <w:tc>
          <w:tcPr>
            <w:tcW w:w="2222"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0"/>
              <w:jc w:val="left"/>
              <w:rPr>
                <w:sz w:val="17"/>
                <w:szCs w:val="17"/>
              </w:rPr>
            </w:pPr>
            <w:r>
              <w:rPr>
                <w:sz w:val="17"/>
                <w:szCs w:val="17"/>
              </w:rPr>
              <w:t xml:space="preserve">项目支出</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sz w:val="17"/>
                <w:szCs w:val="17"/>
              </w:rPr>
            </w:pPr>
            <w:r>
              <w:rPr>
                <w:sz w:val="17"/>
                <w:szCs w:val="17"/>
              </w:rPr>
              <w:t xml:space="preserve">结转下年支出</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p>
        </w:tc>
        <w:tc>
          <w:tcPr>
            <w:tcW w:w="1934"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合计</w:t>
            </w: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716.30</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679.44</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36.86</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p>
        </w:tc>
        <w:tc>
          <w:tcPr>
            <w:tcW w:w="1934"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201045</w:t>
            </w: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716.30</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679.44</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36.86</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2012999</w:t>
            </w:r>
          </w:p>
        </w:tc>
        <w:tc>
          <w:tcPr>
            <w:tcW w:w="1934"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其他群众团体事务支出</w:t>
            </w: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8.86</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8.86</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0.00</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2050203</w:t>
            </w:r>
          </w:p>
        </w:tc>
        <w:tc>
          <w:tcPr>
            <w:tcW w:w="1934"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初中教育</w:t>
            </w: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593.82</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556.96</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36.86</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2080505</w:t>
            </w:r>
          </w:p>
        </w:tc>
        <w:tc>
          <w:tcPr>
            <w:tcW w:w="1934"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机关事业单位基本养老保险缴费支出</w:t>
            </w: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61.75</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61.75</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0.00</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2210201</w:t>
            </w:r>
          </w:p>
        </w:tc>
        <w:tc>
          <w:tcPr>
            <w:tcW w:w="1934"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住房公积金</w:t>
            </w: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51.88</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51.88</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0.00</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w:t>
            </w:r>
          </w:p>
        </w:tc>
      </w:tr>
    </w:tbl>
    <w:p>
      <w:pPr>
        <w:pStyle w:val="Tablecaption|1"/>
        <w:ind w:left="672"/>
        <w:jc w:val="left"/>
      </w:pPr>
      <w:r>
        <w:t xml:space="preserve">注：本报表金额单位转换时可能存在四舍五入尾数误差。</w:t>
      </w:r>
      <w:r>
        <w:br w:type="page"/>
      </w:r>
    </w:p>
    <w:p>
      <w:pPr>
        <w:pStyle w:val="Heading#2|1"/>
        <w:keepNext/>
        <w:keepLines/>
        <w:spacing w:after="240"/>
        <w:jc w:val="center"/>
      </w:pPr>
      <w:bookmarkStart w:id="23" w:name="bookmark45"/>
      <w:bookmarkStart w:id="24" w:name="bookmark46"/>
      <w:bookmarkStart w:id="25" w:name="bookmark44"/>
      <w:r>
        <w:t xml:space="preserve">财政拨款收支总体情况表</w:t>
      </w:r>
      <w:bookmarkEnd w:id="23"/>
      <w:bookmarkEnd w:id="24"/>
      <w:bookmarkEnd w:id="25"/>
    </w:p>
    <w:tbl>
      <w:tblPr>
        <w:tblStyle w:val="NormalTable"/>
        <w:tblW w:w="0" w:type="auto"/>
        <w:tblInd w:w="0" w:type="dxa"/>
        <w:tblLayout w:type="fixed"/>
        <w:tblCellMar>
          <w:top w:w="0" w:type="dxa"/>
          <w:left w:w="10" w:type="dxa"/>
          <w:bottom w:w="0" w:type="dxa"/>
          <w:right w:w="10" w:type="dxa"/>
        </w:tblCellMar>
        <w:tblLook w:firstRow="0" w:lastRow="0" w:firstColumn="0" w:lastColumn="0" w:noHBand="1" w:noVBand="1"/>
      </w:tblPr>
      <w:tblGrid>
        <w:gridCol w:w="2885"/>
        <w:gridCol w:w="955"/>
        <w:gridCol w:w="3830"/>
        <w:gridCol w:w="3826"/>
        <w:gridCol w:w="3845"/>
        <w:gridCol w:w="1"/>
      </w:tblGrid>
      <w:tr>
        <w:tblPrEx>
          <w:tblW w:w="0" w:type="auto"/>
          <w:tblInd w:w="0" w:type="dxa"/>
          <w:tblLayout w:type="fixed"/>
          <w:tblCellMar>
            <w:top w:w="0" w:type="dxa"/>
            <w:left w:w="10" w:type="dxa"/>
            <w:bottom w:w="0" w:type="dxa"/>
            <w:right w:w="10" w:type="dxa"/>
          </w:tblCellMar>
        </w:tblPrEx>
        <w:trPr>
          <w:gridAfter w:val="1"/>
          <w:wAfter w:w="1" w:type="dxa"/>
          <w:trHeight w:hRule="exact" w:val="346"/>
        </w:trPr>
        <w:tc>
          <w:tcPr>
            <w:tcW w:w="11496" w:type="dxa"/>
            <w:gridSpan w:val="4"/>
            <w:shd w:val="clear" w:color="auto" w:fill="FFFFFF"/>
          </w:tcPr>
          <w:p>
            <w:pPr>
              <w:pStyle w:val="Other|1"/>
              <w:spacing w:line="240" w:lineRule="auto"/>
              <w:ind w:firstLine="0"/>
              <w:jc w:val="left"/>
              <w:rPr>
                <w:rFonts w:hint="default"/>
                <w:sz w:val="17"/>
                <w:szCs w:val="17"/>
                <w:lang w:val="en-US"/>
              </w:rPr>
            </w:pPr>
            <w:r>
              <w:rPr>
                <w:sz w:val="17"/>
                <w:szCs w:val="17"/>
              </w:rPr>
              <w:t xml:space="preserve">单位名称：</w:t>
            </w:r>
            <w:r>
              <w:rPr>
                <w:rFonts w:hint="eastAsia"/>
                <w:sz w:val="17"/>
                <w:szCs w:val="17"/>
                <w:lang w:eastAsia="zh-CN"/>
              </w:rPr>
              <w:t xml:space="preserve">环江毛南族自治县下南乡初级中学</w:t>
            </w:r>
          </w:p>
        </w:tc>
        <w:tc>
          <w:tcPr>
            <w:tcW w:w="3845" w:type="dxa"/>
            <w:shd w:val="clear" w:color="auto" w:fill="FFFFFF"/>
          </w:tcPr>
          <w:p>
            <w:pPr>
              <w:pStyle w:val="Other|1"/>
              <w:spacing w:line="240" w:lineRule="auto"/>
              <w:jc w:val="left"/>
              <w:rPr>
                <w:sz w:val="17"/>
                <w:szCs w:val="17"/>
              </w:rPr>
            </w:pPr>
            <w:r>
              <w:rPr>
                <w:sz w:val="17"/>
                <w:szCs w:val="17"/>
              </w:rPr>
              <w:t xml:space="preserve">单位：万元</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2885" w:type="dxa"/>
            <w:tcBorders>
              <w:top w:val="single" w:sz="4" w:space="0" w:color="auto"/>
              <w:left w:val="single" w:sz="4" w:space="0" w:color="auto"/>
            </w:tcBorders>
            <w:shd w:val="clear" w:color="auto" w:fill="FFFFFF"/>
          </w:tcPr>
          <w:p>
            <w:pPr>
              <w:jc w:val="left"/>
              <w:rPr>
                <w:sz w:val="10"/>
                <w:szCs w:val="10"/>
              </w:rPr>
            </w:pPr>
          </w:p>
        </w:tc>
        <w:tc>
          <w:tcPr>
            <w:tcW w:w="955" w:type="dxa"/>
            <w:tcBorders>
              <w:top w:val="single" w:sz="4" w:space="0" w:color="auto"/>
            </w:tcBorders>
            <w:shd w:val="clear" w:color="auto" w:fill="FFFFFF"/>
            <w:vAlign w:val="center"/>
          </w:tcPr>
          <w:p>
            <w:pPr>
              <w:pStyle w:val="Other|1"/>
              <w:spacing w:line="240" w:lineRule="auto"/>
              <w:ind w:firstLine="0"/>
              <w:jc w:val="left"/>
              <w:rPr>
                <w:sz w:val="17"/>
                <w:szCs w:val="17"/>
              </w:rPr>
            </w:pPr>
            <w:r>
              <w:rPr>
                <w:sz w:val="17"/>
                <w:szCs w:val="17"/>
              </w:rPr>
              <w:t xml:space="preserve">收</w:t>
            </w:r>
          </w:p>
        </w:tc>
        <w:tc>
          <w:tcPr>
            <w:tcW w:w="3830" w:type="dxa"/>
            <w:tcBorders>
              <w:top w:val="single" w:sz="4" w:space="0" w:color="auto"/>
            </w:tcBorders>
            <w:shd w:val="clear" w:color="auto" w:fill="FFFFFF"/>
            <w:vAlign w:val="center"/>
          </w:tcPr>
          <w:p>
            <w:pPr>
              <w:pStyle w:val="Other|1"/>
              <w:spacing w:line="240" w:lineRule="auto"/>
              <w:ind w:firstLine="340"/>
              <w:jc w:val="left"/>
              <w:rPr>
                <w:sz w:val="17"/>
                <w:szCs w:val="17"/>
              </w:rPr>
            </w:pPr>
            <w:r>
              <w:rPr>
                <w:sz w:val="17"/>
                <w:szCs w:val="17"/>
              </w:rPr>
              <w:t xml:space="preserve">入</w:t>
            </w:r>
          </w:p>
        </w:tc>
        <w:tc>
          <w:tcPr>
            <w:tcW w:w="3826" w:type="dxa"/>
            <w:tcBorders>
              <w:top w:val="single" w:sz="4" w:space="0" w:color="auto"/>
              <w:left w:val="single" w:sz="4" w:space="0" w:color="auto"/>
            </w:tcBorders>
            <w:shd w:val="clear" w:color="auto" w:fill="FFFFFF"/>
            <w:vAlign w:val="center"/>
          </w:tcPr>
          <w:p>
            <w:pPr>
              <w:pStyle w:val="Other|1"/>
              <w:spacing w:line="240" w:lineRule="auto"/>
              <w:ind w:right="340" w:firstLine="2720" w:firstLineChars="1600"/>
              <w:jc w:val="left"/>
              <w:rPr>
                <w:sz w:val="17"/>
                <w:szCs w:val="17"/>
              </w:rPr>
            </w:pPr>
            <w:r>
              <w:rPr>
                <w:sz w:val="17"/>
                <w:szCs w:val="17"/>
              </w:rPr>
              <w:t xml:space="preserve">支</w:t>
            </w:r>
          </w:p>
        </w:tc>
        <w:tc>
          <w:tcPr>
            <w:tcW w:w="3845" w:type="dxa"/>
            <w:tcBorders>
              <w:top w:val="single" w:sz="4" w:space="0" w:color="auto"/>
              <w:right w:val="single" w:sz="4" w:space="0" w:color="auto"/>
            </w:tcBorders>
            <w:shd w:val="clear" w:color="auto" w:fill="FFFFFF"/>
            <w:vAlign w:val="center"/>
          </w:tcPr>
          <w:p>
            <w:pPr>
              <w:pStyle w:val="Other|1"/>
              <w:spacing w:line="240" w:lineRule="auto"/>
              <w:ind w:firstLine="935" w:firstLineChars="550"/>
              <w:jc w:val="left"/>
              <w:rPr>
                <w:sz w:val="17"/>
                <w:szCs w:val="17"/>
              </w:rPr>
            </w:pPr>
            <w:r>
              <w:rPr>
                <w:sz w:val="17"/>
                <w:szCs w:val="17"/>
              </w:rPr>
              <w:t xml:space="preserve">出</w:t>
            </w:r>
          </w:p>
        </w:tc>
      </w:tr>
      <w:tr>
        <w:tblPrEx>
          <w:tblW w:w="0" w:type="auto"/>
          <w:tblInd w:w="0" w:type="dxa"/>
          <w:tblLayout w:type="fixed"/>
          <w:tblCellMar>
            <w:top w:w="0" w:type="dxa"/>
            <w:left w:w="10" w:type="dxa"/>
            <w:bottom w:w="0" w:type="dxa"/>
            <w:right w:w="10" w:type="dxa"/>
          </w:tblCellMar>
        </w:tblPrEx>
        <w:trPr>
          <w:gridAfter w:val="1"/>
          <w:wAfter w:w="1" w:type="dxa"/>
          <w:trHeight w:hRule="exact" w:val="451"/>
        </w:trPr>
        <w:tc>
          <w:tcPr>
            <w:tcW w:w="3840" w:type="dxa"/>
            <w:gridSpan w:val="2"/>
            <w:tcBorders>
              <w:top w:val="single" w:sz="4" w:space="0" w:color="auto"/>
              <w:left w:val="single" w:sz="4" w:space="0" w:color="auto"/>
            </w:tcBorders>
            <w:shd w:val="clear" w:color="auto" w:fill="FFFFFF"/>
            <w:vAlign w:val="center"/>
          </w:tcPr>
          <w:p>
            <w:pPr>
              <w:pStyle w:val="Other|1"/>
              <w:spacing w:line="240" w:lineRule="auto"/>
              <w:ind w:firstLine="0"/>
              <w:jc w:val="center"/>
              <w:rPr>
                <w:sz w:val="17"/>
                <w:szCs w:val="17"/>
              </w:rPr>
            </w:pPr>
            <w:r>
              <w:rPr>
                <w:sz w:val="17"/>
                <w:szCs w:val="17"/>
              </w:rPr>
              <w:t xml:space="preserve">项目</w:t>
            </w:r>
          </w:p>
        </w:tc>
        <w:tc>
          <w:tcPr>
            <w:tcW w:w="3830" w:type="dxa"/>
            <w:tcBorders>
              <w:top w:val="single" w:sz="4" w:space="0" w:color="auto"/>
              <w:left w:val="single" w:sz="4" w:space="0" w:color="auto"/>
            </w:tcBorders>
            <w:shd w:val="clear" w:color="auto" w:fill="FFFFFF"/>
            <w:vAlign w:val="center"/>
          </w:tcPr>
          <w:p>
            <w:pPr>
              <w:pStyle w:val="Other|1"/>
              <w:spacing w:line="240" w:lineRule="auto"/>
              <w:ind w:firstLine="0"/>
              <w:jc w:val="center"/>
              <w:rPr>
                <w:sz w:val="17"/>
                <w:szCs w:val="17"/>
              </w:rPr>
            </w:pPr>
            <w:r>
              <w:rPr>
                <w:sz w:val="17"/>
                <w:szCs w:val="17"/>
              </w:rPr>
              <w:t xml:space="preserve">预算数</w:t>
            </w:r>
          </w:p>
        </w:tc>
        <w:tc>
          <w:tcPr>
            <w:tcW w:w="3826" w:type="dxa"/>
            <w:tcBorders>
              <w:top w:val="single" w:sz="4" w:space="0" w:color="auto"/>
              <w:left w:val="single" w:sz="4" w:space="0" w:color="auto"/>
            </w:tcBorders>
            <w:shd w:val="clear" w:color="auto" w:fill="FFFFFF"/>
            <w:vAlign w:val="center"/>
          </w:tcPr>
          <w:p>
            <w:pPr>
              <w:pStyle w:val="Other|1"/>
              <w:tabs>
                <w:tab w:val="left" w:pos="1034"/>
              </w:tabs>
              <w:spacing w:line="240" w:lineRule="auto"/>
              <w:ind w:firstLine="540"/>
              <w:jc w:val="center"/>
              <w:rPr>
                <w:sz w:val="17"/>
                <w:szCs w:val="17"/>
              </w:rPr>
            </w:pPr>
            <w:r>
              <w:rPr>
                <w:sz w:val="17"/>
                <w:szCs w:val="17"/>
              </w:rPr>
              <w:t xml:space="preserve">项</w:t>
            </w:r>
            <w:r>
              <w:rPr>
                <w:sz w:val="17"/>
                <w:szCs w:val="17"/>
              </w:rPr>
              <w:tab/>
            </w:r>
            <w:r>
              <w:rPr>
                <w:sz w:val="17"/>
                <w:szCs w:val="17"/>
              </w:rPr>
              <w:t xml:space="preserve">目（按支出功能科目分类）</w:t>
            </w:r>
          </w:p>
        </w:tc>
        <w:tc>
          <w:tcPr>
            <w:tcW w:w="3845" w:type="dxa"/>
            <w:tcBorders>
              <w:top w:val="single" w:sz="4" w:space="0" w:color="auto"/>
              <w:left w:val="single" w:sz="4" w:space="0" w:color="auto"/>
              <w:right w:val="single" w:sz="4" w:space="0" w:color="auto"/>
            </w:tcBorders>
            <w:shd w:val="clear" w:color="auto" w:fill="FFFFFF"/>
            <w:vAlign w:val="center"/>
          </w:tcPr>
          <w:p>
            <w:pPr>
              <w:pStyle w:val="Other|1"/>
              <w:spacing w:line="240" w:lineRule="auto"/>
              <w:ind w:firstLine="0"/>
              <w:jc w:val="center"/>
              <w:rPr>
                <w:sz w:val="17"/>
                <w:szCs w:val="17"/>
              </w:rPr>
            </w:pPr>
            <w:r>
              <w:rPr>
                <w:sz w:val="17"/>
                <w:szCs w:val="17"/>
              </w:rPr>
              <w:t xml:space="preserve">预算数</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一、一般公共预算拨款</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689.44</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一、一般公共服务支出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8.86</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1、上级补助</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二、外交支出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2、本级</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689.44</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三、国防支出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二、政府性基金预算拨款</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四、公共安全支出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1、上级补助</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五、教育支出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593.82</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2、本级</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六、科学技术支出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三、国有资本经营预算拨款</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七、文化旅游体育与传媒支出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1、上级补助</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八、社会保障和就业支出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61.75</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2、本级</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九、卫生健康支出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十、节能环保支出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十一、城乡社区支出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十二、农林水支出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十三、交通运输支出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十四、资源勘探工业信息等支出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十五、商业服务业等支出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十六、金融支出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十七、援助其他地区支出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十八、自然资源海洋气象等支出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十九、住房保障支出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51.88</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二十、粮油物资储备支出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二十一、国有资本经营预算支出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二十二、灾害防治及应急管理支出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二十三、其他支出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二十四、债务还本支出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二十五、债务付息支出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二十六、债务发行费用支出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本年收入合计</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689.44</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本年支出合计</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716.30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上年结转结余</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26.86</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结转下年支出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收入总计</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716.30</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支出总计</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716.30</w:t>
            </w:r>
          </w:p>
        </w:tc>
      </w:tr>
      <w:tr>
        <w:tblPrEx>
          <w:tblW w:w="0" w:type="auto"/>
          <w:tblInd w:w="0" w:type="dxa"/>
          <w:tblLayout w:type="fixed"/>
          <w:tblCellMar>
            <w:top w:w="0" w:type="dxa"/>
            <w:left w:w="10" w:type="dxa"/>
            <w:bottom w:w="0" w:type="dxa"/>
            <w:right w:w="10" w:type="dxa"/>
          </w:tblCellMar>
        </w:tblPrEx>
        <w:trPr>
          <w:trHeight w:hRule="exact" w:val="352"/>
        </w:trPr>
        <w:tc>
          <w:tcPr>
            <w:tcW w:w="15342" w:type="dxa"/>
            <w:gridSpan w:val="6"/>
            <w:tcBorders>
              <w:top w:val="single" w:sz="4" w:space="0" w:color="auto"/>
            </w:tcBorders>
            <w:shd w:val="clear" w:color="auto" w:fill="FFFFFF"/>
          </w:tcPr>
          <w:p>
            <w:pPr>
              <w:jc w:val="left"/>
              <w:rPr>
                <w:sz w:val="10"/>
                <w:szCs w:val="10"/>
                <w:lang w:eastAsia="zh-CN"/>
              </w:rPr>
            </w:pPr>
            <w:r>
              <w:rPr>
                <w:sz w:val="17"/>
                <w:szCs w:val="17"/>
              </w:rPr>
              <w:t xml:space="preserve">注：表中功能分类科目，根据各部门实际预算编制情况编列。</w:t>
            </w:r>
          </w:p>
        </w:tc>
      </w:tr>
      <w:tr>
        <w:tblPrEx>
          <w:tblW w:w="0" w:type="auto"/>
          <w:tblInd w:w="0" w:type="dxa"/>
          <w:tblLayout w:type="fixed"/>
          <w:tblCellMar>
            <w:top w:w="0" w:type="dxa"/>
            <w:left w:w="10" w:type="dxa"/>
            <w:bottom w:w="0" w:type="dxa"/>
            <w:right w:w="10" w:type="dxa"/>
          </w:tblCellMar>
        </w:tblPrEx>
        <w:trPr>
          <w:trHeight w:hRule="exact" w:val="274"/>
        </w:trPr>
        <w:tc>
          <w:tcPr>
            <w:tcW w:w="15342" w:type="dxa"/>
            <w:gridSpan w:val="6"/>
            <w:shd w:val="clear" w:color="auto" w:fill="FFFFFF"/>
            <w:vAlign w:val="bottom"/>
          </w:tcPr>
          <w:p>
            <w:pPr>
              <w:jc w:val="left"/>
              <w:rPr>
                <w:sz w:val="10"/>
                <w:szCs w:val="10"/>
                <w:lang w:eastAsia="zh-CN"/>
              </w:rPr>
            </w:pPr>
            <w:r>
              <w:rPr>
                <w:sz w:val="17"/>
                <w:szCs w:val="17"/>
              </w:rPr>
              <w:t xml:space="preserve">报表金额单位转换时可能存在四舍五入尾数误差。</w:t>
            </w:r>
          </w:p>
        </w:tc>
      </w:tr>
    </w:tbl>
    <w:p>
      <w:pPr>
        <w:jc w:val="left"/>
        <w:rPr>
          <w:lang w:eastAsia="zh-CN"/>
        </w:rPr>
      </w:pPr>
      <w:r>
        <w:br w:type="page"/>
      </w:r>
    </w:p>
    <w:p>
      <w:pPr>
        <w:jc w:val="center"/>
        <w:rPr>
          <w:rFonts w:hint="eastAsia"/>
          <w:lang w:eastAsia="zh-CN"/>
        </w:rPr>
      </w:pPr>
      <w:r>
        <w:rPr>
          <w:rFonts w:hint="eastAsia"/>
          <w:lang w:eastAsia="zh-CN"/>
        </w:rPr>
        <w:t xml:space="preserve">一般公共预算支出情况表</w:t>
      </w:r>
    </w:p>
    <w:p>
      <w:pPr>
        <w:jc w:val="center"/>
        <w:rPr>
          <w:rFonts w:hint="eastAsia"/>
          <w:lang w:eastAsia="zh-CN"/>
        </w:rPr>
      </w:pP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firstRow="0" w:lastRow="0" w:firstColumn="0" w:lastColumn="0" w:noHBand="1" w:noVBand="1"/>
      </w:tblPr>
      <w:tblGrid>
        <w:gridCol w:w="1715"/>
        <w:gridCol w:w="1676"/>
        <w:gridCol w:w="1662"/>
        <w:gridCol w:w="1717"/>
        <w:gridCol w:w="1879"/>
        <w:gridCol w:w="1729"/>
        <w:gridCol w:w="1718"/>
        <w:gridCol w:w="72"/>
        <w:gridCol w:w="1694"/>
        <w:gridCol w:w="1695"/>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2096" w:type="dxa"/>
            <w:gridSpan w:val="7"/>
            <w:tcBorders>
              <w:top w:val="nil"/>
              <w:left w:val="nil"/>
              <w:right w:val="nil"/>
            </w:tcBorders>
          </w:tcPr>
          <w:p>
            <w:pPr>
              <w:jc w:val="left"/>
              <w:rPr>
                <w:rFonts w:hint="eastAsia"/>
                <w:vertAlign w:val="baseline"/>
                <w:lang w:eastAsia="zh-CN"/>
              </w:rPr>
            </w:pPr>
            <w:r>
              <w:rPr>
                <w:rFonts w:ascii="宋体" w:eastAsia="宋体" w:hAnsi="宋体" w:cs="宋体" w:hint="eastAsia"/>
                <w:sz w:val="16"/>
                <w:szCs w:val="16"/>
                <w:vertAlign w:val="baseline"/>
                <w:lang w:eastAsia="zh-CN"/>
              </w:rPr>
              <w:t xml:space="preserve">单位名称：</w:t>
            </w:r>
            <w:r>
              <w:rPr>
                <w:rFonts w:ascii="宋体" w:eastAsia="宋体" w:hAnsi="宋体" w:cs="宋体"/>
                <w:sz w:val="16"/>
                <w:u w:color="auto"/>
              </w:rPr>
              <w:t xml:space="preserve">环江毛南族自治县下南乡初级中学</w:t>
            </w:r>
          </w:p>
        </w:tc>
        <w:tc>
          <w:tcPr>
            <w:tcW w:w="3461" w:type="dxa"/>
            <w:gridSpan w:val="3"/>
            <w:tcBorders>
              <w:top w:val="nil"/>
              <w:left w:val="nil"/>
              <w:right w:val="nil"/>
            </w:tcBorders>
          </w:tcPr>
          <w:p>
            <w:pPr>
              <w:ind w:firstLine="1760" w:firstLineChars="1100"/>
              <w:jc w:val="left"/>
              <w:rPr>
                <w:rFonts w:hint="eastAsia"/>
                <w:vertAlign w:val="baseline"/>
                <w:lang w:eastAsia="zh-CN"/>
              </w:rPr>
            </w:pPr>
            <w:r>
              <w:rPr>
                <w:rFonts w:ascii="宋体" w:eastAsia="宋体" w:hAnsi="宋体" w:cs="宋体" w:hint="eastAsia"/>
                <w:sz w:val="16"/>
                <w:szCs w:val="16"/>
                <w:vertAlign w:val="baseline"/>
                <w:lang w:eastAsia="zh-CN"/>
              </w:rPr>
              <w:t xml:space="preserve">单位：万元</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715" w:type="dxa"/>
            <w:vMerge w:val="restart"/>
          </w:tcPr>
          <w:p>
            <w:pPr>
              <w:jc w:val="center"/>
              <w:rPr>
                <w:rFonts w:hint="eastAsia"/>
                <w:vertAlign w:val="baseline"/>
                <w:lang w:eastAsia="zh-CN"/>
              </w:rPr>
            </w:pPr>
            <w:r>
              <w:rPr>
                <w:sz w:val="17"/>
                <w:szCs w:val="17"/>
              </w:rPr>
              <w:t xml:space="preserve">科目编码</w:t>
            </w:r>
          </w:p>
        </w:tc>
        <w:tc>
          <w:tcPr>
            <w:tcW w:w="1676" w:type="dxa"/>
            <w:vMerge w:val="restart"/>
          </w:tcPr>
          <w:p>
            <w:pPr>
              <w:jc w:val="center"/>
              <w:rPr>
                <w:rFonts w:hint="eastAsia"/>
                <w:vertAlign w:val="baseline"/>
                <w:lang w:eastAsia="zh-CN"/>
              </w:rPr>
            </w:pPr>
            <w:r>
              <w:rPr>
                <w:sz w:val="17"/>
                <w:szCs w:val="17"/>
              </w:rPr>
              <w:t xml:space="preserve">部门（单位）代码</w:t>
            </w:r>
          </w:p>
        </w:tc>
        <w:tc>
          <w:tcPr>
            <w:tcW w:w="1662" w:type="dxa"/>
            <w:vMerge w:val="restart"/>
          </w:tcPr>
          <w:p>
            <w:pPr>
              <w:pStyle w:val="Other|1"/>
              <w:spacing w:after="120" w:line="240" w:lineRule="auto"/>
              <w:ind w:firstLine="0"/>
              <w:jc w:val="center"/>
              <w:rPr>
                <w:sz w:val="17"/>
                <w:szCs w:val="17"/>
              </w:rPr>
            </w:pPr>
            <w:r>
              <w:rPr>
                <w:sz w:val="17"/>
                <w:szCs w:val="17"/>
              </w:rPr>
              <w:t xml:space="preserve">部门（单位）名称</w:t>
            </w:r>
          </w:p>
          <w:p>
            <w:pPr>
              <w:jc w:val="center"/>
              <w:rPr>
                <w:rFonts w:hint="eastAsia"/>
                <w:vertAlign w:val="baseline"/>
                <w:lang w:eastAsia="zh-CN"/>
              </w:rPr>
            </w:pPr>
            <w:r>
              <w:rPr>
                <w:sz w:val="17"/>
                <w:szCs w:val="17"/>
              </w:rPr>
              <w:t xml:space="preserve">（功能分类科目名称）</w:t>
            </w:r>
          </w:p>
        </w:tc>
        <w:tc>
          <w:tcPr>
            <w:tcW w:w="1717" w:type="dxa"/>
            <w:vMerge w:val="restart"/>
          </w:tcPr>
          <w:p>
            <w:pPr>
              <w:jc w:val="center"/>
              <w:rPr>
                <w:rFonts w:hint="eastAsia"/>
                <w:vertAlign w:val="baseline"/>
                <w:lang w:eastAsia="zh-CN"/>
              </w:rPr>
            </w:pPr>
            <w:r>
              <w:rPr>
                <w:sz w:val="17"/>
                <w:szCs w:val="17"/>
              </w:rPr>
              <w:t xml:space="preserve">合计</w:t>
            </w:r>
          </w:p>
        </w:tc>
        <w:tc>
          <w:tcPr>
            <w:tcW w:w="5398" w:type="dxa"/>
            <w:gridSpan w:val="4"/>
          </w:tcPr>
          <w:p>
            <w:pPr>
              <w:jc w:val="center"/>
              <w:rPr>
                <w:rFonts w:hint="eastAsia"/>
                <w:vertAlign w:val="baseline"/>
                <w:lang w:eastAsia="zh-CN"/>
              </w:rPr>
            </w:pPr>
            <w:r>
              <w:rPr>
                <w:sz w:val="17"/>
                <w:szCs w:val="17"/>
              </w:rPr>
              <w:t xml:space="preserve">基本支出</w:t>
            </w:r>
          </w:p>
        </w:tc>
        <w:tc>
          <w:tcPr>
            <w:tcW w:w="1694" w:type="dxa"/>
            <w:vMerge w:val="restart"/>
          </w:tcPr>
          <w:p>
            <w:pPr>
              <w:jc w:val="center"/>
              <w:rPr>
                <w:rFonts w:hint="eastAsia"/>
                <w:vertAlign w:val="baseline"/>
                <w:lang w:eastAsia="zh-CN"/>
              </w:rPr>
            </w:pPr>
            <w:r>
              <w:rPr>
                <w:sz w:val="17"/>
                <w:szCs w:val="17"/>
              </w:rPr>
              <w:t xml:space="preserve">项目支出</w:t>
            </w:r>
          </w:p>
        </w:tc>
        <w:tc>
          <w:tcPr>
            <w:tcW w:w="1695" w:type="dxa"/>
            <w:vMerge w:val="restart"/>
          </w:tcPr>
          <w:p>
            <w:pPr>
              <w:jc w:val="center"/>
              <w:rPr>
                <w:rFonts w:hint="eastAsia"/>
                <w:vertAlign w:val="baseline"/>
                <w:lang w:eastAsia="zh-CN"/>
              </w:rPr>
            </w:pPr>
            <w:r>
              <w:rPr>
                <w:sz w:val="17"/>
                <w:szCs w:val="17"/>
              </w:rPr>
              <w:t xml:space="preserve">结转下年支出</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715" w:type="dxa"/>
            <w:vMerge/>
          </w:tcPr>
          <w:p>
            <w:pPr>
              <w:jc w:val="center"/>
              <w:rPr>
                <w:rFonts w:hint="eastAsia"/>
                <w:vertAlign w:val="baseline"/>
                <w:lang w:eastAsia="zh-CN"/>
              </w:rPr>
            </w:pPr>
          </w:p>
        </w:tc>
        <w:tc>
          <w:tcPr>
            <w:tcW w:w="1676" w:type="dxa"/>
            <w:vMerge/>
          </w:tcPr>
          <w:p>
            <w:pPr>
              <w:jc w:val="center"/>
              <w:rPr>
                <w:rFonts w:hint="eastAsia"/>
                <w:vertAlign w:val="baseline"/>
                <w:lang w:eastAsia="zh-CN"/>
              </w:rPr>
            </w:pPr>
          </w:p>
        </w:tc>
        <w:tc>
          <w:tcPr>
            <w:tcW w:w="1662" w:type="dxa"/>
            <w:vMerge/>
          </w:tcPr>
          <w:p>
            <w:pPr>
              <w:jc w:val="center"/>
              <w:rPr>
                <w:rFonts w:hint="eastAsia"/>
                <w:vertAlign w:val="baseline"/>
                <w:lang w:eastAsia="zh-CN"/>
              </w:rPr>
            </w:pPr>
          </w:p>
        </w:tc>
        <w:tc>
          <w:tcPr>
            <w:tcW w:w="1717" w:type="dxa"/>
            <w:vMerge/>
          </w:tcPr>
          <w:p>
            <w:pPr>
              <w:jc w:val="center"/>
              <w:rPr>
                <w:rFonts w:hint="eastAsia"/>
                <w:vertAlign w:val="baseline"/>
                <w:lang w:eastAsia="zh-CN"/>
              </w:rPr>
            </w:pPr>
          </w:p>
        </w:tc>
        <w:tc>
          <w:tcPr>
            <w:tcW w:w="1879" w:type="dxa"/>
            <w:vAlign w:val="center"/>
          </w:tcPr>
          <w:p>
            <w:pPr>
              <w:pStyle w:val="Other|1"/>
              <w:spacing w:line="240" w:lineRule="auto"/>
              <w:ind w:firstLine="0" w:firstLineChars="0"/>
              <w:jc w:val="center"/>
              <w:rPr>
                <w:rFonts w:hint="eastAsia"/>
                <w:vertAlign w:val="baseline"/>
                <w:lang w:eastAsia="zh-CN"/>
              </w:rPr>
            </w:pPr>
            <w:r>
              <w:rPr>
                <w:sz w:val="17"/>
                <w:szCs w:val="17"/>
              </w:rPr>
              <w:t xml:space="preserve">小计</w:t>
            </w:r>
          </w:p>
        </w:tc>
        <w:tc>
          <w:tcPr>
            <w:tcW w:w="1729" w:type="dxa"/>
            <w:vAlign w:val="center"/>
          </w:tcPr>
          <w:p>
            <w:pPr>
              <w:pStyle w:val="Other|1"/>
              <w:spacing w:line="240" w:lineRule="auto"/>
              <w:ind w:firstLine="0" w:firstLineChars="0"/>
              <w:jc w:val="center"/>
              <w:rPr>
                <w:rFonts w:hint="eastAsia"/>
                <w:vertAlign w:val="baseline"/>
                <w:lang w:eastAsia="zh-CN"/>
              </w:rPr>
            </w:pPr>
            <w:r>
              <w:rPr>
                <w:sz w:val="17"/>
                <w:szCs w:val="17"/>
              </w:rPr>
              <w:t xml:space="preserve">人员经费</w:t>
            </w:r>
          </w:p>
        </w:tc>
        <w:tc>
          <w:tcPr>
            <w:tcW w:w="1790" w:type="dxa"/>
            <w:gridSpan w:val="2"/>
            <w:vAlign w:val="center"/>
          </w:tcPr>
          <w:p>
            <w:pPr>
              <w:pStyle w:val="Other|1"/>
              <w:spacing w:line="240" w:lineRule="auto"/>
              <w:ind w:firstLine="440" w:firstLineChars="0"/>
              <w:jc w:val="center"/>
              <w:rPr>
                <w:rFonts w:hint="eastAsia"/>
                <w:vertAlign w:val="baseline"/>
                <w:lang w:eastAsia="zh-CN"/>
              </w:rPr>
            </w:pPr>
            <w:r>
              <w:rPr>
                <w:sz w:val="17"/>
                <w:szCs w:val="17"/>
              </w:rPr>
              <w:t xml:space="preserve">公用经费</w:t>
            </w:r>
          </w:p>
        </w:tc>
        <w:tc>
          <w:tcPr>
            <w:tcW w:w="1694" w:type="dxa"/>
            <w:vMerge/>
          </w:tcPr>
          <w:p>
            <w:pPr>
              <w:jc w:val="center"/>
              <w:rPr>
                <w:rFonts w:hint="eastAsia"/>
                <w:vertAlign w:val="baseline"/>
                <w:lang w:eastAsia="zh-CN"/>
              </w:rPr>
            </w:pPr>
          </w:p>
        </w:tc>
        <w:tc>
          <w:tcPr>
            <w:tcW w:w="1695" w:type="dxa"/>
            <w:vMerge/>
          </w:tcPr>
          <w:p>
            <w:pPr>
              <w:jc w:val="center"/>
              <w:rPr>
                <w:rFonts w:hint="eastAsia"/>
                <w:vertAlign w:val="baseline"/>
                <w:lang w:eastAsia="zh-CN"/>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715" w:type="dxa"/>
            <w:vAlign w:val="center"/>
          </w:tcPr>
          <w:p>
            <w:pPr>
              <w:jc w:val="center"/>
              <w:rPr>
                <w:rFonts w:hint="eastAsia"/>
                <w:vertAlign w:val="baseline"/>
                <w:lang w:eastAsia="zh-CN"/>
              </w:rPr>
            </w:pPr>
          </w:p>
        </w:tc>
        <w:tc>
          <w:tcPr>
            <w:tcW w:w="1676" w:type="dxa"/>
            <w:vAlign w:val="center"/>
          </w:tcPr>
          <w:p>
            <w:pPr>
              <w:jc w:val="center"/>
              <w:rPr>
                <w:rFonts w:hint="eastAsia"/>
                <w:vertAlign w:val="baseline"/>
                <w:lang w:eastAsia="zh-CN"/>
              </w:rPr>
            </w:pPr>
          </w:p>
        </w:tc>
        <w:tc>
          <w:tcPr>
            <w:tcW w:w="1662" w:type="dxa"/>
            <w:vAlign w:val="center"/>
          </w:tcPr>
          <w:p>
            <w:pPr>
              <w:jc w:val="center"/>
              <w:rPr>
                <w:rFonts w:hint="eastAsia"/>
                <w:vertAlign w:val="baseline"/>
                <w:lang w:eastAsia="zh-CN"/>
              </w:rPr>
            </w:pPr>
          </w:p>
        </w:tc>
        <w:tc>
          <w:tcPr>
            <w:tcW w:w="1717" w:type="dxa"/>
            <w:vAlign w:val="center"/>
          </w:tcPr>
          <w:p>
            <w:pPr>
              <w:pStyle w:val="Other|1"/>
              <w:spacing w:line="240" w:lineRule="auto"/>
              <w:ind w:firstLine="0" w:firstLineChars="0"/>
              <w:jc w:val="center"/>
              <w:rPr>
                <w:rFonts w:hint="eastAsia"/>
                <w:vertAlign w:val="baseline"/>
                <w:lang w:eastAsia="zh-CN"/>
              </w:rPr>
            </w:pPr>
            <w:r>
              <w:rPr>
                <w:rFonts w:ascii="Times New Roman" w:eastAsia="Times New Roman" w:hAnsi="Times New Roman" w:cs="Times New Roman"/>
                <w:b/>
                <w:bCs/>
                <w:sz w:val="17"/>
                <w:szCs w:val="17"/>
              </w:rPr>
              <w:t xml:space="preserve">1</w:t>
            </w:r>
          </w:p>
        </w:tc>
        <w:tc>
          <w:tcPr>
            <w:tcW w:w="1879" w:type="dxa"/>
            <w:vAlign w:val="center"/>
          </w:tcPr>
          <w:p>
            <w:pPr>
              <w:pStyle w:val="Other|1"/>
              <w:spacing w:line="240" w:lineRule="auto"/>
              <w:ind w:firstLine="0" w:firstLineChars="0"/>
              <w:jc w:val="center"/>
              <w:rPr>
                <w:rFonts w:hint="eastAsia"/>
                <w:vertAlign w:val="baseline"/>
                <w:lang w:eastAsia="zh-CN"/>
              </w:rPr>
            </w:pPr>
            <w:r>
              <w:rPr>
                <w:rFonts w:ascii="Times New Roman" w:eastAsia="Times New Roman" w:hAnsi="Times New Roman" w:cs="Times New Roman"/>
                <w:b/>
                <w:bCs/>
                <w:sz w:val="17"/>
                <w:szCs w:val="17"/>
              </w:rPr>
              <w:t xml:space="preserve">2</w:t>
            </w:r>
          </w:p>
        </w:tc>
        <w:tc>
          <w:tcPr>
            <w:tcW w:w="1729" w:type="dxa"/>
            <w:vAlign w:val="center"/>
          </w:tcPr>
          <w:p>
            <w:pPr>
              <w:pStyle w:val="Other|1"/>
              <w:spacing w:line="240" w:lineRule="auto"/>
              <w:ind w:firstLine="0" w:firstLineChars="0"/>
              <w:jc w:val="center"/>
              <w:rPr>
                <w:rFonts w:hint="eastAsia"/>
                <w:vertAlign w:val="baseline"/>
                <w:lang w:eastAsia="zh-CN"/>
              </w:rPr>
            </w:pPr>
            <w:r>
              <w:rPr>
                <w:rFonts w:ascii="Times New Roman" w:eastAsia="Times New Roman" w:hAnsi="Times New Roman" w:cs="Times New Roman"/>
                <w:b/>
                <w:bCs/>
                <w:sz w:val="17"/>
                <w:szCs w:val="17"/>
              </w:rPr>
              <w:t xml:space="preserve">3</w:t>
            </w:r>
          </w:p>
        </w:tc>
        <w:tc>
          <w:tcPr>
            <w:tcW w:w="1790" w:type="dxa"/>
            <w:gridSpan w:val="2"/>
            <w:vAlign w:val="center"/>
          </w:tcPr>
          <w:p>
            <w:pPr>
              <w:pStyle w:val="Other|1"/>
              <w:spacing w:line="240" w:lineRule="auto"/>
              <w:ind w:firstLine="0" w:firstLineChars="0"/>
              <w:jc w:val="center"/>
              <w:rPr>
                <w:rFonts w:hint="eastAsia"/>
                <w:vertAlign w:val="baseline"/>
                <w:lang w:eastAsia="zh-CN"/>
              </w:rPr>
            </w:pPr>
            <w:r>
              <w:rPr>
                <w:rFonts w:ascii="Times New Roman" w:eastAsia="Times New Roman" w:hAnsi="Times New Roman" w:cs="Times New Roman"/>
                <w:b/>
                <w:bCs/>
                <w:sz w:val="17"/>
                <w:szCs w:val="17"/>
              </w:rPr>
              <w:t xml:space="preserve">4</w:t>
            </w:r>
          </w:p>
        </w:tc>
        <w:tc>
          <w:tcPr>
            <w:tcW w:w="1694" w:type="dxa"/>
            <w:vAlign w:val="center"/>
          </w:tcPr>
          <w:p>
            <w:pPr>
              <w:pStyle w:val="Other|1"/>
              <w:spacing w:line="240" w:lineRule="auto"/>
              <w:ind w:firstLine="660" w:firstLineChars="0"/>
              <w:jc w:val="center"/>
              <w:rPr>
                <w:rFonts w:hint="eastAsia"/>
                <w:vertAlign w:val="baseline"/>
                <w:lang w:eastAsia="zh-CN"/>
              </w:rPr>
            </w:pPr>
            <w:r>
              <w:rPr>
                <w:rFonts w:ascii="Times New Roman" w:eastAsia="Times New Roman" w:hAnsi="Times New Roman" w:cs="Times New Roman"/>
                <w:b/>
                <w:bCs/>
                <w:sz w:val="17"/>
                <w:szCs w:val="17"/>
              </w:rPr>
              <w:t xml:space="preserve">5</w:t>
            </w:r>
          </w:p>
        </w:tc>
        <w:tc>
          <w:tcPr>
            <w:tcW w:w="1695" w:type="dxa"/>
            <w:vAlign w:val="center"/>
          </w:tcPr>
          <w:p>
            <w:pPr>
              <w:pStyle w:val="Other|1"/>
              <w:spacing w:line="240" w:lineRule="auto"/>
              <w:ind w:right="700" w:firstLine="0" w:rightChars="0" w:firstLineChars="0"/>
              <w:jc w:val="center"/>
              <w:rPr>
                <w:rFonts w:hint="eastAsia"/>
                <w:vertAlign w:val="baseline"/>
                <w:lang w:eastAsia="zh-CN"/>
              </w:rPr>
            </w:pPr>
            <w:r>
              <w:rPr>
                <w:rFonts w:ascii="Times New Roman" w:eastAsia="Times New Roman" w:hAnsi="Times New Roman" w:cs="Times New Roman"/>
                <w:b/>
                <w:bCs/>
                <w:sz w:val="17"/>
                <w:szCs w:val="17"/>
              </w:rPr>
              <w:t xml:space="preserve">6</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715" w:type="dxa"/>
            <w:vAlign w:val="center"/>
          </w:tcPr>
          <w:p>
            <w:pPr>
              <w:pStyle w:val="Other|1"/>
              <w:spacing w:line="240" w:lineRule="auto"/>
              <w:ind w:firstLine="0" w:firstLineChars="0"/>
              <w:jc w:val="center"/>
              <w:rPr>
                <w:rFonts w:hint="eastAsia"/>
                <w:vertAlign w:val="baseline"/>
                <w:lang w:eastAsia="zh-CN"/>
              </w:rPr>
            </w:pPr>
          </w:p>
        </w:tc>
        <w:tc>
          <w:tcPr>
            <w:tcW w:w="1676" w:type="dxa"/>
            <w:vAlign w:val="center"/>
          </w:tcPr>
          <w:p>
            <w:pPr>
              <w:pStyle w:val="Other|1"/>
              <w:spacing w:line="240" w:lineRule="auto"/>
              <w:ind w:firstLine="0" w:firstLineChars="0"/>
              <w:jc w:val="center"/>
              <w:rPr>
                <w:rFonts w:hint="eastAsia"/>
                <w:vertAlign w:val="baseline"/>
                <w:lang w:eastAsia="zh-CN"/>
              </w:rPr>
            </w:pPr>
            <w:r>
              <w:rPr>
                <w:rFonts w:ascii="Times New Roman" w:hAnsi="Times New Roman" w:cs="Times New Roman" w:hint="eastAsia"/>
                <w:b/>
                <w:bCs/>
                <w:sz w:val="17"/>
                <w:szCs w:val="17"/>
                <w:lang w:val="en-US" w:eastAsia="zh-CN"/>
              </w:rPr>
              <w:t xml:space="preserve">201045</w:t>
            </w:r>
          </w:p>
        </w:tc>
        <w:tc>
          <w:tcPr>
            <w:tcW w:w="1662" w:type="dxa"/>
            <w:vAlign w:val="center"/>
          </w:tcPr>
          <w:p>
            <w:pPr>
              <w:pStyle w:val="Other|1"/>
              <w:spacing w:line="240" w:lineRule="auto"/>
              <w:ind w:firstLine="0" w:firstLineChars="0"/>
              <w:jc w:val="center"/>
              <w:rPr>
                <w:rFonts w:hint="eastAsia"/>
                <w:vertAlign w:val="baseline"/>
                <w:lang w:eastAsia="zh-CN"/>
              </w:rPr>
            </w:pPr>
          </w:p>
        </w:tc>
        <w:tc>
          <w:tcPr>
            <w:tcW w:w="1717" w:type="dxa"/>
            <w:vAlign w:val="center"/>
          </w:tcPr>
          <w:p>
            <w:pPr>
              <w:pStyle w:val="Other|1"/>
              <w:spacing w:line="240" w:lineRule="auto"/>
              <w:ind w:left="106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716.30</w:t>
            </w:r>
          </w:p>
        </w:tc>
        <w:tc>
          <w:tcPr>
            <w:tcW w:w="1879" w:type="dxa"/>
            <w:vAlign w:val="center"/>
          </w:tcPr>
          <w:p>
            <w:pPr>
              <w:pStyle w:val="Other|1"/>
              <w:spacing w:line="240" w:lineRule="auto"/>
              <w:ind w:left="1320" w:firstLine="0" w:leftChars="0" w:firstLineChars="0"/>
              <w:jc w:val="center"/>
              <w:rPr>
                <w:rFonts w:hint="eastAsia"/>
                <w:vertAlign w:val="baseline"/>
                <w:lang w:eastAsia="zh-CN"/>
              </w:rPr>
            </w:pPr>
            <w:r>
              <w:rPr>
                <w:rFonts w:hint="eastAsia"/>
                <w:b/>
                <w:bCs/>
                <w:sz w:val="17"/>
                <w:szCs w:val="17"/>
                <w:lang w:val="en-US" w:eastAsia="zh-CN"/>
              </w:rPr>
              <w:t xml:space="preserve">679.44</w:t>
            </w:r>
          </w:p>
        </w:tc>
        <w:tc>
          <w:tcPr>
            <w:tcW w:w="1729" w:type="dxa"/>
            <w:vAlign w:val="center"/>
          </w:tcPr>
          <w:p>
            <w:pPr>
              <w:pStyle w:val="Other|1"/>
              <w:spacing w:line="240" w:lineRule="auto"/>
              <w:ind w:left="112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670.58</w:t>
            </w:r>
          </w:p>
        </w:tc>
        <w:tc>
          <w:tcPr>
            <w:tcW w:w="1790" w:type="dxa"/>
            <w:gridSpan w:val="2"/>
            <w:vAlign w:val="center"/>
          </w:tcPr>
          <w:p>
            <w:pPr>
              <w:pStyle w:val="Other|1"/>
              <w:spacing w:line="240" w:lineRule="auto"/>
              <w:ind w:left="1060" w:firstLine="0" w:leftChars="0" w:firstLineChars="0"/>
              <w:jc w:val="center"/>
              <w:rPr>
                <w:rFonts w:hint="eastAsia"/>
                <w:vertAlign w:val="baseline"/>
                <w:lang w:eastAsia="zh-CN"/>
              </w:rPr>
            </w:pPr>
            <w:r>
              <w:rPr>
                <w:rFonts w:hint="eastAsia"/>
                <w:b/>
                <w:bCs/>
                <w:sz w:val="17"/>
                <w:szCs w:val="17"/>
                <w:lang w:val="en-US" w:eastAsia="zh-CN"/>
              </w:rPr>
              <w:t xml:space="preserve">8.86</w:t>
            </w:r>
          </w:p>
        </w:tc>
        <w:tc>
          <w:tcPr>
            <w:tcW w:w="1694" w:type="dxa"/>
            <w:vAlign w:val="center"/>
          </w:tcPr>
          <w:p>
            <w:pPr>
              <w:pStyle w:val="Other|1"/>
              <w:spacing w:line="240" w:lineRule="auto"/>
              <w:ind w:firstLine="40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36.86</w:t>
            </w:r>
          </w:p>
        </w:tc>
        <w:tc>
          <w:tcPr>
            <w:tcW w:w="1695" w:type="dxa"/>
            <w:vAlign w:val="center"/>
          </w:tcPr>
          <w:p>
            <w:pPr>
              <w:pStyle w:val="Other|1"/>
              <w:spacing w:line="240" w:lineRule="auto"/>
              <w:ind w:firstLine="400" w:firstLineChars="0"/>
              <w:jc w:val="center"/>
              <w:rPr>
                <w:rFonts w:hint="eastAsia"/>
                <w:vertAlign w:val="baseline"/>
                <w:lang w:eastAsia="zh-CN"/>
              </w:rPr>
            </w:pPr>
            <w:r>
              <w:rPr>
                <w:rFonts w:hint="eastAsia"/>
                <w:b/>
                <w:bCs/>
                <w:sz w:val="17"/>
                <w:szCs w:val="17"/>
                <w:lang w:val="en-US" w:eastAsia="zh-CN"/>
              </w:rPr>
              <w:t xml:space="preserve">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715" w:type="dxa"/>
            <w:vAlign w:val="center"/>
          </w:tcPr>
          <w:p>
            <w:pPr>
              <w:pStyle w:val="Other|1"/>
              <w:spacing w:line="240" w:lineRule="auto"/>
              <w:ind w:firstLine="0" w:firstLineChars="0"/>
              <w:jc w:val="center"/>
              <w:rPr>
                <w:rFonts w:hint="eastAsia"/>
                <w:vertAlign w:val="baseline"/>
                <w:lang w:eastAsia="zh-CN"/>
              </w:rPr>
            </w:pPr>
            <w:r>
              <w:rPr>
                <w:rFonts w:ascii="Times New Roman" w:hAnsi="Times New Roman" w:cs="Times New Roman" w:hint="eastAsia"/>
                <w:b/>
                <w:bCs/>
                <w:sz w:val="17"/>
                <w:szCs w:val="17"/>
                <w:lang w:val="en-US" w:eastAsia="zh-CN"/>
              </w:rPr>
              <w:t xml:space="preserve">2012999</w:t>
            </w:r>
          </w:p>
        </w:tc>
        <w:tc>
          <w:tcPr>
            <w:tcW w:w="1676" w:type="dxa"/>
            <w:vAlign w:val="center"/>
          </w:tcPr>
          <w:p>
            <w:pPr>
              <w:pStyle w:val="Other|1"/>
              <w:spacing w:line="240" w:lineRule="auto"/>
              <w:ind w:firstLine="0" w:firstLineChars="0"/>
              <w:jc w:val="center"/>
              <w:rPr>
                <w:rFonts w:hint="eastAsia"/>
                <w:vertAlign w:val="baseline"/>
                <w:lang w:eastAsia="zh-CN"/>
              </w:rPr>
            </w:pPr>
          </w:p>
        </w:tc>
        <w:tc>
          <w:tcPr>
            <w:tcW w:w="1662" w:type="dxa"/>
            <w:vAlign w:val="center"/>
          </w:tcPr>
          <w:p>
            <w:pPr>
              <w:pStyle w:val="Other|1"/>
              <w:spacing w:line="240" w:lineRule="auto"/>
              <w:ind w:firstLine="0" w:firstLineChars="0"/>
              <w:jc w:val="center"/>
              <w:rPr>
                <w:rFonts w:hint="eastAsia"/>
                <w:vertAlign w:val="baseline"/>
                <w:lang w:eastAsia="zh-CN"/>
              </w:rPr>
            </w:pPr>
            <w:r>
              <w:rPr>
                <w:rFonts w:hint="eastAsia"/>
                <w:sz w:val="17"/>
                <w:szCs w:val="17"/>
                <w:lang w:val="en-US" w:eastAsia="zh-CN"/>
              </w:rPr>
              <w:t xml:space="preserve">其他群众团体事务支出</w:t>
            </w:r>
          </w:p>
        </w:tc>
        <w:tc>
          <w:tcPr>
            <w:tcW w:w="1717" w:type="dxa"/>
            <w:vAlign w:val="center"/>
          </w:tcPr>
          <w:p>
            <w:pPr>
              <w:pStyle w:val="Other|1"/>
              <w:spacing w:line="240" w:lineRule="auto"/>
              <w:ind w:left="106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8.86</w:t>
            </w:r>
          </w:p>
        </w:tc>
        <w:tc>
          <w:tcPr>
            <w:tcW w:w="1879" w:type="dxa"/>
            <w:vAlign w:val="center"/>
          </w:tcPr>
          <w:p>
            <w:pPr>
              <w:pStyle w:val="Other|1"/>
              <w:spacing w:line="240" w:lineRule="auto"/>
              <w:ind w:left="1320" w:firstLine="0" w:leftChars="0" w:firstLineChars="0"/>
              <w:jc w:val="center"/>
              <w:rPr>
                <w:rFonts w:hint="eastAsia"/>
                <w:vertAlign w:val="baseline"/>
                <w:lang w:eastAsia="zh-CN"/>
              </w:rPr>
            </w:pPr>
            <w:r>
              <w:rPr>
                <w:rFonts w:hint="eastAsia"/>
                <w:b/>
                <w:bCs/>
                <w:sz w:val="17"/>
                <w:szCs w:val="17"/>
                <w:lang w:val="en-US" w:eastAsia="zh-CN"/>
              </w:rPr>
              <w:t xml:space="preserve">8.86</w:t>
            </w:r>
          </w:p>
        </w:tc>
        <w:tc>
          <w:tcPr>
            <w:tcW w:w="1729" w:type="dxa"/>
            <w:vAlign w:val="center"/>
          </w:tcPr>
          <w:p>
            <w:pPr>
              <w:pStyle w:val="Other|1"/>
              <w:spacing w:line="240" w:lineRule="auto"/>
              <w:ind w:left="112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0.00</w:t>
            </w:r>
          </w:p>
        </w:tc>
        <w:tc>
          <w:tcPr>
            <w:tcW w:w="1790" w:type="dxa"/>
            <w:gridSpan w:val="2"/>
            <w:vAlign w:val="center"/>
          </w:tcPr>
          <w:p>
            <w:pPr>
              <w:pStyle w:val="Other|1"/>
              <w:spacing w:line="240" w:lineRule="auto"/>
              <w:ind w:left="1060" w:firstLine="0" w:leftChars="0" w:firstLineChars="0"/>
              <w:jc w:val="center"/>
              <w:rPr>
                <w:rFonts w:hint="eastAsia"/>
                <w:vertAlign w:val="baseline"/>
                <w:lang w:eastAsia="zh-CN"/>
              </w:rPr>
            </w:pPr>
            <w:r>
              <w:rPr>
                <w:rFonts w:hint="eastAsia"/>
                <w:b/>
                <w:bCs/>
                <w:sz w:val="17"/>
                <w:szCs w:val="17"/>
                <w:lang w:val="en-US" w:eastAsia="zh-CN"/>
              </w:rPr>
              <w:t xml:space="preserve">8.86</w:t>
            </w:r>
          </w:p>
        </w:tc>
        <w:tc>
          <w:tcPr>
            <w:tcW w:w="1694" w:type="dxa"/>
            <w:vAlign w:val="center"/>
          </w:tcPr>
          <w:p>
            <w:pPr>
              <w:pStyle w:val="Other|1"/>
              <w:spacing w:line="240" w:lineRule="auto"/>
              <w:ind w:firstLine="40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0.00</w:t>
            </w:r>
          </w:p>
        </w:tc>
        <w:tc>
          <w:tcPr>
            <w:tcW w:w="1695" w:type="dxa"/>
            <w:vAlign w:val="center"/>
          </w:tcPr>
          <w:p>
            <w:pPr>
              <w:pStyle w:val="Other|1"/>
              <w:spacing w:line="240" w:lineRule="auto"/>
              <w:ind w:firstLine="400" w:firstLineChars="0"/>
              <w:jc w:val="center"/>
              <w:rPr>
                <w:rFonts w:hint="eastAsia"/>
                <w:vertAlign w:val="baseline"/>
                <w:lang w:eastAsia="zh-CN"/>
              </w:rPr>
            </w:pPr>
            <w:r>
              <w:rPr>
                <w:rFonts w:hint="eastAsia"/>
                <w:b/>
                <w:bCs/>
                <w:sz w:val="17"/>
                <w:szCs w:val="17"/>
                <w:lang w:val="en-US" w:eastAsia="zh-CN"/>
              </w:rPr>
              <w:t xml:space="preserve">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715" w:type="dxa"/>
            <w:vAlign w:val="center"/>
          </w:tcPr>
          <w:p>
            <w:pPr>
              <w:pStyle w:val="Other|1"/>
              <w:spacing w:line="240" w:lineRule="auto"/>
              <w:ind w:firstLine="0" w:firstLineChars="0"/>
              <w:jc w:val="center"/>
              <w:rPr>
                <w:rFonts w:hint="eastAsia"/>
                <w:vertAlign w:val="baseline"/>
                <w:lang w:eastAsia="zh-CN"/>
              </w:rPr>
            </w:pPr>
            <w:r>
              <w:rPr>
                <w:rFonts w:ascii="Times New Roman" w:hAnsi="Times New Roman" w:cs="Times New Roman" w:hint="eastAsia"/>
                <w:b/>
                <w:bCs/>
                <w:sz w:val="17"/>
                <w:szCs w:val="17"/>
                <w:lang w:val="en-US" w:eastAsia="zh-CN"/>
              </w:rPr>
              <w:t xml:space="preserve">2050203</w:t>
            </w:r>
          </w:p>
        </w:tc>
        <w:tc>
          <w:tcPr>
            <w:tcW w:w="1676" w:type="dxa"/>
            <w:vAlign w:val="center"/>
          </w:tcPr>
          <w:p>
            <w:pPr>
              <w:pStyle w:val="Other|1"/>
              <w:spacing w:line="240" w:lineRule="auto"/>
              <w:ind w:firstLine="0" w:firstLineChars="0"/>
              <w:jc w:val="center"/>
              <w:rPr>
                <w:rFonts w:hint="eastAsia"/>
                <w:vertAlign w:val="baseline"/>
                <w:lang w:eastAsia="zh-CN"/>
              </w:rPr>
            </w:pPr>
          </w:p>
        </w:tc>
        <w:tc>
          <w:tcPr>
            <w:tcW w:w="1662" w:type="dxa"/>
            <w:vAlign w:val="center"/>
          </w:tcPr>
          <w:p>
            <w:pPr>
              <w:pStyle w:val="Other|1"/>
              <w:spacing w:line="240" w:lineRule="auto"/>
              <w:ind w:firstLine="0" w:firstLineChars="0"/>
              <w:jc w:val="center"/>
              <w:rPr>
                <w:rFonts w:hint="eastAsia"/>
                <w:vertAlign w:val="baseline"/>
                <w:lang w:eastAsia="zh-CN"/>
              </w:rPr>
            </w:pPr>
            <w:r>
              <w:rPr>
                <w:rFonts w:hint="eastAsia"/>
                <w:sz w:val="17"/>
                <w:szCs w:val="17"/>
                <w:lang w:val="en-US" w:eastAsia="zh-CN"/>
              </w:rPr>
              <w:t xml:space="preserve">初中教育</w:t>
            </w:r>
          </w:p>
        </w:tc>
        <w:tc>
          <w:tcPr>
            <w:tcW w:w="1717" w:type="dxa"/>
            <w:vAlign w:val="center"/>
          </w:tcPr>
          <w:p>
            <w:pPr>
              <w:pStyle w:val="Other|1"/>
              <w:spacing w:line="240" w:lineRule="auto"/>
              <w:ind w:left="106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593.82</w:t>
            </w:r>
          </w:p>
        </w:tc>
        <w:tc>
          <w:tcPr>
            <w:tcW w:w="1879" w:type="dxa"/>
            <w:vAlign w:val="center"/>
          </w:tcPr>
          <w:p>
            <w:pPr>
              <w:pStyle w:val="Other|1"/>
              <w:spacing w:line="240" w:lineRule="auto"/>
              <w:ind w:left="1320" w:firstLine="0" w:leftChars="0" w:firstLineChars="0"/>
              <w:jc w:val="center"/>
              <w:rPr>
                <w:rFonts w:hint="eastAsia"/>
                <w:vertAlign w:val="baseline"/>
                <w:lang w:eastAsia="zh-CN"/>
              </w:rPr>
            </w:pPr>
            <w:r>
              <w:rPr>
                <w:rFonts w:hint="eastAsia"/>
                <w:b/>
                <w:bCs/>
                <w:sz w:val="17"/>
                <w:szCs w:val="17"/>
                <w:lang w:val="en-US" w:eastAsia="zh-CN"/>
              </w:rPr>
              <w:t xml:space="preserve">556.96</w:t>
            </w:r>
          </w:p>
        </w:tc>
        <w:tc>
          <w:tcPr>
            <w:tcW w:w="1729" w:type="dxa"/>
            <w:vAlign w:val="center"/>
          </w:tcPr>
          <w:p>
            <w:pPr>
              <w:pStyle w:val="Other|1"/>
              <w:spacing w:line="240" w:lineRule="auto"/>
              <w:ind w:left="112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556.96</w:t>
            </w:r>
          </w:p>
        </w:tc>
        <w:tc>
          <w:tcPr>
            <w:tcW w:w="1790" w:type="dxa"/>
            <w:gridSpan w:val="2"/>
            <w:vAlign w:val="center"/>
          </w:tcPr>
          <w:p>
            <w:pPr>
              <w:pStyle w:val="Other|1"/>
              <w:spacing w:line="240" w:lineRule="auto"/>
              <w:ind w:left="1060" w:firstLine="0" w:leftChars="0" w:firstLineChars="0"/>
              <w:jc w:val="center"/>
              <w:rPr>
                <w:rFonts w:hint="eastAsia"/>
                <w:vertAlign w:val="baseline"/>
                <w:lang w:eastAsia="zh-CN"/>
              </w:rPr>
            </w:pPr>
            <w:r>
              <w:rPr>
                <w:rFonts w:hint="eastAsia"/>
                <w:b/>
                <w:bCs/>
                <w:sz w:val="17"/>
                <w:szCs w:val="17"/>
                <w:lang w:val="en-US" w:eastAsia="zh-CN"/>
              </w:rPr>
              <w:t xml:space="preserve">0.00</w:t>
            </w:r>
          </w:p>
        </w:tc>
        <w:tc>
          <w:tcPr>
            <w:tcW w:w="1694" w:type="dxa"/>
            <w:vAlign w:val="center"/>
          </w:tcPr>
          <w:p>
            <w:pPr>
              <w:pStyle w:val="Other|1"/>
              <w:spacing w:line="240" w:lineRule="auto"/>
              <w:ind w:firstLine="40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36.86</w:t>
            </w:r>
          </w:p>
        </w:tc>
        <w:tc>
          <w:tcPr>
            <w:tcW w:w="1695" w:type="dxa"/>
            <w:vAlign w:val="center"/>
          </w:tcPr>
          <w:p>
            <w:pPr>
              <w:pStyle w:val="Other|1"/>
              <w:spacing w:line="240" w:lineRule="auto"/>
              <w:ind w:firstLine="400" w:firstLineChars="0"/>
              <w:jc w:val="center"/>
              <w:rPr>
                <w:rFonts w:hint="eastAsia"/>
                <w:vertAlign w:val="baseline"/>
                <w:lang w:eastAsia="zh-CN"/>
              </w:rPr>
            </w:pPr>
            <w:r>
              <w:rPr>
                <w:rFonts w:hint="eastAsia"/>
                <w:b/>
                <w:bCs/>
                <w:sz w:val="17"/>
                <w:szCs w:val="17"/>
                <w:lang w:val="en-US" w:eastAsia="zh-CN"/>
              </w:rPr>
              <w:t xml:space="preserve">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715" w:type="dxa"/>
            <w:vAlign w:val="center"/>
          </w:tcPr>
          <w:p>
            <w:pPr>
              <w:pStyle w:val="Other|1"/>
              <w:spacing w:line="240" w:lineRule="auto"/>
              <w:ind w:firstLine="0" w:firstLineChars="0"/>
              <w:jc w:val="center"/>
              <w:rPr>
                <w:rFonts w:hint="eastAsia"/>
                <w:vertAlign w:val="baseline"/>
                <w:lang w:eastAsia="zh-CN"/>
              </w:rPr>
            </w:pPr>
            <w:r>
              <w:rPr>
                <w:rFonts w:ascii="Times New Roman" w:hAnsi="Times New Roman" w:cs="Times New Roman" w:hint="eastAsia"/>
                <w:b/>
                <w:bCs/>
                <w:sz w:val="17"/>
                <w:szCs w:val="17"/>
                <w:lang w:val="en-US" w:eastAsia="zh-CN"/>
              </w:rPr>
              <w:t xml:space="preserve">2080505</w:t>
            </w:r>
          </w:p>
        </w:tc>
        <w:tc>
          <w:tcPr>
            <w:tcW w:w="1676" w:type="dxa"/>
            <w:vAlign w:val="center"/>
          </w:tcPr>
          <w:p>
            <w:pPr>
              <w:pStyle w:val="Other|1"/>
              <w:spacing w:line="240" w:lineRule="auto"/>
              <w:ind w:firstLine="0" w:firstLineChars="0"/>
              <w:jc w:val="center"/>
              <w:rPr>
                <w:rFonts w:hint="eastAsia"/>
                <w:vertAlign w:val="baseline"/>
                <w:lang w:eastAsia="zh-CN"/>
              </w:rPr>
            </w:pPr>
          </w:p>
        </w:tc>
        <w:tc>
          <w:tcPr>
            <w:tcW w:w="1662" w:type="dxa"/>
            <w:vAlign w:val="center"/>
          </w:tcPr>
          <w:p>
            <w:pPr>
              <w:pStyle w:val="Other|1"/>
              <w:spacing w:line="240" w:lineRule="auto"/>
              <w:ind w:firstLine="0" w:firstLineChars="0"/>
              <w:jc w:val="center"/>
              <w:rPr>
                <w:rFonts w:hint="eastAsia"/>
                <w:vertAlign w:val="baseline"/>
                <w:lang w:eastAsia="zh-CN"/>
              </w:rPr>
            </w:pPr>
            <w:r>
              <w:rPr>
                <w:rFonts w:hint="eastAsia"/>
                <w:sz w:val="17"/>
                <w:szCs w:val="17"/>
                <w:lang w:val="en-US" w:eastAsia="zh-CN"/>
              </w:rPr>
              <w:t xml:space="preserve">机关事业单位基本养老保险缴费支出</w:t>
            </w:r>
          </w:p>
        </w:tc>
        <w:tc>
          <w:tcPr>
            <w:tcW w:w="1717" w:type="dxa"/>
            <w:vAlign w:val="center"/>
          </w:tcPr>
          <w:p>
            <w:pPr>
              <w:pStyle w:val="Other|1"/>
              <w:spacing w:line="240" w:lineRule="auto"/>
              <w:ind w:left="106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61.75</w:t>
            </w:r>
          </w:p>
        </w:tc>
        <w:tc>
          <w:tcPr>
            <w:tcW w:w="1879" w:type="dxa"/>
            <w:vAlign w:val="center"/>
          </w:tcPr>
          <w:p>
            <w:pPr>
              <w:pStyle w:val="Other|1"/>
              <w:spacing w:line="240" w:lineRule="auto"/>
              <w:ind w:left="1320" w:firstLine="0" w:leftChars="0" w:firstLineChars="0"/>
              <w:jc w:val="center"/>
              <w:rPr>
                <w:rFonts w:hint="eastAsia"/>
                <w:vertAlign w:val="baseline"/>
                <w:lang w:eastAsia="zh-CN"/>
              </w:rPr>
            </w:pPr>
            <w:r>
              <w:rPr>
                <w:rFonts w:hint="eastAsia"/>
                <w:b/>
                <w:bCs/>
                <w:sz w:val="17"/>
                <w:szCs w:val="17"/>
                <w:lang w:val="en-US" w:eastAsia="zh-CN"/>
              </w:rPr>
              <w:t xml:space="preserve">61.75</w:t>
            </w:r>
          </w:p>
        </w:tc>
        <w:tc>
          <w:tcPr>
            <w:tcW w:w="1729" w:type="dxa"/>
            <w:vAlign w:val="center"/>
          </w:tcPr>
          <w:p>
            <w:pPr>
              <w:pStyle w:val="Other|1"/>
              <w:spacing w:line="240" w:lineRule="auto"/>
              <w:ind w:left="112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61.75</w:t>
            </w:r>
          </w:p>
        </w:tc>
        <w:tc>
          <w:tcPr>
            <w:tcW w:w="1790" w:type="dxa"/>
            <w:gridSpan w:val="2"/>
            <w:vAlign w:val="center"/>
          </w:tcPr>
          <w:p>
            <w:pPr>
              <w:pStyle w:val="Other|1"/>
              <w:spacing w:line="240" w:lineRule="auto"/>
              <w:ind w:left="1060" w:firstLine="0" w:leftChars="0" w:firstLineChars="0"/>
              <w:jc w:val="center"/>
              <w:rPr>
                <w:rFonts w:hint="eastAsia"/>
                <w:vertAlign w:val="baseline"/>
                <w:lang w:eastAsia="zh-CN"/>
              </w:rPr>
            </w:pPr>
            <w:r>
              <w:rPr>
                <w:rFonts w:hint="eastAsia"/>
                <w:b/>
                <w:bCs/>
                <w:sz w:val="17"/>
                <w:szCs w:val="17"/>
                <w:lang w:val="en-US" w:eastAsia="zh-CN"/>
              </w:rPr>
              <w:t xml:space="preserve">0.00</w:t>
            </w:r>
          </w:p>
        </w:tc>
        <w:tc>
          <w:tcPr>
            <w:tcW w:w="1694" w:type="dxa"/>
            <w:vAlign w:val="center"/>
          </w:tcPr>
          <w:p>
            <w:pPr>
              <w:pStyle w:val="Other|1"/>
              <w:spacing w:line="240" w:lineRule="auto"/>
              <w:ind w:firstLine="40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0.00</w:t>
            </w:r>
          </w:p>
        </w:tc>
        <w:tc>
          <w:tcPr>
            <w:tcW w:w="1695" w:type="dxa"/>
            <w:vAlign w:val="center"/>
          </w:tcPr>
          <w:p>
            <w:pPr>
              <w:pStyle w:val="Other|1"/>
              <w:spacing w:line="240" w:lineRule="auto"/>
              <w:ind w:firstLine="400" w:firstLineChars="0"/>
              <w:jc w:val="center"/>
              <w:rPr>
                <w:rFonts w:hint="eastAsia"/>
                <w:vertAlign w:val="baseline"/>
                <w:lang w:eastAsia="zh-CN"/>
              </w:rPr>
            </w:pPr>
            <w:r>
              <w:rPr>
                <w:rFonts w:hint="eastAsia"/>
                <w:b/>
                <w:bCs/>
                <w:sz w:val="17"/>
                <w:szCs w:val="17"/>
                <w:lang w:val="en-US" w:eastAsia="zh-CN"/>
              </w:rPr>
              <w:t xml:space="preserve">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715" w:type="dxa"/>
            <w:vAlign w:val="center"/>
          </w:tcPr>
          <w:p>
            <w:pPr>
              <w:pStyle w:val="Other|1"/>
              <w:spacing w:line="240" w:lineRule="auto"/>
              <w:ind w:firstLine="0" w:firstLineChars="0"/>
              <w:jc w:val="center"/>
              <w:rPr>
                <w:rFonts w:hint="eastAsia"/>
                <w:vertAlign w:val="baseline"/>
                <w:lang w:eastAsia="zh-CN"/>
              </w:rPr>
            </w:pPr>
            <w:r>
              <w:rPr>
                <w:rFonts w:ascii="Times New Roman" w:hAnsi="Times New Roman" w:cs="Times New Roman" w:hint="eastAsia"/>
                <w:b/>
                <w:bCs/>
                <w:sz w:val="17"/>
                <w:szCs w:val="17"/>
                <w:lang w:val="en-US" w:eastAsia="zh-CN"/>
              </w:rPr>
              <w:t xml:space="preserve">2210201</w:t>
            </w:r>
          </w:p>
        </w:tc>
        <w:tc>
          <w:tcPr>
            <w:tcW w:w="1676" w:type="dxa"/>
            <w:vAlign w:val="center"/>
          </w:tcPr>
          <w:p>
            <w:pPr>
              <w:pStyle w:val="Other|1"/>
              <w:spacing w:line="240" w:lineRule="auto"/>
              <w:ind w:firstLine="0" w:firstLineChars="0"/>
              <w:jc w:val="center"/>
              <w:rPr>
                <w:rFonts w:hint="eastAsia"/>
                <w:vertAlign w:val="baseline"/>
                <w:lang w:eastAsia="zh-CN"/>
              </w:rPr>
            </w:pPr>
          </w:p>
        </w:tc>
        <w:tc>
          <w:tcPr>
            <w:tcW w:w="1662" w:type="dxa"/>
            <w:vAlign w:val="center"/>
          </w:tcPr>
          <w:p>
            <w:pPr>
              <w:pStyle w:val="Other|1"/>
              <w:spacing w:line="240" w:lineRule="auto"/>
              <w:ind w:firstLine="0" w:firstLineChars="0"/>
              <w:jc w:val="center"/>
              <w:rPr>
                <w:rFonts w:hint="eastAsia"/>
                <w:vertAlign w:val="baseline"/>
                <w:lang w:eastAsia="zh-CN"/>
              </w:rPr>
            </w:pPr>
            <w:r>
              <w:rPr>
                <w:rFonts w:hint="eastAsia"/>
                <w:sz w:val="17"/>
                <w:szCs w:val="17"/>
                <w:lang w:val="en-US" w:eastAsia="zh-CN"/>
              </w:rPr>
              <w:t xml:space="preserve">住房公积金</w:t>
            </w:r>
          </w:p>
        </w:tc>
        <w:tc>
          <w:tcPr>
            <w:tcW w:w="1717" w:type="dxa"/>
            <w:vAlign w:val="center"/>
          </w:tcPr>
          <w:p>
            <w:pPr>
              <w:pStyle w:val="Other|1"/>
              <w:spacing w:line="240" w:lineRule="auto"/>
              <w:ind w:left="106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51.88</w:t>
            </w:r>
          </w:p>
        </w:tc>
        <w:tc>
          <w:tcPr>
            <w:tcW w:w="1879" w:type="dxa"/>
            <w:vAlign w:val="center"/>
          </w:tcPr>
          <w:p>
            <w:pPr>
              <w:pStyle w:val="Other|1"/>
              <w:spacing w:line="240" w:lineRule="auto"/>
              <w:ind w:left="1320" w:firstLine="0" w:leftChars="0" w:firstLineChars="0"/>
              <w:jc w:val="center"/>
              <w:rPr>
                <w:rFonts w:hint="eastAsia"/>
                <w:vertAlign w:val="baseline"/>
                <w:lang w:eastAsia="zh-CN"/>
              </w:rPr>
            </w:pPr>
            <w:r>
              <w:rPr>
                <w:rFonts w:hint="eastAsia"/>
                <w:b/>
                <w:bCs/>
                <w:sz w:val="17"/>
                <w:szCs w:val="17"/>
                <w:lang w:val="en-US" w:eastAsia="zh-CN"/>
              </w:rPr>
              <w:t xml:space="preserve">51.88</w:t>
            </w:r>
          </w:p>
        </w:tc>
        <w:tc>
          <w:tcPr>
            <w:tcW w:w="1729" w:type="dxa"/>
            <w:vAlign w:val="center"/>
          </w:tcPr>
          <w:p>
            <w:pPr>
              <w:pStyle w:val="Other|1"/>
              <w:spacing w:line="240" w:lineRule="auto"/>
              <w:ind w:left="112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51.88</w:t>
            </w:r>
          </w:p>
        </w:tc>
        <w:tc>
          <w:tcPr>
            <w:tcW w:w="1790" w:type="dxa"/>
            <w:gridSpan w:val="2"/>
            <w:vAlign w:val="center"/>
          </w:tcPr>
          <w:p>
            <w:pPr>
              <w:pStyle w:val="Other|1"/>
              <w:spacing w:line="240" w:lineRule="auto"/>
              <w:ind w:left="1060" w:firstLine="0" w:leftChars="0" w:firstLineChars="0"/>
              <w:jc w:val="center"/>
              <w:rPr>
                <w:rFonts w:hint="eastAsia"/>
                <w:vertAlign w:val="baseline"/>
                <w:lang w:eastAsia="zh-CN"/>
              </w:rPr>
            </w:pPr>
            <w:r>
              <w:rPr>
                <w:rFonts w:hint="eastAsia"/>
                <w:b/>
                <w:bCs/>
                <w:sz w:val="17"/>
                <w:szCs w:val="17"/>
                <w:lang w:val="en-US" w:eastAsia="zh-CN"/>
              </w:rPr>
              <w:t xml:space="preserve">0.00</w:t>
            </w:r>
          </w:p>
        </w:tc>
        <w:tc>
          <w:tcPr>
            <w:tcW w:w="1694" w:type="dxa"/>
            <w:vAlign w:val="center"/>
          </w:tcPr>
          <w:p>
            <w:pPr>
              <w:pStyle w:val="Other|1"/>
              <w:spacing w:line="240" w:lineRule="auto"/>
              <w:ind w:firstLine="40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0.00</w:t>
            </w:r>
          </w:p>
        </w:tc>
        <w:tc>
          <w:tcPr>
            <w:tcW w:w="1695" w:type="dxa"/>
            <w:vAlign w:val="center"/>
          </w:tcPr>
          <w:p>
            <w:pPr>
              <w:pStyle w:val="Other|1"/>
              <w:spacing w:line="240" w:lineRule="auto"/>
              <w:ind w:firstLine="400" w:firstLineChars="0"/>
              <w:jc w:val="center"/>
              <w:rPr>
                <w:rFonts w:hint="eastAsia"/>
                <w:vertAlign w:val="baseline"/>
                <w:lang w:eastAsia="zh-CN"/>
              </w:rPr>
            </w:pPr>
            <w:r>
              <w:rPr>
                <w:rFonts w:hint="eastAsia"/>
                <w:b/>
                <w:bCs/>
                <w:sz w:val="17"/>
                <w:szCs w:val="17"/>
                <w:lang w:val="en-US" w:eastAsia="zh-CN"/>
              </w:rPr>
              <w:t xml:space="preserve">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5557" w:type="dxa"/>
            <w:gridSpan w:val="10"/>
            <w:tcBorders>
              <w:left w:val="nil"/>
              <w:bottom w:val="nil"/>
              <w:right w:val="nil"/>
            </w:tcBorders>
          </w:tcPr>
          <w:p>
            <w:pPr>
              <w:jc w:val="left"/>
              <w:rPr>
                <w:rFonts w:hint="eastAsia"/>
                <w:vertAlign w:val="baseline"/>
                <w:lang w:eastAsia="zh-CN"/>
              </w:rPr>
            </w:pPr>
            <w:r>
              <w:rPr>
                <w:sz w:val="16"/>
                <w:szCs w:val="16"/>
              </w:rPr>
              <w:t xml:space="preserve">注：本报表金额单位转换时可能存在四舍五入尾数误差。</w:t>
            </w:r>
          </w:p>
        </w:tc>
      </w:tr>
    </w:tbl>
    <w:p>
      <w:pPr>
        <w:jc w:val="left"/>
        <w:rPr>
          <w:rFonts w:hint="eastAsia"/>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pStyle w:val="Heading#2|1"/>
        <w:keepNext/>
        <w:keepLines/>
        <w:spacing w:after="240"/>
        <w:jc w:val="center"/>
      </w:pPr>
      <w:bookmarkStart w:id="26" w:name="bookmark58"/>
      <w:bookmarkStart w:id="27" w:name="bookmark56"/>
      <w:bookmarkStart w:id="28" w:name="bookmark57"/>
      <w:r>
        <w:t xml:space="preserve">一般公共预算基本支出情况表</w:t>
      </w:r>
      <w:bookmarkEnd w:id="26"/>
      <w:bookmarkEnd w:id="27"/>
      <w:bookmarkEnd w:id="28"/>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firstRow="0" w:lastRow="0" w:firstColumn="0" w:lastColumn="0" w:noHBand="1" w:noVBand="1"/>
      </w:tblPr>
      <w:tblGrid>
        <w:gridCol w:w="3110"/>
        <w:gridCol w:w="3111"/>
        <w:gridCol w:w="3111"/>
        <w:gridCol w:w="3112"/>
        <w:gridCol w:w="3113"/>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2444" w:type="dxa"/>
            <w:gridSpan w:val="4"/>
            <w:tcBorders>
              <w:top w:val="nil"/>
              <w:left w:val="nil"/>
              <w:right w:val="nil"/>
            </w:tcBorders>
          </w:tcPr>
          <w:p>
            <w:pPr>
              <w:jc w:val="left"/>
              <w:rPr>
                <w:rFonts w:ascii="宋体" w:eastAsia="宋体" w:hAnsi="宋体" w:cs="宋体" w:hint="eastAsia"/>
                <w:sz w:val="16"/>
                <w:szCs w:val="16"/>
                <w:vertAlign w:val="baseline"/>
                <w:lang w:eastAsia="zh-CN"/>
              </w:rPr>
            </w:pPr>
            <w:r>
              <w:rPr>
                <w:rFonts w:ascii="宋体" w:eastAsia="宋体" w:hAnsi="宋体" w:cs="宋体" w:hint="eastAsia"/>
                <w:sz w:val="16"/>
                <w:szCs w:val="16"/>
                <w:vertAlign w:val="baseline"/>
                <w:lang w:eastAsia="zh-CN"/>
              </w:rPr>
              <w:t xml:space="preserve">单位名称：</w:t>
            </w:r>
            <w:r>
              <w:rPr>
                <w:rFonts w:ascii="宋体" w:eastAsia="宋体" w:hAnsi="宋体" w:cs="宋体"/>
                <w:sz w:val="16"/>
                <w:u w:color="auto"/>
              </w:rPr>
              <w:t xml:space="preserve">环江毛南族自治县下南乡初级中学</w:t>
            </w:r>
          </w:p>
        </w:tc>
        <w:tc>
          <w:tcPr>
            <w:tcW w:w="3113" w:type="dxa"/>
            <w:tcBorders>
              <w:top w:val="nil"/>
              <w:left w:val="nil"/>
              <w:right w:val="nil"/>
            </w:tcBorders>
          </w:tcPr>
          <w:p>
            <w:pPr>
              <w:ind w:firstLine="1760" w:firstLineChars="1100"/>
              <w:jc w:val="left"/>
              <w:rPr>
                <w:rFonts w:ascii="宋体" w:eastAsia="宋体" w:hAnsi="宋体" w:cs="宋体" w:hint="eastAsia"/>
                <w:sz w:val="16"/>
                <w:szCs w:val="16"/>
                <w:vertAlign w:val="baseline"/>
                <w:lang w:eastAsia="zh-CN"/>
              </w:rPr>
            </w:pPr>
            <w:r>
              <w:rPr>
                <w:rFonts w:ascii="宋体" w:eastAsia="宋体" w:hAnsi="宋体" w:cs="宋体" w:hint="eastAsia"/>
                <w:sz w:val="16"/>
                <w:szCs w:val="16"/>
                <w:vertAlign w:val="baseline"/>
                <w:lang w:eastAsia="zh-CN"/>
              </w:rPr>
              <w:t xml:space="preserve">单位：万元</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435"/>
        </w:trPr>
        <w:tc>
          <w:tcPr>
            <w:tcW w:w="6221" w:type="dxa"/>
            <w:gridSpan w:val="2"/>
          </w:tcPr>
          <w:p>
            <w:pPr>
              <w:jc w:val="left"/>
              <w:rPr>
                <w:vertAlign w:val="baseline"/>
                <w:lang w:eastAsia="zh-CN"/>
              </w:rPr>
            </w:pPr>
            <w:r>
              <w:rPr>
                <w:sz w:val="17"/>
                <w:szCs w:val="17"/>
              </w:rPr>
              <w:t xml:space="preserve">部门预算支出经济分类科目</w:t>
            </w:r>
          </w:p>
        </w:tc>
        <w:tc>
          <w:tcPr>
            <w:tcW w:w="9336" w:type="dxa"/>
            <w:gridSpan w:val="3"/>
          </w:tcPr>
          <w:p>
            <w:pPr>
              <w:jc w:val="left"/>
              <w:rPr>
                <w:vertAlign w:val="baseline"/>
                <w:lang w:eastAsia="zh-CN"/>
              </w:rPr>
            </w:pPr>
            <w:r>
              <w:rPr>
                <w:sz w:val="17"/>
                <w:szCs w:val="17"/>
              </w:rPr>
              <w:t xml:space="preserve">本年一般公共预算基本支出</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420"/>
        </w:trPr>
        <w:tc>
          <w:tcPr>
            <w:tcW w:w="3110" w:type="dxa"/>
            <w:vAlign w:val="center"/>
          </w:tcPr>
          <w:p>
            <w:pPr>
              <w:pStyle w:val="Other|1"/>
              <w:spacing w:line="240" w:lineRule="auto"/>
              <w:ind w:firstLine="0" w:firstLineChars="0"/>
              <w:jc w:val="center"/>
              <w:rPr>
                <w:vertAlign w:val="baseline"/>
                <w:lang w:eastAsia="zh-CN"/>
              </w:rPr>
            </w:pPr>
            <w:r>
              <w:rPr>
                <w:sz w:val="17"/>
                <w:szCs w:val="17"/>
              </w:rPr>
              <w:t xml:space="preserve">科目编码</w:t>
            </w:r>
          </w:p>
        </w:tc>
        <w:tc>
          <w:tcPr>
            <w:tcW w:w="3111" w:type="dxa"/>
            <w:vAlign w:val="center"/>
          </w:tcPr>
          <w:p>
            <w:pPr>
              <w:pStyle w:val="Other|1"/>
              <w:spacing w:line="240" w:lineRule="auto"/>
              <w:ind w:firstLine="0" w:firstLineChars="0"/>
              <w:jc w:val="center"/>
              <w:rPr>
                <w:vertAlign w:val="baseline"/>
                <w:lang w:eastAsia="zh-CN"/>
              </w:rPr>
            </w:pPr>
            <w:r>
              <w:rPr>
                <w:sz w:val="17"/>
                <w:szCs w:val="17"/>
              </w:rPr>
              <w:t xml:space="preserve">科目名称</w:t>
            </w:r>
          </w:p>
        </w:tc>
        <w:tc>
          <w:tcPr>
            <w:tcW w:w="3111" w:type="dxa"/>
            <w:vAlign w:val="center"/>
          </w:tcPr>
          <w:p>
            <w:pPr>
              <w:pStyle w:val="Other|1"/>
              <w:spacing w:line="240" w:lineRule="auto"/>
              <w:ind w:firstLine="0" w:firstLineChars="0"/>
              <w:jc w:val="center"/>
              <w:rPr>
                <w:vertAlign w:val="baseline"/>
                <w:lang w:eastAsia="zh-CN"/>
              </w:rPr>
            </w:pPr>
            <w:r>
              <w:rPr>
                <w:sz w:val="17"/>
                <w:szCs w:val="17"/>
              </w:rPr>
              <w:t xml:space="preserve">合计</w:t>
            </w:r>
          </w:p>
        </w:tc>
        <w:tc>
          <w:tcPr>
            <w:tcW w:w="3112" w:type="dxa"/>
            <w:vAlign w:val="center"/>
          </w:tcPr>
          <w:p>
            <w:pPr>
              <w:pStyle w:val="Other|1"/>
              <w:spacing w:line="240" w:lineRule="auto"/>
              <w:ind w:firstLine="0" w:firstLineChars="0"/>
              <w:jc w:val="center"/>
              <w:rPr>
                <w:vertAlign w:val="baseline"/>
                <w:lang w:eastAsia="zh-CN"/>
              </w:rPr>
            </w:pPr>
            <w:r>
              <w:rPr>
                <w:sz w:val="17"/>
                <w:szCs w:val="17"/>
              </w:rPr>
              <w:t xml:space="preserve">人员经费</w:t>
            </w:r>
          </w:p>
        </w:tc>
        <w:tc>
          <w:tcPr>
            <w:tcW w:w="3113" w:type="dxa"/>
            <w:vAlign w:val="center"/>
          </w:tcPr>
          <w:p>
            <w:pPr>
              <w:pStyle w:val="Other|1"/>
              <w:spacing w:line="240" w:lineRule="auto"/>
              <w:ind w:firstLine="0" w:firstLineChars="0"/>
              <w:jc w:val="center"/>
              <w:rPr>
                <w:vertAlign w:val="baseline"/>
                <w:lang w:eastAsia="zh-CN"/>
              </w:rPr>
            </w:pPr>
            <w:r>
              <w:rPr>
                <w:sz w:val="17"/>
                <w:szCs w:val="17"/>
              </w:rPr>
              <w:t xml:space="preserve">公用经费</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合计</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679.44</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670.58</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8.86</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301</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工资福利支出</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641.92</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641.92</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30101</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基本工资</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191.83</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191.83</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30102</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津贴补贴</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35.68</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35.68</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30103</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奖金</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110.12</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110.12</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30107</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绩效工资</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99.77</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99.77</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30108</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机关事业单位基本养老保险缴费</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73.95</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73.95</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30110</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职工基本医疗保险缴费</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24.70</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24.70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30112</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其他社会保障缴费</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3.33</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3.33</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30113</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住房公积金</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62.49</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62.49</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30199</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其他工资福利支出</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40.05</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40.05</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302</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商品和服务支出</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8.86</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8.86</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30201</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办公费</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30202</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印刷费</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30205</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水费</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30206</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电费</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30207</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邮电费</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30211</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差旅费</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30213</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维修（护）费</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30228</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工会经费</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8.86</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8.86</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303</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对个人和家庭的补助</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28.66</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28.66</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30302</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退休费</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24.67</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24.67</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30305</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生活补助</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3.99</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3.99</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30308</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助学金</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310</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资本性支出</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31002</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办公设备购置</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432"/>
        </w:trPr>
        <w:tc>
          <w:tcPr>
            <w:tcW w:w="15557" w:type="dxa"/>
            <w:gridSpan w:val="5"/>
            <w:tcBorders>
              <w:left w:val="nil"/>
              <w:bottom w:val="nil"/>
              <w:right w:val="nil"/>
            </w:tcBorders>
          </w:tcPr>
          <w:p>
            <w:pPr>
              <w:jc w:val="left"/>
              <w:rPr>
                <w:sz w:val="16"/>
                <w:szCs w:val="16"/>
              </w:rPr>
            </w:pPr>
          </w:p>
          <w:p>
            <w:pPr>
              <w:jc w:val="left"/>
              <w:rPr>
                <w:vertAlign w:val="baseline"/>
                <w:lang w:eastAsia="zh-CN"/>
              </w:rPr>
            </w:pPr>
            <w:r>
              <w:rPr>
                <w:sz w:val="16"/>
                <w:szCs w:val="16"/>
              </w:rPr>
              <w:t xml:space="preserve">注：本报表金额单位转换时可能存在四舍五入尾数误差。</w:t>
            </w:r>
          </w:p>
        </w:tc>
      </w:tr>
    </w:tbl>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pStyle w:val="Heading#2|1"/>
        <w:keepNext/>
        <w:keepLines/>
        <w:spacing w:after="240"/>
        <w:jc w:val="center"/>
        <w:rPr>
          <w:rFonts w:hint="default"/>
          <w:sz w:val="28"/>
          <w:szCs w:val="28"/>
          <w:lang w:val="en-US" w:eastAsia="zh-CN"/>
        </w:rPr>
      </w:pPr>
      <w:bookmarkStart w:id="29" w:name="bookmark67"/>
      <w:bookmarkStart w:id="30" w:name="bookmark65"/>
      <w:bookmarkStart w:id="31" w:name="bookmark66"/>
      <w:r>
        <w:rPr>
          <w:rFonts w:hint="default"/>
          <w:sz w:val="28"/>
          <w:szCs w:val="28"/>
          <w:lang w:val="en-US" w:eastAsia="zh-CN"/>
        </w:rPr>
        <w:t xml:space="preserve">一般公共预算“三公”经费预算表</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firstRow="0" w:lastRow="0" w:firstColumn="0" w:lastColumn="0" w:noHBand="1" w:noVBand="1"/>
      </w:tblPr>
      <w:tblGrid>
        <w:gridCol w:w="2296"/>
        <w:gridCol w:w="1918"/>
        <w:gridCol w:w="1884"/>
        <w:gridCol w:w="1895"/>
        <w:gridCol w:w="1888"/>
        <w:gridCol w:w="1890"/>
        <w:gridCol w:w="1895"/>
        <w:gridCol w:w="2"/>
        <w:gridCol w:w="1889"/>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3666" w:type="dxa"/>
            <w:gridSpan w:val="7"/>
            <w:tcBorders>
              <w:top w:val="nil"/>
              <w:left w:val="nil"/>
              <w:right w:val="nil"/>
            </w:tcBorders>
          </w:tcPr>
          <w:p>
            <w:pPr>
              <w:pStyle w:val="Tablecaption|1"/>
              <w:bidi w:val="0"/>
              <w:jc w:val="both"/>
              <w:rPr>
                <w:rFonts w:ascii="宋体" w:eastAsia="宋体" w:hAnsi="宋体" w:cs="宋体" w:hint="eastAsia"/>
                <w:sz w:val="16"/>
                <w:szCs w:val="16"/>
                <w:vertAlign w:val="baseline"/>
                <w:lang w:eastAsia="zh-CN"/>
              </w:rPr>
            </w:pPr>
            <w:r>
              <w:rPr>
                <w:rFonts w:ascii="宋体" w:eastAsia="宋体" w:hAnsi="宋体" w:cs="宋体" w:hint="eastAsia"/>
                <w:sz w:val="16"/>
                <w:szCs w:val="16"/>
                <w:vertAlign w:val="baseline"/>
                <w:lang w:eastAsia="zh-CN"/>
              </w:rPr>
              <w:t xml:space="preserve">单位名称：</w:t>
            </w:r>
            <w:r>
              <w:rPr>
                <w:rFonts w:ascii="宋体" w:eastAsia="宋体" w:hAnsi="宋体" w:cs="宋体"/>
                <w:sz w:val="16"/>
                <w:u w:color="auto"/>
              </w:rPr>
              <w:t xml:space="preserve">环江毛南族自治县下南乡初级中学</w:t>
            </w:r>
          </w:p>
        </w:tc>
        <w:tc>
          <w:tcPr>
            <w:tcW w:w="1891" w:type="dxa"/>
            <w:gridSpan w:val="2"/>
            <w:tcBorders>
              <w:top w:val="nil"/>
              <w:left w:val="nil"/>
              <w:right w:val="nil"/>
            </w:tcBorders>
          </w:tcPr>
          <w:p>
            <w:pPr>
              <w:pStyle w:val="Tablecaption|1"/>
              <w:bidi w:val="0"/>
              <w:ind w:firstLine="480" w:firstLineChars="300"/>
              <w:jc w:val="both"/>
              <w:rPr>
                <w:rFonts w:ascii="宋体" w:eastAsia="宋体" w:hAnsi="宋体" w:cs="宋体" w:hint="eastAsia"/>
                <w:sz w:val="16"/>
                <w:szCs w:val="16"/>
                <w:vertAlign w:val="baseline"/>
                <w:lang w:eastAsia="zh-CN"/>
              </w:rPr>
            </w:pPr>
            <w:r>
              <w:rPr>
                <w:rFonts w:ascii="宋体" w:eastAsia="宋体" w:hAnsi="宋体" w:cs="宋体" w:hint="eastAsia"/>
                <w:sz w:val="16"/>
                <w:szCs w:val="16"/>
                <w:vertAlign w:val="baseline"/>
                <w:lang w:eastAsia="zh-CN"/>
              </w:rPr>
              <w:t xml:space="preserve">单位：万元</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2296" w:type="dxa"/>
            <w:vMerge w:val="restart"/>
          </w:tcPr>
          <w:p>
            <w:pPr>
              <w:pStyle w:val="Tablecaption|1"/>
              <w:bidi w:val="0"/>
              <w:jc w:val="center"/>
              <w:rPr>
                <w:rFonts w:hint="eastAsia"/>
                <w:vertAlign w:val="baseline"/>
                <w:lang w:val="en-US" w:eastAsia="zh-CN"/>
              </w:rPr>
            </w:pPr>
            <w:r>
              <w:rPr>
                <w:sz w:val="17"/>
                <w:szCs w:val="17"/>
              </w:rPr>
              <w:t xml:space="preserve">门（单位）代码</w:t>
            </w:r>
          </w:p>
        </w:tc>
        <w:tc>
          <w:tcPr>
            <w:tcW w:w="1918" w:type="dxa"/>
            <w:vMerge w:val="restart"/>
          </w:tcPr>
          <w:p>
            <w:pPr>
              <w:pStyle w:val="Tablecaption|1"/>
              <w:bidi w:val="0"/>
              <w:jc w:val="center"/>
              <w:rPr>
                <w:rFonts w:hint="eastAsia"/>
                <w:vertAlign w:val="baseline"/>
                <w:lang w:val="en-US" w:eastAsia="zh-CN"/>
              </w:rPr>
            </w:pPr>
            <w:r>
              <w:rPr>
                <w:sz w:val="17"/>
                <w:szCs w:val="17"/>
              </w:rPr>
              <w:t xml:space="preserve">部门（单位）名称</w:t>
            </w:r>
          </w:p>
        </w:tc>
        <w:tc>
          <w:tcPr>
            <w:tcW w:w="11343" w:type="dxa"/>
            <w:gridSpan w:val="7"/>
          </w:tcPr>
          <w:p>
            <w:pPr>
              <w:pStyle w:val="Tablecaption|1"/>
              <w:bidi w:val="0"/>
              <w:jc w:val="center"/>
              <w:rPr>
                <w:rFonts w:hint="eastAsia"/>
                <w:vertAlign w:val="baseline"/>
                <w:lang w:val="en-US" w:eastAsia="zh-CN"/>
              </w:rPr>
            </w:pPr>
            <w:r>
              <w:rPr>
                <w:sz w:val="17"/>
                <w:szCs w:val="17"/>
                <w:lang w:val="zh-CN" w:eastAsia="zh-CN" w:bidi="zh-CN"/>
              </w:rPr>
              <w:t xml:space="preserve">“三</w:t>
            </w:r>
            <w:r>
              <w:rPr>
                <w:sz w:val="17"/>
                <w:szCs w:val="17"/>
              </w:rPr>
              <w:t xml:space="preserve">公”经费</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2296" w:type="dxa"/>
            <w:vMerge/>
          </w:tcPr>
          <w:p>
            <w:pPr>
              <w:pStyle w:val="Tablecaption|1"/>
              <w:bidi w:val="0"/>
              <w:jc w:val="center"/>
              <w:rPr>
                <w:rFonts w:hint="eastAsia"/>
                <w:vertAlign w:val="baseline"/>
                <w:lang w:val="en-US" w:eastAsia="zh-CN"/>
              </w:rPr>
            </w:pPr>
          </w:p>
        </w:tc>
        <w:tc>
          <w:tcPr>
            <w:tcW w:w="1918" w:type="dxa"/>
            <w:vMerge/>
          </w:tcPr>
          <w:p>
            <w:pPr>
              <w:pStyle w:val="Tablecaption|1"/>
              <w:bidi w:val="0"/>
              <w:jc w:val="center"/>
              <w:rPr>
                <w:rFonts w:hint="eastAsia"/>
                <w:vertAlign w:val="baseline"/>
                <w:lang w:val="en-US" w:eastAsia="zh-CN"/>
              </w:rPr>
            </w:pPr>
          </w:p>
        </w:tc>
        <w:tc>
          <w:tcPr>
            <w:tcW w:w="1884" w:type="dxa"/>
            <w:vMerge w:val="restart"/>
          </w:tcPr>
          <w:p>
            <w:pPr>
              <w:pStyle w:val="Tablecaption|1"/>
              <w:bidi w:val="0"/>
              <w:jc w:val="center"/>
              <w:rPr>
                <w:rFonts w:hint="eastAsia"/>
                <w:vertAlign w:val="baseline"/>
                <w:lang w:val="en-US" w:eastAsia="zh-CN"/>
              </w:rPr>
            </w:pPr>
            <w:r>
              <w:rPr>
                <w:sz w:val="17"/>
                <w:szCs w:val="17"/>
              </w:rPr>
              <w:t xml:space="preserve">合计</w:t>
            </w:r>
          </w:p>
        </w:tc>
        <w:tc>
          <w:tcPr>
            <w:tcW w:w="1895" w:type="dxa"/>
            <w:vMerge w:val="restart"/>
          </w:tcPr>
          <w:p>
            <w:pPr>
              <w:pStyle w:val="Tablecaption|1"/>
              <w:bidi w:val="0"/>
              <w:jc w:val="center"/>
              <w:rPr>
                <w:rFonts w:hint="eastAsia"/>
                <w:vertAlign w:val="baseline"/>
                <w:lang w:val="en-US" w:eastAsia="zh-CN"/>
              </w:rPr>
            </w:pPr>
            <w:r>
              <w:rPr>
                <w:sz w:val="17"/>
                <w:szCs w:val="17"/>
              </w:rPr>
              <w:t xml:space="preserve">因公出国（境）费</w:t>
            </w:r>
          </w:p>
        </w:tc>
        <w:tc>
          <w:tcPr>
            <w:tcW w:w="5675" w:type="dxa"/>
            <w:gridSpan w:val="4"/>
          </w:tcPr>
          <w:p>
            <w:pPr>
              <w:pStyle w:val="Tablecaption|1"/>
              <w:bidi w:val="0"/>
              <w:jc w:val="center"/>
              <w:rPr>
                <w:rFonts w:hint="eastAsia"/>
                <w:vertAlign w:val="baseline"/>
                <w:lang w:val="en-US" w:eastAsia="zh-CN"/>
              </w:rPr>
            </w:pPr>
            <w:r>
              <w:rPr>
                <w:sz w:val="17"/>
                <w:szCs w:val="17"/>
              </w:rPr>
              <w:t xml:space="preserve">公务用车购置及运行维护费</w:t>
            </w:r>
          </w:p>
        </w:tc>
        <w:tc>
          <w:tcPr>
            <w:tcW w:w="1889" w:type="dxa"/>
            <w:vMerge w:val="restart"/>
          </w:tcPr>
          <w:p>
            <w:pPr>
              <w:pStyle w:val="Tablecaption|1"/>
              <w:bidi w:val="0"/>
              <w:jc w:val="center"/>
              <w:rPr>
                <w:rFonts w:hint="eastAsia"/>
                <w:vertAlign w:val="baseline"/>
                <w:lang w:val="en-US" w:eastAsia="zh-CN"/>
              </w:rPr>
            </w:pPr>
            <w:r>
              <w:rPr>
                <w:sz w:val="17"/>
                <w:szCs w:val="17"/>
              </w:rPr>
              <w:t xml:space="preserve">公务接待费</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2296" w:type="dxa"/>
            <w:vMerge/>
          </w:tcPr>
          <w:p>
            <w:pPr>
              <w:pStyle w:val="Tablecaption|1"/>
              <w:bidi w:val="0"/>
              <w:jc w:val="center"/>
              <w:rPr>
                <w:rFonts w:hint="eastAsia"/>
                <w:vertAlign w:val="baseline"/>
                <w:lang w:val="en-US" w:eastAsia="zh-CN"/>
              </w:rPr>
            </w:pPr>
          </w:p>
        </w:tc>
        <w:tc>
          <w:tcPr>
            <w:tcW w:w="1918" w:type="dxa"/>
            <w:vMerge/>
          </w:tcPr>
          <w:p>
            <w:pPr>
              <w:pStyle w:val="Tablecaption|1"/>
              <w:bidi w:val="0"/>
              <w:jc w:val="center"/>
              <w:rPr>
                <w:rFonts w:hint="eastAsia"/>
                <w:vertAlign w:val="baseline"/>
                <w:lang w:val="en-US" w:eastAsia="zh-CN"/>
              </w:rPr>
            </w:pPr>
          </w:p>
        </w:tc>
        <w:tc>
          <w:tcPr>
            <w:tcW w:w="1884" w:type="dxa"/>
            <w:vMerge/>
          </w:tcPr>
          <w:p>
            <w:pPr>
              <w:pStyle w:val="Tablecaption|1"/>
              <w:bidi w:val="0"/>
              <w:jc w:val="center"/>
              <w:rPr>
                <w:rFonts w:hint="eastAsia"/>
                <w:vertAlign w:val="baseline"/>
                <w:lang w:val="en-US" w:eastAsia="zh-CN"/>
              </w:rPr>
            </w:pPr>
          </w:p>
        </w:tc>
        <w:tc>
          <w:tcPr>
            <w:tcW w:w="1895" w:type="dxa"/>
            <w:vMerge/>
          </w:tcPr>
          <w:p>
            <w:pPr>
              <w:pStyle w:val="Tablecaption|1"/>
              <w:bidi w:val="0"/>
              <w:jc w:val="center"/>
              <w:rPr>
                <w:rFonts w:hint="eastAsia"/>
                <w:vertAlign w:val="baseline"/>
                <w:lang w:val="en-US" w:eastAsia="zh-CN"/>
              </w:rPr>
            </w:pPr>
          </w:p>
        </w:tc>
        <w:tc>
          <w:tcPr>
            <w:tcW w:w="1888" w:type="dxa"/>
            <w:vAlign w:val="center"/>
          </w:tcPr>
          <w:p>
            <w:pPr>
              <w:pStyle w:val="Other|1"/>
              <w:spacing w:line="240" w:lineRule="auto"/>
              <w:ind w:firstLine="0" w:firstLineChars="0"/>
              <w:jc w:val="center"/>
              <w:rPr>
                <w:rFonts w:hint="eastAsia"/>
                <w:vertAlign w:val="baseline"/>
                <w:lang w:val="en-US" w:eastAsia="zh-CN"/>
              </w:rPr>
            </w:pPr>
            <w:r>
              <w:rPr>
                <w:sz w:val="17"/>
                <w:szCs w:val="17"/>
              </w:rPr>
              <w:t xml:space="preserve">小计</w:t>
            </w:r>
          </w:p>
        </w:tc>
        <w:tc>
          <w:tcPr>
            <w:tcW w:w="1890" w:type="dxa"/>
            <w:vAlign w:val="center"/>
          </w:tcPr>
          <w:p>
            <w:pPr>
              <w:pStyle w:val="Other|1"/>
              <w:spacing w:line="240" w:lineRule="auto"/>
              <w:ind w:firstLine="220" w:firstLineChars="0"/>
              <w:jc w:val="center"/>
              <w:rPr>
                <w:rFonts w:hint="eastAsia"/>
                <w:vertAlign w:val="baseline"/>
                <w:lang w:val="en-US" w:eastAsia="zh-CN"/>
              </w:rPr>
            </w:pPr>
            <w:r>
              <w:rPr>
                <w:sz w:val="17"/>
                <w:szCs w:val="17"/>
              </w:rPr>
              <w:t xml:space="preserve">公务用车运行维护费</w:t>
            </w:r>
          </w:p>
        </w:tc>
        <w:tc>
          <w:tcPr>
            <w:tcW w:w="1897" w:type="dxa"/>
            <w:gridSpan w:val="2"/>
            <w:vAlign w:val="center"/>
          </w:tcPr>
          <w:p>
            <w:pPr>
              <w:pStyle w:val="Other|1"/>
              <w:spacing w:line="240" w:lineRule="auto"/>
              <w:ind w:firstLine="400" w:firstLineChars="0"/>
              <w:jc w:val="center"/>
              <w:rPr>
                <w:rFonts w:hint="eastAsia"/>
                <w:vertAlign w:val="baseline"/>
                <w:lang w:val="en-US" w:eastAsia="zh-CN"/>
              </w:rPr>
            </w:pPr>
            <w:r>
              <w:rPr>
                <w:sz w:val="17"/>
                <w:szCs w:val="17"/>
              </w:rPr>
              <w:t xml:space="preserve">公务用车购置费</w:t>
            </w:r>
          </w:p>
        </w:tc>
        <w:tc>
          <w:tcPr>
            <w:tcW w:w="1889" w:type="dxa"/>
            <w:vMerge/>
          </w:tcPr>
          <w:p>
            <w:pPr>
              <w:pStyle w:val="Tablecaption|1"/>
              <w:bidi w:val="0"/>
              <w:jc w:val="center"/>
              <w:rPr>
                <w:rFonts w:hint="eastAsia"/>
                <w:vertAlign w:val="baseline"/>
                <w:lang w:val="en-US" w:eastAsia="zh-CN"/>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2296" w:type="dxa"/>
            <w:vAlign w:val="center"/>
          </w:tcPr>
          <w:p>
            <w:pPr>
              <w:jc w:val="center"/>
              <w:rPr>
                <w:rFonts w:hint="eastAsia"/>
                <w:vertAlign w:val="baseline"/>
                <w:lang w:val="en-US" w:eastAsia="zh-CN"/>
              </w:rPr>
            </w:pPr>
          </w:p>
        </w:tc>
        <w:tc>
          <w:tcPr>
            <w:tcW w:w="1918" w:type="dxa"/>
            <w:vAlign w:val="center"/>
          </w:tcPr>
          <w:p>
            <w:pPr>
              <w:jc w:val="center"/>
              <w:rPr>
                <w:rFonts w:hint="eastAsia"/>
                <w:vertAlign w:val="baseline"/>
                <w:lang w:val="en-US" w:eastAsia="zh-CN"/>
              </w:rPr>
            </w:pPr>
          </w:p>
        </w:tc>
        <w:tc>
          <w:tcPr>
            <w:tcW w:w="1884" w:type="dxa"/>
            <w:vAlign w:val="center"/>
          </w:tcPr>
          <w:p>
            <w:pPr>
              <w:pStyle w:val="Other|1"/>
              <w:spacing w:line="240" w:lineRule="auto"/>
              <w:ind w:firstLine="0" w:firstLineChars="0"/>
              <w:jc w:val="center"/>
              <w:rPr>
                <w:rFonts w:hint="eastAsia"/>
                <w:vertAlign w:val="baseline"/>
                <w:lang w:val="en-US" w:eastAsia="zh-CN"/>
              </w:rPr>
            </w:pPr>
            <w:r>
              <w:rPr>
                <w:rFonts w:ascii="Times New Roman" w:eastAsia="Times New Roman" w:hAnsi="Times New Roman" w:cs="Times New Roman"/>
                <w:b/>
                <w:bCs/>
                <w:sz w:val="17"/>
                <w:szCs w:val="17"/>
              </w:rPr>
              <w:t xml:space="preserve">1</w:t>
            </w:r>
          </w:p>
        </w:tc>
        <w:tc>
          <w:tcPr>
            <w:tcW w:w="1895" w:type="dxa"/>
            <w:vAlign w:val="center"/>
          </w:tcPr>
          <w:p>
            <w:pPr>
              <w:pStyle w:val="Other|1"/>
              <w:spacing w:line="240" w:lineRule="auto"/>
              <w:ind w:firstLine="0" w:firstLineChars="0"/>
              <w:jc w:val="center"/>
              <w:rPr>
                <w:rFonts w:hint="eastAsia"/>
                <w:vertAlign w:val="baseline"/>
                <w:lang w:val="en-US" w:eastAsia="zh-CN"/>
              </w:rPr>
            </w:pPr>
            <w:r>
              <w:rPr>
                <w:rFonts w:ascii="Times New Roman" w:eastAsia="Times New Roman" w:hAnsi="Times New Roman" w:cs="Times New Roman"/>
                <w:b/>
                <w:bCs/>
                <w:sz w:val="17"/>
                <w:szCs w:val="17"/>
              </w:rPr>
              <w:t xml:space="preserve">2</w:t>
            </w:r>
          </w:p>
        </w:tc>
        <w:tc>
          <w:tcPr>
            <w:tcW w:w="1888" w:type="dxa"/>
            <w:vAlign w:val="center"/>
          </w:tcPr>
          <w:p>
            <w:pPr>
              <w:pStyle w:val="Other|1"/>
              <w:spacing w:line="240" w:lineRule="auto"/>
              <w:ind w:firstLine="0" w:firstLineChars="0"/>
              <w:jc w:val="center"/>
              <w:rPr>
                <w:rFonts w:hint="eastAsia"/>
                <w:vertAlign w:val="baseline"/>
                <w:lang w:val="en-US" w:eastAsia="zh-CN"/>
              </w:rPr>
            </w:pPr>
            <w:r>
              <w:rPr>
                <w:rFonts w:ascii="Times New Roman" w:eastAsia="Times New Roman" w:hAnsi="Times New Roman" w:cs="Times New Roman"/>
                <w:b/>
                <w:bCs/>
                <w:sz w:val="17"/>
                <w:szCs w:val="17"/>
              </w:rPr>
              <w:t xml:space="preserve">3</w:t>
            </w:r>
          </w:p>
        </w:tc>
        <w:tc>
          <w:tcPr>
            <w:tcW w:w="1890" w:type="dxa"/>
            <w:vAlign w:val="center"/>
          </w:tcPr>
          <w:p>
            <w:pPr>
              <w:pStyle w:val="Other|1"/>
              <w:spacing w:line="240" w:lineRule="auto"/>
              <w:ind w:firstLine="0" w:firstLineChars="0"/>
              <w:jc w:val="center"/>
              <w:rPr>
                <w:rFonts w:hint="eastAsia"/>
                <w:vertAlign w:val="baseline"/>
                <w:lang w:val="en-US" w:eastAsia="zh-CN"/>
              </w:rPr>
            </w:pPr>
            <w:r>
              <w:rPr>
                <w:rFonts w:ascii="Times New Roman" w:eastAsia="Times New Roman" w:hAnsi="Times New Roman" w:cs="Times New Roman"/>
                <w:b/>
                <w:bCs/>
                <w:sz w:val="17"/>
                <w:szCs w:val="17"/>
              </w:rPr>
              <w:t xml:space="preserve">4</w:t>
            </w:r>
          </w:p>
        </w:tc>
        <w:tc>
          <w:tcPr>
            <w:tcW w:w="1897" w:type="dxa"/>
            <w:gridSpan w:val="2"/>
            <w:vAlign w:val="center"/>
          </w:tcPr>
          <w:p>
            <w:pPr>
              <w:pStyle w:val="Other|1"/>
              <w:spacing w:line="240" w:lineRule="auto"/>
              <w:ind w:firstLine="0" w:firstLineChars="0"/>
              <w:jc w:val="center"/>
              <w:rPr>
                <w:rFonts w:hint="eastAsia"/>
                <w:vertAlign w:val="baseline"/>
                <w:lang w:val="en-US" w:eastAsia="zh-CN"/>
              </w:rPr>
            </w:pPr>
            <w:r>
              <w:rPr>
                <w:rFonts w:ascii="Times New Roman" w:eastAsia="Times New Roman" w:hAnsi="Times New Roman" w:cs="Times New Roman"/>
                <w:b/>
                <w:bCs/>
                <w:sz w:val="17"/>
                <w:szCs w:val="17"/>
              </w:rPr>
              <w:t xml:space="preserve">5</w:t>
            </w:r>
          </w:p>
        </w:tc>
        <w:tc>
          <w:tcPr>
            <w:tcW w:w="1889" w:type="dxa"/>
            <w:vAlign w:val="center"/>
          </w:tcPr>
          <w:p>
            <w:pPr>
              <w:pStyle w:val="Other|1"/>
              <w:spacing w:line="240" w:lineRule="auto"/>
              <w:ind w:firstLine="0" w:firstLineChars="0"/>
              <w:jc w:val="center"/>
              <w:rPr>
                <w:rFonts w:hint="eastAsia"/>
                <w:vertAlign w:val="baseline"/>
                <w:lang w:val="en-US" w:eastAsia="zh-CN"/>
              </w:rPr>
            </w:pPr>
            <w:r>
              <w:rPr>
                <w:rFonts w:ascii="Times New Roman" w:eastAsia="Times New Roman" w:hAnsi="Times New Roman" w:cs="Times New Roman"/>
                <w:b/>
                <w:bCs/>
                <w:sz w:val="17"/>
                <w:szCs w:val="17"/>
              </w:rPr>
              <w:t xml:space="preserve">6</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2296" w:type="dxa"/>
            <w:vAlign w:val="center"/>
          </w:tcPr>
          <w:p>
            <w:pPr>
              <w:pStyle w:val="Other|1"/>
              <w:spacing w:line="240" w:lineRule="auto"/>
              <w:ind w:firstLine="0" w:firstLineChars="0"/>
              <w:jc w:val="left"/>
              <w:rPr>
                <w:rFonts w:hint="eastAsia"/>
                <w:vertAlign w:val="baseline"/>
                <w:lang w:val="en-US" w:eastAsia="zh-CN"/>
              </w:rPr>
            </w:pPr>
            <w:r>
              <w:rPr>
                <w:rFonts w:ascii="Times New Roman" w:eastAsia="Times New Roman" w:hAnsi="Times New Roman" w:cs="Times New Roman" w:hint="eastAsia"/>
                <w:b/>
                <w:bCs/>
                <w:sz w:val="17"/>
                <w:szCs w:val="17"/>
                <w:lang w:val="en-US" w:eastAsia="zh-CN"/>
              </w:rPr>
              <w:t xml:space="preserve">201045</w:t>
            </w:r>
          </w:p>
        </w:tc>
        <w:tc>
          <w:tcPr>
            <w:tcW w:w="1918" w:type="dxa"/>
            <w:vAlign w:val="center"/>
          </w:tcPr>
          <w:p>
            <w:pPr>
              <w:pStyle w:val="Other|1"/>
              <w:spacing w:line="240" w:lineRule="auto"/>
              <w:ind w:firstLine="0" w:firstLineChars="0"/>
              <w:jc w:val="left"/>
              <w:rPr>
                <w:rFonts w:hint="eastAsia"/>
                <w:vertAlign w:val="baseline"/>
                <w:lang w:val="en-US" w:eastAsia="zh-CN"/>
              </w:rPr>
            </w:pPr>
          </w:p>
        </w:tc>
        <w:tc>
          <w:tcPr>
            <w:tcW w:w="1884" w:type="dxa"/>
            <w:vAlign w:val="center"/>
          </w:tcPr>
          <w:p>
            <w:pPr>
              <w:pStyle w:val="Other|1"/>
              <w:spacing w:line="240" w:lineRule="auto"/>
              <w:ind w:firstLine="0" w:firstLineChars="0"/>
              <w:jc w:val="right"/>
              <w:rPr>
                <w:rFonts w:hint="eastAsia"/>
                <w:vertAlign w:val="baseline"/>
                <w:lang w:val="en-US" w:eastAsia="zh-CN"/>
              </w:rPr>
            </w:pPr>
            <w:r>
              <w:rPr>
                <w:rFonts w:ascii="Times New Roman" w:eastAsia="Times New Roman" w:hAnsi="Times New Roman" w:cs="Times New Roman" w:hint="eastAsia"/>
                <w:b/>
                <w:bCs/>
                <w:sz w:val="17"/>
                <w:szCs w:val="17"/>
                <w:lang w:val="en-US" w:eastAsia="zh-CN"/>
              </w:rPr>
              <w:t xml:space="preserve">0.00</w:t>
            </w:r>
          </w:p>
        </w:tc>
        <w:tc>
          <w:tcPr>
            <w:tcW w:w="1895" w:type="dxa"/>
            <w:vAlign w:val="center"/>
          </w:tcPr>
          <w:p>
            <w:pPr>
              <w:pStyle w:val="Other|1"/>
              <w:spacing w:line="240" w:lineRule="auto"/>
              <w:ind w:firstLine="0" w:firstLineChars="0"/>
              <w:jc w:val="right"/>
              <w:rPr>
                <w:rFonts w:hint="eastAsia"/>
                <w:vertAlign w:val="baseline"/>
                <w:lang w:val="en-US" w:eastAsia="zh-CN"/>
              </w:rPr>
            </w:pPr>
            <w:r>
              <w:rPr>
                <w:rFonts w:ascii="Times New Roman" w:eastAsia="Times New Roman" w:hAnsi="Times New Roman" w:cs="Times New Roman" w:hint="eastAsia"/>
                <w:b/>
                <w:bCs/>
                <w:sz w:val="17"/>
                <w:szCs w:val="17"/>
                <w:lang w:val="en-US" w:eastAsia="zh-CN"/>
              </w:rPr>
              <w:t xml:space="preserve">0.00</w:t>
            </w:r>
          </w:p>
        </w:tc>
        <w:tc>
          <w:tcPr>
            <w:tcW w:w="1888" w:type="dxa"/>
            <w:vAlign w:val="center"/>
          </w:tcPr>
          <w:p>
            <w:pPr>
              <w:pStyle w:val="Other|1"/>
              <w:spacing w:line="240" w:lineRule="auto"/>
              <w:ind w:firstLine="0" w:firstLineChars="0"/>
              <w:jc w:val="right"/>
              <w:rPr>
                <w:rFonts w:hint="eastAsia"/>
                <w:vertAlign w:val="baseline"/>
                <w:lang w:val="en-US" w:eastAsia="zh-CN"/>
              </w:rPr>
            </w:pPr>
            <w:r>
              <w:rPr>
                <w:rFonts w:ascii="Times New Roman" w:eastAsia="Times New Roman" w:hAnsi="Times New Roman" w:cs="Times New Roman" w:hint="eastAsia"/>
                <w:b/>
                <w:bCs/>
                <w:sz w:val="17"/>
                <w:szCs w:val="17"/>
                <w:lang w:val="en-US" w:eastAsia="zh-CN"/>
              </w:rPr>
              <w:t xml:space="preserve">0.00</w:t>
            </w:r>
          </w:p>
        </w:tc>
        <w:tc>
          <w:tcPr>
            <w:tcW w:w="1890" w:type="dxa"/>
            <w:vAlign w:val="center"/>
          </w:tcPr>
          <w:p>
            <w:pPr>
              <w:pStyle w:val="Other|1"/>
              <w:spacing w:line="240" w:lineRule="auto"/>
              <w:ind w:firstLine="0" w:firstLineChars="0"/>
              <w:jc w:val="right"/>
              <w:rPr>
                <w:rFonts w:hint="eastAsia"/>
                <w:vertAlign w:val="baseline"/>
                <w:lang w:val="en-US" w:eastAsia="zh-CN"/>
              </w:rPr>
            </w:pPr>
            <w:r>
              <w:rPr>
                <w:rFonts w:ascii="Times New Roman" w:eastAsia="Times New Roman" w:hAnsi="Times New Roman" w:cs="Times New Roman" w:hint="eastAsia"/>
                <w:b/>
                <w:bCs/>
                <w:sz w:val="17"/>
                <w:szCs w:val="17"/>
                <w:lang w:val="en-US" w:eastAsia="zh-CN"/>
              </w:rPr>
              <w:t xml:space="preserve">0.00</w:t>
            </w:r>
          </w:p>
        </w:tc>
        <w:tc>
          <w:tcPr>
            <w:tcW w:w="1897" w:type="dxa"/>
            <w:gridSpan w:val="2"/>
            <w:vAlign w:val="center"/>
          </w:tcPr>
          <w:p>
            <w:pPr>
              <w:pStyle w:val="Other|1"/>
              <w:spacing w:line="240" w:lineRule="auto"/>
              <w:ind w:firstLine="0" w:firstLineChars="0"/>
              <w:jc w:val="right"/>
              <w:rPr>
                <w:rFonts w:hint="eastAsia"/>
                <w:vertAlign w:val="baseline"/>
                <w:lang w:val="en-US" w:eastAsia="zh-CN"/>
              </w:rPr>
            </w:pPr>
            <w:r>
              <w:rPr>
                <w:rFonts w:ascii="Times New Roman" w:eastAsia="Times New Roman" w:hAnsi="Times New Roman" w:cs="Times New Roman" w:hint="eastAsia"/>
                <w:b/>
                <w:bCs/>
                <w:sz w:val="17"/>
                <w:szCs w:val="17"/>
                <w:lang w:val="en-US" w:eastAsia="zh-CN"/>
              </w:rPr>
              <w:t xml:space="preserve">0.00</w:t>
            </w:r>
          </w:p>
        </w:tc>
        <w:tc>
          <w:tcPr>
            <w:tcW w:w="1889" w:type="dxa"/>
            <w:vAlign w:val="center"/>
          </w:tcPr>
          <w:p>
            <w:pPr>
              <w:pStyle w:val="Other|1"/>
              <w:spacing w:line="240" w:lineRule="auto"/>
              <w:ind w:firstLine="0" w:firstLineChars="0"/>
              <w:jc w:val="right"/>
              <w:rPr>
                <w:rFonts w:hint="eastAsia"/>
                <w:vertAlign w:val="baseline"/>
                <w:lang w:val="en-US"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12"/>
        </w:trPr>
        <w:tc>
          <w:tcPr>
            <w:tcW w:w="15557" w:type="dxa"/>
            <w:gridSpan w:val="9"/>
            <w:tcBorders>
              <w:left w:val="nil"/>
              <w:bottom w:val="nil"/>
              <w:right w:val="nil"/>
            </w:tcBorders>
          </w:tcPr>
          <w:p>
            <w:pPr>
              <w:pStyle w:val="Tablecaption|1"/>
              <w:bidi w:val="0"/>
              <w:jc w:val="both"/>
              <w:rPr>
                <w:rFonts w:hint="eastAsia"/>
                <w:vertAlign w:val="baseline"/>
                <w:lang w:val="en-US" w:eastAsia="zh-CN"/>
              </w:rPr>
            </w:pPr>
            <w:r>
              <w:rPr>
                <w:rFonts w:ascii="宋体" w:eastAsia="宋体" w:hAnsi="宋体" w:cs="宋体" w:hint="eastAsia"/>
                <w:sz w:val="16"/>
                <w:szCs w:val="16"/>
              </w:rPr>
              <w:t xml:space="preserve">注：本报表金额单位转换时可能存在四舍五入尾数误差</w:t>
            </w:r>
          </w:p>
        </w:tc>
      </w:tr>
    </w:tbl>
    <w:p>
      <w:pPr>
        <w:pStyle w:val="Tablecaption|1"/>
        <w:bidi w:val="0"/>
        <w:rPr>
          <w:rFonts w:hint="eastAsia"/>
          <w:lang w:val="en-US" w:eastAsia="zh-CN"/>
        </w:rPr>
      </w:pPr>
    </w:p>
    <w:p>
      <w:pPr>
        <w:pStyle w:val="Heading#2|1"/>
        <w:keepNext/>
        <w:keepLines/>
        <w:spacing w:after="240"/>
        <w:jc w:val="center"/>
      </w:pPr>
    </w:p>
    <w:p>
      <w:pPr>
        <w:pStyle w:val="Heading#2|1"/>
        <w:keepNext/>
        <w:keepLines/>
        <w:spacing w:after="240"/>
        <w:jc w:val="center"/>
      </w:pPr>
    </w:p>
    <w:p>
      <w:pPr>
        <w:pStyle w:val="Heading#2|1"/>
        <w:keepNext/>
        <w:keepLines/>
        <w:spacing w:after="240"/>
        <w:jc w:val="center"/>
      </w:pPr>
    </w:p>
    <w:p>
      <w:pPr>
        <w:pStyle w:val="Heading#2|1"/>
        <w:keepNext/>
        <w:keepLines/>
        <w:spacing w:after="240"/>
        <w:jc w:val="center"/>
      </w:pPr>
    </w:p>
    <w:p>
      <w:pPr>
        <w:pStyle w:val="Heading#2|1"/>
        <w:keepNext/>
        <w:keepLines/>
        <w:spacing w:after="240"/>
        <w:jc w:val="center"/>
      </w:pPr>
    </w:p>
    <w:p>
      <w:pPr>
        <w:pStyle w:val="Tablecaption|1"/>
        <w:bidi w:val="0"/>
      </w:pPr>
    </w:p>
    <w:p>
      <w:pPr>
        <w:pStyle w:val="Heading#2|1"/>
        <w:keepNext/>
        <w:keepLines/>
        <w:spacing w:after="240"/>
        <w:jc w:val="center"/>
      </w:pPr>
      <w:r>
        <w:t xml:space="preserve">政府性基金预算支出情况表</w:t>
      </w:r>
      <w:bookmarkEnd w:id="29"/>
      <w:bookmarkEnd w:id="30"/>
      <w:bookmarkEnd w:id="31"/>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firstRow="0" w:lastRow="0" w:firstColumn="0" w:lastColumn="0" w:noHBand="1" w:noVBand="1"/>
      </w:tblPr>
      <w:tblGrid>
        <w:gridCol w:w="2527"/>
        <w:gridCol w:w="2161"/>
        <w:gridCol w:w="2162"/>
        <w:gridCol w:w="2222"/>
        <w:gridCol w:w="2161"/>
        <w:gridCol w:w="2161"/>
        <w:gridCol w:w="2163"/>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85"/>
        </w:trPr>
        <w:tc>
          <w:tcPr>
            <w:tcW w:w="13394" w:type="dxa"/>
            <w:gridSpan w:val="6"/>
            <w:tcBorders>
              <w:top w:val="nil"/>
              <w:left w:val="nil"/>
              <w:right w:val="nil"/>
            </w:tcBorders>
          </w:tcPr>
          <w:p>
            <w:pPr>
              <w:pStyle w:val="Tablecaption|1"/>
              <w:tabs>
                <w:tab w:val="left" w:pos="14213"/>
              </w:tabs>
              <w:ind w:left="101"/>
              <w:jc w:val="left"/>
            </w:pPr>
            <w:r>
              <w:t xml:space="preserve">单位名称：</w:t>
            </w:r>
            <w:r>
              <w:rPr>
                <w:rFonts w:hint="eastAsia"/>
                <w:lang w:eastAsia="zh-CN"/>
              </w:rPr>
              <w:t xml:space="preserve">环江毛南族自治县下南乡初级中学</w:t>
            </w:r>
            <w:r>
              <w:tab/>
            </w:r>
            <w:r>
              <w:t xml:space="preserve">单位：万元</w:t>
            </w:r>
          </w:p>
        </w:tc>
        <w:tc>
          <w:tcPr>
            <w:tcW w:w="2163" w:type="dxa"/>
            <w:tcBorders>
              <w:top w:val="nil"/>
              <w:left w:val="nil"/>
              <w:right w:val="nil"/>
            </w:tcBorders>
          </w:tcPr>
          <w:p>
            <w:pPr>
              <w:pStyle w:val="Tablecaption|1"/>
              <w:tabs>
                <w:tab w:val="left" w:pos="14213"/>
              </w:tabs>
              <w:ind w:left="101" w:firstLine="680" w:firstLineChars="400"/>
              <w:jc w:val="left"/>
            </w:pPr>
            <w:r>
              <w:rPr>
                <w:rFonts w:hint="eastAsia"/>
              </w:rPr>
              <w:t xml:space="preserve">单位：万元</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2527" w:type="dxa"/>
          </w:tcPr>
          <w:p>
            <w:pPr>
              <w:pStyle w:val="Tablecaption|1"/>
              <w:bidi w:val="0"/>
              <w:jc w:val="center"/>
              <w:rPr>
                <w:vertAlign w:val="baseline"/>
              </w:rPr>
            </w:pPr>
            <w:r>
              <w:rPr>
                <w:sz w:val="17"/>
                <w:szCs w:val="17"/>
              </w:rPr>
              <w:t xml:space="preserve">科目编码</w:t>
            </w:r>
          </w:p>
        </w:tc>
        <w:tc>
          <w:tcPr>
            <w:tcW w:w="2161" w:type="dxa"/>
          </w:tcPr>
          <w:p>
            <w:pPr>
              <w:pStyle w:val="Tablecaption|1"/>
              <w:bidi w:val="0"/>
              <w:jc w:val="center"/>
              <w:rPr>
                <w:vertAlign w:val="baseline"/>
              </w:rPr>
            </w:pPr>
            <w:r>
              <w:rPr>
                <w:sz w:val="17"/>
                <w:szCs w:val="17"/>
              </w:rPr>
              <w:t xml:space="preserve">部门（单位）代码</w:t>
            </w:r>
          </w:p>
        </w:tc>
        <w:tc>
          <w:tcPr>
            <w:tcW w:w="2162" w:type="dxa"/>
          </w:tcPr>
          <w:p>
            <w:pPr>
              <w:pStyle w:val="Tablecaption|1"/>
              <w:bidi w:val="0"/>
              <w:jc w:val="center"/>
              <w:rPr>
                <w:vertAlign w:val="baseline"/>
              </w:rPr>
            </w:pPr>
            <w:r>
              <w:rPr>
                <w:sz w:val="17"/>
                <w:szCs w:val="17"/>
              </w:rPr>
              <w:t xml:space="preserve">部门（单位）名称（功能分类科目名称）</w:t>
            </w:r>
          </w:p>
        </w:tc>
        <w:tc>
          <w:tcPr>
            <w:tcW w:w="2222" w:type="dxa"/>
            <w:vAlign w:val="center"/>
          </w:tcPr>
          <w:p>
            <w:pPr>
              <w:pStyle w:val="Other|1"/>
              <w:spacing w:line="240" w:lineRule="auto"/>
              <w:ind w:firstLine="0" w:firstLineChars="0"/>
              <w:jc w:val="center"/>
              <w:rPr>
                <w:vertAlign w:val="baseline"/>
              </w:rPr>
            </w:pPr>
            <w:r>
              <w:rPr>
                <w:sz w:val="17"/>
                <w:szCs w:val="17"/>
              </w:rPr>
              <w:t xml:space="preserve">合计</w:t>
            </w:r>
          </w:p>
        </w:tc>
        <w:tc>
          <w:tcPr>
            <w:tcW w:w="2161" w:type="dxa"/>
            <w:vAlign w:val="center"/>
          </w:tcPr>
          <w:p>
            <w:pPr>
              <w:pStyle w:val="Other|1"/>
              <w:spacing w:line="240" w:lineRule="auto"/>
              <w:ind w:firstLine="0" w:firstLineChars="0"/>
              <w:jc w:val="center"/>
              <w:rPr>
                <w:vertAlign w:val="baseline"/>
              </w:rPr>
            </w:pPr>
            <w:r>
              <w:rPr>
                <w:sz w:val="17"/>
                <w:szCs w:val="17"/>
              </w:rPr>
              <w:t xml:space="preserve">基本支出</w:t>
            </w:r>
          </w:p>
        </w:tc>
        <w:tc>
          <w:tcPr>
            <w:tcW w:w="2161" w:type="dxa"/>
            <w:vAlign w:val="center"/>
          </w:tcPr>
          <w:p>
            <w:pPr>
              <w:pStyle w:val="Other|1"/>
              <w:spacing w:line="240" w:lineRule="auto"/>
              <w:ind w:firstLine="0" w:firstLineChars="0"/>
              <w:jc w:val="center"/>
              <w:rPr>
                <w:vertAlign w:val="baseline"/>
              </w:rPr>
            </w:pPr>
            <w:r>
              <w:rPr>
                <w:sz w:val="17"/>
                <w:szCs w:val="17"/>
              </w:rPr>
              <w:t xml:space="preserve">项目支出</w:t>
            </w:r>
          </w:p>
        </w:tc>
        <w:tc>
          <w:tcPr>
            <w:tcW w:w="2163" w:type="dxa"/>
            <w:vAlign w:val="center"/>
          </w:tcPr>
          <w:p>
            <w:pPr>
              <w:pStyle w:val="Other|1"/>
              <w:spacing w:line="240" w:lineRule="auto"/>
              <w:ind w:firstLine="0" w:firstLineChars="0"/>
              <w:jc w:val="center"/>
              <w:rPr>
                <w:vertAlign w:val="baseline"/>
              </w:rPr>
            </w:pPr>
            <w:r>
              <w:rPr>
                <w:sz w:val="17"/>
                <w:szCs w:val="17"/>
              </w:rPr>
              <w:t xml:space="preserve">结转下年支出</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135"/>
        </w:trPr>
        <w:tc>
          <w:tcPr>
            <w:tcW w:w="2527" w:type="dxa"/>
            <w:vAlign w:val="center"/>
          </w:tcPr>
          <w:p>
            <w:pPr>
              <w:pStyle w:val="Other|1"/>
              <w:spacing w:line="240" w:lineRule="auto"/>
              <w:ind w:firstLine="0" w:firstLineChars="0"/>
              <w:jc w:val="left"/>
              <w:rPr>
                <w:b w:val="0"/>
                <w:bCs w:val="0"/>
                <w:vertAlign w:val="baseline"/>
              </w:rPr>
            </w:pPr>
            <w:r>
              <w:rPr>
                <w:rFonts w:ascii="Times New Roman" w:hAnsi="Times New Roman" w:cs="Times New Roman" w:hint="eastAsia"/>
                <w:b w:val="0"/>
                <w:bCs w:val="0"/>
                <w:sz w:val="17"/>
                <w:szCs w:val="17"/>
                <w:lang w:val="en-US" w:eastAsia="zh-CN"/>
              </w:rPr>
              <w:t xml:space="preserve">2012999</w:t>
            </w:r>
          </w:p>
        </w:tc>
        <w:tc>
          <w:tcPr>
            <w:tcW w:w="2161" w:type="dxa"/>
            <w:vAlign w:val="center"/>
          </w:tcPr>
          <w:p>
            <w:pPr>
              <w:pStyle w:val="Other|1"/>
              <w:spacing w:line="240" w:lineRule="auto"/>
              <w:ind w:firstLine="0" w:firstLineChars="0"/>
              <w:jc w:val="left"/>
              <w:rPr>
                <w:b w:val="0"/>
                <w:bCs w:val="0"/>
                <w:vertAlign w:val="baseline"/>
              </w:rPr>
            </w:pPr>
          </w:p>
        </w:tc>
        <w:tc>
          <w:tcPr>
            <w:tcW w:w="2162" w:type="dxa"/>
            <w:vAlign w:val="center"/>
          </w:tcPr>
          <w:p>
            <w:pPr>
              <w:pStyle w:val="Other|1"/>
              <w:spacing w:line="240" w:lineRule="auto"/>
              <w:ind w:firstLine="0" w:firstLineChars="0"/>
              <w:jc w:val="left"/>
              <w:rPr>
                <w:b w:val="0"/>
                <w:bCs w:val="0"/>
                <w:vertAlign w:val="baseline"/>
              </w:rPr>
            </w:pPr>
            <w:r>
              <w:rPr>
                <w:rFonts w:hint="eastAsia"/>
                <w:b w:val="0"/>
                <w:bCs w:val="0"/>
                <w:sz w:val="17"/>
                <w:szCs w:val="17"/>
                <w:lang w:val="en-US" w:eastAsia="zh-CN"/>
              </w:rPr>
              <w:t xml:space="preserve">其他群众团体事务支出</w:t>
            </w:r>
          </w:p>
        </w:tc>
        <w:tc>
          <w:tcPr>
            <w:tcW w:w="2222" w:type="dxa"/>
            <w:vAlign w:val="center"/>
          </w:tcPr>
          <w:p>
            <w:pPr>
              <w:pStyle w:val="Other|1"/>
              <w:spacing w:line="240" w:lineRule="auto"/>
              <w:ind w:left="1060" w:firstLine="0" w:leftChars="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c>
          <w:tcPr>
            <w:tcW w:w="2161" w:type="dxa"/>
            <w:vAlign w:val="center"/>
          </w:tcPr>
          <w:p>
            <w:pPr>
              <w:pStyle w:val="Other|1"/>
              <w:spacing w:line="240" w:lineRule="auto"/>
              <w:ind w:firstLine="0" w:firstLineChars="0"/>
              <w:jc w:val="right"/>
              <w:rPr>
                <w:b w:val="0"/>
                <w:bCs w:val="0"/>
                <w:vertAlign w:val="baseline"/>
              </w:rPr>
            </w:pPr>
            <w:r>
              <w:rPr>
                <w:rFonts w:hint="eastAsia"/>
                <w:b w:val="0"/>
                <w:bCs w:val="0"/>
                <w:sz w:val="17"/>
                <w:szCs w:val="17"/>
                <w:lang w:val="en-US" w:eastAsia="zh-CN"/>
              </w:rPr>
              <w:t xml:space="preserve">0.00</w:t>
            </w:r>
          </w:p>
        </w:tc>
        <w:tc>
          <w:tcPr>
            <w:tcW w:w="2161" w:type="dxa"/>
            <w:vAlign w:val="center"/>
          </w:tcPr>
          <w:p>
            <w:pPr>
              <w:pStyle w:val="Other|1"/>
              <w:spacing w:line="240" w:lineRule="auto"/>
              <w:ind w:firstLine="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c>
          <w:tcPr>
            <w:tcW w:w="2163" w:type="dxa"/>
            <w:vAlign w:val="center"/>
          </w:tcPr>
          <w:p>
            <w:pPr>
              <w:pStyle w:val="Other|1"/>
              <w:spacing w:line="240" w:lineRule="auto"/>
              <w:ind w:firstLine="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135"/>
        </w:trPr>
        <w:tc>
          <w:tcPr>
            <w:tcW w:w="2527" w:type="dxa"/>
            <w:vAlign w:val="center"/>
          </w:tcPr>
          <w:p>
            <w:pPr>
              <w:pStyle w:val="Other|1"/>
              <w:spacing w:line="240" w:lineRule="auto"/>
              <w:ind w:firstLine="0" w:firstLineChars="0"/>
              <w:jc w:val="left"/>
              <w:rPr>
                <w:b w:val="0"/>
                <w:bCs w:val="0"/>
                <w:vertAlign w:val="baseline"/>
              </w:rPr>
            </w:pPr>
            <w:r>
              <w:rPr>
                <w:rFonts w:ascii="Times New Roman" w:hAnsi="Times New Roman" w:cs="Times New Roman" w:hint="eastAsia"/>
                <w:b w:val="0"/>
                <w:bCs w:val="0"/>
                <w:sz w:val="17"/>
                <w:szCs w:val="17"/>
                <w:lang w:val="en-US" w:eastAsia="zh-CN"/>
              </w:rPr>
              <w:t xml:space="preserve">2050203</w:t>
            </w:r>
          </w:p>
        </w:tc>
        <w:tc>
          <w:tcPr>
            <w:tcW w:w="2161" w:type="dxa"/>
            <w:vAlign w:val="center"/>
          </w:tcPr>
          <w:p>
            <w:pPr>
              <w:pStyle w:val="Other|1"/>
              <w:spacing w:line="240" w:lineRule="auto"/>
              <w:ind w:firstLine="0" w:firstLineChars="0"/>
              <w:jc w:val="left"/>
              <w:rPr>
                <w:b w:val="0"/>
                <w:bCs w:val="0"/>
                <w:vertAlign w:val="baseline"/>
              </w:rPr>
            </w:pPr>
          </w:p>
        </w:tc>
        <w:tc>
          <w:tcPr>
            <w:tcW w:w="2162" w:type="dxa"/>
            <w:vAlign w:val="center"/>
          </w:tcPr>
          <w:p>
            <w:pPr>
              <w:pStyle w:val="Other|1"/>
              <w:spacing w:line="240" w:lineRule="auto"/>
              <w:ind w:firstLine="0" w:firstLineChars="0"/>
              <w:jc w:val="left"/>
              <w:rPr>
                <w:b w:val="0"/>
                <w:bCs w:val="0"/>
                <w:vertAlign w:val="baseline"/>
              </w:rPr>
            </w:pPr>
            <w:r>
              <w:rPr>
                <w:rFonts w:hint="eastAsia"/>
                <w:b w:val="0"/>
                <w:bCs w:val="0"/>
                <w:sz w:val="17"/>
                <w:szCs w:val="17"/>
                <w:lang w:val="en-US" w:eastAsia="zh-CN"/>
              </w:rPr>
              <w:t xml:space="preserve">初中教育</w:t>
            </w:r>
          </w:p>
        </w:tc>
        <w:tc>
          <w:tcPr>
            <w:tcW w:w="2222" w:type="dxa"/>
            <w:vAlign w:val="center"/>
          </w:tcPr>
          <w:p>
            <w:pPr>
              <w:pStyle w:val="Other|1"/>
              <w:spacing w:line="240" w:lineRule="auto"/>
              <w:ind w:left="1060" w:firstLine="0" w:leftChars="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c>
          <w:tcPr>
            <w:tcW w:w="2161" w:type="dxa"/>
            <w:vAlign w:val="center"/>
          </w:tcPr>
          <w:p>
            <w:pPr>
              <w:pStyle w:val="Other|1"/>
              <w:spacing w:line="240" w:lineRule="auto"/>
              <w:ind w:firstLine="0" w:firstLineChars="0"/>
              <w:jc w:val="right"/>
              <w:rPr>
                <w:b w:val="0"/>
                <w:bCs w:val="0"/>
                <w:vertAlign w:val="baseline"/>
              </w:rPr>
            </w:pPr>
            <w:r>
              <w:rPr>
                <w:rFonts w:hint="eastAsia"/>
                <w:b w:val="0"/>
                <w:bCs w:val="0"/>
                <w:sz w:val="17"/>
                <w:szCs w:val="17"/>
                <w:lang w:val="en-US" w:eastAsia="zh-CN"/>
              </w:rPr>
              <w:t xml:space="preserve">0.00</w:t>
            </w:r>
          </w:p>
        </w:tc>
        <w:tc>
          <w:tcPr>
            <w:tcW w:w="2161" w:type="dxa"/>
            <w:vAlign w:val="center"/>
          </w:tcPr>
          <w:p>
            <w:pPr>
              <w:pStyle w:val="Other|1"/>
              <w:spacing w:line="240" w:lineRule="auto"/>
              <w:ind w:firstLine="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c>
          <w:tcPr>
            <w:tcW w:w="2163" w:type="dxa"/>
            <w:vAlign w:val="center"/>
          </w:tcPr>
          <w:p>
            <w:pPr>
              <w:pStyle w:val="Other|1"/>
              <w:spacing w:line="240" w:lineRule="auto"/>
              <w:ind w:firstLine="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135"/>
        </w:trPr>
        <w:tc>
          <w:tcPr>
            <w:tcW w:w="2527" w:type="dxa"/>
            <w:vAlign w:val="center"/>
          </w:tcPr>
          <w:p>
            <w:pPr>
              <w:pStyle w:val="Other|1"/>
              <w:spacing w:line="240" w:lineRule="auto"/>
              <w:ind w:firstLine="0" w:firstLineChars="0"/>
              <w:jc w:val="left"/>
              <w:rPr>
                <w:b w:val="0"/>
                <w:bCs w:val="0"/>
                <w:vertAlign w:val="baseline"/>
              </w:rPr>
            </w:pPr>
            <w:r>
              <w:rPr>
                <w:rFonts w:ascii="Times New Roman" w:hAnsi="Times New Roman" w:cs="Times New Roman" w:hint="eastAsia"/>
                <w:b w:val="0"/>
                <w:bCs w:val="0"/>
                <w:sz w:val="17"/>
                <w:szCs w:val="17"/>
                <w:lang w:val="en-US" w:eastAsia="zh-CN"/>
              </w:rPr>
              <w:t xml:space="preserve">2080505</w:t>
            </w:r>
          </w:p>
        </w:tc>
        <w:tc>
          <w:tcPr>
            <w:tcW w:w="2161" w:type="dxa"/>
            <w:vAlign w:val="center"/>
          </w:tcPr>
          <w:p>
            <w:pPr>
              <w:pStyle w:val="Other|1"/>
              <w:spacing w:line="240" w:lineRule="auto"/>
              <w:ind w:firstLine="0" w:firstLineChars="0"/>
              <w:jc w:val="left"/>
              <w:rPr>
                <w:b w:val="0"/>
                <w:bCs w:val="0"/>
                <w:vertAlign w:val="baseline"/>
              </w:rPr>
            </w:pPr>
          </w:p>
        </w:tc>
        <w:tc>
          <w:tcPr>
            <w:tcW w:w="2162" w:type="dxa"/>
            <w:vAlign w:val="center"/>
          </w:tcPr>
          <w:p>
            <w:pPr>
              <w:pStyle w:val="Other|1"/>
              <w:spacing w:line="240" w:lineRule="auto"/>
              <w:ind w:firstLine="0" w:firstLineChars="0"/>
              <w:jc w:val="left"/>
              <w:rPr>
                <w:b w:val="0"/>
                <w:bCs w:val="0"/>
                <w:vertAlign w:val="baseline"/>
              </w:rPr>
            </w:pPr>
            <w:r>
              <w:rPr>
                <w:rFonts w:hint="eastAsia"/>
                <w:b w:val="0"/>
                <w:bCs w:val="0"/>
                <w:sz w:val="17"/>
                <w:szCs w:val="17"/>
                <w:lang w:val="en-US" w:eastAsia="zh-CN"/>
              </w:rPr>
              <w:t xml:space="preserve">机关事业单位基本养老保险缴费支出</w:t>
            </w:r>
          </w:p>
        </w:tc>
        <w:tc>
          <w:tcPr>
            <w:tcW w:w="2222" w:type="dxa"/>
            <w:vAlign w:val="center"/>
          </w:tcPr>
          <w:p>
            <w:pPr>
              <w:pStyle w:val="Other|1"/>
              <w:spacing w:line="240" w:lineRule="auto"/>
              <w:ind w:left="1060" w:firstLine="0" w:leftChars="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c>
          <w:tcPr>
            <w:tcW w:w="2161" w:type="dxa"/>
            <w:vAlign w:val="center"/>
          </w:tcPr>
          <w:p>
            <w:pPr>
              <w:pStyle w:val="Other|1"/>
              <w:spacing w:line="240" w:lineRule="auto"/>
              <w:ind w:firstLine="0" w:firstLineChars="0"/>
              <w:jc w:val="right"/>
              <w:rPr>
                <w:b w:val="0"/>
                <w:bCs w:val="0"/>
                <w:vertAlign w:val="baseline"/>
              </w:rPr>
            </w:pPr>
            <w:r>
              <w:rPr>
                <w:rFonts w:hint="eastAsia"/>
                <w:b w:val="0"/>
                <w:bCs w:val="0"/>
                <w:sz w:val="17"/>
                <w:szCs w:val="17"/>
                <w:lang w:val="en-US" w:eastAsia="zh-CN"/>
              </w:rPr>
              <w:t xml:space="preserve">0.00</w:t>
            </w:r>
          </w:p>
        </w:tc>
        <w:tc>
          <w:tcPr>
            <w:tcW w:w="2161" w:type="dxa"/>
            <w:vAlign w:val="center"/>
          </w:tcPr>
          <w:p>
            <w:pPr>
              <w:pStyle w:val="Other|1"/>
              <w:spacing w:line="240" w:lineRule="auto"/>
              <w:ind w:firstLine="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c>
          <w:tcPr>
            <w:tcW w:w="2163" w:type="dxa"/>
            <w:vAlign w:val="center"/>
          </w:tcPr>
          <w:p>
            <w:pPr>
              <w:pStyle w:val="Other|1"/>
              <w:spacing w:line="240" w:lineRule="auto"/>
              <w:ind w:firstLine="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135"/>
        </w:trPr>
        <w:tc>
          <w:tcPr>
            <w:tcW w:w="2527" w:type="dxa"/>
            <w:vAlign w:val="center"/>
          </w:tcPr>
          <w:p>
            <w:pPr>
              <w:pStyle w:val="Other|1"/>
              <w:spacing w:line="240" w:lineRule="auto"/>
              <w:ind w:firstLine="0" w:firstLineChars="0"/>
              <w:jc w:val="left"/>
              <w:rPr>
                <w:b w:val="0"/>
                <w:bCs w:val="0"/>
                <w:vertAlign w:val="baseline"/>
              </w:rPr>
            </w:pPr>
            <w:r>
              <w:rPr>
                <w:rFonts w:ascii="Times New Roman" w:hAnsi="Times New Roman" w:cs="Times New Roman" w:hint="eastAsia"/>
                <w:b w:val="0"/>
                <w:bCs w:val="0"/>
                <w:sz w:val="17"/>
                <w:szCs w:val="17"/>
                <w:lang w:val="en-US" w:eastAsia="zh-CN"/>
              </w:rPr>
              <w:t xml:space="preserve">2210201</w:t>
            </w:r>
          </w:p>
        </w:tc>
        <w:tc>
          <w:tcPr>
            <w:tcW w:w="2161" w:type="dxa"/>
            <w:vAlign w:val="center"/>
          </w:tcPr>
          <w:p>
            <w:pPr>
              <w:pStyle w:val="Other|1"/>
              <w:spacing w:line="240" w:lineRule="auto"/>
              <w:ind w:firstLine="0" w:firstLineChars="0"/>
              <w:jc w:val="left"/>
              <w:rPr>
                <w:b w:val="0"/>
                <w:bCs w:val="0"/>
                <w:vertAlign w:val="baseline"/>
              </w:rPr>
            </w:pPr>
          </w:p>
        </w:tc>
        <w:tc>
          <w:tcPr>
            <w:tcW w:w="2162" w:type="dxa"/>
            <w:vAlign w:val="center"/>
          </w:tcPr>
          <w:p>
            <w:pPr>
              <w:pStyle w:val="Other|1"/>
              <w:spacing w:line="240" w:lineRule="auto"/>
              <w:ind w:firstLine="0" w:firstLineChars="0"/>
              <w:jc w:val="left"/>
              <w:rPr>
                <w:b w:val="0"/>
                <w:bCs w:val="0"/>
                <w:vertAlign w:val="baseline"/>
              </w:rPr>
            </w:pPr>
            <w:r>
              <w:rPr>
                <w:rFonts w:hint="eastAsia"/>
                <w:b w:val="0"/>
                <w:bCs w:val="0"/>
                <w:sz w:val="17"/>
                <w:szCs w:val="17"/>
                <w:lang w:val="en-US" w:eastAsia="zh-CN"/>
              </w:rPr>
              <w:t xml:space="preserve">住房公积金</w:t>
            </w:r>
          </w:p>
        </w:tc>
        <w:tc>
          <w:tcPr>
            <w:tcW w:w="2222" w:type="dxa"/>
            <w:vAlign w:val="center"/>
          </w:tcPr>
          <w:p>
            <w:pPr>
              <w:pStyle w:val="Other|1"/>
              <w:spacing w:line="240" w:lineRule="auto"/>
              <w:ind w:left="1060" w:firstLine="0" w:leftChars="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c>
          <w:tcPr>
            <w:tcW w:w="2161" w:type="dxa"/>
            <w:vAlign w:val="center"/>
          </w:tcPr>
          <w:p>
            <w:pPr>
              <w:pStyle w:val="Other|1"/>
              <w:spacing w:line="240" w:lineRule="auto"/>
              <w:ind w:firstLine="0" w:firstLineChars="0"/>
              <w:jc w:val="right"/>
              <w:rPr>
                <w:b w:val="0"/>
                <w:bCs w:val="0"/>
                <w:vertAlign w:val="baseline"/>
              </w:rPr>
            </w:pPr>
            <w:r>
              <w:rPr>
                <w:rFonts w:hint="eastAsia"/>
                <w:b w:val="0"/>
                <w:bCs w:val="0"/>
                <w:sz w:val="17"/>
                <w:szCs w:val="17"/>
                <w:lang w:val="en-US" w:eastAsia="zh-CN"/>
              </w:rPr>
              <w:t xml:space="preserve">0.00</w:t>
            </w:r>
          </w:p>
        </w:tc>
        <w:tc>
          <w:tcPr>
            <w:tcW w:w="2161" w:type="dxa"/>
            <w:vAlign w:val="center"/>
          </w:tcPr>
          <w:p>
            <w:pPr>
              <w:pStyle w:val="Other|1"/>
              <w:spacing w:line="240" w:lineRule="auto"/>
              <w:ind w:firstLine="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c>
          <w:tcPr>
            <w:tcW w:w="2163" w:type="dxa"/>
            <w:vAlign w:val="center"/>
          </w:tcPr>
          <w:p>
            <w:pPr>
              <w:pStyle w:val="Other|1"/>
              <w:spacing w:line="240" w:lineRule="auto"/>
              <w:ind w:firstLine="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5557" w:type="dxa"/>
            <w:gridSpan w:val="7"/>
            <w:tcBorders>
              <w:left w:val="nil"/>
              <w:bottom w:val="nil"/>
              <w:right w:val="nil"/>
            </w:tcBorders>
          </w:tcPr>
          <w:p>
            <w:pPr>
              <w:pStyle w:val="Tablecaption|1"/>
              <w:bidi w:val="0"/>
              <w:jc w:val="both"/>
              <w:rPr>
                <w:vertAlign w:val="baseline"/>
              </w:rPr>
            </w:pPr>
            <w:r>
              <w:t xml:space="preserve">注：本报表金额单位转换时可能存在四舍五入尾数误差</w:t>
            </w:r>
          </w:p>
        </w:tc>
      </w:tr>
    </w:tbl>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jc w:val="center"/>
        <w:rPr>
          <w:sz w:val="28"/>
          <w:szCs w:val="28"/>
        </w:rPr>
      </w:pPr>
      <w:r>
        <w:rPr>
          <w:sz w:val="28"/>
          <w:szCs w:val="28"/>
        </w:rPr>
        <w:t xml:space="preserve">国有资本经营预算支出情况表</w:t>
      </w:r>
    </w:p>
    <w:p>
      <w:pPr>
        <w:pStyle w:val="Tablecaption|1"/>
        <w:bidi w:val="0"/>
        <w:jc w:val="center"/>
        <w:rPr>
          <w:sz w:val="28"/>
          <w:szCs w:val="28"/>
        </w:rPr>
      </w:pP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firstRow="0" w:lastRow="0" w:firstColumn="0" w:lastColumn="0" w:noHBand="1" w:noVBand="1"/>
      </w:tblPr>
      <w:tblGrid>
        <w:gridCol w:w="2527"/>
        <w:gridCol w:w="2161"/>
        <w:gridCol w:w="2162"/>
        <w:gridCol w:w="2222"/>
        <w:gridCol w:w="2161"/>
        <w:gridCol w:w="2161"/>
        <w:gridCol w:w="2163"/>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3394" w:type="dxa"/>
            <w:gridSpan w:val="6"/>
            <w:tcBorders>
              <w:top w:val="nil"/>
              <w:left w:val="nil"/>
              <w:right w:val="nil"/>
            </w:tcBorders>
          </w:tcPr>
          <w:p>
            <w:pPr>
              <w:pStyle w:val="Tablecaption|1"/>
              <w:tabs>
                <w:tab w:val="left" w:pos="14213"/>
              </w:tabs>
              <w:ind w:left="101"/>
              <w:jc w:val="left"/>
            </w:pPr>
            <w:r>
              <w:t xml:space="preserve">单位名称：</w:t>
            </w:r>
            <w:r>
              <w:rPr>
                <w:rFonts w:hint="eastAsia"/>
                <w:lang w:eastAsia="zh-CN"/>
              </w:rPr>
              <w:t xml:space="preserve">环江毛南族自治县下南乡初级中学</w:t>
            </w:r>
            <w:r>
              <w:tab/>
            </w:r>
            <w:r>
              <w:t xml:space="preserve">单位：万元</w:t>
            </w:r>
          </w:p>
        </w:tc>
        <w:tc>
          <w:tcPr>
            <w:tcW w:w="2163" w:type="dxa"/>
            <w:tcBorders>
              <w:top w:val="nil"/>
              <w:left w:val="nil"/>
              <w:right w:val="nil"/>
            </w:tcBorders>
          </w:tcPr>
          <w:p>
            <w:pPr>
              <w:pStyle w:val="Tablecaption|1"/>
              <w:tabs>
                <w:tab w:val="left" w:pos="14213"/>
              </w:tabs>
              <w:ind w:left="101"/>
              <w:jc w:val="left"/>
            </w:pPr>
            <w:r>
              <w:rPr>
                <w:rFonts w:ascii="宋体" w:eastAsia="宋体" w:hAnsi="宋体" w:cs="宋体" w:hint="eastAsia"/>
                <w:sz w:val="17"/>
                <w:szCs w:val="17"/>
              </w:rPr>
              <w:t xml:space="preserve">单位：万元</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2527" w:type="dxa"/>
            <w:vMerge w:val="restart"/>
          </w:tcPr>
          <w:p>
            <w:pPr>
              <w:pStyle w:val="Tablecaption|1"/>
              <w:bidi w:val="0"/>
              <w:jc w:val="center"/>
              <w:rPr>
                <w:vertAlign w:val="baseline"/>
              </w:rPr>
            </w:pPr>
            <w:r>
              <w:rPr>
                <w:sz w:val="17"/>
                <w:szCs w:val="17"/>
              </w:rPr>
              <w:t xml:space="preserve">科目编码</w:t>
            </w:r>
          </w:p>
        </w:tc>
        <w:tc>
          <w:tcPr>
            <w:tcW w:w="2161" w:type="dxa"/>
            <w:vMerge w:val="restart"/>
          </w:tcPr>
          <w:p>
            <w:pPr>
              <w:pStyle w:val="Tablecaption|1"/>
              <w:bidi w:val="0"/>
              <w:jc w:val="center"/>
              <w:rPr>
                <w:vertAlign w:val="baseline"/>
              </w:rPr>
            </w:pPr>
            <w:r>
              <w:rPr>
                <w:sz w:val="17"/>
                <w:szCs w:val="17"/>
              </w:rPr>
              <w:t xml:space="preserve">部门（单位）代码</w:t>
            </w:r>
          </w:p>
        </w:tc>
        <w:tc>
          <w:tcPr>
            <w:tcW w:w="2162" w:type="dxa"/>
            <w:vMerge w:val="restart"/>
          </w:tcPr>
          <w:p>
            <w:pPr>
              <w:pStyle w:val="Tablecaption|1"/>
              <w:bidi w:val="0"/>
              <w:jc w:val="center"/>
              <w:rPr>
                <w:vertAlign w:val="baseline"/>
              </w:rPr>
            </w:pPr>
            <w:r>
              <w:rPr>
                <w:sz w:val="17"/>
                <w:szCs w:val="17"/>
              </w:rPr>
              <w:t xml:space="preserve">部门（单位）名称（功能分类科目名称）</w:t>
            </w:r>
          </w:p>
        </w:tc>
        <w:tc>
          <w:tcPr>
            <w:tcW w:w="2222" w:type="dxa"/>
            <w:vAlign w:val="center"/>
          </w:tcPr>
          <w:p>
            <w:pPr>
              <w:pStyle w:val="Other|1"/>
              <w:spacing w:line="240" w:lineRule="auto"/>
              <w:ind w:firstLine="0" w:firstLineChars="0"/>
              <w:jc w:val="center"/>
              <w:rPr>
                <w:vertAlign w:val="baseline"/>
              </w:rPr>
            </w:pPr>
            <w:r>
              <w:rPr>
                <w:sz w:val="17"/>
                <w:szCs w:val="17"/>
              </w:rPr>
              <w:t xml:space="preserve">合计</w:t>
            </w:r>
          </w:p>
        </w:tc>
        <w:tc>
          <w:tcPr>
            <w:tcW w:w="2161" w:type="dxa"/>
            <w:vAlign w:val="center"/>
          </w:tcPr>
          <w:p>
            <w:pPr>
              <w:pStyle w:val="Other|1"/>
              <w:spacing w:line="240" w:lineRule="auto"/>
              <w:ind w:firstLine="0" w:firstLineChars="0"/>
              <w:jc w:val="center"/>
              <w:rPr>
                <w:vertAlign w:val="baseline"/>
              </w:rPr>
            </w:pPr>
            <w:r>
              <w:rPr>
                <w:sz w:val="17"/>
                <w:szCs w:val="17"/>
              </w:rPr>
              <w:t xml:space="preserve">基本支出</w:t>
            </w:r>
          </w:p>
        </w:tc>
        <w:tc>
          <w:tcPr>
            <w:tcW w:w="2161" w:type="dxa"/>
            <w:vAlign w:val="center"/>
          </w:tcPr>
          <w:p>
            <w:pPr>
              <w:pStyle w:val="Other|1"/>
              <w:spacing w:line="240" w:lineRule="auto"/>
              <w:ind w:firstLine="0" w:firstLineChars="0"/>
              <w:jc w:val="center"/>
              <w:rPr>
                <w:vertAlign w:val="baseline"/>
              </w:rPr>
            </w:pPr>
            <w:r>
              <w:rPr>
                <w:sz w:val="17"/>
                <w:szCs w:val="17"/>
              </w:rPr>
              <w:t xml:space="preserve">项目支出</w:t>
            </w:r>
          </w:p>
        </w:tc>
        <w:tc>
          <w:tcPr>
            <w:tcW w:w="2163" w:type="dxa"/>
            <w:vAlign w:val="center"/>
          </w:tcPr>
          <w:p>
            <w:pPr>
              <w:pStyle w:val="Other|1"/>
              <w:spacing w:line="240" w:lineRule="auto"/>
              <w:ind w:firstLine="0" w:firstLineChars="0"/>
              <w:jc w:val="center"/>
              <w:rPr>
                <w:vertAlign w:val="baseline"/>
              </w:rPr>
            </w:pPr>
            <w:r>
              <w:rPr>
                <w:sz w:val="17"/>
                <w:szCs w:val="17"/>
              </w:rPr>
              <w:t xml:space="preserve">结转下年支出</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2527" w:type="dxa"/>
            <w:vMerge/>
          </w:tcPr>
          <w:p>
            <w:pPr>
              <w:pStyle w:val="Tablecaption|1"/>
              <w:bidi w:val="0"/>
              <w:jc w:val="both"/>
              <w:rPr>
                <w:vertAlign w:val="baseline"/>
              </w:rPr>
            </w:pPr>
          </w:p>
        </w:tc>
        <w:tc>
          <w:tcPr>
            <w:tcW w:w="2161" w:type="dxa"/>
            <w:vMerge/>
          </w:tcPr>
          <w:p>
            <w:pPr>
              <w:pStyle w:val="Tablecaption|1"/>
              <w:bidi w:val="0"/>
              <w:jc w:val="both"/>
              <w:rPr>
                <w:vertAlign w:val="baseline"/>
              </w:rPr>
            </w:pPr>
          </w:p>
        </w:tc>
        <w:tc>
          <w:tcPr>
            <w:tcW w:w="2162" w:type="dxa"/>
            <w:vMerge/>
          </w:tcPr>
          <w:p>
            <w:pPr>
              <w:pStyle w:val="Tablecaption|1"/>
              <w:bidi w:val="0"/>
              <w:jc w:val="both"/>
              <w:rPr>
                <w:vertAlign w:val="baseline"/>
              </w:rPr>
            </w:pPr>
          </w:p>
        </w:tc>
        <w:tc>
          <w:tcPr>
            <w:tcW w:w="2222" w:type="dxa"/>
            <w:vAlign w:val="center"/>
          </w:tcPr>
          <w:p>
            <w:pPr>
              <w:pStyle w:val="Other|1"/>
              <w:spacing w:line="240" w:lineRule="auto"/>
              <w:ind w:firstLine="0" w:firstLineChars="0"/>
              <w:jc w:val="center"/>
              <w:rPr>
                <w:vertAlign w:val="baseline"/>
              </w:rPr>
            </w:pPr>
            <w:r>
              <w:rPr>
                <w:rFonts w:ascii="Times New Roman" w:eastAsia="Times New Roman" w:hAnsi="Times New Roman" w:cs="Times New Roman"/>
                <w:b/>
                <w:bCs/>
                <w:sz w:val="17"/>
                <w:szCs w:val="17"/>
              </w:rPr>
              <w:t xml:space="preserve">1</w:t>
            </w:r>
          </w:p>
        </w:tc>
        <w:tc>
          <w:tcPr>
            <w:tcW w:w="2161" w:type="dxa"/>
            <w:vAlign w:val="center"/>
          </w:tcPr>
          <w:p>
            <w:pPr>
              <w:pStyle w:val="Other|1"/>
              <w:spacing w:line="240" w:lineRule="auto"/>
              <w:ind w:firstLine="0" w:firstLineChars="0"/>
              <w:jc w:val="center"/>
              <w:rPr>
                <w:vertAlign w:val="baseline"/>
              </w:rPr>
            </w:pPr>
            <w:r>
              <w:rPr>
                <w:rFonts w:ascii="Times New Roman" w:eastAsia="Times New Roman" w:hAnsi="Times New Roman" w:cs="Times New Roman"/>
                <w:b/>
                <w:bCs/>
                <w:sz w:val="17"/>
                <w:szCs w:val="17"/>
              </w:rPr>
              <w:t xml:space="preserve">2</w:t>
            </w:r>
          </w:p>
        </w:tc>
        <w:tc>
          <w:tcPr>
            <w:tcW w:w="2161" w:type="dxa"/>
            <w:vAlign w:val="center"/>
          </w:tcPr>
          <w:p>
            <w:pPr>
              <w:pStyle w:val="Other|1"/>
              <w:spacing w:line="240" w:lineRule="auto"/>
              <w:ind w:firstLine="0" w:firstLineChars="0"/>
              <w:jc w:val="center"/>
              <w:rPr>
                <w:vertAlign w:val="baseline"/>
              </w:rPr>
            </w:pPr>
            <w:r>
              <w:rPr>
                <w:rFonts w:ascii="Times New Roman" w:eastAsia="Times New Roman" w:hAnsi="Times New Roman" w:cs="Times New Roman"/>
                <w:b/>
                <w:bCs/>
                <w:sz w:val="17"/>
                <w:szCs w:val="17"/>
              </w:rPr>
              <w:t xml:space="preserve">3</w:t>
            </w:r>
          </w:p>
        </w:tc>
        <w:tc>
          <w:tcPr>
            <w:tcW w:w="2163" w:type="dxa"/>
            <w:vAlign w:val="center"/>
          </w:tcPr>
          <w:p>
            <w:pPr>
              <w:pStyle w:val="Other|1"/>
              <w:spacing w:line="240" w:lineRule="auto"/>
              <w:ind w:firstLine="0" w:firstLineChars="0"/>
              <w:jc w:val="center"/>
              <w:rPr>
                <w:vertAlign w:val="baseline"/>
              </w:rPr>
            </w:pPr>
            <w:r>
              <w:rPr>
                <w:rFonts w:ascii="Times New Roman" w:eastAsia="Times New Roman" w:hAnsi="Times New Roman" w:cs="Times New Roman"/>
                <w:b/>
                <w:bCs/>
                <w:sz w:val="17"/>
                <w:szCs w:val="17"/>
              </w:rPr>
              <w:t xml:space="preserve">4</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2527" w:type="dxa"/>
          </w:tcPr>
          <w:p>
            <w:pPr>
              <w:jc w:val="left"/>
              <w:rPr>
                <w:vertAlign w:val="baseline"/>
              </w:rPr>
            </w:pPr>
          </w:p>
        </w:tc>
        <w:tc>
          <w:tcPr>
            <w:tcW w:w="2161" w:type="dxa"/>
          </w:tcPr>
          <w:p>
            <w:pPr>
              <w:jc w:val="left"/>
              <w:rPr>
                <w:vertAlign w:val="baseline"/>
              </w:rPr>
            </w:pPr>
          </w:p>
        </w:tc>
        <w:tc>
          <w:tcPr>
            <w:tcW w:w="2162" w:type="dxa"/>
            <w:vAlign w:val="center"/>
          </w:tcPr>
          <w:p>
            <w:pPr>
              <w:pStyle w:val="Other|1"/>
              <w:spacing w:line="240" w:lineRule="auto"/>
              <w:ind w:firstLine="0" w:firstLineChars="0"/>
              <w:jc w:val="left"/>
              <w:rPr>
                <w:vertAlign w:val="baseline"/>
              </w:rPr>
            </w:pPr>
            <w:r>
              <w:rPr>
                <w:sz w:val="17"/>
                <w:szCs w:val="17"/>
              </w:rPr>
              <w:t xml:space="preserve">合计</w:t>
            </w:r>
          </w:p>
        </w:tc>
        <w:tc>
          <w:tcPr>
            <w:tcW w:w="2222" w:type="dxa"/>
            <w:vAlign w:val="center"/>
          </w:tcPr>
          <w:p>
            <w:pPr>
              <w:pStyle w:val="Other|1"/>
              <w:spacing w:line="240" w:lineRule="auto"/>
              <w:ind w:left="1700" w:firstLine="0" w:leftChars="0" w:firstLineChars="0"/>
              <w:jc w:val="right"/>
              <w:rPr>
                <w:vertAlign w:val="baseline"/>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c>
          <w:tcPr>
            <w:tcW w:w="2161" w:type="dxa"/>
            <w:vAlign w:val="center"/>
          </w:tcPr>
          <w:p>
            <w:pPr>
              <w:pStyle w:val="Other|1"/>
              <w:spacing w:line="240" w:lineRule="auto"/>
              <w:ind w:firstLine="0" w:firstLineChars="0"/>
              <w:jc w:val="right"/>
              <w:rPr>
                <w:vertAlign w:val="baseline"/>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c>
          <w:tcPr>
            <w:tcW w:w="2161" w:type="dxa"/>
            <w:vAlign w:val="center"/>
          </w:tcPr>
          <w:p>
            <w:pPr>
              <w:pStyle w:val="Other|1"/>
              <w:spacing w:line="240" w:lineRule="auto"/>
              <w:ind w:firstLine="0" w:firstLineChars="0"/>
              <w:jc w:val="right"/>
              <w:rPr>
                <w:vertAlign w:val="baseline"/>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c>
          <w:tcPr>
            <w:tcW w:w="2163" w:type="dxa"/>
            <w:vAlign w:val="center"/>
          </w:tcPr>
          <w:p>
            <w:pPr>
              <w:pStyle w:val="Other|1"/>
              <w:spacing w:line="240" w:lineRule="auto"/>
              <w:ind w:firstLine="0" w:firstLineChars="0"/>
              <w:jc w:val="right"/>
              <w:rPr>
                <w:vertAlign w:val="baseline"/>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5557" w:type="dxa"/>
            <w:gridSpan w:val="7"/>
            <w:tcBorders>
              <w:left w:val="nil"/>
              <w:bottom w:val="nil"/>
              <w:right w:val="nil"/>
            </w:tcBorders>
          </w:tcPr>
          <w:p>
            <w:pPr>
              <w:pStyle w:val="Tablecaption|1"/>
              <w:spacing w:line="302" w:lineRule="exact"/>
              <w:ind w:left="672"/>
              <w:jc w:val="left"/>
            </w:pPr>
            <w:r>
              <w:t xml:space="preserve">注：本报表金额单位转换时可能存在四舍五入尾数误差。本部门</w:t>
            </w:r>
            <w:r>
              <w:rPr>
                <w:rFonts w:ascii="Times New Roman" w:hAnsi="Times New Roman" w:cs="Times New Roman" w:hint="eastAsia"/>
                <w:b/>
                <w:bCs/>
                <w:lang w:eastAsia="zh-CN"/>
              </w:rPr>
              <w:t xml:space="preserve">2024</w:t>
            </w:r>
            <w:r>
              <w:rPr>
                <w:rFonts w:ascii="Times New Roman" w:hAnsi="Times New Roman" w:cs="Times New Roman"/>
                <w:b/>
                <w:u w:color="auto"/>
              </w:rPr>
              <w:t xml:space="preserve">年</w:t>
            </w:r>
            <w:r>
              <w:t xml:space="preserve">度没有国有资本经营预算支出，故本表无数据</w:t>
            </w:r>
          </w:p>
          <w:p>
            <w:pPr>
              <w:pStyle w:val="Tablecaption|1"/>
              <w:bidi w:val="0"/>
              <w:jc w:val="both"/>
              <w:rPr>
                <w:vertAlign w:val="baseline"/>
              </w:rPr>
            </w:pPr>
          </w:p>
        </w:tc>
      </w:tr>
    </w:tbl>
    <w:p>
      <w:pPr>
        <w:pStyle w:val="Tablecaption|1"/>
        <w:bidi w:val="0"/>
      </w:pPr>
    </w:p>
    <w:p>
      <w:pPr/>
      <w:r>
        <w:br w:type="page"/>
      </w:r>
    </w:p>
    <w:p>
      <w:pPr>
        <w:pStyle w:val="Heading#2|1"/>
        <w:keepNext/>
        <w:keepLines/>
        <w:spacing w:after="240"/>
        <w:jc w:val="center"/>
        <w:rPr>
          <w:rFonts w:eastAsia="宋体" w:hint="default"/>
          <w:lang w:val="en-US" w:eastAsia="zh-CN"/>
        </w:rPr>
      </w:pPr>
      <w:r>
        <w:rPr>
          <w:rFonts w:hint="eastAsia"/>
          <w:lang w:val="en-US" w:eastAsia="zh-CN"/>
        </w:rPr>
        <w:t xml:space="preserve">2024年度预算项目绩效目标公开表</w:t>
      </w:r>
    </w:p>
    <w:tbl>
      <w:tblPr>
        <w:tblStyle w:val="NormalTable"/>
        <w:tblW w:w="0" w:type="auto"/>
        <w:tblInd w:w="0" w:type="dxa"/>
        <w:tblLayout w:type="fixed"/>
        <w:tblCellMar>
          <w:top w:w="0" w:type="dxa"/>
          <w:left w:w="10" w:type="dxa"/>
          <w:bottom w:w="0" w:type="dxa"/>
          <w:right w:w="10" w:type="dxa"/>
        </w:tblCellMar>
        <w:tblLook w:firstRow="0" w:lastRow="0" w:firstColumn="0" w:lastColumn="0" w:noHBand="1" w:noVBand="1"/>
      </w:tblPr>
      <w:tblGrid>
        <w:gridCol w:w="1843"/>
        <w:gridCol w:w="2559"/>
        <w:gridCol w:w="3350"/>
        <w:gridCol w:w="1511"/>
        <w:gridCol w:w="6076"/>
      </w:tblGrid>
      <w:tr>
        <w:tblPrEx>
          <w:tblW w:w="0" w:type="auto"/>
          <w:tblInd w:w="0" w:type="dxa"/>
          <w:tblLayout w:type="fixed"/>
          <w:tblCellMar>
            <w:top w:w="0" w:type="dxa"/>
            <w:left w:w="10" w:type="dxa"/>
            <w:bottom w:w="0" w:type="dxa"/>
            <w:right w:w="10" w:type="dxa"/>
          </w:tblCellMar>
        </w:tblPrEx>
        <w:trPr>
          <w:trHeight w:hRule="exact" w:val="346"/>
        </w:trPr>
        <w:tc>
          <w:tcPr>
            <w:tcW w:w="9263" w:type="dxa"/>
            <w:gridSpan w:val="4"/>
            <w:shd w:val="clear" w:color="auto" w:fill="FFFFFF"/>
          </w:tcPr>
          <w:p>
            <w:pPr>
              <w:pStyle w:val="Other|1"/>
              <w:spacing w:line="240" w:lineRule="auto"/>
              <w:ind w:firstLine="0"/>
              <w:jc w:val="left"/>
              <w:rPr>
                <w:rFonts w:ascii="宋体" w:eastAsia="宋体" w:hAnsi="宋体" w:cs="宋体" w:hint="default"/>
                <w:sz w:val="17"/>
                <w:szCs w:val="17"/>
                <w:lang w:val="en-US"/>
              </w:rPr>
            </w:pPr>
            <w:r>
              <w:rPr>
                <w:rFonts w:ascii="宋体" w:eastAsia="宋体" w:hAnsi="宋体" w:cs="宋体" w:hint="eastAsia"/>
                <w:sz w:val="17"/>
                <w:szCs w:val="17"/>
              </w:rPr>
              <w:t xml:space="preserve">单位名称：</w:t>
            </w:r>
            <w:r>
              <w:rPr>
                <w:rFonts w:ascii="宋体" w:eastAsia="宋体" w:hAnsi="宋体" w:cs="宋体" w:hint="eastAsia"/>
                <w:sz w:val="17"/>
                <w:szCs w:val="17"/>
                <w:lang w:eastAsia="zh-CN"/>
              </w:rPr>
              <w:t xml:space="preserve">环江毛南族自治县下南乡初级中学</w:t>
            </w:r>
          </w:p>
        </w:tc>
        <w:tc>
          <w:tcPr>
            <w:tcW w:w="6076" w:type="dxa"/>
            <w:shd w:val="clear" w:color="auto" w:fill="FFFFFF"/>
          </w:tcPr>
          <w:p>
            <w:pPr>
              <w:pStyle w:val="Other|1"/>
              <w:spacing w:line="240" w:lineRule="auto"/>
              <w:ind w:firstLine="4760" w:firstLineChars="2800"/>
              <w:jc w:val="left"/>
              <w:rPr>
                <w:rFonts w:ascii="宋体" w:eastAsia="宋体" w:hAnsi="宋体" w:cs="宋体" w:hint="eastAsia"/>
                <w:sz w:val="17"/>
                <w:szCs w:val="17"/>
              </w:rPr>
            </w:pPr>
            <w:r>
              <w:rPr>
                <w:rFonts w:ascii="宋体" w:eastAsia="宋体" w:hAnsi="宋体" w:cs="宋体" w:hint="eastAsia"/>
                <w:sz w:val="17"/>
                <w:szCs w:val="17"/>
              </w:rPr>
              <w:t xml:space="preserve">单位：万元</w:t>
            </w:r>
          </w:p>
        </w:tc>
      </w:tr>
      <w:tr>
        <w:tblPrEx>
          <w:tblW w:w="0" w:type="auto"/>
          <w:tblInd w:w="0" w:type="dxa"/>
          <w:tblLayout w:type="fixed"/>
          <w:tblCellMar>
            <w:top w:w="0" w:type="dxa"/>
            <w:left w:w="10" w:type="dxa"/>
            <w:bottom w:w="0" w:type="dxa"/>
            <w:right w:w="10" w:type="dxa"/>
          </w:tblCellMar>
        </w:tblPrEx>
        <w:trPr>
          <w:trHeight w:hRule="exact" w:val="854"/>
        </w:trPr>
        <w:tc>
          <w:tcPr>
            <w:tcW w:w="1843"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0"/>
              <w:jc w:val="center"/>
              <w:rPr>
                <w:rFonts w:ascii="宋体" w:eastAsia="宋体" w:hAnsi="宋体" w:cs="宋体" w:hint="eastAsia"/>
                <w:sz w:val="17"/>
                <w:szCs w:val="17"/>
                <w:lang w:val="en-US" w:eastAsia="zh-CN"/>
              </w:rPr>
            </w:pPr>
            <w:r>
              <w:rPr>
                <w:rFonts w:ascii="宋体" w:eastAsia="宋体" w:hAnsi="宋体" w:cs="宋体"/>
                <w:sz w:val="17"/>
                <w:u w:color="auto"/>
              </w:rPr>
              <w:t xml:space="preserve">单位代码</w:t>
            </w:r>
          </w:p>
        </w:tc>
        <w:tc>
          <w:tcPr>
            <w:tcW w:w="2559"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40"/>
              <w:jc w:val="center"/>
              <w:rPr>
                <w:rFonts w:ascii="宋体" w:eastAsia="宋体" w:hAnsi="宋体" w:cs="宋体" w:hint="eastAsia"/>
                <w:sz w:val="17"/>
                <w:szCs w:val="17"/>
                <w:lang w:val="en-US" w:eastAsia="zh-CN"/>
              </w:rPr>
            </w:pPr>
            <w:r>
              <w:rPr>
                <w:rFonts w:ascii="宋体" w:eastAsia="宋体" w:hAnsi="宋体" w:cs="宋体" w:hint="eastAsia"/>
                <w:sz w:val="17"/>
                <w:szCs w:val="17"/>
                <w:lang w:val="en-US" w:eastAsia="zh-CN"/>
              </w:rPr>
              <w:t xml:space="preserve">单位名称</w:t>
            </w:r>
          </w:p>
        </w:tc>
        <w:tc>
          <w:tcPr>
            <w:tcW w:w="335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0"/>
              <w:jc w:val="center"/>
              <w:rPr>
                <w:rFonts w:ascii="宋体" w:eastAsia="宋体" w:hAnsi="宋体" w:cs="宋体" w:hint="eastAsia"/>
                <w:sz w:val="17"/>
                <w:szCs w:val="17"/>
                <w:lang w:val="en-US" w:eastAsia="zh-CN"/>
              </w:rPr>
            </w:pPr>
            <w:r>
              <w:rPr>
                <w:rFonts w:ascii="宋体" w:eastAsia="宋体" w:hAnsi="宋体" w:cs="宋体" w:hint="eastAsia"/>
                <w:sz w:val="17"/>
                <w:szCs w:val="17"/>
                <w:lang w:val="en-US" w:eastAsia="zh-CN"/>
              </w:rPr>
              <w:t xml:space="preserve">项目名称</w:t>
            </w:r>
          </w:p>
        </w:tc>
        <w:tc>
          <w:tcPr>
            <w:tcW w:w="1511"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0"/>
              <w:jc w:val="center"/>
              <w:rPr>
                <w:rFonts w:ascii="宋体" w:eastAsia="宋体" w:hAnsi="宋体" w:cs="宋体" w:hint="eastAsia"/>
                <w:sz w:val="17"/>
                <w:szCs w:val="17"/>
                <w:lang w:val="en-US" w:eastAsia="zh-CN"/>
              </w:rPr>
            </w:pPr>
            <w:r>
              <w:rPr>
                <w:rFonts w:ascii="宋体" w:eastAsia="宋体" w:hAnsi="宋体" w:cs="宋体" w:hint="eastAsia"/>
                <w:sz w:val="17"/>
                <w:szCs w:val="17"/>
                <w:lang w:val="en-US" w:eastAsia="zh-CN"/>
              </w:rPr>
              <w:t xml:space="preserve">预算金额</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center"/>
              <w:rPr>
                <w:rFonts w:ascii="宋体" w:eastAsia="宋体" w:hAnsi="宋体" w:cs="宋体" w:hint="eastAsia"/>
                <w:sz w:val="17"/>
                <w:szCs w:val="17"/>
                <w:lang w:val="en-US" w:eastAsia="zh-CN"/>
              </w:rPr>
            </w:pPr>
            <w:r>
              <w:rPr>
                <w:rFonts w:ascii="宋体" w:eastAsia="宋体" w:hAnsi="宋体" w:cs="宋体" w:hint="eastAsia"/>
                <w:sz w:val="17"/>
                <w:szCs w:val="17"/>
                <w:lang w:val="en-US" w:eastAsia="zh-CN"/>
              </w:rPr>
              <w:t xml:space="preserve">年度绩效目标</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201045</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环江毛南族自治县下南乡初级中学</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义务教育中央级公用经费</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13.16</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righ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保障学校日常办公运行保障学校正常运转，</w:t>
            </w:r>
            <w:r>
              <w:rPr>
                <w:rFonts w:ascii="宋体" w:eastAsia="宋体" w:hAnsi="宋体" w:cs="宋体" w:hint="eastAsia"/>
                <w:b/>
                <w:bCs/>
                <w:sz w:val="17"/>
                <w:szCs w:val="17"/>
                <w:lang w:val="en-US" w:eastAsia="zh-CN"/>
              </w:rPr>
              <w:br/>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201045</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环江毛南族自治县下南乡初级中学</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营养改善计划膳食补助资金</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7.72</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righ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通过学生营养改善计划膳食补助经费，解决学生家庭经济困难生活问题，提高学生的生活质量</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201045</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环江毛南族自治县下南乡初级中学</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自治区级乡村教师生活补助</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0.91</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righ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通过乡村教师生活补助的发放，提高乡村教师待遇，激发工作积极性。</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201045</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环江毛南族自治县下南乡初级中学</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自治区公用经费</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5.07</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righ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保障学校的正常运转，自治区公用经费用于学校日常办公、水电费、网络费、日常维修、教师培训出差等。</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201045</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环江毛南族自治县下南乡初级中学</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下南乡初级中学年初预算经费（门面租金收入）（三保）</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2.00</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righ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下南乡初级中学年初预算经费（门面租金收入）</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201045</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环江毛南族自治县下南乡初级中学</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下南乡初级中学年初预算经费（门面租金收入）</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8.00</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righ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下南乡初级中学年初预算经费（门面租金收入）,该项目资金用于学校日常维修，水电费支出以及其他办公用品购置等。</w:t>
            </w:r>
          </w:p>
        </w:tc>
      </w:tr>
    </w:tbl>
    <w:p>
      <w:pPr>
        <w:jc w:val="left"/>
        <w:rPr>
          <w:rFonts w:hint="eastAsia"/>
        </w:rPr>
      </w:pPr>
      <w:r>
        <w:t xml:space="preserve">注：本报表金额单位转换时可能存在四舍五入尾数误差。</w:t>
      </w:r>
    </w:p>
    <w:p>
      <w:pPr>
        <w:jc w:val="left"/>
        <w:rPr>
          <w:rFonts w:hint="eastAsia"/>
          <w:lang w:eastAsia="zh-CN"/>
        </w:rPr>
        <w:sectPr>
          <w:headerReference w:type="default" r:id="rId18"/>
          <w:footerReference w:type="default" r:id="rId19"/>
          <w:pgSz w:w="16840" w:h="11900" w:orient="landscape"/>
          <w:pgMar w:top="2714" w:right="764" w:bottom="2714" w:left="735" w:header="2286" w:footer="1474" w:gutter="0"/>
          <w:pgBorders>
            <w:top w:val="none" w:sz="0" w:space="0" w:color="auto"/>
            <w:left w:val="none" w:sz="0" w:space="0" w:color="auto"/>
            <w:bottom w:val="none" w:sz="0" w:space="0" w:color="auto"/>
            <w:right w:val="none" w:sz="0" w:space="0" w:color="auto"/>
          </w:pgBorders>
          <w:pgNumType w:fmt="decimal"/>
          <w:cols w:num="1" w:space="720">
            <w:col w:w="15341" w:space="720"/>
          </w:cols>
          <w:docGrid w:linePitch="360" w:charSpace="0"/>
        </w:sectPr>
      </w:pPr>
    </w:p>
    <w:p>
      <w:pPr>
        <w:pStyle w:val="Heading#1|1"/>
        <w:keepNext/>
        <w:keepLines/>
        <w:spacing w:before="200" w:after="0"/>
        <w:jc w:val="center"/>
        <w:rPr>
          <w:sz w:val="40"/>
          <w:szCs w:val="40"/>
        </w:rPr>
      </w:pPr>
      <w:bookmarkStart w:id="32" w:name="bookmark95"/>
      <w:bookmarkStart w:id="33" w:name="bookmark94"/>
      <w:bookmarkStart w:id="34" w:name="bookmark96"/>
      <w:r>
        <w:rPr>
          <w:sz w:val="40"/>
          <w:szCs w:val="40"/>
        </w:rPr>
        <w:t xml:space="preserve">第四部</w:t>
      </w:r>
      <w:r>
        <w:rPr>
          <w:sz w:val="40"/>
          <w:szCs w:val="40"/>
        </w:rPr>
        <w:t xml:space="preserve">分名词解释</w:t>
      </w:r>
      <w:bookmarkEnd w:id="32"/>
      <w:bookmarkEnd w:id="33"/>
      <w:bookmarkEnd w:id="34"/>
    </w:p>
    <w:p>
      <w:pPr>
        <w:pStyle w:val="Bodytext|1"/>
        <w:tabs>
          <w:tab w:val="left" w:pos="1270"/>
        </w:tabs>
        <w:spacing w:line="626" w:lineRule="exact"/>
        <w:ind w:firstLine="640"/>
        <w:jc w:val="left"/>
      </w:pPr>
      <w:bookmarkStart w:id="35" w:name="bookmark97"/>
      <w:r>
        <w:t xml:space="preserve">一</w:t>
      </w:r>
      <w:bookmarkEnd w:id="35"/>
      <w:r>
        <w:t xml:space="preserve">、</w:t>
      </w:r>
      <w:r>
        <w:tab/>
      </w:r>
      <w:r>
        <w:t xml:space="preserve">财政拨款收入：指预算单位从本级财政部门取得的财政预算资金收入。</w:t>
      </w:r>
    </w:p>
    <w:p>
      <w:pPr>
        <w:pStyle w:val="Bodytext|1"/>
        <w:tabs>
          <w:tab w:val="left" w:pos="1280"/>
        </w:tabs>
        <w:spacing w:line="626" w:lineRule="exact"/>
        <w:ind w:firstLine="640"/>
        <w:jc w:val="left"/>
      </w:pPr>
      <w:bookmarkStart w:id="36" w:name="bookmark98"/>
      <w:r>
        <w:t xml:space="preserve">二</w:t>
      </w:r>
      <w:bookmarkEnd w:id="36"/>
      <w:r>
        <w:t xml:space="preserve">、</w:t>
      </w:r>
      <w:r>
        <w:tab/>
      </w:r>
      <w:r>
        <w:t xml:space="preserve">事业收入：指事业单位开展专业业务活动及辅助活动所取得的收入。</w:t>
      </w:r>
    </w:p>
    <w:p>
      <w:pPr>
        <w:pStyle w:val="Bodytext|1"/>
        <w:tabs>
          <w:tab w:val="left" w:pos="1275"/>
        </w:tabs>
        <w:spacing w:line="626" w:lineRule="exact"/>
        <w:ind w:firstLine="640"/>
        <w:jc w:val="left"/>
      </w:pPr>
      <w:bookmarkStart w:id="37" w:name="bookmark99"/>
      <w:r>
        <w:t xml:space="preserve">三</w:t>
      </w:r>
      <w:bookmarkEnd w:id="37"/>
      <w:r>
        <w:t xml:space="preserve">、</w:t>
      </w:r>
      <w:r>
        <w:tab/>
      </w:r>
      <w:r>
        <w:t xml:space="preserve">经营收入：指事业单位在专业业务活动及其辅助活动之外开展非独立核算经营活动取得的收入。</w:t>
      </w:r>
    </w:p>
    <w:p>
      <w:pPr>
        <w:pStyle w:val="Bodytext|1"/>
        <w:tabs>
          <w:tab w:val="left" w:pos="1309"/>
        </w:tabs>
        <w:spacing w:line="626" w:lineRule="exact"/>
        <w:ind w:firstLine="640"/>
        <w:jc w:val="left"/>
      </w:pPr>
      <w:bookmarkStart w:id="38" w:name="bookmark100"/>
      <w:r>
        <w:t xml:space="preserve">四</w:t>
      </w:r>
      <w:bookmarkEnd w:id="38"/>
      <w:r>
        <w:t xml:space="preserve">、</w:t>
      </w:r>
      <w:r>
        <w:tab/>
      </w:r>
      <w:r>
        <w:t xml:space="preserve">其他收入：指除上述</w:t>
      </w:r>
      <w:r>
        <w:rPr>
          <w:lang w:val="zh-CN" w:eastAsia="zh-CN" w:bidi="zh-CN"/>
        </w:rPr>
        <w:t xml:space="preserve">“财</w:t>
      </w:r>
      <w:r>
        <w:t xml:space="preserve">政拨款收入”、</w:t>
      </w:r>
      <w:r>
        <w:rPr>
          <w:lang w:val="zh-CN" w:eastAsia="zh-CN" w:bidi="zh-CN"/>
        </w:rPr>
        <w:t xml:space="preserve">“事</w:t>
      </w:r>
      <w:r>
        <w:t xml:space="preserve">业收入"、</w:t>
      </w:r>
      <w:r>
        <w:rPr>
          <w:lang w:val="zh-CN" w:eastAsia="zh-CN" w:bidi="zh-CN"/>
        </w:rPr>
        <w:t xml:space="preserve">“经营</w:t>
      </w:r>
      <w:r>
        <w:t xml:space="preserve">收入"等以外的收入。主要是非本级财政拨款、存款利息收入、事业单位固定资产出租收入等。</w:t>
      </w:r>
    </w:p>
    <w:p>
      <w:pPr>
        <w:pStyle w:val="Bodytext|1"/>
        <w:tabs>
          <w:tab w:val="left" w:pos="1275"/>
        </w:tabs>
        <w:spacing w:line="626" w:lineRule="exact"/>
        <w:ind w:firstLine="640"/>
        <w:jc w:val="left"/>
      </w:pPr>
      <w:bookmarkStart w:id="39" w:name="bookmark101"/>
      <w:r>
        <w:t xml:space="preserve">五</w:t>
      </w:r>
      <w:bookmarkEnd w:id="39"/>
      <w:r>
        <w:t xml:space="preserve">、</w:t>
      </w:r>
      <w:r>
        <w:tab/>
      </w:r>
      <w:r>
        <w:t xml:space="preserve">用事业基金弥补收支差额：指事业单位在用当年的</w:t>
      </w:r>
      <w:r>
        <w:rPr>
          <w:lang w:val="zh-CN" w:eastAsia="zh-CN" w:bidi="zh-CN"/>
        </w:rPr>
        <w:t xml:space="preserve">“财</w:t>
      </w:r>
      <w:r>
        <w:t xml:space="preserve">政拨款收入"、</w:t>
      </w:r>
      <w:r>
        <w:rPr>
          <w:lang w:val="zh-CN" w:eastAsia="zh-CN" w:bidi="zh-CN"/>
        </w:rPr>
        <w:t xml:space="preserve">“事业</w:t>
      </w:r>
      <w:r>
        <w:t xml:space="preserve">收入"、</w:t>
      </w:r>
      <w:r>
        <w:rPr>
          <w:lang w:val="zh-CN" w:eastAsia="zh-CN" w:bidi="zh-CN"/>
        </w:rPr>
        <w:t xml:space="preserve">“经营</w:t>
      </w:r>
      <w:r>
        <w:t xml:space="preserve">收入"、</w:t>
      </w:r>
      <w:r>
        <w:rPr>
          <w:lang w:val="zh-CN" w:eastAsia="zh-CN" w:bidi="zh-CN"/>
        </w:rPr>
        <w:t xml:space="preserve">“其他</w:t>
      </w:r>
      <w:r>
        <w:t xml:space="preserve">收入"不足以安排当年支出的情况下，使用以前年度积累的事业基金（事业单位当年收支相抵后按国家规定提取、用于弥补以后年度收支差额的基金）弥补本年度收支缺口的资金。</w:t>
      </w:r>
    </w:p>
    <w:p>
      <w:pPr>
        <w:pStyle w:val="Bodytext|1"/>
        <w:tabs>
          <w:tab w:val="left" w:pos="1270"/>
        </w:tabs>
        <w:spacing w:line="626" w:lineRule="exact"/>
        <w:ind w:firstLine="640"/>
        <w:jc w:val="left"/>
      </w:pPr>
      <w:bookmarkStart w:id="40" w:name="bookmark102"/>
      <w:r>
        <w:t xml:space="preserve">六</w:t>
      </w:r>
      <w:bookmarkEnd w:id="40"/>
      <w:r>
        <w:t xml:space="preserve">、</w:t>
      </w:r>
      <w:r>
        <w:tab/>
      </w:r>
      <w:r>
        <w:t xml:space="preserve">年初结转和结余：指以前年度尚未完成、结转到本年按有关规定继续使用的资金。</w:t>
      </w:r>
    </w:p>
    <w:p>
      <w:pPr>
        <w:pStyle w:val="Bodytext|1"/>
        <w:tabs>
          <w:tab w:val="left" w:pos="1275"/>
        </w:tabs>
        <w:spacing w:line="626" w:lineRule="exact"/>
        <w:ind w:firstLine="640"/>
        <w:jc w:val="left"/>
      </w:pPr>
      <w:bookmarkStart w:id="41" w:name="bookmark103"/>
      <w:r>
        <w:t xml:space="preserve">七</w:t>
      </w:r>
      <w:bookmarkEnd w:id="41"/>
      <w:r>
        <w:t xml:space="preserve">、</w:t>
      </w:r>
      <w:r>
        <w:tab/>
      </w:r>
      <w:r>
        <w:t xml:space="preserve">结余分配：指事业单位按规定提取的职工福利基金、事业基金和缴纳的所得税，以及建设单位按规定应交回的基本建设竣工项目结余资金。</w:t>
      </w:r>
    </w:p>
    <w:p>
      <w:pPr>
        <w:pStyle w:val="Bodytext|1"/>
        <w:tabs>
          <w:tab w:val="left" w:pos="632"/>
        </w:tabs>
        <w:spacing w:line="626" w:lineRule="exact"/>
        <w:ind w:firstLine="640"/>
        <w:jc w:val="left"/>
      </w:pPr>
      <w:bookmarkStart w:id="42" w:name="bookmark104"/>
      <w:r>
        <w:t xml:space="preserve">八</w:t>
      </w:r>
      <w:bookmarkEnd w:id="42"/>
      <w:r>
        <w:t xml:space="preserve">、</w:t>
      </w:r>
      <w:r>
        <w:tab/>
      </w:r>
      <w:r>
        <w:t xml:space="preserve">年末结转和结余：指本年度或以前年度预算安排、因客观条件发生变化无法按原计划实施，需要延迟到以后年度按有关规定继续使用的资金。</w:t>
      </w:r>
    </w:p>
    <w:p>
      <w:pPr>
        <w:pStyle w:val="Bodytext|1"/>
        <w:spacing w:line="628" w:lineRule="exact"/>
        <w:ind w:firstLine="640"/>
        <w:jc w:val="left"/>
      </w:pPr>
      <w:bookmarkStart w:id="43" w:name="bookmark105"/>
      <w:r>
        <w:t xml:space="preserve">九</w:t>
      </w:r>
      <w:bookmarkEnd w:id="43"/>
      <w:r>
        <w:t xml:space="preserve">、基本支出：指为保障机构正常运转、完成日常工作任务而发生的人员支出和公用支出。</w:t>
      </w:r>
    </w:p>
    <w:p>
      <w:pPr>
        <w:pStyle w:val="Bodytext|1"/>
        <w:spacing w:line="628" w:lineRule="exact"/>
        <w:ind w:firstLine="640"/>
        <w:jc w:val="left"/>
      </w:pPr>
      <w:r>
        <w:t xml:space="preserve">十、项目支出：指在基本支出之外为完成特定行政任务和事业发展目标所发生的支出。</w:t>
      </w:r>
    </w:p>
    <w:p>
      <w:pPr>
        <w:pStyle w:val="Bodytext|1"/>
        <w:spacing w:line="628" w:lineRule="exact"/>
        <w:ind w:firstLine="640"/>
        <w:jc w:val="left"/>
      </w:pPr>
      <w:r>
        <w:t xml:space="preserve">十一、经营支出：指事业单位在专业业务活动及其辅助活动之外开展非独立核算经营活动所发生的支出。</w:t>
      </w:r>
    </w:p>
    <w:p>
      <w:pPr>
        <w:pStyle w:val="Bodytext|1"/>
        <w:spacing w:line="628" w:lineRule="exact"/>
        <w:ind w:firstLine="640"/>
        <w:jc w:val="left"/>
      </w:pPr>
      <w:r>
        <w:t xml:space="preserve">十二、</w:t>
      </w:r>
      <w:r>
        <w:rPr>
          <w:lang w:val="zh-CN" w:eastAsia="zh-CN" w:bidi="zh-CN"/>
        </w:rPr>
        <w:t xml:space="preserve">“三</w:t>
      </w:r>
      <w:r>
        <w:t xml:space="preserve">公”经费：纳入财政预决算管理的</w:t>
      </w:r>
      <w:r>
        <w:rPr>
          <w:lang w:val="zh-CN" w:eastAsia="zh-CN" w:bidi="zh-CN"/>
        </w:rPr>
        <w:t xml:space="preserve">“三公</w:t>
      </w:r>
      <w:r>
        <w:t xml:space="preserve">”经费，是指市本级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pStyle w:val="Bodytext|1"/>
        <w:spacing w:line="628" w:lineRule="exact"/>
        <w:ind w:firstLine="640"/>
        <w:jc w:val="left"/>
      </w:pPr>
      <w:r>
        <w:t xml:space="preserve">十三、机关运行经费：为保障行政单位（含参照公务员法管理的事业单位、机关服务中心）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sectPr>
      <w:headerReference w:type="default" r:id="rId20"/>
      <w:footerReference w:type="default" r:id="rId21"/>
      <w:type w:val="continuous"/>
      <w:pgSz w:w="11900" w:h="16840" w:orient="portrait"/>
      <w:pgMar w:top="1302" w:right="1735" w:bottom="1568" w:left="1793" w:header="874" w:footer="1077" w:gutter="0"/>
      <w:pgBorders>
        <w:top w:val="none" w:sz="0" w:space="0" w:color="auto"/>
        <w:left w:val="none" w:sz="0" w:space="0" w:color="auto"/>
        <w:bottom w:val="none" w:sz="0" w:space="0" w:color="auto"/>
        <w:right w:val="none" w:sz="0" w:space="0" w:color="auto"/>
      </w:pgBorders>
      <w:pgNumType w:fmt="decimal"/>
      <w:cols w:num="1" w:space="720">
        <w:col w:w="8372" w:space="720"/>
      </w:cols>
      <w:docGrid w:linePitch="360" w:charSpace="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Auto"/>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Auto"/>
    <w:pitch w:val="default"/>
    <w:sig w:usb0="E0002EFF" w:usb1="C0007843" w:usb2="00000009" w:usb3="00000000" w:csb0="400001FF" w:csb1="FFFF0000"/>
  </w:font>
  <w:font w:name="Symbol">
    <w:panose1 w:val="05050102010706020507"/>
    <w:charset w:val="02"/>
    <w:family w:val="Auto"/>
    <w:pitch w:val="default"/>
    <w:sig w:usb0="00000000" w:usb1="00000000" w:usb2="00000000" w:usb3="00000000" w:csb0="80000000" w:csb1="00000000"/>
  </w:font>
  <w:font w:name="Calibri">
    <w:panose1 w:val="020F0502020204030204"/>
    <w:charset w:val="00"/>
    <w:family w:val="Auto"/>
    <w:pitch w:val="default"/>
    <w:sig w:usb0="E4002EFF" w:usb1="C000247B" w:usb2="00000009" w:usb3="00000000" w:csb0="200001FF"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spacing w:line="1" w:lineRule="exact"/>
    </w:pPr>
    <w:r>
      <w:rPr>
        <w:sz w:val="24"/>
      </w:rPr>
      <mc:AlternateContent xmlns:mc="http://schemas.openxmlformats.org/markup-compatibility/2006">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951" name="文本框 2"/>
              <wp:cNvGraphicFramePr>
                <a:graphicFrameLocks noChangeAspect="0"/>
              </wp:cNvGraphicFramePr>
              <a:graphic>
                <a:graphicData uri="http://schemas.microsoft.com/office/word/2010/wordprocessingShape">
                  <wps:wsp>
                    <wps:cNvSpPr/>
                    <wps:spPr>
                      <a:xfrm>
                        <a:off x="0" y="0"/>
                        <a:ext cx="1828800" cy="1828800"/>
                      </a:xfrm>
                      <a:prstGeom prst="rect">
                        <a:avLst/>
                      </a:prstGeom>
                      <a:noFill/>
                      <a:ln>
                        <a:noFill/>
                      </a:ln>
                    </wps:spPr>
                    <wps:style>
                      <a:lnRef idx="0"/>
                      <a:fillRef idx="0"/>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 xml:space="preserve">2</w:t>
                          </w:r>
                          <w: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shape id="文本框 2" o:spid="_x0000_s2543" type="#_x0000_t202" style="height:2in;margin-left:0;margin-top:0;mso-height-relative:page;mso-position-horizontal:center;mso-position-horizontal-relative:margin;mso-width-relative:page;mso-wrap-distance-bottom:0;mso-wrap-distance-left:9pt;mso-wrap-distance-right:9pt;mso-wrap-distance-top:0;mso-wrap-style:none;position:absolute;v-text-anchor:top;width:2in;z-index:251661312" coordsize="21600,21600" filled="f" stroked="f" strokeweight="0.5pt">
              <w10:bordertop type="none" width="0"/>
              <w10:borderleft type="none" width="0"/>
              <w10:borderbottom type="none" width="0"/>
              <w10:borderright type="none" width="0"/>
              <v:textbox style="layout-flow:horizontal;mso-fit-shape-to-text:t" inset="0,0,0,0">
                <w:txbxContent>
                  <w:p>
                    <w:pPr>
                      <w:pStyle w:val="Footer"/>
                    </w:pPr>
                    <w:r>
                      <w:fldChar w:fldCharType="begin"/>
                    </w:r>
                    <w:r>
                      <w:instrText xml:space="preserve"> PAGE  \* MERGEFORMAT </w:instrText>
                    </w:r>
                    <w:r>
                      <w:fldChar w:fldCharType="separate"/>
                    </w:r>
                    <w:r>
                      <w:t xml:space="preserve">2</w:t>
                    </w:r>
                    <w:r>
                      <w:fldChar w:fldCharType="end"/>
                    </w:r>
                  </w:p>
                </w:txbxContent>
              </v:textbox>
            </v:shape>
          </w:pict>
        </mc:Fallback>
      </mc:AlternateContent>
    </w: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spacing w:line="1" w:lineRule="exact"/>
    </w:pPr>
    <w:r>
      <w:rPr>
        <w:sz w:val="24"/>
      </w:rPr>
      <mc:AlternateContent xmlns:mc="http://schemas.openxmlformats.org/markup-compatibility/2006">
        <mc:Choice Requires="wps">
          <w:drawing>
            <wp:anchor distT="0" distB="0" distL="114300" distR="114300" simplePos="0" relativeHeight="251662336" behindDoc="0" locked="0" layoutInCell="1" allowOverlap="1">
              <wp:simplePos x="0" y="0"/>
              <wp:positionH relativeFrom="margin">
                <wp:posOffset>2574925</wp:posOffset>
              </wp:positionH>
              <wp:positionV relativeFrom="paragraph">
                <wp:posOffset>0</wp:posOffset>
              </wp:positionV>
              <wp:extent cx="394970" cy="168910"/>
              <wp:effectExtent l="0" t="0" r="0" b="0"/>
              <wp:wrapNone/>
              <wp:docPr id="959" name="文本框 4"/>
              <wp:cNvGraphicFramePr>
                <a:graphicFrameLocks noChangeAspect="0"/>
              </wp:cNvGraphicFramePr>
              <a:graphic>
                <a:graphicData uri="http://schemas.microsoft.com/office/word/2010/wordprocessingShape">
                  <wps:wsp>
                    <wps:cNvSpPr/>
                    <wps:spPr>
                      <a:xfrm>
                        <a:off x="0" y="0"/>
                        <a:ext cx="394970" cy="168910"/>
                      </a:xfrm>
                      <a:prstGeom prst="rect">
                        <a:avLst/>
                      </a:prstGeom>
                      <a:noFill/>
                      <a:ln>
                        <a:noFill/>
                      </a:ln>
                    </wps:spPr>
                    <wps:style>
                      <a:lnRef idx="0"/>
                      <a:fillRef idx="0"/>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 xml:space="preserve">4</w:t>
                          </w:r>
                          <w:r>
                            <w:fldChar w:fldCharType="end"/>
                          </w:r>
                        </w:p>
                      </w:txbxContent>
                    </wps:txbx>
                    <wps:bodyPr rot="0" spcFirstLastPara="0" vertOverflow="overflow" horzOverflow="overflow" vert="horz" wrap="square" lIns="0" tIns="0" rIns="0" bIns="0" numCol="1" rtlCol="0" anchor="t" upright="0">
                      <a:noAutofit/>
                    </wps:bodyPr>
                  </wps:wsp>
                </a:graphicData>
              </a:graphic>
            </wp:anchor>
          </w:drawing>
        </mc:Choice>
        <mc:Fallback>
          <w:pict>
            <v:shape id="文本框 4" o:spid="_x0000_s2545" type="#_x0000_t202" style="height:13.3pt;margin-left:202.75pt;margin-top:0;mso-height-relative:page;mso-position-horizontal-relative:margin;mso-width-relative:page;mso-wrap-distance-bottom:0;mso-wrap-distance-left:9pt;mso-wrap-distance-right:9pt;mso-wrap-distance-top:0;mso-wrap-style:square;position:absolute;v-text-anchor:top;width:31.1pt;z-index:251662336" coordsize="21600,21600" filled="f" stroked="f" strokeweight="0.5pt">
              <w10:bordertop type="none" width="0"/>
              <w10:borderleft type="none" width="0"/>
              <w10:borderbottom type="none" width="0"/>
              <w10:borderright type="none" width="0"/>
              <v:textbox style="layout-flow:horizontal" inset="0,0,0,0">
                <w:txbxContent>
                  <w:p>
                    <w:pPr>
                      <w:pStyle w:val="Footer"/>
                    </w:pPr>
                    <w:r>
                      <w:fldChar w:fldCharType="begin"/>
                    </w:r>
                    <w:r>
                      <w:instrText xml:space="preserve"> PAGE  \* MERGEFORMAT </w:instrText>
                    </w:r>
                    <w:r>
                      <w:fldChar w:fldCharType="separate"/>
                    </w:r>
                    <w:r>
                      <w:t xml:space="preserve">4</w:t>
                    </w:r>
                    <w:r>
                      <w:fldChar w:fldCharType="end"/>
                    </w:r>
                  </w:p>
                </w:txbxContent>
              </v:textbox>
            </v:shape>
          </w:pict>
        </mc:Fallback>
      </mc:AlternateContent>
    </w:r>
  </w:p>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spacing w:line="1" w:lineRule="exact"/>
    </w:pPr>
    <w:r>
      <w:rPr>
        <w:sz w:val="24"/>
      </w:rPr>
      <mc:AlternateContent xmlns:mc="http://schemas.openxmlformats.org/markup-compatibility/2006">
        <mc:Choice Requires="wps">
          <w:drawing>
            <wp:anchor distT="0" distB="0" distL="114300" distR="114300" simplePos="0" relativeHeight="251663360" behindDoc="0" locked="0" layoutInCell="1" allowOverlap="1">
              <wp:simplePos x="0" y="0"/>
              <wp:positionH relativeFrom="margin">
                <wp:posOffset>4810125</wp:posOffset>
              </wp:positionH>
              <wp:positionV relativeFrom="paragraph">
                <wp:posOffset>0</wp:posOffset>
              </wp:positionV>
              <wp:extent cx="440055" cy="206375"/>
              <wp:effectExtent l="0" t="0" r="0" b="0"/>
              <wp:wrapNone/>
              <wp:docPr id="961" name="文本框 7"/>
              <wp:cNvGraphicFramePr>
                <a:graphicFrameLocks noChangeAspect="0"/>
              </wp:cNvGraphicFramePr>
              <a:graphic>
                <a:graphicData uri="http://schemas.microsoft.com/office/word/2010/wordprocessingShape">
                  <wps:wsp>
                    <wps:cNvSpPr/>
                    <wps:spPr>
                      <a:xfrm>
                        <a:off x="0" y="0"/>
                        <a:ext cx="440055" cy="206375"/>
                      </a:xfrm>
                      <a:prstGeom prst="rect">
                        <a:avLst/>
                      </a:prstGeom>
                      <a:noFill/>
                      <a:ln>
                        <a:noFill/>
                      </a:ln>
                    </wps:spPr>
                    <wps:style>
                      <a:lnRef idx="0"/>
                      <a:fillRef idx="0"/>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 xml:space="preserve">15</w:t>
                          </w:r>
                          <w:r>
                            <w:fldChar w:fldCharType="end"/>
                          </w:r>
                        </w:p>
                      </w:txbxContent>
                    </wps:txbx>
                    <wps:bodyPr rot="0" spcFirstLastPara="0" vertOverflow="overflow" horzOverflow="overflow" vert="horz" wrap="square" lIns="0" tIns="0" rIns="0" bIns="0" numCol="1" rtlCol="0" anchor="t" upright="0">
                      <a:noAutofit/>
                    </wps:bodyPr>
                  </wps:wsp>
                </a:graphicData>
              </a:graphic>
            </wp:anchor>
          </w:drawing>
        </mc:Choice>
        <mc:Fallback>
          <w:pict>
            <v:shape id="文本框 7" o:spid="_x0000_s2547" type="#_x0000_t202" style="height:16.25pt;margin-left:378.75pt;margin-top:0;mso-height-relative:page;mso-position-horizontal-relative:margin;mso-width-relative:page;mso-wrap-distance-bottom:0;mso-wrap-distance-left:9pt;mso-wrap-distance-right:9pt;mso-wrap-distance-top:0;mso-wrap-style:square;position:absolute;v-text-anchor:top;width:34.65pt;z-index:251663360" coordsize="21600,21600" filled="f" stroked="f" strokeweight="0.5pt">
              <w10:bordertop type="none" width="0"/>
              <w10:borderleft type="none" width="0"/>
              <w10:borderbottom type="none" width="0"/>
              <w10:borderright type="none" width="0"/>
              <v:textbox style="layout-flow:horizontal" inset="0,0,0,0">
                <w:txbxContent>
                  <w:p>
                    <w:pPr>
                      <w:pStyle w:val="Footer"/>
                    </w:pPr>
                    <w:r>
                      <w:fldChar w:fldCharType="begin"/>
                    </w:r>
                    <w:r>
                      <w:instrText xml:space="preserve"> PAGE  \* MERGEFORMAT </w:instrText>
                    </w:r>
                    <w:r>
                      <w:fldChar w:fldCharType="separate"/>
                    </w:r>
                    <w:r>
                      <w:t xml:space="preserve">15</w:t>
                    </w:r>
                    <w:r>
                      <w:fldChar w:fldCharType="end"/>
                    </w:r>
                  </w:p>
                </w:txbxContent>
              </v:textbox>
            </v:shape>
          </w:pict>
        </mc:Fallback>
      </mc:AlternateContent>
    </w:r>
  </w:p>
</w:ftr>
</file>

<file path=word/footer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spacing w:line="1" w:lineRule="exact"/>
    </w:pPr>
    <w:r>
      <w:rPr>
        <w:sz w:val="24"/>
      </w:rPr>
      <mc:AlternateContent xmlns:mc="http://schemas.openxmlformats.org/markup-compatibility/2006">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962" name="文本框 9"/>
              <wp:cNvGraphicFramePr>
                <a:graphicFrameLocks noChangeAspect="0"/>
              </wp:cNvGraphicFramePr>
              <a:graphic>
                <a:graphicData uri="http://schemas.microsoft.com/office/word/2010/wordprocessingShape">
                  <wps:wsp>
                    <wps:cNvSpPr/>
                    <wps:spPr>
                      <a:xfrm>
                        <a:off x="0" y="0"/>
                        <a:ext cx="1828800" cy="1828800"/>
                      </a:xfrm>
                      <a:prstGeom prst="rect">
                        <a:avLst/>
                      </a:prstGeom>
                      <a:noFill/>
                      <a:ln>
                        <a:noFill/>
                      </a:ln>
                    </wps:spPr>
                    <wps:style>
                      <a:lnRef idx="0"/>
                      <a:fillRef idx="0"/>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 xml:space="preserve">16</w:t>
                          </w:r>
                          <w: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shape id="文本框 9" o:spid="_x0000_s2548" type="#_x0000_t202" style="height:2in;margin-left:0;margin-top:0;mso-height-relative:page;mso-position-horizontal:center;mso-position-horizontal-relative:margin;mso-width-relative:page;mso-wrap-distance-bottom:0;mso-wrap-distance-left:9pt;mso-wrap-distance-right:9pt;mso-wrap-distance-top:0;mso-wrap-style:none;position:absolute;v-text-anchor:top;width:2in;z-index:251664384" coordsize="21600,21600" filled="f" stroked="f" strokeweight="0.5pt">
              <w10:bordertop type="none" width="0"/>
              <w10:borderleft type="none" width="0"/>
              <w10:borderbottom type="none" width="0"/>
              <w10:borderright type="none" width="0"/>
              <v:textbox style="layout-flow:horizontal;mso-fit-shape-to-text:t" inset="0,0,0,0">
                <w:txbxContent>
                  <w:p>
                    <w:pPr>
                      <w:pStyle w:val="Footer"/>
                    </w:pPr>
                    <w:r>
                      <w:fldChar w:fldCharType="begin"/>
                    </w:r>
                    <w:r>
                      <w:instrText xml:space="preserve"> PAGE  \* MERGEFORMAT </w:instrText>
                    </w:r>
                    <w:r>
                      <w:fldChar w:fldCharType="separate"/>
                    </w:r>
                    <w:r>
                      <w:t xml:space="preserve">16</w:t>
                    </w:r>
                    <w:r>
                      <w:fldChar w:fldCharType="end"/>
                    </w:r>
                  </w:p>
                </w:txbxContent>
              </v:textbox>
            </v:shape>
          </w:pict>
        </mc:Fallback>
      </mc:AlternateContent>
    </w:r>
  </w:p>
</w:ftr>
</file>

<file path=word/footer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spacing w:line="1" w:lineRule="exact"/>
    </w:pPr>
    <w:r>
      <w:rPr>
        <w:sz w:val="24"/>
      </w:rPr>
      <mc:AlternateContent xmlns:mc="http://schemas.openxmlformats.org/markup-compatibility/2006">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963" name="文本框 11"/>
              <wp:cNvGraphicFramePr>
                <a:graphicFrameLocks noChangeAspect="0"/>
              </wp:cNvGraphicFramePr>
              <a:graphic>
                <a:graphicData uri="http://schemas.microsoft.com/office/word/2010/wordprocessingShape">
                  <wps:wsp>
                    <wps:cNvSpPr/>
                    <wps:spPr>
                      <a:xfrm>
                        <a:off x="0" y="0"/>
                        <a:ext cx="1828800" cy="1828800"/>
                      </a:xfrm>
                      <a:prstGeom prst="rect">
                        <a:avLst/>
                      </a:prstGeom>
                      <a:noFill/>
                      <a:ln>
                        <a:noFill/>
                      </a:ln>
                    </wps:spPr>
                    <wps:style>
                      <a:lnRef idx="0"/>
                      <a:fillRef idx="0"/>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 xml:space="preserve">17</w:t>
                          </w:r>
                          <w: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shape id="文本框 11" o:spid="_x0000_s2549" type="#_x0000_t202" style="height:2in;margin-left:0;margin-top:0;mso-height-relative:page;mso-position-horizontal:center;mso-position-horizontal-relative:margin;mso-width-relative:page;mso-wrap-distance-bottom:0;mso-wrap-distance-left:9pt;mso-wrap-distance-right:9pt;mso-wrap-distance-top:0;mso-wrap-style:none;position:absolute;v-text-anchor:top;width:2in;z-index:251665408" coordsize="21600,21600" filled="f" stroked="f" strokeweight="0.5pt">
              <w10:bordertop type="none" width="0"/>
              <w10:borderleft type="none" width="0"/>
              <w10:borderbottom type="none" width="0"/>
              <w10:borderright type="none" width="0"/>
              <v:textbox style="layout-flow:horizontal;mso-fit-shape-to-text:t" inset="0,0,0,0">
                <w:txbxContent>
                  <w:p>
                    <w:pPr>
                      <w:pStyle w:val="Footer"/>
                    </w:pPr>
                    <w:r>
                      <w:fldChar w:fldCharType="begin"/>
                    </w:r>
                    <w:r>
                      <w:instrText xml:space="preserve"> PAGE  \* MERGEFORMAT </w:instrText>
                    </w:r>
                    <w:r>
                      <w:fldChar w:fldCharType="separate"/>
                    </w:r>
                    <w:r>
                      <w:t xml:space="preserve">17</w:t>
                    </w:r>
                    <w:r>
                      <w:fldChar w:fldCharType="end"/>
                    </w:r>
                  </w:p>
                </w:txbxContent>
              </v:textbox>
            </v:shape>
          </w:pict>
        </mc:Fallback>
      </mc:AlternateContent>
    </w:r>
  </w:p>
</w:ftr>
</file>

<file path=word/footer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spacing w:line="1" w:lineRule="exact"/>
    </w:pPr>
    <w:r>
      <w:rPr>
        <w:sz w:val="24"/>
      </w:rPr>
      <mc:AlternateContent xmlns:mc="http://schemas.openxmlformats.org/markup-compatibility/2006">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964" name="文本框 12"/>
              <wp:cNvGraphicFramePr>
                <a:graphicFrameLocks noChangeAspect="0"/>
              </wp:cNvGraphicFramePr>
              <a:graphic>
                <a:graphicData uri="http://schemas.microsoft.com/office/word/2010/wordprocessingShape">
                  <wps:wsp>
                    <wps:cNvSpPr/>
                    <wps:spPr>
                      <a:xfrm>
                        <a:off x="0" y="0"/>
                        <a:ext cx="1828800" cy="1828800"/>
                      </a:xfrm>
                      <a:prstGeom prst="rect">
                        <a:avLst/>
                      </a:prstGeom>
                      <a:noFill/>
                      <a:ln>
                        <a:noFill/>
                      </a:ln>
                    </wps:spPr>
                    <wps:style>
                      <a:lnRef idx="0"/>
                      <a:fillRef idx="0"/>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 xml:space="preserve">25</w:t>
                          </w:r>
                          <w: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shape id="文本框 12" o:spid="_x0000_s2550" type="#_x0000_t202" style="height:2in;margin-left:0;margin-top:0;mso-height-relative:page;mso-position-horizontal:center;mso-position-horizontal-relative:margin;mso-width-relative:page;mso-wrap-distance-bottom:0;mso-wrap-distance-left:9pt;mso-wrap-distance-right:9pt;mso-wrap-distance-top:0;mso-wrap-style:none;position:absolute;v-text-anchor:top;width:2in;z-index:251666432" coordsize="21600,21600" filled="f" stroked="f" strokeweight="0.5pt">
              <w10:bordertop type="none" width="0"/>
              <w10:borderleft type="none" width="0"/>
              <w10:borderbottom type="none" width="0"/>
              <w10:borderright type="none" width="0"/>
              <v:textbox style="layout-flow:horizontal;mso-fit-shape-to-text:t" inset="0,0,0,0">
                <w:txbxContent>
                  <w:p>
                    <w:pPr>
                      <w:pStyle w:val="Footer"/>
                    </w:pPr>
                    <w:r>
                      <w:fldChar w:fldCharType="begin"/>
                    </w:r>
                    <w:r>
                      <w:instrText xml:space="preserve"> PAGE  \* MERGEFORMAT </w:instrText>
                    </w:r>
                    <w:r>
                      <w:fldChar w:fldCharType="separate"/>
                    </w:r>
                    <w:r>
                      <w:t xml:space="preserve">25</w:t>
                    </w:r>
                    <w:r>
                      <w:fldChar w:fldCharType="end"/>
                    </w:r>
                  </w:p>
                </w:txbxContent>
              </v:textbox>
            </v:shape>
          </w:pict>
        </mc:Fallback>
      </mc:AlternateContent>
    </w:r>
  </w:p>
</w:ftr>
</file>

<file path=word/header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spacing w:line="1" w:lineRule="exact"/>
    </w:pPr>
    <w:r>
      <mc:AlternateContent xmlns:mc="http://schemas.openxmlformats.org/markup-compatibility/2006">
        <mc:Choice Requires="wps">
          <w:drawing>
            <wp:anchor distT="0" distB="0" distL="0" distR="0" simplePos="0" relativeHeight="251659264" behindDoc="1" locked="0" layoutInCell="1" allowOverlap="1">
              <wp:simplePos x="0" y="0"/>
              <wp:positionH relativeFrom="page">
                <wp:posOffset>9117330</wp:posOffset>
              </wp:positionH>
              <wp:positionV relativeFrom="page">
                <wp:posOffset>1217295</wp:posOffset>
              </wp:positionV>
              <wp:extent cx="581025" cy="109855"/>
              <wp:effectExtent l="0" t="0" r="0" b="0"/>
              <wp:wrapNone/>
              <wp:docPr id="958" name="Shape 5"/>
              <wp:cNvGraphicFramePr>
                <a:graphicFrameLocks noChangeAspect="0"/>
              </wp:cNvGraphicFramePr>
              <a:graphic>
                <a:graphicData uri="http://schemas.microsoft.com/office/word/2010/wordprocessingShape">
                  <wps:wsp>
                    <wps:cNvSpPr/>
                    <wps:spPr>
                      <a:xfrm>
                        <a:off x="0" y="0"/>
                        <a:ext cx="581025" cy="109855"/>
                      </a:xfrm>
                      <a:prstGeom prst="rect">
                        <a:avLst/>
                      </a:prstGeom>
                      <a:noFill/>
                    </wps:spPr>
                    <wps:txbx>
                      <w:txbxContent>
                        <w:p>
                          <w:pPr>
                            <w:pStyle w:val="Headerorfooter|1"/>
                          </w:pPr>
                        </w:p>
                      </w:txbxContent>
                    </wps:txbx>
                    <wps:bodyPr rot="0" spcFirstLastPara="0" vertOverflow="overflow" horzOverflow="overflow" vert="horz" wrap="square" lIns="0" tIns="0" rIns="0" bIns="0" numCol="1" anchor="t" upright="0">
                      <a:spAutoFit/>
                    </wps:bodyPr>
                  </wps:wsp>
                </a:graphicData>
              </a:graphic>
            </wp:anchor>
          </w:drawing>
        </mc:Choice>
        <mc:Fallback>
          <w:pict>
            <v:shape id="Shape 5" o:spid="_x0000_s2544" type="#_x0000_t202" style="height:8.65pt;margin-left:717.9pt;margin-top:95.85pt;mso-height-relative:page;mso-position-horizontal-relative:page;mso-position-vertical-relative:page;mso-width-relative:page;mso-wrap-distance-bottom:0;mso-wrap-distance-left:0;mso-wrap-distance-right:0;mso-wrap-distance-top:0;mso-wrap-style:square;position:absolute;width:45.75pt;z-index:-4043308031" coordsize="21600,21600" filled="f" stroked="f">
              <v:textbox style="mso-fit-shape-to-text:t" inset="0,0,0,0">
                <w:txbxContent>
                  <w:p>
                    <w:pPr>
                      <w:pStyle w:val="Headerorfooter|1"/>
                    </w:pPr>
                  </w:p>
                </w:txbxContent>
              </v:textbox>
            </v:shape>
          </w:pict>
        </mc:Fallback>
      </mc:AlternateContent>
    </w:r>
  </w:p>
</w:hdr>
</file>

<file path=word/header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spacing w:line="1" w:lineRule="exact"/>
    </w:pPr>
    <w:r>
      <mc:AlternateContent xmlns:mc="http://schemas.openxmlformats.org/markup-compatibility/2006">
        <mc:Choice Requires="wps">
          <w:drawing>
            <wp:anchor distT="0" distB="0" distL="0" distR="0" simplePos="0" relativeHeight="251660288" behindDoc="1" locked="0" layoutInCell="1" allowOverlap="1">
              <wp:simplePos x="0" y="0"/>
              <wp:positionH relativeFrom="page">
                <wp:posOffset>9117330</wp:posOffset>
              </wp:positionH>
              <wp:positionV relativeFrom="page">
                <wp:posOffset>1217295</wp:posOffset>
              </wp:positionV>
              <wp:extent cx="581025" cy="109855"/>
              <wp:effectExtent l="0" t="0" r="0" b="0"/>
              <wp:wrapNone/>
              <wp:docPr id="960" name="Shape 5"/>
              <wp:cNvGraphicFramePr>
                <a:graphicFrameLocks noChangeAspect="0"/>
              </wp:cNvGraphicFramePr>
              <a:graphic>
                <a:graphicData uri="http://schemas.microsoft.com/office/word/2010/wordprocessingShape">
                  <wps:wsp>
                    <wps:cNvSpPr/>
                    <wps:spPr>
                      <a:xfrm>
                        <a:off x="0" y="0"/>
                        <a:ext cx="581025" cy="109855"/>
                      </a:xfrm>
                      <a:prstGeom prst="rect">
                        <a:avLst/>
                      </a:prstGeom>
                      <a:noFill/>
                    </wps:spPr>
                    <wps:txbx>
                      <w:txbxContent>
                        <w:p>
                          <w:pPr>
                            <w:pStyle w:val="Headerorfooter|1"/>
                          </w:pPr>
                        </w:p>
                      </w:txbxContent>
                    </wps:txbx>
                    <wps:bodyPr rot="0" spcFirstLastPara="0" vertOverflow="overflow" horzOverflow="overflow" vert="horz" wrap="square" lIns="0" tIns="0" rIns="0" bIns="0" numCol="1" anchor="t" upright="0">
                      <a:spAutoFit/>
                    </wps:bodyPr>
                  </wps:wsp>
                </a:graphicData>
              </a:graphic>
            </wp:anchor>
          </w:drawing>
        </mc:Choice>
        <mc:Fallback>
          <w:pict>
            <v:shape id="Shape 5" o:spid="_x0000_s2546" type="#_x0000_t202" style="height:8.65pt;margin-left:717.9pt;margin-top:95.85pt;mso-height-relative:page;mso-position-horizontal-relative:page;mso-position-vertical-relative:page;mso-width-relative:page;mso-wrap-distance-bottom:0;mso-wrap-distance-left:0;mso-wrap-distance-right:0;mso-wrap-distance-top:0;mso-wrap-style:square;position:absolute;width:45.75pt;z-index:-4043307007" coordsize="21600,21600" filled="f" stroked="f">
              <v:textbox style="mso-fit-shape-to-text:t" inset="0,0,0,0">
                <w:txbxContent>
                  <w:p>
                    <w:pPr>
                      <w:pStyle w:val="Headerorfooter|1"/>
                    </w:pPr>
                  </w:p>
                </w:txbxContent>
              </v:textbox>
            </v:shape>
          </w:pict>
        </mc:Fallback>
      </mc:AlternateContent>
    </w:r>
  </w:p>
</w:hdr>
</file>

<file path=word/header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
</w:hdr>
</file>

<file path=word/header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
</w:hdr>
</file>

<file path=word/header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2">
    <w:multiLevelType w:val="singleLevel"/>
    <w:lvl w:ilvl="0">
      <w:start w:val="1"/>
      <w:numFmt w:val="decimal"/>
      <w:suff w:val="nothing"/>
      <w:lvlText w:val="%1．"/>
      <w:lvlJc w:val="left"/>
      <w:pPr>
        <w:ind w:left="0" w:firstLine="400"/>
      </w:pPr>
      <w:rPr>
        <w:rFont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xmlns:w15="http://schemas.microsoft.com/office/word/2012/wordml" mc:Ignorable="w14 w15">
  <w:zoom w:percent="100"/>
  <w:bordersDoNotSurroundFooter w:val="0"/>
  <w:bordersDoNotSurroundHeader w:val="0"/>
  <w:doNotTrackMoves/>
  <w:documentProtection w:enforcement="1" w:edit="readOnly" w:salt="9QHllBrQam0iPX1Chz8EGQ==" w:hash="IcdWP3iph1oo2A9YZVYAzaLZrkBykHYfvoPkv1IU0v8YHtyZdzgJO+VMZaYU31waZv+D5Jdw47qX2WLMqXkg0g==" w:cryptSpinCount="100000" w:cryptAlgorithmType="typeAny" w:cryptAlgorithmClass="hash" w:cryptProviderType="rsaAES" w:cryptAlgorithmSid="14"/>
  <w:defaultTabStop w:val="420"/>
  <w:drawingGridHorizontalSpacing w:val="181"/>
  <w:drawingGridVerticalSpacing w:val="181"/>
  <w:noPunctuationKerning/>
  <w:characterSpacingControl w:val="compressPunctuation"/>
  <w:compat>
    <w:doNotExpandShiftReturn/>
    <w:doNotWrapTextWithPunct/>
    <w:doNotUseEastAsianBreakRules/>
    <w:useFELayout/>
    <w:doNotUseIndentAsNumberingTabStop/>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w:docVars>
    <w:docVar w:name="commondata" w:val="eyJoZGlkIjoiMGI3MmYwZTNiZDI5Y2Q4YzI1NGE3NmVlMWM4ODU1YTUifQ=="/>
  </w:docVars>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qFormat="1"/>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qFormat="1"/>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1"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qFormat="1"/>
    <w:lsdException w:name="annotation subject" w:semiHidden="0" w:uiPriority="0" w:unhideWhenUsed="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uiPriority="0" w:unhideWhenUsed="0"/>
    <w:lsdException w:name="Table Grid" w:semiHidden="0" w:uiPriority="0" w:unhideWhenUsed="0" w:qFormat="1"/>
    <w:lsdException w:name="Table Theme"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autoRedefine/>
    <w:qFormat/>
    <w:pPr>
      <w:widowControl w:val="0"/>
    </w:pPr>
    <w:rPr>
      <w:rFonts w:ascii="Times New Roman" w:eastAsia="Times New Roman" w:hAnsi="Times New Roman" w:cs="Times New Roman"/>
      <w:color w:val="000000"/>
      <w:sz w:val="24"/>
      <w:szCs w:val="24"/>
      <w:lang w:val="en-US" w:eastAsia="en-US" w:bidi="en-US"/>
    </w:rPr>
  </w:style>
  <w:style w:type="character" w:default="1" w:styleId="DefaultParagraphFont">
    <w:name w:val="Default Paragraph Font"/>
    <w:autoRedefine/>
    <w:uiPriority w:val="1"/>
    <w:semiHidden/>
    <w:unhideWhenUsed/>
    <w:qFormat/>
    <w:rPr/>
  </w:style>
  <w:style w:type="table" w:default="1" w:styleId="NormalTable">
    <w:name w:val="Normal Table"/>
    <w:autoRedefine/>
    <w:uiPriority w:val="99"/>
    <w:semiHidden/>
    <w:unhideWhenUsed/>
    <w:qFormat/>
    <w:rPr/>
    <w:tblPr>
      <w:tblCellMar>
        <w:top w:w="0" w:type="dxa"/>
        <w:left w:w="108" w:type="dxa"/>
        <w:bottom w:w="0" w:type="dxa"/>
        <w:right w:w="108" w:type="dxa"/>
      </w:tblCellMar>
    </w:tblPr>
  </w:style>
  <w:style w:type="paragraph" w:styleId="CommentText">
    <w:name w:val="Comment Text"/>
    <w:basedOn w:val="Normal"/>
    <w:autoRedefine/>
    <w:qFormat/>
    <w:rPr/>
  </w:style>
  <w:style w:type="paragraph" w:styleId="Footer">
    <w:name w:val="Footer"/>
    <w:basedOn w:val="Normal"/>
    <w:autoRedefine/>
    <w:qFormat/>
    <w:pPr>
      <w:tabs>
        <w:tab w:val="center" w:pos="4153"/>
        <w:tab w:val="right" w:pos="8306"/>
      </w:tabs>
      <w:snapToGrid w:val="0"/>
    </w:pPr>
    <w:rPr>
      <w:sz w:val="18"/>
    </w:rPr>
  </w:style>
  <w:style w:type="paragraph" w:styleId="Header">
    <w:name w:val="Header"/>
    <w:basedOn w:val="Normal"/>
    <w:autoRedefine/>
    <w:qFormat/>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table" w:styleId="TableGrid">
    <w:name w:val="Table Grid"/>
    <w:basedOn w:val="NormalTable"/>
    <w:autoRedefine/>
    <w:qFormat/>
    <w:pPr>
      <w:widowControl w:val="0"/>
      <w:jc w:val="both"/>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Comment Reference"/>
    <w:basedOn w:val="DefaultParagraphFont"/>
    <w:autoRedefine/>
    <w:qFormat/>
    <w:rPr>
      <w:sz w:val="21"/>
      <w:szCs w:val="21"/>
    </w:rPr>
  </w:style>
  <w:style w:type="character" w:customStyle="1" w:styleId="Bodytext|5_">
    <w:name w:val="Body text|5_"/>
    <w:basedOn w:val="DefaultParagraphFont"/>
    <w:link w:val="Bodytext|5"/>
    <w:autoRedefine/>
    <w:qFormat/>
    <w:rPr>
      <w:rFonts w:ascii="宋体" w:eastAsia="宋体" w:hAnsi="宋体" w:cs="宋体"/>
      <w:sz w:val="54"/>
      <w:szCs w:val="54"/>
      <w:u w:val="none"/>
      <w:shd w:val="clear" w:color="auto" w:fill="auto"/>
      <w:lang w:val="zh-TW" w:eastAsia="zh-TW" w:bidi="zh-TW"/>
    </w:rPr>
  </w:style>
  <w:style w:type="paragraph" w:customStyle="1" w:styleId="Bodytext|5">
    <w:name w:val="Body text|5"/>
    <w:basedOn w:val="Normal"/>
    <w:link w:val="Bodytext|5_"/>
    <w:autoRedefine/>
    <w:qFormat/>
    <w:pPr>
      <w:jc w:val="center"/>
    </w:pPr>
    <w:rPr>
      <w:rFonts w:ascii="宋体" w:eastAsia="宋体" w:hAnsi="宋体" w:cs="宋体"/>
      <w:sz w:val="54"/>
      <w:szCs w:val="54"/>
      <w:lang w:val="zh-TW" w:eastAsia="zh-TW" w:bidi="zh-TW"/>
    </w:rPr>
  </w:style>
  <w:style w:type="character" w:customStyle="1" w:styleId="Heading#1|1_">
    <w:name w:val="Heading #1|1_"/>
    <w:basedOn w:val="DefaultParagraphFont"/>
    <w:link w:val="Heading#1|1"/>
    <w:autoRedefine/>
    <w:qFormat/>
    <w:rPr>
      <w:rFonts w:ascii="宋体" w:eastAsia="宋体" w:hAnsi="宋体" w:cs="宋体"/>
      <w:sz w:val="44"/>
      <w:szCs w:val="44"/>
      <w:u w:val="none"/>
      <w:shd w:val="clear" w:color="auto" w:fill="auto"/>
      <w:lang w:val="zh-TW" w:eastAsia="zh-TW" w:bidi="zh-TW"/>
    </w:rPr>
  </w:style>
  <w:style w:type="paragraph" w:customStyle="1" w:styleId="Heading#1|1">
    <w:name w:val="Heading #1|1"/>
    <w:basedOn w:val="Normal"/>
    <w:link w:val="Heading#1|1_"/>
    <w:autoRedefine/>
    <w:qFormat/>
    <w:pPr>
      <w:spacing w:after="400"/>
      <w:jc w:val="center"/>
      <w:outlineLvl w:val="0"/>
    </w:pPr>
    <w:rPr>
      <w:rFonts w:ascii="宋体" w:eastAsia="宋体" w:hAnsi="宋体" w:cs="宋体"/>
      <w:sz w:val="44"/>
      <w:szCs w:val="44"/>
      <w:lang w:val="zh-TW" w:eastAsia="zh-TW" w:bidi="zh-TW"/>
    </w:rPr>
  </w:style>
  <w:style w:type="character" w:customStyle="1" w:styleId="Headerorfooter|2_">
    <w:name w:val="Header or footer|2_"/>
    <w:basedOn w:val="DefaultParagraphFont"/>
    <w:link w:val="Headerorfooter|2"/>
    <w:autoRedefine/>
    <w:qFormat/>
    <w:rPr>
      <w:sz w:val="20"/>
      <w:szCs w:val="20"/>
      <w:u w:val="none"/>
      <w:shd w:val="clear" w:color="auto" w:fill="auto"/>
      <w:lang w:val="zh-TW" w:eastAsia="zh-TW" w:bidi="zh-TW"/>
    </w:rPr>
  </w:style>
  <w:style w:type="paragraph" w:customStyle="1" w:styleId="Headerorfooter|2">
    <w:name w:val="Header or footer|2"/>
    <w:basedOn w:val="Normal"/>
    <w:link w:val="Headerorfooter|2_"/>
    <w:autoRedefine/>
    <w:qFormat/>
    <w:rPr>
      <w:sz w:val="20"/>
      <w:szCs w:val="20"/>
      <w:lang w:val="zh-TW" w:eastAsia="zh-TW" w:bidi="zh-TW"/>
    </w:rPr>
  </w:style>
  <w:style w:type="character" w:customStyle="1" w:styleId="Bodytext|2_">
    <w:name w:val="Body text|2_"/>
    <w:basedOn w:val="DefaultParagraphFont"/>
    <w:link w:val="Bodytext|2"/>
    <w:autoRedefine/>
    <w:qFormat/>
    <w:rPr>
      <w:rFonts w:ascii="宋体" w:eastAsia="宋体" w:hAnsi="宋体" w:cs="宋体"/>
      <w:sz w:val="32"/>
      <w:szCs w:val="32"/>
      <w:u w:val="none"/>
      <w:shd w:val="clear" w:color="auto" w:fill="auto"/>
      <w:lang w:val="zh-TW" w:eastAsia="zh-TW" w:bidi="zh-TW"/>
    </w:rPr>
  </w:style>
  <w:style w:type="paragraph" w:customStyle="1" w:styleId="Bodytext|2">
    <w:name w:val="Body text|2"/>
    <w:basedOn w:val="Normal"/>
    <w:link w:val="Bodytext|2_"/>
    <w:autoRedefine/>
    <w:qFormat/>
    <w:pPr>
      <w:spacing w:after="240"/>
      <w:ind w:firstLine="560"/>
    </w:pPr>
    <w:rPr>
      <w:rFonts w:ascii="宋体" w:eastAsia="宋体" w:hAnsi="宋体" w:cs="宋体"/>
      <w:sz w:val="32"/>
      <w:szCs w:val="32"/>
      <w:lang w:val="zh-TW" w:eastAsia="zh-TW" w:bidi="zh-TW"/>
    </w:rPr>
  </w:style>
  <w:style w:type="character" w:customStyle="1" w:styleId="Bodytext|1_">
    <w:name w:val="Body text|1_"/>
    <w:basedOn w:val="DefaultParagraphFont"/>
    <w:link w:val="Bodytext|1"/>
    <w:autoRedefine/>
    <w:qFormat/>
    <w:rPr>
      <w:rFonts w:ascii="宋体" w:eastAsia="宋体" w:hAnsi="宋体" w:cs="宋体"/>
      <w:sz w:val="28"/>
      <w:szCs w:val="28"/>
      <w:u w:val="none"/>
      <w:shd w:val="clear" w:color="auto" w:fill="auto"/>
      <w:lang w:val="zh-TW" w:eastAsia="zh-TW" w:bidi="zh-TW"/>
    </w:rPr>
  </w:style>
  <w:style w:type="paragraph" w:customStyle="1" w:styleId="Bodytext|1">
    <w:name w:val="Body text|1"/>
    <w:basedOn w:val="Normal"/>
    <w:link w:val="Bodytext|1_"/>
    <w:autoRedefine/>
    <w:qFormat/>
    <w:pPr>
      <w:spacing w:line="468" w:lineRule="auto"/>
      <w:ind w:firstLine="400"/>
    </w:pPr>
    <w:rPr>
      <w:rFonts w:ascii="宋体" w:eastAsia="宋体" w:hAnsi="宋体" w:cs="宋体"/>
      <w:sz w:val="28"/>
      <w:szCs w:val="28"/>
      <w:lang w:val="zh-TW" w:eastAsia="zh-TW" w:bidi="zh-TW"/>
    </w:rPr>
  </w:style>
  <w:style w:type="character" w:customStyle="1" w:styleId="Headerorfooter|1_">
    <w:name w:val="Header or footer|1_"/>
    <w:basedOn w:val="DefaultParagraphFont"/>
    <w:link w:val="Headerorfooter|1"/>
    <w:autoRedefine/>
    <w:qFormat/>
    <w:rPr>
      <w:b/>
      <w:bCs/>
      <w:sz w:val="17"/>
      <w:szCs w:val="17"/>
      <w:u w:val="none"/>
      <w:shd w:val="clear" w:color="auto" w:fill="auto"/>
      <w:lang w:val="zh-TW" w:eastAsia="zh-TW" w:bidi="zh-TW"/>
    </w:rPr>
  </w:style>
  <w:style w:type="paragraph" w:customStyle="1" w:styleId="Headerorfooter|1">
    <w:name w:val="Header or footer|1"/>
    <w:basedOn w:val="Normal"/>
    <w:link w:val="Headerorfooter|1_"/>
    <w:autoRedefine/>
    <w:qFormat/>
    <w:rPr>
      <w:b/>
      <w:bCs/>
      <w:sz w:val="17"/>
      <w:szCs w:val="17"/>
      <w:lang w:val="zh-TW" w:eastAsia="zh-TW" w:bidi="zh-TW"/>
    </w:rPr>
  </w:style>
  <w:style w:type="character" w:customStyle="1" w:styleId="Heading#2|1_">
    <w:name w:val="Heading #2|1_"/>
    <w:basedOn w:val="DefaultParagraphFont"/>
    <w:link w:val="Heading#2|1"/>
    <w:autoRedefine/>
    <w:qFormat/>
    <w:rPr>
      <w:rFonts w:ascii="宋体" w:eastAsia="宋体" w:hAnsi="宋体" w:cs="宋体"/>
      <w:sz w:val="26"/>
      <w:szCs w:val="26"/>
      <w:u w:val="none"/>
      <w:shd w:val="clear" w:color="auto" w:fill="auto"/>
      <w:lang w:val="zh-TW" w:eastAsia="zh-TW" w:bidi="zh-TW"/>
    </w:rPr>
  </w:style>
  <w:style w:type="paragraph" w:customStyle="1" w:styleId="Heading#2|1">
    <w:name w:val="Heading #2|1"/>
    <w:basedOn w:val="Normal"/>
    <w:link w:val="Heading#2|1_"/>
    <w:autoRedefine/>
    <w:qFormat/>
    <w:pPr>
      <w:spacing w:after="230"/>
      <w:jc w:val="center"/>
      <w:outlineLvl w:val="1"/>
    </w:pPr>
    <w:rPr>
      <w:rFonts w:ascii="宋体" w:eastAsia="宋体" w:hAnsi="宋体" w:cs="宋体"/>
      <w:sz w:val="26"/>
      <w:szCs w:val="26"/>
      <w:lang w:val="zh-TW" w:eastAsia="zh-TW" w:bidi="zh-TW"/>
    </w:rPr>
  </w:style>
  <w:style w:type="character" w:customStyle="1" w:styleId="Other|1_">
    <w:name w:val="Other|1_"/>
    <w:basedOn w:val="DefaultParagraphFont"/>
    <w:link w:val="Other|1"/>
    <w:autoRedefine/>
    <w:qFormat/>
    <w:rPr>
      <w:rFonts w:ascii="宋体" w:eastAsia="宋体" w:hAnsi="宋体" w:cs="宋体"/>
      <w:sz w:val="28"/>
      <w:szCs w:val="28"/>
      <w:u w:val="none"/>
      <w:shd w:val="clear" w:color="auto" w:fill="auto"/>
      <w:lang w:val="zh-TW" w:eastAsia="zh-TW" w:bidi="zh-TW"/>
    </w:rPr>
  </w:style>
  <w:style w:type="paragraph" w:customStyle="1" w:styleId="Other|1">
    <w:name w:val="Other|1"/>
    <w:basedOn w:val="Normal"/>
    <w:link w:val="Other|1_"/>
    <w:autoRedefine/>
    <w:qFormat/>
    <w:pPr>
      <w:spacing w:line="468" w:lineRule="auto"/>
      <w:ind w:firstLine="400"/>
    </w:pPr>
    <w:rPr>
      <w:rFonts w:ascii="宋体" w:eastAsia="宋体" w:hAnsi="宋体" w:cs="宋体"/>
      <w:sz w:val="28"/>
      <w:szCs w:val="28"/>
      <w:lang w:val="zh-TW" w:eastAsia="zh-TW" w:bidi="zh-TW"/>
    </w:rPr>
  </w:style>
  <w:style w:type="character" w:customStyle="1" w:styleId="Tablecaption|1_">
    <w:name w:val="Table caption|1_"/>
    <w:basedOn w:val="DefaultParagraphFont"/>
    <w:link w:val="Tablecaption|1"/>
    <w:autoRedefine/>
    <w:qFormat/>
    <w:rPr>
      <w:rFonts w:ascii="宋体" w:eastAsia="宋体" w:hAnsi="宋体" w:cs="宋体"/>
      <w:sz w:val="17"/>
      <w:szCs w:val="17"/>
      <w:u w:val="none"/>
      <w:shd w:val="clear" w:color="auto" w:fill="auto"/>
      <w:lang w:val="zh-TW" w:eastAsia="zh-TW" w:bidi="zh-TW"/>
    </w:rPr>
  </w:style>
  <w:style w:type="paragraph" w:customStyle="1" w:styleId="Tablecaption|1">
    <w:name w:val="Table caption|1"/>
    <w:basedOn w:val="Normal"/>
    <w:link w:val="Tablecaption|1_"/>
    <w:autoRedefine/>
    <w:qFormat/>
    <w:rPr>
      <w:rFonts w:ascii="宋体" w:eastAsia="宋体" w:hAnsi="宋体" w:cs="宋体"/>
      <w:sz w:val="17"/>
      <w:szCs w:val="17"/>
      <w:lang w:val="zh-TW" w:eastAsia="zh-TW" w:bidi="zh-TW"/>
    </w:rPr>
  </w:style>
  <w:style w:type="character" w:customStyle="1" w:styleId="Bodytext|4_">
    <w:name w:val="Body text|4_"/>
    <w:basedOn w:val="DefaultParagraphFont"/>
    <w:link w:val="Bodytext|4"/>
    <w:autoRedefine/>
    <w:qFormat/>
    <w:rPr>
      <w:rFonts w:ascii="宋体" w:eastAsia="宋体" w:hAnsi="宋体" w:cs="宋体"/>
      <w:sz w:val="17"/>
      <w:szCs w:val="17"/>
      <w:u w:val="none"/>
      <w:shd w:val="clear" w:color="auto" w:fill="auto"/>
      <w:lang w:val="zh-TW" w:eastAsia="zh-TW" w:bidi="zh-TW"/>
    </w:rPr>
  </w:style>
  <w:style w:type="paragraph" w:customStyle="1" w:styleId="Bodytext|4">
    <w:name w:val="Body text|4"/>
    <w:basedOn w:val="Normal"/>
    <w:link w:val="Bodytext|4_"/>
    <w:autoRedefine/>
    <w:qFormat/>
    <w:pPr>
      <w:ind w:firstLine="680"/>
    </w:pPr>
    <w:rPr>
      <w:rFonts w:ascii="宋体" w:eastAsia="宋体" w:hAnsi="宋体" w:cs="宋体"/>
      <w:sz w:val="17"/>
      <w:szCs w:val="17"/>
      <w:lang w:val="zh-TW" w:eastAsia="zh-TW" w:bidi="zh-TW"/>
    </w:rPr>
  </w:style>
  <w:style w:type="character" w:customStyle="1" w:styleId="Bodytext|3_">
    <w:name w:val="Body text|3_"/>
    <w:basedOn w:val="DefaultParagraphFont"/>
    <w:link w:val="Bodytext|3"/>
    <w:autoRedefine/>
    <w:qFormat/>
    <w:rPr>
      <w:sz w:val="30"/>
      <w:szCs w:val="30"/>
      <w:u w:val="none"/>
      <w:shd w:val="clear" w:color="auto" w:fill="auto"/>
      <w:lang w:val="zh-TW" w:eastAsia="zh-TW" w:bidi="zh-TW"/>
    </w:rPr>
  </w:style>
  <w:style w:type="paragraph" w:customStyle="1" w:styleId="Bodytext|3">
    <w:name w:val="Body text|3"/>
    <w:basedOn w:val="Normal"/>
    <w:link w:val="Bodytext|3_"/>
    <w:autoRedefine/>
    <w:qFormat/>
    <w:pPr>
      <w:spacing w:after="140" w:line="336" w:lineRule="auto"/>
      <w:ind w:firstLine="370"/>
    </w:pPr>
    <w:rPr>
      <w:sz w:val="30"/>
      <w:szCs w:val="30"/>
      <w:lang w:val="zh-TW" w:eastAsia="zh-TW" w:bidi="zh-TW"/>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charts/chart5.xml" Type="http://schemas.openxmlformats.org/officeDocument/2006/relationships/chart"/><Relationship Id="rId11" Target="charts/chart6.xml" Type="http://schemas.openxmlformats.org/officeDocument/2006/relationships/chart"/><Relationship Id="rId12" Target="header1.xml" Type="http://schemas.openxmlformats.org/officeDocument/2006/relationships/header"/><Relationship Id="rId13" Target="footer2.xml" Type="http://schemas.openxmlformats.org/officeDocument/2006/relationships/footer"/><Relationship Id="rId14" Target="header2.xml" Type="http://schemas.openxmlformats.org/officeDocument/2006/relationships/header"/><Relationship Id="rId15" Target="footer3.xml" Type="http://schemas.openxmlformats.org/officeDocument/2006/relationships/footer"/><Relationship Id="rId16" Target="header3.xml" Type="http://schemas.openxmlformats.org/officeDocument/2006/relationships/header"/><Relationship Id="rId17" Target="footer4.xml" Type="http://schemas.openxmlformats.org/officeDocument/2006/relationships/footer"/><Relationship Id="rId18" Target="header4.xml" Type="http://schemas.openxmlformats.org/officeDocument/2006/relationships/header"/><Relationship Id="rId19" Target="footer5.xml" Type="http://schemas.openxmlformats.org/officeDocument/2006/relationships/footer"/><Relationship Id="rId2" Target="../customXml/item2.xml" Type="http://schemas.openxmlformats.org/officeDocument/2006/relationships/customXml"/><Relationship Id="rId20" Target="header5.xml" Type="http://schemas.openxmlformats.org/officeDocument/2006/relationships/header"/><Relationship Id="rId21" Target="footer6.xml" Type="http://schemas.openxmlformats.org/officeDocument/2006/relationships/footer"/><Relationship Id="rId22" Target="theme/theme1.xml" Type="http://schemas.openxmlformats.org/officeDocument/2006/relationships/theme"/><Relationship Id="rId23" Target="styles.xml" Type="http://schemas.openxmlformats.org/officeDocument/2006/relationships/styles"/><Relationship Id="rId24" Target="webSettings.xml" Type="http://schemas.openxmlformats.org/officeDocument/2006/relationships/webSettings"/><Relationship Id="rId25" Target="numbering.xml" Type="http://schemas.openxmlformats.org/officeDocument/2006/relationships/numbering"/><Relationship Id="rId26" Target="fontTable.xml" Type="http://schemas.openxmlformats.org/officeDocument/2006/relationships/fontTable"/><Relationship Id="rId27" Target="settings.xml" Type="http://schemas.openxmlformats.org/officeDocument/2006/relationships/settings"/><Relationship Id="rId3" Target="../customXml/item3.xml" Type="http://schemas.openxmlformats.org/officeDocument/2006/relationships/customXml"/><Relationship Id="rId4" Target="../customXml/item4.xml" Type="http://schemas.openxmlformats.org/officeDocument/2006/relationships/customXml"/><Relationship Id="rId5" Target="footer1.xml" Type="http://schemas.openxmlformats.org/officeDocument/2006/relationships/footer"/><Relationship Id="rId6" Target="charts/chart1.xml" Type="http://schemas.openxmlformats.org/officeDocument/2006/relationships/chart"/><Relationship Id="rId7" Target="charts/chart2.xml" Type="http://schemas.openxmlformats.org/officeDocument/2006/relationships/chart"/><Relationship Id="rId8" Target="charts/chart3.xml" Type="http://schemas.openxmlformats.org/officeDocument/2006/relationships/chart"/><Relationship Id="rId9" Target="charts/chart4.xml" Type="http://schemas.openxmlformats.org/officeDocument/2006/relationships/chart"/></Relationships>
</file>

<file path=word/charts/_rels/chart1.xml.rels><?xml version="1.0" encoding="UTF-8" standalone="yes"?><Relationships xmlns="http://schemas.openxmlformats.org/package/2006/relationships"><Relationship Id="rId1" Target="../embeddings/Microsoft_Office_Excel_Worksheet1.xlsx" Type="http://schemas.openxmlformats.org/officeDocument/2006/relationships/package"/></Relationships>
</file>

<file path=word/charts/_rels/chart2.xml.rels><?xml version="1.0" encoding="UTF-8" standalone="yes"?><Relationships xmlns="http://schemas.openxmlformats.org/package/2006/relationships"><Relationship Id="rId1" Target="../embeddings/Microsoft_Office_Excel_Worksheet2.xlsx" Type="http://schemas.openxmlformats.org/officeDocument/2006/relationships/package"/></Relationships>
</file>

<file path=word/charts/_rels/chart3.xml.rels><?xml version="1.0" encoding="UTF-8" standalone="yes"?><Relationships xmlns="http://schemas.openxmlformats.org/package/2006/relationships"><Relationship Id="rId1" Target="../embeddings/Microsoft_Office_Excel_Worksheet3.xlsx" Type="http://schemas.openxmlformats.org/officeDocument/2006/relationships/package"/></Relationships>
</file>

<file path=word/charts/_rels/chart4.xml.rels><?xml version="1.0" encoding="UTF-8" standalone="yes"?><Relationships xmlns="http://schemas.openxmlformats.org/package/2006/relationships"><Relationship Id="rId1" Target="../embeddings/Microsoft_Office_Excel_Worksheet4.xlsx" Type="http://schemas.openxmlformats.org/officeDocument/2006/relationships/package"/></Relationships>
</file>

<file path=word/charts/_rels/chart5.xml.rels><?xml version="1.0" encoding="UTF-8" standalone="yes"?><Relationships xmlns="http://schemas.openxmlformats.org/package/2006/relationships"><Relationship Id="rId1" Target="../embeddings/Microsoft_Office_Excel_Worksheet5.xlsx" Type="http://schemas.openxmlformats.org/officeDocument/2006/relationships/package"/></Relationships>
</file>

<file path=word/charts/_rels/chart6.xml.rels><?xml version="1.0" encoding="UTF-8" standalone="yes"?><Relationships xmlns="http://schemas.openxmlformats.org/package/2006/relationships"><Relationship Id="rId1" Target="../embeddings/Microsoft_Office_Excel_Worksheet6.xlsx" Type="http://schemas.openxmlformats.org/officeDocument/2006/relationships/package"/></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zh-CN"/>
              <a:t>部门收入总体情况</a:t>
            </a:r>
            <a:endParaRPr lang="en-US" sz="1100"/>
          </a:p>
        </c:rich>
      </c:tx>
      <c:layout/>
      <c:overlay val="0"/>
      <c:spPr>
        <a:noFill/>
        <a:ln>
          <a:noFill/>
        </a:ln>
        <a:effectLst/>
      </c:spPr>
    </c:title>
    <c:autoTitleDeleted val="0"/>
    <c:plotArea>
      <c:layout/>
      <c:pieChart>
        <c:varyColors val="1"/>
        <c:ser>
          <c:idx val="0"/>
          <c:order val="0"/>
          <c:tx>
            <c:strRef>
              <c:f>Sheet1!$B$1</c:f>
              <c:strCache>
                <c:ptCount val="1"/>
                <c:pt idx="0">
                  <c:v>countries</c:v>
                </c:pt>
              </c:strCache>
            </c:strRef>
          </c:tx>
          <c:explosion val="0"/>
          <c:dPt>
            <c:idx val="0"/>
            <c:bubble3D val="0"/>
            <c:spPr>
              <a:solidFill>
                <a:schemeClr val="accent1"/>
              </a:solidFill>
              <a:ln w="19050">
                <a:solidFill>
                  <a:schemeClr val="lt1"/>
                </a:solidFill>
              </a:ln>
              <a:effectLst/>
            </c:spPr>
          </c:dPt>
          <c:dLbls>
            <c:delete val="1"/>
          </c:dLbls>
          <c:cat>
            <c:strRef>
              <c:f>Sheet1!$A$2</c:f>
              <c:strCache>
                <c:ptCount val="1"/>
                <c:pt idx="0">
                  <c:v>一般公共预算拨款</c:v>
                </c:pt>
              </c:strCache>
            </c:strRef>
          </c:cat>
          <c:val>
            <c:numRef>
              <c:f>Sheet1!$B$2</c:f>
              <c:numCache>
                <c:ptCount val="1"/>
                <c:pt idx="0">
                  <c:v>716.3</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zh-CN"/>
              <a:t>部门支出总体情况</a:t>
            </a:r>
            <a:endParaRPr lang="en-US" sz="1100"/>
          </a:p>
        </c:rich>
      </c:tx>
      <c:layout/>
      <c:overlay val="0"/>
      <c:spPr>
        <a:noFill/>
        <a:ln>
          <a:noFill/>
        </a:ln>
        <a:effectLst/>
      </c:spPr>
    </c:title>
    <c:autoTitleDeleted val="0"/>
    <c:plotArea>
      <c:layout/>
      <c:pieChart>
        <c:varyColors val="1"/>
        <c:ser>
          <c:idx val="0"/>
          <c:order val="0"/>
          <c:tx>
            <c:strRef>
              <c:f>Sheet1!$B$1</c:f>
              <c:strCache>
                <c:ptCount val="1"/>
                <c:pt idx="0">
                  <c:v>countries</c:v>
                </c:pt>
              </c:strCache>
            </c:strRef>
          </c:tx>
          <c:explosion val="0"/>
          <c:dPt>
            <c:idx val="0"/>
            <c:bubble3D val="0"/>
            <c:spPr>
              <a:solidFill>
                <a:schemeClr val="accent1"/>
              </a:solidFill>
              <a:ln w="19050">
                <a:solidFill>
                  <a:schemeClr val="lt1"/>
                </a:solidFill>
              </a:ln>
              <a:effectLst/>
            </c:spPr>
          </c:dPt>
          <c:dLbls>
            <c:delete val="1"/>
          </c:dLbls>
          <c:cat>
            <c:strRef>
              <c:f>Sheet1!$A$2:$A$5</c:f>
              <c:strCache>
                <c:ptCount val="4"/>
                <c:pt idx="0">
                  <c:v>一般公共服务支出</c:v>
                </c:pt>
                <c:pt idx="1">
                  <c:v>教育支出</c:v>
                </c:pt>
                <c:pt idx="2">
                  <c:v>社会保障和就业支出</c:v>
                </c:pt>
                <c:pt idx="3">
                  <c:v>住房保障支出</c:v>
                </c:pt>
              </c:strCache>
            </c:strRef>
          </c:cat>
          <c:val>
            <c:numRef>
              <c:f>Sheet1!$B$2:$B$5</c:f>
              <c:numCache>
                <c:ptCount val="4"/>
                <c:pt idx="0">
                  <c:v>8.86</c:v>
                </c:pt>
                <c:pt idx="1">
                  <c:v>566.96</c:v>
                </c:pt>
                <c:pt idx="2">
                  <c:v>61.75</c:v>
                </c:pt>
                <c:pt idx="3">
                  <c:v>51.88</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zh-CN"/>
              <a:t>财政拨款收支总体情况</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上年</c:v>
                </c:pt>
              </c:strCache>
            </c:strRef>
          </c:tx>
          <c:spPr>
            <a:solidFill>
              <a:schemeClr val="accent1"/>
            </a:solidFill>
            <a:ln>
              <a:noFill/>
            </a:ln>
            <a:effectLst/>
          </c:spPr>
          <c:invertIfNegative val="0"/>
          <c:dLbls>
            <c:delete val="1"/>
          </c:dLbls>
          <c:cat>
            <c:strRef>
              <c:f>Sheet1!$A$2</c:f>
              <c:strCache>
                <c:ptCount val="1"/>
                <c:pt idx="0">
                  <c:v>收入</c:v>
                </c:pt>
              </c:strCache>
            </c:strRef>
          </c:cat>
          <c:val>
            <c:numRef>
              <c:f>Sheet1!$B$2</c:f>
              <c:numCache>
                <c:formatCode>General</c:formatCode>
                <c:ptCount val="1"/>
                <c:pt idx="0">
                  <c:v>800.71</c:v>
                </c:pt>
              </c:numCache>
            </c:numRef>
          </c:val>
        </c:ser>
        <c:ser>
          <c:idx val="1"/>
          <c:order val="1"/>
          <c:tx>
            <c:strRef>
              <c:f>Sheet1!$C$1</c:f>
              <c:strCache>
                <c:ptCount val="1"/>
                <c:pt idx="0">
                  <c:v>当年</c:v>
                </c:pt>
              </c:strCache>
            </c:strRef>
          </c:tx>
          <c:spPr>
            <a:solidFill>
              <a:schemeClr val="accent2"/>
            </a:solidFill>
            <a:ln>
              <a:noFill/>
            </a:ln>
            <a:effectLst/>
          </c:spPr>
          <c:invertIfNegative val="0"/>
          <c:dLbls>
            <c:delete val="1"/>
          </c:dLbls>
          <c:cat>
            <c:strRef>
              <c:f>Sheet1!$A$2</c:f>
              <c:strCache>
                <c:ptCount val="1"/>
                <c:pt idx="0">
                  <c:v>收入</c:v>
                </c:pt>
              </c:strCache>
            </c:strRef>
          </c:cat>
          <c:val>
            <c:numRef>
              <c:f>Sheet1!$C$2</c:f>
              <c:numCache>
                <c:formatCode>General</c:formatCode>
                <c:ptCount val="1"/>
                <c:pt idx="0">
                  <c:v>716.3</c:v>
                </c:pt>
              </c:numCache>
            </c:numRef>
          </c:val>
        </c:ser>
        <c:ser>
          <c:idx val="2"/>
          <c:order val="2"/>
          <c:tx>
            <c:strRef>
              <c:f>Sheet1!$D$1</c:f>
              <c:strCache>
                <c:ptCount val="1"/>
                <c:pt idx="0">
                  <c:v>MOF_DIV_CODE</c:v>
                </c:pt>
              </c:strCache>
            </c:strRef>
          </c:tx>
          <c:cat>
            <c:strRef>
              <c:f>Sheet1!$A$2</c:f>
              <c:strCache>
                <c:ptCount val="1"/>
                <c:pt idx="0">
                  <c:v>收入</c:v>
                </c:pt>
              </c:strCache>
            </c:strRef>
          </c:cat>
          <c:val>
            <c:numRef>
              <c:f>Sheet1!$D$2</c:f>
              <c:numCache>
                <c:ptCount val="1"/>
                <c:pt idx="0">
                  <c:v>4.51226E8</c:v>
                </c:pt>
              </c:numCache>
            </c:numRef>
          </c:val>
        </c:ser>
        <c:ser>
          <c:idx val="3"/>
          <c:order val="3"/>
          <c:tx>
            <c:strRef>
              <c:f>Sheet1!$E$1</c:f>
              <c:strCache>
                <c:ptCount val="1"/>
                <c:pt idx="0">
                  <c:v>FISCAL_YEAR</c:v>
                </c:pt>
              </c:strCache>
            </c:strRef>
          </c:tx>
          <c:cat>
            <c:strRef>
              <c:f>Sheet1!$A$2</c:f>
              <c:strCache>
                <c:ptCount val="1"/>
                <c:pt idx="0">
                  <c:v>收入</c:v>
                </c:pt>
              </c:strCache>
            </c:strRef>
          </c:cat>
          <c:val>
            <c:numRef>
              <c:f>Sheet1!$E$2</c:f>
              <c:numCache>
                <c:ptCount val="1"/>
                <c:pt idx="0">
                  <c:v>2024.0</c:v>
                </c:pt>
              </c:numCache>
            </c:numRef>
          </c:val>
        </c:ser>
        <c:ser>
          <c:idx val="4"/>
          <c:order val="4"/>
          <c:tx>
            <c:strRef>
              <c:f>Sheet1!$F$1</c:f>
              <c:strCache>
                <c:ptCount val="1"/>
                <c:pt idx="0">
                  <c:v>AGENCY_CODE</c:v>
                </c:pt>
              </c:strCache>
            </c:strRef>
          </c:tx>
          <c:cat>
            <c:strRef>
              <c:f>Sheet1!$A$2</c:f>
              <c:strCache>
                <c:ptCount val="1"/>
                <c:pt idx="0">
                  <c:v>收入</c:v>
                </c:pt>
              </c:strCache>
            </c:strRef>
          </c:cat>
          <c:val>
            <c:numRef>
              <c:f>Sheet1!$F$2</c:f>
              <c:numCache>
                <c:ptCount val="1"/>
                <c:pt idx="0">
                  <c:v>201045.0</c:v>
                </c:pt>
              </c:numCache>
            </c:numRef>
          </c:val>
        </c:ser>
        <c:dLbls>
          <c:showLegendKey val="0"/>
          <c:showVal val="0"/>
          <c:showCatName val="0"/>
          <c:showSerName val="0"/>
          <c:showPercent val="0"/>
          <c:showBubbleSize val="0"/>
        </c:dLbls>
        <c:gapWidth val="219"/>
        <c:overlap val="-27"/>
        <c:axId val="811850650"/>
        <c:axId val="698020238"/>
      </c:barChart>
      <c:catAx>
        <c:axId val="811850650"/>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98020238"/>
        <c:crosses val="autoZero"/>
        <c:auto val="1"/>
        <c:lblAlgn val="ctr"/>
        <c:lblOffset val="100"/>
        <c:noMultiLvlLbl val="0"/>
      </c:catAx>
      <c:valAx>
        <c:axId val="698020238"/>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11850650"/>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nchor="t" rtlCol="false"/>
          <a:lstStyle/>
          <a:p>
            <a:pPr algn="l">
              <a:defRPr/>
            </a:pPr>
            <a:r>
              <a:rPr lang="en-US"/>
              <a:t>一般公共预算支出情况</a:t>
            </a:r>
            <a:endParaRPr lang="en-US" sz="1100"/>
          </a:p>
        </c:rich>
      </c:tx>
      <c:layout/>
      <c:overlay val="false"/>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barChart>
        <c:barDir val="bar"/>
        <c:grouping val="clustered"/>
        <c:varyColors val="0"/>
        <c:ser>
          <c:idx val="0"/>
          <c:order val="0"/>
          <c:tx>
            <c:strRef>
              <c:f>Sheet1!$B$1</c:f>
              <c:strCache>
                <c:ptCount val="1"/>
                <c:pt idx="0">
                  <c:v>基本支出</c:v>
                </c:pt>
              </c:strCache>
            </c:strRef>
          </c:tx>
          <c:spPr>
            <a:solidFill>
              <a:schemeClr val="accent1"/>
            </a:solidFill>
            <a:ln>
              <a:noFill/>
            </a:ln>
            <a:effectLst/>
          </c:spPr>
          <c:invertIfNegative val="0"/>
          <c:dLbls>
            <c:delete val="1"/>
          </c:dLbls>
          <c:cat>
            <c:strRef>
              <c:f>Sheet1!$A$2</c:f>
              <c:strCache>
                <c:ptCount val="1"/>
                <c:pt idx="0">
                  <c:v>上年</c:v>
                </c:pt>
              </c:strCache>
            </c:strRef>
          </c:cat>
          <c:val>
            <c:numRef>
              <c:f>Sheet1!$B$2</c:f>
              <c:numCache>
                <c:formatCode>General</c:formatCode>
                <c:ptCount val="1"/>
                <c:pt idx="0">
                  <c:v>679.44</c:v>
                </c:pt>
              </c:numCache>
            </c:numRef>
          </c:val>
        </c:ser>
        <c:ser>
          <c:idx val="1"/>
          <c:order val="1"/>
          <c:tx>
            <c:strRef>
              <c:f>Sheet1!$C$1</c:f>
              <c:strCache>
                <c:ptCount val="1"/>
                <c:pt idx="0">
                  <c:v>结转下年支出</c:v>
                </c:pt>
              </c:strCache>
            </c:strRef>
          </c:tx>
          <c:cat>
            <c:strRef>
              <c:f>Sheet1!$A$2</c:f>
              <c:strCache>
                <c:ptCount val="1"/>
                <c:pt idx="0">
                  <c:v>上年</c:v>
                </c:pt>
              </c:strCache>
            </c:strRef>
          </c:cat>
          <c:val>
            <c:numRef>
              <c:f>Sheet1!$C$2</c:f>
              <c:numCache>
                <c:ptCount val="1"/>
                <c:pt idx="0">
                  <c:v>0.0</c:v>
                </c:pt>
              </c:numCache>
            </c:numRef>
          </c:val>
        </c:ser>
        <c:ser>
          <c:idx val="2"/>
          <c:order val="2"/>
          <c:tx>
            <c:strRef>
              <c:f>Sheet1!$D$1</c:f>
              <c:strCache>
                <c:ptCount val="1"/>
                <c:pt idx="0">
                  <c:v>项目支出</c:v>
                </c:pt>
              </c:strCache>
            </c:strRef>
          </c:tx>
          <c:cat>
            <c:strRef>
              <c:f>Sheet1!$A$2</c:f>
              <c:strCache>
                <c:ptCount val="1"/>
                <c:pt idx="0">
                  <c:v>上年</c:v>
                </c:pt>
              </c:strCache>
            </c:strRef>
          </c:cat>
          <c:val>
            <c:numRef>
              <c:f>Sheet1!$D$2</c:f>
              <c:numCache>
                <c:ptCount val="1"/>
                <c:pt idx="0">
                  <c:v>10.0</c:v>
                </c:pt>
              </c:numCache>
            </c:numRef>
          </c:val>
        </c:ser>
        <c:ser>
          <c:idx val="3"/>
          <c:order val="3"/>
          <c:tx>
            <c:strRef>
              <c:f>Sheet1!$E$1</c:f>
              <c:strCache>
                <c:ptCount val="1"/>
                <c:pt idx="0">
                  <c:v>公用经费</c:v>
                </c:pt>
              </c:strCache>
            </c:strRef>
          </c:tx>
          <c:cat>
            <c:strRef>
              <c:f>Sheet1!$A$2</c:f>
              <c:strCache>
                <c:ptCount val="1"/>
                <c:pt idx="0">
                  <c:v>上年</c:v>
                </c:pt>
              </c:strCache>
            </c:strRef>
          </c:cat>
          <c:val>
            <c:numRef>
              <c:f>Sheet1!$E$2</c:f>
              <c:numCache>
                <c:ptCount val="1"/>
                <c:pt idx="0">
                  <c:v>8.86</c:v>
                </c:pt>
              </c:numCache>
            </c:numRef>
          </c:val>
        </c:ser>
        <c:ser>
          <c:idx val="4"/>
          <c:order val="4"/>
          <c:tx>
            <c:strRef>
              <c:f>Sheet1!$F$1</c:f>
              <c:strCache>
                <c:ptCount val="1"/>
                <c:pt idx="0">
                  <c:v>人员经费</c:v>
                </c:pt>
              </c:strCache>
            </c:strRef>
          </c:tx>
          <c:cat>
            <c:strRef>
              <c:f>Sheet1!$A$2</c:f>
              <c:strCache>
                <c:ptCount val="1"/>
                <c:pt idx="0">
                  <c:v>上年</c:v>
                </c:pt>
              </c:strCache>
            </c:strRef>
          </c:cat>
          <c:val>
            <c:numRef>
              <c:f>Sheet1!$F$2</c:f>
              <c:numCache>
                <c:ptCount val="1"/>
                <c:pt idx="0">
                  <c:v>670.58</c:v>
                </c:pt>
              </c:numCache>
            </c:numRef>
          </c:val>
        </c:ser>
        <c:dLbls>
          <c:showLegendKey val="0"/>
          <c:showVal val="0"/>
          <c:showCatName val="0"/>
          <c:showSerName val="0"/>
          <c:showPercent val="0"/>
          <c:showBubbleSize val="0"/>
        </c:dLbls>
        <c:gapWidth val="182"/>
        <c:overlap val="0"/>
        <c:axId val="691519273"/>
        <c:axId val="850134922"/>
      </c:barChart>
      <c:catAx>
        <c:axId val="691519273"/>
        <c:scaling>
          <c:orientation val="minMax"/>
        </c:scaling>
        <c:delete val="1"/>
        <c:axPos val="l"/>
        <c:majorTickMark val="none"/>
        <c:minorTickMark val="none"/>
        <c:tickLblPos val="nextTo"/>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50134922"/>
        <c:crosses val="autoZero"/>
        <c:auto val="1"/>
        <c:lblAlgn val="ctr"/>
        <c:lblOffset val="100"/>
        <c:noMultiLvlLbl val="0"/>
      </c:catAx>
      <c:valAx>
        <c:axId val="850134922"/>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91519273"/>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nchor="t" rtlCol="false"/>
          <a:lstStyle/>
          <a:p>
            <a:pPr algn="l">
              <a:defRPr/>
            </a:pPr>
            <a:r>
              <a:rPr lang="en-US"/>
              <a:t>一般公共预算基本支出情况</a:t>
            </a:r>
            <a:endParaRPr lang="en-US" sz="1100"/>
          </a:p>
        </c:rich>
      </c:tx>
      <c:layout/>
      <c:overlay val="false"/>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pieChart>
        <c:varyColors val="1"/>
        <c:ser>
          <c:idx val="0"/>
          <c:order val="0"/>
          <c:tx>
            <c:strRef>
              <c:f>Sheet1!$B$1</c:f>
              <c:strCache>
                <c:ptCount val="1"/>
                <c:pt idx="0">
                  <c:v>countries</c:v>
                </c:pt>
              </c:strCache>
            </c:strRef>
          </c:tx>
          <c:spPr/>
          <c:explosion val="0"/>
          <c:dPt>
            <c:idx val="0"/>
            <c:bubble3D val="0"/>
            <c:spPr>
              <a:solidFill>
                <a:schemeClr val="accent1"/>
              </a:solidFill>
              <a:ln w="19050">
                <a:solidFill>
                  <a:schemeClr val="lt1"/>
                </a:solidFill>
              </a:ln>
              <a:effectLst/>
            </c:spPr>
          </c:dPt>
          <c:dLbls>
            <c:delete val="1"/>
          </c:dLbls>
          <c:cat>
            <c:strRef>
              <c:f>Sheet1!$A$2:$A$3</c:f>
              <c:strCache>
                <c:ptCount val="2"/>
                <c:pt idx="0">
                  <c:v>人员经费</c:v>
                </c:pt>
                <c:pt idx="1">
                  <c:v>公用经费</c:v>
                </c:pt>
              </c:strCache>
            </c:strRef>
          </c:cat>
          <c:val>
            <c:numRef>
              <c:f>Sheet1!$B$2:$B$3</c:f>
              <c:numCache>
                <c:ptCount val="2"/>
                <c:pt idx="0">
                  <c:v>670.58</c:v>
                </c:pt>
                <c:pt idx="1">
                  <c:v>8.86</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zh-CN"/>
              <a:t>一般公共预算“三公”经费安排情况</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上年</c:v>
                </c:pt>
              </c:strCache>
            </c:strRef>
          </c:tx>
          <c:spPr>
            <a:solidFill>
              <a:schemeClr val="accent1"/>
            </a:solidFill>
            <a:ln>
              <a:noFill/>
            </a:ln>
            <a:effectLst/>
          </c:spPr>
          <c:invertIfNegative val="0"/>
          <c:dLbls>
            <c:delete val="1"/>
          </c:dLbls>
          <c:cat>
            <c:strRef>
              <c:f>Sheet1!$A$2:$A$4</c:f>
              <c:strCache>
                <c:ptCount val="3"/>
                <c:pt idx="0">
                  <c:v>因公出国（境）经费预算</c:v>
                </c:pt>
                <c:pt idx="1">
                  <c:v>公务接待费预算</c:v>
                </c:pt>
                <c:pt idx="2">
                  <c:v>公务用车购置及运行费预算</c:v>
                </c:pt>
              </c:strCache>
            </c:strRef>
          </c:cat>
          <c:val>
            <c:numRef>
              <c:f>Sheet1!$B$2:$B$4</c:f>
              <c:numCache>
                <c:formatCode>General</c:formatCode>
                <c:ptCount val="3"/>
                <c:pt idx="0">
                  <c:v>0.0</c:v>
                </c:pt>
                <c:pt idx="1">
                  <c:v>0.0</c:v>
                </c:pt>
                <c:pt idx="2">
                  <c:v>0.0</c:v>
                </c:pt>
              </c:numCache>
            </c:numRef>
          </c:val>
        </c:ser>
        <c:ser>
          <c:idx val="1"/>
          <c:order val="1"/>
          <c:tx>
            <c:strRef>
              <c:f>Sheet1!$C$1</c:f>
              <c:strCache>
                <c:ptCount val="1"/>
                <c:pt idx="0">
                  <c:v>当年</c:v>
                </c:pt>
              </c:strCache>
            </c:strRef>
          </c:tx>
          <c:invertIfNegative val="0"/>
          <c:dLbls>
            <c:delete val="1"/>
          </c:dLbls>
          <c:cat>
            <c:strRef>
              <c:f>Sheet1!$A$2:$A$4</c:f>
              <c:strCache>
                <c:ptCount val="3"/>
                <c:pt idx="0">
                  <c:v>因公出国（境）经费预算</c:v>
                </c:pt>
                <c:pt idx="1">
                  <c:v>公务接待费预算</c:v>
                </c:pt>
                <c:pt idx="2">
                  <c:v>公务用车购置及运行费预算</c:v>
                </c:pt>
              </c:strCache>
            </c:strRef>
          </c:cat>
          <c:val>
            <c:numRef>
              <c:f>Sheet1!$C$2:$C$4</c:f>
              <c:numCache>
                <c:formatCode>General</c:formatCode>
                <c:ptCount val="3"/>
                <c:pt idx="0">
                  <c:v>0.0</c:v>
                </c:pt>
                <c:pt idx="1">
                  <c:v>0.0</c:v>
                </c:pt>
                <c:pt idx="2">
                  <c:v>0.0</c:v>
                </c:pt>
              </c:numCache>
            </c:numRef>
          </c:val>
        </c:ser>
        <c:dLbls>
          <c:showLegendKey val="0"/>
          <c:showVal val="0"/>
          <c:showCatName val="0"/>
          <c:showSerName val="0"/>
          <c:showPercent val="0"/>
          <c:showBubbleSize val="0"/>
        </c:dLbls>
        <c:gapWidth val="182"/>
        <c:overlap val="0"/>
        <c:axId val="587647791"/>
        <c:axId val="468612210"/>
      </c:barChart>
      <c:catAx>
        <c:axId val="587647791"/>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68612210"/>
        <c:crosses val="autoZero"/>
        <c:auto val="1"/>
        <c:lblAlgn val="ctr"/>
        <c:lblOffset val="100"/>
        <c:noMultiLvlLbl val="0"/>
      </c:catAx>
      <c:valAx>
        <c:axId val="468612210"/>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87647791"/>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cp:coreProperties xmlns:cp="http://schemas.openxmlformats.org/package/2006/metadata/core-properties" xmlns:dc="http://purl.org/dc/elements/1.1/" xmlns:dcterms="http://purl.org/dc/terms/" xmlns:xsi="http://www.w3.org/2001/XMLSchema-instance">
  <dcterms:created xsi:type="dcterms:W3CDTF">2023-02-07T06:11:00Z</dcterms:created>
  <dc:creator>蔡冬冬</dc:creator>
  <cp:lastModifiedBy>黄凯璇</cp:lastModifiedBy>
  <dcterms:modified xsi:type="dcterms:W3CDTF">2024-02-28T09:06:10Z</dcterms:modified>
  <cp:revision>3</cp:revision>
</cp:coreProperties>
</file>

<file path=customXml/item2.xml><?xml version="1.0" encoding="utf-8"?>
<Properties xmlns="http://schemas.openxmlformats.org/officeDocument/2006/extended-properties" xmlns:vt="http://schemas.openxmlformats.org/officeDocument/2006/docPropsVTypes">
  <Template>Normal.dotm</Template>
  <Pages>35</Pages>
  <Words>8576</Words>
  <Characters>11046</Characters>
  <Lines>105</Lines>
  <Paragraphs>29</Paragraphs>
  <TotalTime>19</TotalTime>
  <ScaleCrop>false</ScaleCrop>
  <LinksUpToDate>false</LinksUpToDate>
  <CharactersWithSpaces>11333</CharactersWithSpaces>
  <Application>WPS Office_12.1.0.16388_F1E327BC-269C-435d-A152-05C5408002CA</Application>
  <DocSecurity>0</DocSecurity>
</Properties>
</file>

<file path=customXml/item3.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DC93C90D53BE4108B92996B0242E3918_13</vt:lpwstr>
  </property>
</Properties>
</file>

<file path=customXml/item4.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vt="http://schemas.openxmlformats.org/officeDocument/2006/docPropsVTypes" xmlns="http://schemas.openxmlformats.org/officeDocument/2006/extended-properties">
  <Template>Normal.dotm</Template>
  <TotalTime>19</TotalTime>
  <Pages>35</Pages>
  <Words>8576</Words>
  <Characters>11046</Characters>
  <Application>WPS Office_12.1.0.16388_F1E327BC-269C-435d-A152-05C5408002CA</Application>
  <DocSecurity>0</DocSecurity>
  <Lines>105</Lines>
  <Paragraphs>29</Paragraphs>
  <CharactersWithSpaces>11333</CharactersWithSpaces>
  <AppVersion>15.0000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2023-02-07T06:11:00Z</dcterms:created>
  <dc:creator>蔡冬冬</dc:creator>
  <cp:lastModifiedBy>黄凯璇</cp:lastModifiedBy>
  <dcterms:modified xsi:type="dcterms:W3CDTF">2024-03-01T09:20:07Z</dcterms:modified>
  <cp:revision>3</cp:revision>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str>2052-12.1.0.16388</vt:lpstr>
  </property>
  <property fmtid="{D5CDD505-2E9C-101B-9397-08002B2CF9AE}" pid="3" name="ICV">
    <vt:lpstr>DC93C90D53BE4108B92996B0242E3918_13</vt:lpstr>
  </property>
</Properties>
</file>